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center"/>
        <w:rPr>
          <w:rFonts w:ascii="宋体" w:hAnsi="宋体"/>
          <w:sz w:val="36"/>
          <w:szCs w:val="36"/>
        </w:rPr>
      </w:pPr>
      <w:r>
        <w:rPr>
          <w:rFonts w:hint="eastAsia" w:ascii="宋体" w:hAnsi="宋体" w:eastAsia="宋体"/>
          <w:sz w:val="36"/>
          <w:szCs w:val="36"/>
          <w:lang w:val="en-US" w:eastAsia="zh-CN"/>
        </w:rPr>
        <w:t>校园</w:t>
      </w:r>
      <w:r>
        <w:rPr>
          <w:rFonts w:hint="eastAsia" w:ascii="宋体" w:hAnsi="宋体"/>
          <w:sz w:val="36"/>
          <w:szCs w:val="36"/>
        </w:rPr>
        <w:t>消防</w:t>
      </w:r>
      <w:r>
        <w:rPr>
          <w:rFonts w:hint="eastAsia" w:ascii="宋体" w:hAnsi="宋体" w:eastAsia="宋体"/>
          <w:sz w:val="36"/>
          <w:szCs w:val="36"/>
          <w:lang w:val="en-US" w:eastAsia="zh-CN"/>
        </w:rPr>
        <w:t>监督</w:t>
      </w:r>
      <w:r>
        <w:rPr>
          <w:rFonts w:hint="eastAsia" w:ascii="宋体" w:hAnsi="宋体"/>
          <w:sz w:val="36"/>
          <w:szCs w:val="36"/>
        </w:rPr>
        <w:t>服务招标评标办法及评分标准</w:t>
      </w:r>
    </w:p>
    <w:p>
      <w:pPr>
        <w:spacing w:line="360" w:lineRule="auto"/>
        <w:ind w:firstLine="480" w:firstLineChars="200"/>
        <w:rPr>
          <w:rFonts w:ascii="宋体" w:hAnsi="宋体"/>
          <w:color w:val="auto"/>
          <w:sz w:val="24"/>
        </w:rPr>
      </w:pPr>
      <w:r>
        <w:rPr>
          <w:rFonts w:hint="eastAsia" w:ascii="宋体" w:hAnsi="宋体"/>
          <w:color w:val="auto"/>
          <w:sz w:val="24"/>
        </w:rPr>
        <w:t>1、采用</w:t>
      </w:r>
      <w:r>
        <w:rPr>
          <w:rFonts w:hint="eastAsia" w:ascii="宋体" w:hAnsi="宋体"/>
          <w:color w:val="auto"/>
          <w:sz w:val="24"/>
          <w:u w:val="single"/>
        </w:rPr>
        <w:t>　综合评分法　</w:t>
      </w:r>
      <w:r>
        <w:rPr>
          <w:rFonts w:hint="eastAsia" w:ascii="宋体" w:hAnsi="宋体"/>
          <w:color w:val="auto"/>
          <w:sz w:val="24"/>
        </w:rPr>
        <w:t>。即在符合招标文件要求的前提下，择定最高得分者为第一中标候选人，即预中标人。</w:t>
      </w:r>
    </w:p>
    <w:p>
      <w:pPr>
        <w:spacing w:line="360" w:lineRule="auto"/>
        <w:ind w:firstLine="480" w:firstLineChars="200"/>
        <w:rPr>
          <w:rFonts w:ascii="宋体" w:hAnsi="宋体"/>
          <w:color w:val="auto"/>
          <w:sz w:val="24"/>
        </w:rPr>
      </w:pPr>
      <w:r>
        <w:rPr>
          <w:rFonts w:hint="eastAsia" w:ascii="宋体" w:hAnsi="宋体"/>
          <w:color w:val="auto"/>
          <w:sz w:val="24"/>
        </w:rPr>
        <w:t>2、合格投标人的评标得分为各项目汇总得分，中标候选资格按评标得分由高到低顺序排列，得分相同的，按投标报价由低到高顺序排列；得分且投标报价相同的，按技术得分由高到低顺序排列。</w:t>
      </w:r>
      <w:r>
        <w:rPr>
          <w:rFonts w:hint="eastAsia" w:ascii="宋体" w:hAnsi="宋体"/>
          <w:bCs/>
          <w:color w:val="auto"/>
          <w:sz w:val="24"/>
        </w:rPr>
        <w:t>评分过程中采用四舍五入</w:t>
      </w:r>
      <w:r>
        <w:rPr>
          <w:rFonts w:hint="eastAsia" w:ascii="宋体" w:hAnsi="宋体"/>
          <w:color w:val="auto"/>
          <w:sz w:val="24"/>
        </w:rPr>
        <w:t>法，并保留小数2位。</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3、评分办法</w:t>
      </w:r>
    </w:p>
    <w:p>
      <w:pPr>
        <w:spacing w:line="360" w:lineRule="auto"/>
        <w:ind w:firstLine="480" w:firstLineChars="200"/>
        <w:rPr>
          <w:rFonts w:hint="eastAsia" w:ascii="宋体" w:hAnsi="宋体" w:cs="宋体"/>
          <w:sz w:val="24"/>
        </w:rPr>
      </w:pPr>
      <w:r>
        <w:rPr>
          <w:rFonts w:hint="eastAsia" w:ascii="宋体" w:hAnsi="宋体" w:cs="宋体"/>
          <w:sz w:val="24"/>
        </w:rPr>
        <w:t>（1）满分为100分。总得分=技术得分+商务得分。</w:t>
      </w:r>
    </w:p>
    <w:p>
      <w:pPr>
        <w:spacing w:line="360" w:lineRule="auto"/>
        <w:ind w:firstLine="480" w:firstLineChars="200"/>
        <w:rPr>
          <w:rFonts w:ascii="宋体" w:hAnsi="宋体" w:cs="宋体"/>
          <w:sz w:val="24"/>
        </w:rPr>
      </w:pPr>
      <w:r>
        <w:rPr>
          <w:rFonts w:hint="eastAsia" w:ascii="宋体" w:hAnsi="宋体" w:cs="宋体"/>
          <w:sz w:val="24"/>
        </w:rPr>
        <w:t>（2）</w:t>
      </w:r>
      <w:r>
        <w:rPr>
          <w:rFonts w:ascii="宋体" w:hAnsi="宋体" w:cs="宋体"/>
          <w:sz w:val="24"/>
        </w:rPr>
        <w:t>技术得分=技术评分，技术评分=</w:t>
      </w:r>
      <w:r>
        <w:rPr>
          <w:rFonts w:hint="eastAsia" w:ascii="宋体" w:hAnsi="宋体" w:cs="宋体"/>
          <w:sz w:val="24"/>
        </w:rPr>
        <w:t>各</w:t>
      </w:r>
      <w:r>
        <w:rPr>
          <w:rFonts w:ascii="宋体" w:hAnsi="宋体" w:cs="宋体"/>
          <w:sz w:val="24"/>
        </w:rPr>
        <w:t>评委的技术打分平均值。</w:t>
      </w:r>
    </w:p>
    <w:p>
      <w:pPr>
        <w:spacing w:line="360" w:lineRule="auto"/>
        <w:ind w:firstLine="480" w:firstLineChars="200"/>
        <w:rPr>
          <w:rFonts w:hint="eastAsia" w:ascii="宋体" w:hAnsi="宋体" w:cs="宋体"/>
          <w:sz w:val="24"/>
        </w:rPr>
      </w:pPr>
      <w:r>
        <w:rPr>
          <w:rFonts w:hint="eastAsia" w:ascii="宋体" w:hAnsi="宋体" w:cs="宋体"/>
          <w:sz w:val="24"/>
        </w:rPr>
        <w:t>（3）商务得分=（评标基准价/投标报价）*价格权值*100，评标基准价=有效投标人的最低投标报价，价格权值=30%。</w:t>
      </w:r>
    </w:p>
    <w:p>
      <w:pPr>
        <w:spacing w:line="360" w:lineRule="auto"/>
        <w:ind w:firstLine="468" w:firstLineChars="195"/>
        <w:rPr>
          <w:rFonts w:hint="eastAsia" w:ascii="宋体" w:hAnsi="宋体" w:cs="宋体"/>
          <w:sz w:val="24"/>
        </w:rPr>
      </w:pPr>
      <w:r>
        <w:rPr>
          <w:rFonts w:hint="eastAsia" w:ascii="宋体" w:hAnsi="宋体" w:cs="宋体"/>
          <w:sz w:val="24"/>
        </w:rPr>
        <w:t>（4）技术分评分细则（70分）</w:t>
      </w:r>
    </w:p>
    <w:tbl>
      <w:tblPr>
        <w:tblStyle w:val="3"/>
        <w:tblW w:w="8935" w:type="dxa"/>
        <w:jc w:val="center"/>
        <w:tblLayout w:type="fixed"/>
        <w:tblCellMar>
          <w:top w:w="0" w:type="dxa"/>
          <w:left w:w="108" w:type="dxa"/>
          <w:bottom w:w="0" w:type="dxa"/>
          <w:right w:w="108" w:type="dxa"/>
        </w:tblCellMar>
      </w:tblPr>
      <w:tblGrid>
        <w:gridCol w:w="727"/>
        <w:gridCol w:w="7023"/>
        <w:gridCol w:w="1185"/>
      </w:tblGrid>
      <w:tr>
        <w:tblPrEx>
          <w:tblCellMar>
            <w:top w:w="0" w:type="dxa"/>
            <w:left w:w="108" w:type="dxa"/>
            <w:bottom w:w="0" w:type="dxa"/>
            <w:right w:w="108" w:type="dxa"/>
          </w:tblCellMar>
        </w:tblPrEx>
        <w:trPr>
          <w:trHeight w:val="323"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宋体" w:hAnsi="宋体" w:cs="宋体"/>
                <w:b/>
                <w:bCs/>
                <w:sz w:val="24"/>
                <w:szCs w:val="24"/>
              </w:rPr>
            </w:pPr>
            <w:r>
              <w:rPr>
                <w:rFonts w:hint="eastAsia" w:ascii="宋体" w:hAnsi="宋体" w:cs="宋体"/>
                <w:b/>
                <w:bCs/>
                <w:sz w:val="24"/>
                <w:szCs w:val="24"/>
              </w:rPr>
              <w:t>序号</w:t>
            </w:r>
          </w:p>
        </w:tc>
        <w:tc>
          <w:tcPr>
            <w:tcW w:w="7023" w:type="dxa"/>
            <w:tcBorders>
              <w:top w:val="single" w:color="auto" w:sz="4" w:space="0"/>
              <w:left w:val="nil"/>
              <w:bottom w:val="single" w:color="auto" w:sz="4" w:space="0"/>
              <w:right w:val="single" w:color="auto" w:sz="4" w:space="0"/>
            </w:tcBorders>
            <w:vAlign w:val="center"/>
          </w:tcPr>
          <w:p>
            <w:pPr>
              <w:spacing w:line="500" w:lineRule="exact"/>
              <w:jc w:val="center"/>
              <w:rPr>
                <w:rFonts w:hint="eastAsia" w:ascii="宋体" w:hAnsi="宋体" w:cs="宋体"/>
                <w:b/>
                <w:bCs/>
                <w:sz w:val="24"/>
                <w:szCs w:val="24"/>
              </w:rPr>
            </w:pPr>
            <w:r>
              <w:rPr>
                <w:rFonts w:hint="eastAsia" w:ascii="宋体" w:hAnsi="宋体" w:cs="宋体"/>
                <w:b/>
                <w:bCs/>
                <w:sz w:val="24"/>
                <w:szCs w:val="24"/>
              </w:rPr>
              <w:t>评分要点及说明</w:t>
            </w:r>
          </w:p>
        </w:tc>
        <w:tc>
          <w:tcPr>
            <w:tcW w:w="1185" w:type="dxa"/>
            <w:tcBorders>
              <w:top w:val="single" w:color="auto" w:sz="4" w:space="0"/>
              <w:left w:val="nil"/>
              <w:bottom w:val="single" w:color="auto" w:sz="4" w:space="0"/>
              <w:right w:val="single" w:color="auto" w:sz="4" w:space="0"/>
            </w:tcBorders>
            <w:vAlign w:val="center"/>
          </w:tcPr>
          <w:p>
            <w:pPr>
              <w:spacing w:line="500" w:lineRule="exact"/>
              <w:jc w:val="center"/>
              <w:rPr>
                <w:rFonts w:hint="eastAsia" w:ascii="宋体" w:hAnsi="宋体" w:cs="宋体"/>
                <w:b/>
                <w:bCs/>
                <w:sz w:val="24"/>
                <w:szCs w:val="24"/>
              </w:rPr>
            </w:pPr>
            <w:r>
              <w:rPr>
                <w:rFonts w:hint="eastAsia" w:ascii="宋体" w:hAnsi="宋体" w:cs="宋体"/>
                <w:b/>
                <w:bCs/>
                <w:sz w:val="24"/>
                <w:szCs w:val="24"/>
              </w:rPr>
              <w:t>分值</w:t>
            </w:r>
          </w:p>
        </w:tc>
      </w:tr>
      <w:tr>
        <w:tblPrEx>
          <w:tblCellMar>
            <w:top w:w="0" w:type="dxa"/>
            <w:left w:w="108" w:type="dxa"/>
            <w:bottom w:w="0" w:type="dxa"/>
            <w:right w:w="108" w:type="dxa"/>
          </w:tblCellMar>
        </w:tblPrEx>
        <w:trPr>
          <w:trHeight w:val="265"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szCs w:val="24"/>
              </w:rPr>
            </w:pPr>
            <w:r>
              <w:rPr>
                <w:rFonts w:hint="eastAsia" w:ascii="宋体" w:hAnsi="宋体" w:cs="宋体"/>
                <w:sz w:val="24"/>
                <w:szCs w:val="24"/>
              </w:rPr>
              <w:t>1</w:t>
            </w:r>
          </w:p>
        </w:tc>
        <w:tc>
          <w:tcPr>
            <w:tcW w:w="7023" w:type="dxa"/>
            <w:tcBorders>
              <w:top w:val="single" w:color="auto" w:sz="4" w:space="0"/>
              <w:left w:val="nil"/>
              <w:bottom w:val="single" w:color="auto" w:sz="4" w:space="0"/>
              <w:right w:val="single" w:color="auto" w:sz="4" w:space="0"/>
            </w:tcBorders>
            <w:vAlign w:val="center"/>
          </w:tcPr>
          <w:p>
            <w:pPr>
              <w:spacing w:line="300" w:lineRule="exact"/>
              <w:rPr>
                <w:rFonts w:hint="eastAsia" w:ascii="宋体" w:hAnsi="宋体" w:cs="宋体"/>
                <w:sz w:val="24"/>
                <w:szCs w:val="24"/>
              </w:rPr>
            </w:pPr>
            <w:r>
              <w:rPr>
                <w:rFonts w:hint="eastAsia" w:ascii="宋体" w:hAnsi="宋体" w:cs="宋体"/>
                <w:sz w:val="24"/>
                <w:szCs w:val="24"/>
              </w:rPr>
              <w:t>综合能力：</w:t>
            </w:r>
          </w:p>
          <w:p>
            <w:pPr>
              <w:spacing w:line="300" w:lineRule="exact"/>
              <w:rPr>
                <w:rFonts w:hint="default" w:ascii="宋体" w:hAnsi="宋体" w:eastAsia="宋体" w:cs="宋体"/>
                <w:sz w:val="24"/>
                <w:szCs w:val="24"/>
                <w:lang w:val="en-US" w:eastAsia="zh-CN"/>
              </w:rPr>
            </w:pPr>
            <w:r>
              <w:rPr>
                <w:rFonts w:hint="eastAsia" w:ascii="宋体" w:hAnsi="宋体" w:cs="宋体"/>
                <w:sz w:val="24"/>
                <w:szCs w:val="24"/>
              </w:rPr>
              <w:t>根据投标人实施本项目的综合能力，包括通信指挥、人员调度、日常训练等情况，由评委综合打分。</w:t>
            </w:r>
            <w:r>
              <w:rPr>
                <w:rFonts w:hint="eastAsia" w:ascii="宋体" w:hAnsi="宋体" w:cs="宋体"/>
                <w:sz w:val="24"/>
                <w:szCs w:val="24"/>
                <w:lang w:eastAsia="zh-CN"/>
              </w:rPr>
              <w:t>（</w:t>
            </w:r>
            <w:r>
              <w:rPr>
                <w:rFonts w:hint="eastAsia" w:ascii="宋体" w:hAnsi="宋体" w:cs="宋体"/>
                <w:sz w:val="24"/>
                <w:szCs w:val="24"/>
                <w:lang w:val="en-US" w:eastAsia="zh-CN"/>
              </w:rPr>
              <w:t>优秀得10分，良好得8分，一般得6分，及格得4分，不及格不得分。）</w:t>
            </w:r>
          </w:p>
        </w:tc>
        <w:tc>
          <w:tcPr>
            <w:tcW w:w="118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sz w:val="24"/>
                <w:szCs w:val="24"/>
              </w:rPr>
            </w:pPr>
            <w:r>
              <w:rPr>
                <w:rFonts w:hint="eastAsia" w:ascii="宋体" w:hAnsi="宋体" w:cs="宋体"/>
                <w:sz w:val="24"/>
                <w:szCs w:val="24"/>
                <w:lang w:val="en-US" w:eastAsia="zh-CN"/>
              </w:rPr>
              <w:t>10</w:t>
            </w:r>
            <w:r>
              <w:rPr>
                <w:rFonts w:hint="eastAsia" w:ascii="宋体" w:hAnsi="宋体" w:cs="宋体"/>
                <w:sz w:val="24"/>
                <w:szCs w:val="24"/>
              </w:rPr>
              <w:t>分</w:t>
            </w:r>
          </w:p>
        </w:tc>
      </w:tr>
      <w:tr>
        <w:tblPrEx>
          <w:tblCellMar>
            <w:top w:w="0" w:type="dxa"/>
            <w:left w:w="108" w:type="dxa"/>
            <w:bottom w:w="0" w:type="dxa"/>
            <w:right w:w="108" w:type="dxa"/>
          </w:tblCellMar>
        </w:tblPrEx>
        <w:trPr>
          <w:trHeight w:val="560"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z w:val="24"/>
                <w:szCs w:val="24"/>
                <w:lang w:eastAsia="zh-CN"/>
              </w:rPr>
            </w:pPr>
            <w:r>
              <w:rPr>
                <w:rFonts w:hint="eastAsia" w:ascii="宋体" w:hAnsi="宋体" w:cs="宋体"/>
                <w:sz w:val="24"/>
                <w:szCs w:val="24"/>
                <w:lang w:val="en-US" w:eastAsia="zh-CN"/>
              </w:rPr>
              <w:t>2</w:t>
            </w:r>
          </w:p>
        </w:tc>
        <w:tc>
          <w:tcPr>
            <w:tcW w:w="7023" w:type="dxa"/>
            <w:tcBorders>
              <w:top w:val="single" w:color="auto" w:sz="4" w:space="0"/>
              <w:left w:val="nil"/>
              <w:bottom w:val="single" w:color="auto" w:sz="4" w:space="0"/>
              <w:right w:val="single" w:color="auto" w:sz="4" w:space="0"/>
            </w:tcBorders>
            <w:vAlign w:val="center"/>
          </w:tcPr>
          <w:p>
            <w:pPr>
              <w:spacing w:line="300" w:lineRule="exact"/>
              <w:rPr>
                <w:rFonts w:hint="eastAsia" w:ascii="宋体" w:hAnsi="宋体" w:cs="宋体"/>
                <w:sz w:val="24"/>
                <w:szCs w:val="24"/>
              </w:rPr>
            </w:pPr>
            <w:r>
              <w:rPr>
                <w:rFonts w:hint="eastAsia" w:ascii="宋体" w:hAnsi="宋体" w:cs="宋体"/>
                <w:sz w:val="24"/>
                <w:szCs w:val="24"/>
              </w:rPr>
              <w:t>类似业绩：</w:t>
            </w:r>
          </w:p>
          <w:p>
            <w:pPr>
              <w:spacing w:line="300" w:lineRule="exact"/>
              <w:rPr>
                <w:rFonts w:hint="eastAsia" w:ascii="宋体" w:hAnsi="宋体" w:cs="宋体"/>
                <w:sz w:val="24"/>
                <w:szCs w:val="24"/>
              </w:rPr>
            </w:pPr>
            <w:r>
              <w:rPr>
                <w:rFonts w:hint="eastAsia" w:ascii="宋体" w:hAnsi="宋体" w:cs="宋体"/>
                <w:sz w:val="24"/>
                <w:szCs w:val="24"/>
              </w:rPr>
              <w:t>2019年1月1日后，投标人具有类似业绩的</w:t>
            </w:r>
            <w:r>
              <w:rPr>
                <w:rFonts w:hint="eastAsia" w:ascii="宋体" w:hAnsi="宋体" w:cs="宋体"/>
                <w:sz w:val="24"/>
                <w:szCs w:val="24"/>
                <w:lang w:val="en-US" w:eastAsia="zh-CN"/>
              </w:rPr>
              <w:t>有一份合同</w:t>
            </w:r>
            <w:r>
              <w:rPr>
                <w:rFonts w:hint="eastAsia" w:ascii="宋体" w:hAnsi="宋体" w:cs="宋体"/>
                <w:sz w:val="24"/>
                <w:szCs w:val="24"/>
              </w:rPr>
              <w:t>得</w:t>
            </w:r>
            <w:r>
              <w:rPr>
                <w:rFonts w:hint="eastAsia" w:ascii="宋体" w:hAnsi="宋体" w:cs="宋体"/>
                <w:sz w:val="24"/>
                <w:szCs w:val="24"/>
                <w:lang w:val="en-US" w:eastAsia="zh-CN"/>
              </w:rPr>
              <w:t>1</w:t>
            </w:r>
            <w:r>
              <w:rPr>
                <w:rFonts w:hint="eastAsia" w:ascii="宋体" w:hAnsi="宋体" w:cs="宋体"/>
                <w:sz w:val="24"/>
                <w:szCs w:val="24"/>
              </w:rPr>
              <w:t>分</w:t>
            </w:r>
            <w:r>
              <w:rPr>
                <w:rFonts w:hint="eastAsia" w:ascii="宋体" w:hAnsi="宋体" w:cs="宋体"/>
                <w:sz w:val="24"/>
                <w:szCs w:val="24"/>
                <w:lang w:eastAsia="zh-CN"/>
              </w:rPr>
              <w:t>，</w:t>
            </w:r>
            <w:r>
              <w:rPr>
                <w:rFonts w:hint="eastAsia" w:ascii="宋体" w:hAnsi="宋体" w:cs="宋体"/>
                <w:sz w:val="24"/>
                <w:szCs w:val="24"/>
                <w:lang w:val="en-US" w:eastAsia="zh-CN"/>
              </w:rPr>
              <w:t>最多3分。</w:t>
            </w:r>
            <w:r>
              <w:rPr>
                <w:rFonts w:hint="eastAsia" w:ascii="宋体" w:hAnsi="宋体" w:cs="宋体"/>
                <w:sz w:val="24"/>
                <w:szCs w:val="24"/>
              </w:rPr>
              <w:t>（业绩证明材料包括中标通书</w:t>
            </w:r>
            <w:r>
              <w:rPr>
                <w:rFonts w:hint="eastAsia" w:ascii="宋体" w:hAnsi="宋体" w:cs="宋体"/>
                <w:sz w:val="24"/>
                <w:szCs w:val="24"/>
                <w:lang w:val="en-US" w:eastAsia="zh-CN"/>
              </w:rPr>
              <w:t>和</w:t>
            </w:r>
            <w:r>
              <w:rPr>
                <w:rFonts w:hint="eastAsia" w:ascii="宋体" w:hAnsi="宋体" w:cs="宋体"/>
                <w:sz w:val="24"/>
                <w:szCs w:val="24"/>
              </w:rPr>
              <w:t>合同复印件，缺一不得分。）</w:t>
            </w:r>
          </w:p>
        </w:tc>
        <w:tc>
          <w:tcPr>
            <w:tcW w:w="118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sz w:val="24"/>
                <w:szCs w:val="24"/>
              </w:rPr>
            </w:pPr>
            <w:r>
              <w:rPr>
                <w:rFonts w:hint="eastAsia" w:ascii="宋体" w:hAnsi="宋体" w:cs="宋体"/>
                <w:sz w:val="24"/>
                <w:szCs w:val="24"/>
              </w:rPr>
              <w:t>3分</w:t>
            </w:r>
          </w:p>
        </w:tc>
      </w:tr>
      <w:tr>
        <w:tblPrEx>
          <w:tblCellMar>
            <w:top w:w="0" w:type="dxa"/>
            <w:left w:w="108" w:type="dxa"/>
            <w:bottom w:w="0" w:type="dxa"/>
            <w:right w:w="108" w:type="dxa"/>
          </w:tblCellMar>
        </w:tblPrEx>
        <w:trPr>
          <w:trHeight w:val="1410"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00" w:lineRule="exact"/>
              <w:jc w:val="center"/>
              <w:rPr>
                <w:rFonts w:hint="eastAsia" w:ascii="宋体" w:hAnsi="宋体" w:eastAsia="宋体" w:cs="宋体"/>
                <w:sz w:val="24"/>
                <w:szCs w:val="24"/>
                <w:lang w:eastAsia="zh-CN"/>
              </w:rPr>
            </w:pPr>
            <w:r>
              <w:rPr>
                <w:rFonts w:hint="eastAsia" w:ascii="宋体" w:hAnsi="宋体" w:cs="宋体"/>
                <w:sz w:val="24"/>
                <w:szCs w:val="24"/>
                <w:lang w:val="en-US" w:eastAsia="zh-CN"/>
              </w:rPr>
              <w:t>3</w:t>
            </w:r>
          </w:p>
        </w:tc>
        <w:tc>
          <w:tcPr>
            <w:tcW w:w="7023" w:type="dxa"/>
            <w:tcBorders>
              <w:top w:val="single" w:color="auto" w:sz="4" w:space="0"/>
              <w:left w:val="nil"/>
              <w:bottom w:val="single" w:color="auto" w:sz="4" w:space="0"/>
              <w:right w:val="single" w:color="auto" w:sz="4" w:space="0"/>
            </w:tcBorders>
            <w:vAlign w:val="center"/>
          </w:tcPr>
          <w:p>
            <w:pPr>
              <w:rPr>
                <w:rFonts w:hint="eastAsia" w:ascii="宋体" w:hAnsi="宋体" w:cs="宋体"/>
                <w:sz w:val="24"/>
                <w:szCs w:val="24"/>
              </w:rPr>
            </w:pPr>
            <w:r>
              <w:rPr>
                <w:rFonts w:hint="eastAsia" w:ascii="宋体" w:hAnsi="宋体" w:cs="宋体"/>
                <w:sz w:val="24"/>
                <w:szCs w:val="24"/>
              </w:rPr>
              <w:t>项目调研：</w:t>
            </w:r>
          </w:p>
          <w:p>
            <w:pPr>
              <w:rPr>
                <w:rFonts w:hint="eastAsia" w:ascii="宋体" w:hAnsi="宋体" w:cs="宋体"/>
                <w:sz w:val="24"/>
                <w:szCs w:val="24"/>
              </w:rPr>
            </w:pPr>
            <w:r>
              <w:rPr>
                <w:rFonts w:hint="eastAsia" w:ascii="宋体" w:hAnsi="宋体" w:cs="宋体"/>
                <w:sz w:val="24"/>
                <w:szCs w:val="24"/>
              </w:rPr>
              <w:t>根据投标人现场调研，投标人需理解采购人服务要求、服务范围、人员要求及待遇情况，并提供详细调研报告，根据调研报告打分</w:t>
            </w:r>
            <w:r>
              <w:rPr>
                <w:rFonts w:hint="eastAsia" w:ascii="宋体" w:hAnsi="宋体" w:cs="宋体"/>
                <w:sz w:val="24"/>
                <w:szCs w:val="24"/>
                <w:lang w:eastAsia="zh-CN"/>
              </w:rPr>
              <w:t>（</w:t>
            </w:r>
            <w:r>
              <w:rPr>
                <w:rFonts w:hint="eastAsia" w:ascii="宋体" w:hAnsi="宋体" w:cs="宋体"/>
                <w:sz w:val="24"/>
                <w:szCs w:val="24"/>
                <w:lang w:val="en-US" w:eastAsia="zh-CN"/>
              </w:rPr>
              <w:t>优秀得10分，良好得8分，一般得6分，及格得4分，不及格不得分。）</w:t>
            </w:r>
          </w:p>
        </w:tc>
        <w:tc>
          <w:tcPr>
            <w:tcW w:w="1185" w:type="dxa"/>
            <w:tcBorders>
              <w:top w:val="single" w:color="auto" w:sz="4" w:space="0"/>
              <w:left w:val="nil"/>
              <w:bottom w:val="single" w:color="auto" w:sz="4" w:space="0"/>
              <w:right w:val="single" w:color="auto" w:sz="4" w:space="0"/>
            </w:tcBorders>
            <w:vAlign w:val="center"/>
          </w:tcPr>
          <w:p>
            <w:pPr>
              <w:spacing w:before="100" w:beforeAutospacing="1" w:after="100" w:afterAutospacing="1" w:line="500" w:lineRule="exact"/>
              <w:jc w:val="center"/>
              <w:rPr>
                <w:rFonts w:hint="eastAsia" w:ascii="宋体" w:hAnsi="宋体" w:cs="宋体"/>
                <w:sz w:val="24"/>
                <w:szCs w:val="24"/>
              </w:rPr>
            </w:pPr>
            <w:r>
              <w:rPr>
                <w:rFonts w:hint="eastAsia" w:ascii="宋体" w:hAnsi="宋体" w:cs="宋体"/>
                <w:sz w:val="24"/>
                <w:szCs w:val="24"/>
                <w:lang w:val="en-US" w:eastAsia="zh-CN"/>
              </w:rPr>
              <w:t>10</w:t>
            </w:r>
            <w:r>
              <w:rPr>
                <w:rFonts w:hint="eastAsia" w:ascii="宋体" w:hAnsi="宋体" w:cs="宋体"/>
                <w:sz w:val="24"/>
                <w:szCs w:val="24"/>
              </w:rPr>
              <w:t>分</w:t>
            </w:r>
          </w:p>
        </w:tc>
      </w:tr>
      <w:tr>
        <w:tblPrEx>
          <w:tblCellMar>
            <w:top w:w="0" w:type="dxa"/>
            <w:left w:w="108" w:type="dxa"/>
            <w:bottom w:w="0" w:type="dxa"/>
            <w:right w:w="108" w:type="dxa"/>
          </w:tblCellMar>
        </w:tblPrEx>
        <w:trPr>
          <w:trHeight w:val="237"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00" w:lineRule="exact"/>
              <w:jc w:val="center"/>
              <w:rPr>
                <w:rFonts w:hint="eastAsia" w:ascii="宋体" w:hAnsi="宋体" w:eastAsia="宋体" w:cs="宋体"/>
                <w:sz w:val="24"/>
                <w:szCs w:val="24"/>
                <w:lang w:eastAsia="zh-CN"/>
              </w:rPr>
            </w:pPr>
            <w:r>
              <w:rPr>
                <w:rFonts w:hint="eastAsia" w:ascii="宋体" w:hAnsi="宋体" w:cs="宋体"/>
                <w:sz w:val="24"/>
                <w:szCs w:val="24"/>
                <w:lang w:val="en-US" w:eastAsia="zh-CN"/>
              </w:rPr>
              <w:t>4</w:t>
            </w:r>
          </w:p>
        </w:tc>
        <w:tc>
          <w:tcPr>
            <w:tcW w:w="7023" w:type="dxa"/>
            <w:tcBorders>
              <w:top w:val="single" w:color="auto" w:sz="4" w:space="0"/>
              <w:left w:val="nil"/>
              <w:bottom w:val="single" w:color="auto" w:sz="4" w:space="0"/>
              <w:right w:val="single" w:color="auto" w:sz="4" w:space="0"/>
            </w:tcBorders>
            <w:vAlign w:val="center"/>
          </w:tcPr>
          <w:p>
            <w:pPr>
              <w:rPr>
                <w:rFonts w:hint="eastAsia" w:ascii="宋体" w:hAnsi="宋体" w:cs="宋体"/>
                <w:sz w:val="24"/>
                <w:szCs w:val="24"/>
              </w:rPr>
            </w:pPr>
            <w:r>
              <w:rPr>
                <w:rFonts w:hint="eastAsia" w:ascii="宋体" w:hAnsi="宋体" w:cs="宋体"/>
                <w:sz w:val="24"/>
                <w:szCs w:val="24"/>
              </w:rPr>
              <w:t>人员保证：</w:t>
            </w:r>
          </w:p>
          <w:p>
            <w:pPr>
              <w:numPr>
                <w:ilvl w:val="0"/>
                <w:numId w:val="1"/>
              </w:numPr>
              <w:rPr>
                <w:rFonts w:hint="eastAsia" w:ascii="宋体" w:hAnsi="宋体" w:cs="宋体"/>
                <w:sz w:val="24"/>
                <w:szCs w:val="24"/>
              </w:rPr>
            </w:pPr>
            <w:r>
              <w:rPr>
                <w:rFonts w:hint="eastAsia" w:ascii="宋体" w:hAnsi="宋体" w:cs="宋体"/>
                <w:sz w:val="24"/>
                <w:szCs w:val="24"/>
              </w:rPr>
              <w:t>根据人员配置满足采购文件要求情况进行打分（</w:t>
            </w:r>
            <w:r>
              <w:rPr>
                <w:rFonts w:hint="eastAsia" w:ascii="宋体" w:hAnsi="宋体" w:cs="宋体"/>
                <w:sz w:val="24"/>
                <w:szCs w:val="24"/>
                <w:lang w:val="en-US" w:eastAsia="zh-CN"/>
              </w:rPr>
              <w:t>优秀得4分，良好得3分，及格得2分，不及格不得分</w:t>
            </w:r>
            <w:r>
              <w:rPr>
                <w:rFonts w:hint="eastAsia" w:ascii="宋体" w:hAnsi="宋体" w:cs="宋体"/>
                <w:sz w:val="24"/>
                <w:szCs w:val="24"/>
              </w:rPr>
              <w:t>）：提供详细的岗位人员配备表且人员配备和人员配备年龄结构完全满足招标文件要求，并承诺所有岗位不缺编，全部符合者得满分，其余情况由评委综合评定。</w:t>
            </w:r>
          </w:p>
          <w:p>
            <w:pPr>
              <w:numPr>
                <w:ilvl w:val="0"/>
                <w:numId w:val="1"/>
              </w:numPr>
              <w:rPr>
                <w:rFonts w:hint="eastAsia" w:ascii="宋体" w:hAnsi="宋体" w:cs="宋体"/>
                <w:sz w:val="24"/>
                <w:szCs w:val="24"/>
              </w:rPr>
            </w:pPr>
            <w:r>
              <w:rPr>
                <w:rFonts w:hint="eastAsia" w:ascii="宋体" w:hAnsi="宋体" w:cs="宋体"/>
                <w:sz w:val="24"/>
                <w:szCs w:val="24"/>
              </w:rPr>
              <w:t>根据投标人所提供的进退场交接方案完善情况以及确保服务平稳交接过渡方案，由评委综合打分（</w:t>
            </w:r>
            <w:r>
              <w:rPr>
                <w:rFonts w:hint="eastAsia" w:ascii="宋体" w:hAnsi="宋体" w:cs="宋体"/>
                <w:sz w:val="24"/>
                <w:szCs w:val="24"/>
                <w:lang w:val="en-US" w:eastAsia="zh-CN"/>
              </w:rPr>
              <w:t>优秀得4分，良好得3分，及格得2分，不及格不得分</w:t>
            </w:r>
            <w:r>
              <w:rPr>
                <w:rFonts w:hint="eastAsia" w:ascii="宋体" w:hAnsi="宋体" w:cs="宋体"/>
                <w:sz w:val="24"/>
                <w:szCs w:val="24"/>
              </w:rPr>
              <w:t>）。</w:t>
            </w:r>
          </w:p>
          <w:p>
            <w:pPr>
              <w:numPr>
                <w:ilvl w:val="0"/>
                <w:numId w:val="1"/>
              </w:numPr>
              <w:rPr>
                <w:rFonts w:hint="eastAsia" w:ascii="宋体" w:hAnsi="宋体" w:cs="宋体"/>
                <w:sz w:val="24"/>
                <w:szCs w:val="24"/>
              </w:rPr>
            </w:pPr>
            <w:r>
              <w:rPr>
                <w:rFonts w:hint="eastAsia" w:ascii="宋体" w:hAnsi="宋体" w:cs="宋体"/>
                <w:sz w:val="24"/>
                <w:szCs w:val="24"/>
              </w:rPr>
              <w:t>稳定员工队伍措施（</w:t>
            </w:r>
            <w:r>
              <w:rPr>
                <w:rFonts w:hint="eastAsia" w:ascii="宋体" w:hAnsi="宋体" w:cs="宋体"/>
                <w:sz w:val="24"/>
                <w:szCs w:val="24"/>
                <w:lang w:val="en-US" w:eastAsia="zh-CN"/>
              </w:rPr>
              <w:t>优秀得4分，良好得3分，及格得2分，不及格不得分</w:t>
            </w:r>
            <w:r>
              <w:rPr>
                <w:rFonts w:hint="eastAsia" w:ascii="宋体" w:hAnsi="宋体" w:cs="宋体"/>
                <w:sz w:val="24"/>
                <w:szCs w:val="24"/>
              </w:rPr>
              <w:t>）：根据稳定员工队伍的措施的可行性等方面，由评委进行分析比较、评议，独立打分。</w:t>
            </w:r>
          </w:p>
          <w:p>
            <w:pPr>
              <w:rPr>
                <w:rFonts w:hint="eastAsia" w:ascii="宋体" w:hAnsi="宋体" w:cs="宋体"/>
                <w:sz w:val="24"/>
                <w:szCs w:val="24"/>
              </w:rPr>
            </w:pPr>
            <w:r>
              <w:rPr>
                <w:rFonts w:hint="eastAsia" w:ascii="宋体" w:hAnsi="宋体" w:cs="宋体"/>
                <w:sz w:val="24"/>
                <w:szCs w:val="24"/>
              </w:rPr>
              <w:t>（注：投标时提供项目配置的岗位人员，商务技术文件中需投标人为其缴纳的近3个月社保证明复印件，盖上投标单位公章，否则不得分。）</w:t>
            </w:r>
          </w:p>
        </w:tc>
        <w:tc>
          <w:tcPr>
            <w:tcW w:w="1185" w:type="dxa"/>
            <w:tcBorders>
              <w:top w:val="single" w:color="auto" w:sz="4" w:space="0"/>
              <w:left w:val="nil"/>
              <w:bottom w:val="single" w:color="auto" w:sz="4" w:space="0"/>
              <w:right w:val="single" w:color="auto" w:sz="4" w:space="0"/>
            </w:tcBorders>
            <w:vAlign w:val="center"/>
          </w:tcPr>
          <w:p>
            <w:pPr>
              <w:spacing w:before="100" w:beforeAutospacing="1" w:after="100" w:afterAutospacing="1" w:line="500" w:lineRule="exact"/>
              <w:jc w:val="center"/>
              <w:rPr>
                <w:rFonts w:hint="eastAsia" w:ascii="宋体" w:hAnsi="宋体" w:cs="宋体"/>
                <w:sz w:val="24"/>
                <w:szCs w:val="24"/>
              </w:rPr>
            </w:pPr>
            <w:r>
              <w:rPr>
                <w:rFonts w:hint="eastAsia" w:ascii="宋体" w:hAnsi="宋体" w:cs="宋体"/>
                <w:sz w:val="24"/>
                <w:szCs w:val="24"/>
              </w:rPr>
              <w:t>12分</w:t>
            </w:r>
          </w:p>
        </w:tc>
      </w:tr>
      <w:tr>
        <w:tblPrEx>
          <w:tblCellMar>
            <w:top w:w="0" w:type="dxa"/>
            <w:left w:w="108" w:type="dxa"/>
            <w:bottom w:w="0" w:type="dxa"/>
            <w:right w:w="108" w:type="dxa"/>
          </w:tblCellMar>
        </w:tblPrEx>
        <w:trPr>
          <w:trHeight w:val="1266"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00" w:lineRule="exact"/>
              <w:jc w:val="center"/>
              <w:rPr>
                <w:rFonts w:hint="eastAsia" w:ascii="宋体" w:hAnsi="宋体" w:eastAsia="宋体" w:cs="宋体"/>
                <w:sz w:val="24"/>
                <w:szCs w:val="24"/>
                <w:lang w:eastAsia="zh-CN"/>
              </w:rPr>
            </w:pPr>
            <w:r>
              <w:rPr>
                <w:rFonts w:hint="eastAsia" w:ascii="宋体" w:hAnsi="宋体" w:cs="宋体"/>
                <w:sz w:val="24"/>
                <w:szCs w:val="24"/>
                <w:lang w:val="en-US" w:eastAsia="zh-CN"/>
              </w:rPr>
              <w:t>5</w:t>
            </w:r>
          </w:p>
        </w:tc>
        <w:tc>
          <w:tcPr>
            <w:tcW w:w="7023" w:type="dxa"/>
            <w:tcBorders>
              <w:top w:val="single" w:color="auto" w:sz="4" w:space="0"/>
              <w:left w:val="nil"/>
              <w:bottom w:val="single" w:color="auto" w:sz="4" w:space="0"/>
              <w:right w:val="single" w:color="auto" w:sz="4" w:space="0"/>
            </w:tcBorders>
            <w:vAlign w:val="center"/>
          </w:tcPr>
          <w:p>
            <w:pPr>
              <w:snapToGrid w:val="0"/>
              <w:rPr>
                <w:rFonts w:hint="eastAsia" w:ascii="宋体" w:hAnsi="宋体" w:cs="宋体"/>
                <w:sz w:val="24"/>
                <w:szCs w:val="24"/>
              </w:rPr>
            </w:pPr>
            <w:r>
              <w:rPr>
                <w:rFonts w:hint="eastAsia" w:ascii="宋体" w:hAnsi="宋体" w:cs="宋体"/>
                <w:sz w:val="24"/>
                <w:szCs w:val="24"/>
              </w:rPr>
              <w:t>相关服务能力证明：</w:t>
            </w:r>
          </w:p>
          <w:p>
            <w:pPr>
              <w:numPr>
                <w:ilvl w:val="0"/>
                <w:numId w:val="2"/>
              </w:numPr>
              <w:snapToGrid w:val="0"/>
              <w:rPr>
                <w:rFonts w:hint="eastAsia" w:ascii="宋体" w:hAnsi="宋体" w:cs="宋体"/>
                <w:sz w:val="24"/>
                <w:szCs w:val="24"/>
                <w:lang w:eastAsia="zh-CN"/>
              </w:rPr>
            </w:pPr>
            <w:r>
              <w:rPr>
                <w:rFonts w:hint="eastAsia" w:ascii="宋体" w:hAnsi="宋体" w:cs="宋体"/>
                <w:sz w:val="24"/>
                <w:szCs w:val="24"/>
              </w:rPr>
              <w:t>提供5级以上</w:t>
            </w:r>
            <w:r>
              <w:rPr>
                <w:rFonts w:hint="eastAsia" w:ascii="宋体" w:hAnsi="宋体" w:cs="宋体"/>
                <w:color w:val="FF0000"/>
                <w:sz w:val="24"/>
                <w:szCs w:val="24"/>
              </w:rPr>
              <w:t>消控证人员</w:t>
            </w:r>
            <w:r>
              <w:rPr>
                <w:rFonts w:hint="eastAsia" w:ascii="宋体" w:hAnsi="宋体" w:cs="宋体"/>
                <w:sz w:val="24"/>
                <w:szCs w:val="24"/>
              </w:rPr>
              <w:t>，具有</w:t>
            </w:r>
            <w:r>
              <w:rPr>
                <w:rFonts w:hint="eastAsia" w:ascii="宋体" w:hAnsi="宋体" w:cs="宋体"/>
                <w:sz w:val="24"/>
                <w:szCs w:val="24"/>
                <w:lang w:val="en-US" w:eastAsia="zh-CN"/>
              </w:rPr>
              <w:t>1</w:t>
            </w:r>
            <w:r>
              <w:rPr>
                <w:rFonts w:hint="eastAsia" w:ascii="宋体" w:hAnsi="宋体" w:cs="宋体"/>
                <w:sz w:val="24"/>
                <w:szCs w:val="24"/>
              </w:rPr>
              <w:t>人得</w:t>
            </w:r>
            <w:r>
              <w:rPr>
                <w:rFonts w:hint="eastAsia" w:ascii="宋体" w:hAnsi="宋体" w:cs="宋体"/>
                <w:sz w:val="24"/>
                <w:szCs w:val="24"/>
                <w:lang w:val="en-US" w:eastAsia="zh-CN"/>
              </w:rPr>
              <w:t>2</w:t>
            </w:r>
            <w:r>
              <w:rPr>
                <w:rFonts w:hint="eastAsia" w:ascii="宋体" w:hAnsi="宋体" w:cs="宋体"/>
                <w:sz w:val="24"/>
                <w:szCs w:val="24"/>
              </w:rPr>
              <w:t>分，每增加一人得0.4分，最高</w:t>
            </w:r>
            <w:r>
              <w:rPr>
                <w:rFonts w:hint="eastAsia" w:ascii="宋体" w:hAnsi="宋体" w:cs="宋体"/>
                <w:sz w:val="24"/>
                <w:szCs w:val="24"/>
                <w:lang w:val="en-US" w:eastAsia="zh-CN"/>
              </w:rPr>
              <w:t>5</w:t>
            </w:r>
            <w:r>
              <w:rPr>
                <w:rFonts w:hint="eastAsia" w:ascii="宋体" w:hAnsi="宋体" w:cs="宋体"/>
                <w:sz w:val="24"/>
                <w:szCs w:val="24"/>
              </w:rPr>
              <w:t>分（投标时提供人员证书及投标人为其缴纳的近6个月社保证明复印件盖公章，不齐的不得分）</w:t>
            </w:r>
            <w:r>
              <w:rPr>
                <w:rFonts w:hint="eastAsia" w:ascii="宋体" w:hAnsi="宋体" w:cs="宋体"/>
                <w:sz w:val="24"/>
                <w:szCs w:val="24"/>
                <w:lang w:eastAsia="zh-CN"/>
              </w:rPr>
              <w:t>；</w:t>
            </w:r>
          </w:p>
          <w:p>
            <w:pPr>
              <w:numPr>
                <w:ilvl w:val="0"/>
                <w:numId w:val="2"/>
              </w:numPr>
              <w:snapToGrid w:val="0"/>
              <w:rPr>
                <w:rFonts w:hint="eastAsia" w:ascii="宋体" w:hAnsi="宋体" w:cs="宋体"/>
                <w:sz w:val="24"/>
                <w:szCs w:val="24"/>
              </w:rPr>
            </w:pPr>
            <w:r>
              <w:rPr>
                <w:rFonts w:hint="eastAsia" w:ascii="宋体" w:hAnsi="宋体" w:cs="宋体"/>
                <w:sz w:val="24"/>
                <w:szCs w:val="24"/>
                <w:lang w:val="en-US" w:eastAsia="zh-CN"/>
              </w:rPr>
              <w:t>项目负责人是退役士兵的得1分，在服役期间被评为优秀士兵的加1分，被评为优秀士官的加4分，最高5分（需提供相关证明原件，无原件不得分）</w:t>
            </w:r>
            <w:r>
              <w:rPr>
                <w:rFonts w:hint="eastAsia" w:ascii="宋体" w:hAnsi="宋体" w:cs="宋体"/>
                <w:sz w:val="24"/>
                <w:szCs w:val="24"/>
              </w:rPr>
              <w:t>。</w:t>
            </w:r>
          </w:p>
        </w:tc>
        <w:tc>
          <w:tcPr>
            <w:tcW w:w="1185" w:type="dxa"/>
            <w:tcBorders>
              <w:top w:val="single" w:color="auto" w:sz="4" w:space="0"/>
              <w:left w:val="nil"/>
              <w:bottom w:val="single" w:color="auto" w:sz="4" w:space="0"/>
              <w:right w:val="single" w:color="auto" w:sz="4" w:space="0"/>
            </w:tcBorders>
            <w:vAlign w:val="center"/>
          </w:tcPr>
          <w:p>
            <w:pPr>
              <w:spacing w:before="100" w:beforeAutospacing="1" w:after="100" w:afterAutospacing="1" w:line="500" w:lineRule="exact"/>
              <w:jc w:val="center"/>
              <w:rPr>
                <w:rFonts w:hint="eastAsia" w:ascii="宋体" w:hAnsi="宋体" w:cs="宋体"/>
                <w:sz w:val="24"/>
                <w:szCs w:val="24"/>
              </w:rPr>
            </w:pPr>
            <w:r>
              <w:rPr>
                <w:rFonts w:hint="eastAsia" w:ascii="宋体" w:hAnsi="宋体" w:cs="宋体"/>
                <w:sz w:val="24"/>
                <w:szCs w:val="24"/>
              </w:rPr>
              <w:t>10分</w:t>
            </w:r>
          </w:p>
        </w:tc>
      </w:tr>
      <w:tr>
        <w:tblPrEx>
          <w:tblCellMar>
            <w:top w:w="0" w:type="dxa"/>
            <w:left w:w="108" w:type="dxa"/>
            <w:bottom w:w="0" w:type="dxa"/>
            <w:right w:w="108" w:type="dxa"/>
          </w:tblCellMar>
        </w:tblPrEx>
        <w:trPr>
          <w:trHeight w:val="1806"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00" w:lineRule="exact"/>
              <w:jc w:val="center"/>
              <w:rPr>
                <w:rFonts w:hint="eastAsia" w:ascii="宋体" w:hAnsi="宋体" w:eastAsia="宋体" w:cs="宋体"/>
                <w:sz w:val="24"/>
                <w:szCs w:val="24"/>
                <w:lang w:eastAsia="zh-CN"/>
              </w:rPr>
            </w:pPr>
            <w:r>
              <w:rPr>
                <w:rFonts w:hint="eastAsia" w:ascii="宋体" w:hAnsi="宋体" w:cs="宋体"/>
                <w:sz w:val="24"/>
                <w:szCs w:val="24"/>
                <w:lang w:val="en-US" w:eastAsia="zh-CN"/>
              </w:rPr>
              <w:t>6</w:t>
            </w:r>
          </w:p>
        </w:tc>
        <w:tc>
          <w:tcPr>
            <w:tcW w:w="7023" w:type="dxa"/>
            <w:tcBorders>
              <w:top w:val="single" w:color="auto" w:sz="4" w:space="0"/>
              <w:left w:val="nil"/>
              <w:bottom w:val="single" w:color="auto" w:sz="4" w:space="0"/>
              <w:right w:val="single" w:color="auto" w:sz="4" w:space="0"/>
            </w:tcBorders>
            <w:vAlign w:val="center"/>
          </w:tcPr>
          <w:p>
            <w:pPr>
              <w:snapToGrid w:val="0"/>
              <w:rPr>
                <w:rFonts w:hint="eastAsia" w:ascii="宋体" w:hAnsi="宋体" w:cs="宋体"/>
                <w:sz w:val="24"/>
                <w:szCs w:val="24"/>
              </w:rPr>
            </w:pPr>
            <w:r>
              <w:rPr>
                <w:rFonts w:hint="eastAsia" w:ascii="宋体" w:hAnsi="宋体" w:cs="宋体"/>
                <w:sz w:val="24"/>
                <w:szCs w:val="24"/>
              </w:rPr>
              <w:t>服务方案：为本次服务提供的详细的服务</w:t>
            </w:r>
            <w:r>
              <w:rPr>
                <w:rFonts w:hint="eastAsia" w:ascii="宋体" w:hAnsi="宋体" w:cs="宋体"/>
                <w:sz w:val="24"/>
                <w:szCs w:val="24"/>
                <w:lang w:val="en-US" w:eastAsia="zh-CN"/>
              </w:rPr>
              <w:t>和培训</w:t>
            </w:r>
            <w:r>
              <w:rPr>
                <w:rFonts w:hint="eastAsia" w:ascii="宋体" w:hAnsi="宋体" w:cs="宋体"/>
                <w:sz w:val="24"/>
                <w:szCs w:val="24"/>
              </w:rPr>
              <w:t>方案</w:t>
            </w:r>
            <w:r>
              <w:rPr>
                <w:rFonts w:hint="eastAsia" w:ascii="宋体" w:hAnsi="宋体" w:cs="宋体"/>
                <w:sz w:val="24"/>
                <w:szCs w:val="24"/>
                <w:lang w:eastAsia="zh-CN"/>
              </w:rPr>
              <w:t>（</w:t>
            </w:r>
            <w:r>
              <w:rPr>
                <w:rFonts w:hint="eastAsia" w:ascii="宋体" w:hAnsi="宋体" w:cs="宋体"/>
                <w:sz w:val="24"/>
                <w:szCs w:val="24"/>
                <w:lang w:val="en-US" w:eastAsia="zh-CN"/>
              </w:rPr>
              <w:t>内部管理制度、考核办法、应急处理和培训方案</w:t>
            </w:r>
            <w:r>
              <w:rPr>
                <w:rFonts w:hint="eastAsia" w:ascii="宋体" w:hAnsi="宋体" w:cs="宋体"/>
                <w:sz w:val="24"/>
                <w:szCs w:val="24"/>
                <w:lang w:eastAsia="zh-CN"/>
              </w:rPr>
              <w:t>）</w:t>
            </w:r>
            <w:r>
              <w:rPr>
                <w:rFonts w:hint="eastAsia" w:ascii="宋体" w:hAnsi="宋体" w:cs="宋体"/>
                <w:sz w:val="24"/>
                <w:szCs w:val="24"/>
              </w:rPr>
              <w:t>：</w:t>
            </w:r>
          </w:p>
          <w:p>
            <w:pPr>
              <w:snapToGrid w:val="0"/>
              <w:rPr>
                <w:rFonts w:hint="eastAsia" w:ascii="宋体" w:hAnsi="宋体" w:cs="宋体"/>
                <w:sz w:val="24"/>
                <w:szCs w:val="24"/>
              </w:rPr>
            </w:pPr>
            <w:r>
              <w:rPr>
                <w:rFonts w:hint="eastAsia" w:ascii="宋体" w:hAnsi="宋体" w:cs="宋体"/>
                <w:sz w:val="24"/>
                <w:szCs w:val="24"/>
                <w:lang w:val="en-US" w:eastAsia="zh-CN"/>
              </w:rPr>
              <w:t>方案详细、</w:t>
            </w:r>
            <w:r>
              <w:rPr>
                <w:rFonts w:hint="eastAsia" w:ascii="宋体" w:hAnsi="宋体" w:cs="宋体"/>
                <w:sz w:val="24"/>
                <w:szCs w:val="24"/>
              </w:rPr>
              <w:t>科学、合理（</w:t>
            </w:r>
            <w:r>
              <w:rPr>
                <w:rFonts w:hint="eastAsia" w:ascii="宋体" w:hAnsi="宋体" w:cs="宋体"/>
                <w:sz w:val="24"/>
                <w:szCs w:val="24"/>
                <w:lang w:val="en-US" w:eastAsia="zh-CN"/>
              </w:rPr>
              <w:t>20分</w:t>
            </w:r>
            <w:r>
              <w:rPr>
                <w:rFonts w:hint="eastAsia" w:ascii="宋体" w:hAnsi="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方案基本符合要求（12分）；方案不合理（0分）</w:t>
            </w:r>
          </w:p>
        </w:tc>
        <w:tc>
          <w:tcPr>
            <w:tcW w:w="1185" w:type="dxa"/>
            <w:tcBorders>
              <w:top w:val="single" w:color="auto" w:sz="4" w:space="0"/>
              <w:left w:val="nil"/>
              <w:bottom w:val="single" w:color="auto" w:sz="4" w:space="0"/>
              <w:right w:val="single" w:color="auto" w:sz="4" w:space="0"/>
            </w:tcBorders>
            <w:vAlign w:val="center"/>
          </w:tcPr>
          <w:p>
            <w:pPr>
              <w:spacing w:before="100" w:beforeAutospacing="1" w:after="100" w:afterAutospacing="1" w:line="500" w:lineRule="exact"/>
              <w:jc w:val="center"/>
              <w:rPr>
                <w:rFonts w:hint="eastAsia" w:ascii="宋体" w:hAnsi="宋体" w:cs="宋体"/>
                <w:sz w:val="24"/>
                <w:szCs w:val="24"/>
              </w:rPr>
            </w:pPr>
            <w:r>
              <w:rPr>
                <w:rFonts w:hint="eastAsia" w:ascii="宋体" w:hAnsi="宋体" w:cs="宋体"/>
                <w:sz w:val="24"/>
                <w:szCs w:val="24"/>
                <w:lang w:val="en-US" w:eastAsia="zh-CN"/>
              </w:rPr>
              <w:t>20</w:t>
            </w:r>
            <w:r>
              <w:rPr>
                <w:rFonts w:hint="eastAsia" w:ascii="宋体" w:hAnsi="宋体" w:cs="宋体"/>
                <w:sz w:val="24"/>
                <w:szCs w:val="24"/>
              </w:rPr>
              <w:t>分</w:t>
            </w:r>
          </w:p>
        </w:tc>
      </w:tr>
      <w:tr>
        <w:tblPrEx>
          <w:tblCellMar>
            <w:top w:w="0" w:type="dxa"/>
            <w:left w:w="108" w:type="dxa"/>
            <w:bottom w:w="0" w:type="dxa"/>
            <w:right w:w="108" w:type="dxa"/>
          </w:tblCellMar>
        </w:tblPrEx>
        <w:trPr>
          <w:trHeight w:val="541"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pStyle w:val="7"/>
              <w:shd w:val="clear" w:color="auto" w:fill="FFFFFF"/>
              <w:spacing w:before="0" w:beforeAutospacing="0" w:after="0" w:afterAutospacing="0" w:line="360" w:lineRule="exact"/>
              <w:jc w:val="center"/>
              <w:rPr>
                <w:rFonts w:hint="default" w:eastAsia="宋体"/>
                <w:bCs/>
                <w:lang w:val="en-US" w:eastAsia="zh-CN"/>
              </w:rPr>
            </w:pPr>
            <w:r>
              <w:rPr>
                <w:rFonts w:hint="eastAsia"/>
                <w:bCs/>
                <w:lang w:val="en-US" w:eastAsia="zh-CN"/>
              </w:rPr>
              <w:t>7</w:t>
            </w:r>
          </w:p>
        </w:tc>
        <w:tc>
          <w:tcPr>
            <w:tcW w:w="7023" w:type="dxa"/>
            <w:tcBorders>
              <w:top w:val="single" w:color="auto" w:sz="4" w:space="0"/>
              <w:left w:val="nil"/>
              <w:bottom w:val="single" w:color="auto" w:sz="4" w:space="0"/>
              <w:right w:val="single" w:color="auto" w:sz="4" w:space="0"/>
            </w:tcBorders>
            <w:vAlign w:val="center"/>
          </w:tcPr>
          <w:p>
            <w:pPr>
              <w:pStyle w:val="7"/>
              <w:shd w:val="clear" w:color="auto" w:fill="FFFFFF"/>
              <w:spacing w:before="0" w:beforeAutospacing="0" w:after="0" w:afterAutospacing="0" w:line="360" w:lineRule="exact"/>
              <w:jc w:val="both"/>
              <w:rPr>
                <w:rFonts w:hint="eastAsia"/>
                <w:bCs/>
                <w:highlight w:val="yellow"/>
              </w:rPr>
            </w:pPr>
            <w:r>
              <w:rPr>
                <w:rFonts w:hint="eastAsia"/>
                <w:bCs/>
                <w:highlight w:val="yellow"/>
              </w:rPr>
              <w:t>服务能力：</w:t>
            </w:r>
          </w:p>
          <w:p>
            <w:pPr>
              <w:pStyle w:val="7"/>
              <w:shd w:val="clear" w:color="auto" w:fill="FFFFFF"/>
              <w:spacing w:before="0" w:beforeAutospacing="0" w:after="0" w:afterAutospacing="0" w:line="360" w:lineRule="exact"/>
              <w:jc w:val="both"/>
              <w:rPr>
                <w:rFonts w:hint="eastAsia"/>
                <w:bCs/>
              </w:rPr>
            </w:pPr>
            <w:r>
              <w:rPr>
                <w:rFonts w:hint="eastAsia"/>
                <w:bCs/>
              </w:rPr>
              <w:t>根据投标人服务能力、服务水平、服务机构设置的合理性、真实可靠性等方面进行打分</w:t>
            </w:r>
            <w:r>
              <w:rPr>
                <w:rFonts w:hint="eastAsia"/>
                <w:bCs/>
                <w:lang w:eastAsia="zh-CN"/>
              </w:rPr>
              <w:t>（</w:t>
            </w:r>
            <w:r>
              <w:rPr>
                <w:rFonts w:hint="eastAsia"/>
                <w:bCs/>
                <w:lang w:val="en-US" w:eastAsia="zh-CN"/>
              </w:rPr>
              <w:t>优秀得5分，良好得3分，及格得1分</w:t>
            </w:r>
            <w:r>
              <w:rPr>
                <w:rFonts w:hint="eastAsia"/>
                <w:bCs/>
                <w:lang w:eastAsia="zh-CN"/>
              </w:rPr>
              <w:t>）</w:t>
            </w:r>
            <w:r>
              <w:rPr>
                <w:rFonts w:hint="eastAsia"/>
                <w:bCs/>
              </w:rPr>
              <w:t>。</w:t>
            </w:r>
          </w:p>
        </w:tc>
        <w:tc>
          <w:tcPr>
            <w:tcW w:w="1185" w:type="dxa"/>
            <w:tcBorders>
              <w:top w:val="single" w:color="auto" w:sz="4" w:space="0"/>
              <w:left w:val="nil"/>
              <w:bottom w:val="single" w:color="auto" w:sz="4" w:space="0"/>
              <w:right w:val="single" w:color="auto" w:sz="4" w:space="0"/>
            </w:tcBorders>
            <w:vAlign w:val="center"/>
          </w:tcPr>
          <w:p>
            <w:pPr>
              <w:pStyle w:val="7"/>
              <w:shd w:val="clear" w:color="auto" w:fill="FFFFFF"/>
              <w:spacing w:before="0" w:beforeAutospacing="0" w:after="0" w:afterAutospacing="0" w:line="360" w:lineRule="exact"/>
              <w:jc w:val="center"/>
              <w:rPr>
                <w:rFonts w:hint="eastAsia"/>
                <w:bCs/>
              </w:rPr>
            </w:pPr>
            <w:r>
              <w:rPr>
                <w:rFonts w:hint="eastAsia"/>
                <w:bCs/>
              </w:rPr>
              <w:t>5分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B2FBD7"/>
    <w:multiLevelType w:val="singleLevel"/>
    <w:tmpl w:val="C5B2FBD7"/>
    <w:lvl w:ilvl="0" w:tentative="0">
      <w:start w:val="1"/>
      <w:numFmt w:val="decimal"/>
      <w:suff w:val="nothing"/>
      <w:lvlText w:val="（%1）"/>
      <w:lvlJc w:val="left"/>
    </w:lvl>
  </w:abstractNum>
  <w:abstractNum w:abstractNumId="1">
    <w:nsid w:val="00000009"/>
    <w:multiLevelType w:val="multilevel"/>
    <w:tmpl w:val="00000009"/>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zZDI2ZWM4OWIxMjFjNzVjNzFhMDU3MmQ5ODA2NGIifQ=="/>
  </w:docVars>
  <w:rsids>
    <w:rsidRoot w:val="00165188"/>
    <w:rsid w:val="00165188"/>
    <w:rsid w:val="00214610"/>
    <w:rsid w:val="04D02842"/>
    <w:rsid w:val="1F202FB2"/>
    <w:rsid w:val="4C850BA9"/>
    <w:rsid w:val="521A7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jc w:val="both"/>
    </w:pPr>
    <w:rPr>
      <w:rFonts w:ascii="Times New Roman" w:hAnsi="Times New Roman" w:eastAsia="宋体" w:cs="Times New Roman"/>
      <w:color w:val="000000"/>
      <w:kern w:val="0"/>
      <w:sz w:val="21"/>
      <w:szCs w:val="21"/>
      <w:lang w:val="en-US" w:eastAsia="zh-CN" w:bidi="ar-SA"/>
    </w:rPr>
  </w:style>
  <w:style w:type="paragraph" w:styleId="2">
    <w:name w:val="heading 1"/>
    <w:basedOn w:val="1"/>
    <w:next w:val="1"/>
    <w:link w:val="6"/>
    <w:qFormat/>
    <w:uiPriority w:val="9"/>
    <w:pPr>
      <w:keepNext/>
      <w:keepLines/>
      <w:spacing w:before="340" w:after="330" w:line="578" w:lineRule="auto"/>
      <w:outlineLvl w:val="0"/>
    </w:pPr>
    <w:rPr>
      <w:rFonts w:ascii="??" w:hAnsi="??" w:eastAsia="??"/>
      <w:b/>
      <w:color w:val="auto"/>
      <w:kern w:val="36"/>
      <w:sz w:val="32"/>
      <w:szCs w:val="28"/>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customStyle="1" w:styleId="5">
    <w:name w:val="标题 1 Char"/>
    <w:basedOn w:val="4"/>
    <w:qFormat/>
    <w:uiPriority w:val="9"/>
    <w:rPr>
      <w:rFonts w:ascii="Times New Roman" w:hAnsi="Times New Roman" w:eastAsia="宋体" w:cs="Times New Roman"/>
      <w:b/>
      <w:bCs/>
      <w:color w:val="000000"/>
      <w:kern w:val="44"/>
      <w:sz w:val="44"/>
      <w:szCs w:val="44"/>
    </w:rPr>
  </w:style>
  <w:style w:type="character" w:customStyle="1" w:styleId="6">
    <w:name w:val="标题 1 Char1"/>
    <w:link w:val="2"/>
    <w:qFormat/>
    <w:uiPriority w:val="9"/>
    <w:rPr>
      <w:rFonts w:ascii="??" w:hAnsi="??" w:eastAsia="??" w:cs="Times New Roman"/>
      <w:b/>
      <w:kern w:val="36"/>
      <w:sz w:val="32"/>
      <w:szCs w:val="28"/>
    </w:rPr>
  </w:style>
  <w:style w:type="paragraph" w:customStyle="1" w:styleId="7">
    <w:name w:val="reader-word-layer reader-word-s1-16"/>
    <w:basedOn w:val="1"/>
    <w:qFormat/>
    <w:uiPriority w:val="0"/>
    <w:pPr>
      <w:widowControl/>
      <w:spacing w:before="100" w:beforeAutospacing="1" w:after="100" w:afterAutospacing="1"/>
      <w:jc w:val="left"/>
    </w:pPr>
    <w:rPr>
      <w:rFonts w:ascii="宋体" w:hAnsi="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1199</Words>
  <Characters>1222</Characters>
  <Lines>11</Lines>
  <Paragraphs>3</Paragraphs>
  <TotalTime>6</TotalTime>
  <ScaleCrop>false</ScaleCrop>
  <LinksUpToDate>false</LinksUpToDate>
  <CharactersWithSpaces>1224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2022-04-21T00:39:00Z</dcterms:created>
  <dc:creator>xb21cn</dc:creator>
  <cp:lastModifiedBy>Lenovo</cp:lastModifiedBy>
  <dcterms:modified xsi:type="dcterms:W3CDTF">2022-11-17T09:04:47Z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84287FED4707483DA14C678E437BF717</vt:lpwstr>
  </property>
</Properties>
</file>