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w:t>
      </w:r>
    </w:p>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w:t>
      </w:r>
      <w:r>
        <w:rPr>
          <w:rFonts w:hint="eastAsia" w:ascii="宋体" w:hAnsi="宋体" w:cs="宋体"/>
          <w:sz w:val="32"/>
          <w:szCs w:val="32"/>
          <w:highlight w:val="none"/>
        </w:rPr>
        <w:t>202</w:t>
      </w:r>
      <w:r>
        <w:rPr>
          <w:rFonts w:hint="eastAsia" w:ascii="宋体" w:hAnsi="宋体" w:cs="宋体"/>
          <w:sz w:val="32"/>
          <w:szCs w:val="32"/>
          <w:highlight w:val="none"/>
          <w:lang w:val="en-US" w:eastAsia="zh-CN"/>
        </w:rPr>
        <w:t>6</w:t>
      </w:r>
      <w:r>
        <w:rPr>
          <w:rFonts w:hint="eastAsia" w:ascii="宋体" w:hAnsi="宋体" w:cs="宋体"/>
          <w:sz w:val="32"/>
          <w:szCs w:val="32"/>
        </w:rPr>
        <w:t>年中国知网数据库采购项目</w:t>
      </w: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ind w:firstLine="0"/>
        <w:jc w:val="center"/>
        <w:rPr>
          <w:rFonts w:ascii="宋体" w:hAnsi="宋体" w:cs="宋体"/>
          <w:b/>
          <w:bCs/>
          <w:sz w:val="84"/>
        </w:rPr>
      </w:pPr>
    </w:p>
    <w:p>
      <w:pPr>
        <w:pStyle w:val="17"/>
        <w:ind w:firstLine="0"/>
        <w:jc w:val="center"/>
        <w:rPr>
          <w:rFonts w:ascii="宋体" w:hAnsi="宋体" w:cs="宋体"/>
          <w:b/>
          <w:bCs/>
          <w:sz w:val="84"/>
        </w:rPr>
      </w:pPr>
    </w:p>
    <w:p>
      <w:pPr>
        <w:pStyle w:val="17"/>
        <w:ind w:firstLine="0"/>
        <w:jc w:val="center"/>
        <w:rPr>
          <w:rFonts w:ascii="宋体" w:hAnsi="宋体" w:cs="宋体"/>
          <w:b/>
          <w:bCs/>
          <w:sz w:val="72"/>
          <w:szCs w:val="72"/>
        </w:rPr>
      </w:pPr>
      <w:r>
        <w:rPr>
          <w:rFonts w:ascii="宋体" w:hAnsi="宋体" w:cs="宋体"/>
          <w:b/>
          <w:bCs/>
          <w:sz w:val="72"/>
          <w:szCs w:val="72"/>
        </w:rPr>
        <w:t>单一来源谈判文件</w:t>
      </w:r>
    </w:p>
    <w:p>
      <w:pPr>
        <w:adjustRightInd w:val="0"/>
        <w:snapToGrid w:val="0"/>
        <w:spacing w:line="300" w:lineRule="auto"/>
        <w:jc w:val="center"/>
        <w:rPr>
          <w:rFonts w:ascii="宋体" w:hAnsi="宋体" w:cs="宋体"/>
          <w:b/>
          <w:sz w:val="36"/>
          <w:szCs w:val="36"/>
        </w:rPr>
      </w:pPr>
    </w:p>
    <w:p>
      <w:pPr>
        <w:adjustRightInd w:val="0"/>
        <w:snapToGrid w:val="0"/>
        <w:spacing w:line="300" w:lineRule="auto"/>
        <w:jc w:val="center"/>
        <w:rPr>
          <w:rFonts w:hint="default" w:ascii="宋体" w:hAnsi="宋体" w:cs="宋体" w:eastAsiaTheme="minorEastAsia"/>
          <w:b/>
          <w:sz w:val="36"/>
          <w:szCs w:val="36"/>
          <w:lang w:val="en-US" w:eastAsia="zh-CN"/>
        </w:rPr>
      </w:pPr>
      <w:r>
        <w:rPr>
          <w:rFonts w:hint="eastAsia" w:ascii="宋体" w:hAnsi="宋体" w:cs="宋体"/>
          <w:b/>
          <w:sz w:val="36"/>
          <w:szCs w:val="36"/>
        </w:rPr>
        <w:t>项目编号：</w:t>
      </w:r>
      <w:r>
        <w:rPr>
          <w:rFonts w:hint="eastAsia" w:ascii="宋体" w:hAnsi="宋体" w:cs="宋体"/>
          <w:b/>
          <w:sz w:val="36"/>
          <w:szCs w:val="36"/>
          <w:lang w:val="en-US" w:eastAsia="zh-CN"/>
        </w:rPr>
        <w:t>TDCG2025047</w:t>
      </w: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rPr>
          <w:rFonts w:ascii="宋体" w:hAnsi="宋体" w:cs="宋体"/>
        </w:rPr>
      </w:pPr>
    </w:p>
    <w:p>
      <w:pPr>
        <w:pStyle w:val="17"/>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17"/>
        <w:spacing w:before="0" w:after="0"/>
        <w:ind w:firstLine="0"/>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202</w:t>
      </w:r>
      <w:r>
        <w:rPr>
          <w:rFonts w:hint="eastAsia" w:ascii="宋体" w:hAnsi="宋体" w:cs="宋体"/>
          <w:b/>
          <w:color w:val="000000" w:themeColor="text1"/>
          <w:sz w:val="30"/>
          <w:szCs w:val="30"/>
          <w:lang w:val="en-US" w:eastAsia="zh-CN"/>
          <w14:textFill>
            <w14:solidFill>
              <w14:schemeClr w14:val="tx1"/>
            </w14:solidFill>
          </w14:textFill>
        </w:rPr>
        <w:t>5</w:t>
      </w:r>
      <w:r>
        <w:rPr>
          <w:rFonts w:hint="eastAsia" w:ascii="宋体" w:hAnsi="宋体" w:cs="宋体"/>
          <w:b/>
          <w:color w:val="000000" w:themeColor="text1"/>
          <w:sz w:val="30"/>
          <w:szCs w:val="30"/>
          <w14:textFill>
            <w14:solidFill>
              <w14:schemeClr w14:val="tx1"/>
            </w14:solidFill>
          </w14:textFill>
        </w:rPr>
        <w:t>年1</w:t>
      </w:r>
      <w:r>
        <w:rPr>
          <w:rFonts w:hint="eastAsia" w:ascii="宋体" w:hAnsi="宋体" w:cs="宋体"/>
          <w:b/>
          <w:color w:val="000000" w:themeColor="text1"/>
          <w:sz w:val="30"/>
          <w:szCs w:val="30"/>
          <w:lang w:val="en-US" w:eastAsia="zh-CN"/>
          <w14:textFill>
            <w14:solidFill>
              <w14:schemeClr w14:val="tx1"/>
            </w14:solidFill>
          </w14:textFill>
        </w:rPr>
        <w:t>1</w:t>
      </w:r>
      <w:r>
        <w:rPr>
          <w:rFonts w:hint="eastAsia" w:ascii="宋体" w:hAnsi="宋体" w:cs="宋体"/>
          <w:b/>
          <w:color w:val="000000" w:themeColor="text1"/>
          <w:sz w:val="30"/>
          <w:szCs w:val="30"/>
          <w14:textFill>
            <w14:solidFill>
              <w14:schemeClr w14:val="tx1"/>
            </w14:solidFill>
          </w14:textFill>
        </w:rPr>
        <w:t>月</w:t>
      </w:r>
    </w:p>
    <w:p>
      <w:pPr>
        <w:jc w:val="center"/>
        <w:rPr>
          <w:rFonts w:ascii="宋体" w:hAnsi="宋体" w:cs="宋体"/>
        </w:rPr>
      </w:pPr>
      <w:r>
        <w:rPr>
          <w:rFonts w:hint="eastAsia" w:ascii="宋体" w:hAnsi="宋体" w:cs="宋体"/>
        </w:rPr>
        <w:br w:type="page"/>
      </w:r>
      <w:r>
        <w:rPr>
          <w:rFonts w:hint="eastAsia" w:ascii="宋体" w:hAnsi="宋体" w:cs="宋体"/>
          <w:sz w:val="72"/>
          <w:szCs w:val="72"/>
        </w:rPr>
        <w:t>目录</w:t>
      </w:r>
    </w:p>
    <w:p>
      <w:pPr>
        <w:rPr>
          <w:rFonts w:ascii="宋体" w:hAnsi="宋体" w:eastAsia="宋体" w:cs="宋体"/>
          <w:sz w:val="36"/>
          <w:szCs w:val="36"/>
        </w:rPr>
      </w:pPr>
    </w:p>
    <w:p>
      <w:pPr>
        <w:rPr>
          <w:rFonts w:ascii="宋体" w:hAnsi="宋体" w:eastAsia="宋体" w:cs="宋体"/>
          <w:sz w:val="36"/>
          <w:szCs w:val="36"/>
        </w:rPr>
      </w:pPr>
      <w:r>
        <w:rPr>
          <w:rFonts w:hint="eastAsia" w:ascii="宋体" w:hAnsi="宋体" w:eastAsia="宋体" w:cs="宋体"/>
          <w:sz w:val="36"/>
          <w:szCs w:val="36"/>
        </w:rPr>
        <w:t>第一章</w:t>
      </w:r>
      <w:r>
        <w:rPr>
          <w:rFonts w:hint="eastAsia" w:ascii="宋体" w:hAnsi="MS Mincho" w:eastAsia="MS Mincho" w:cs="MS Mincho"/>
          <w:sz w:val="36"/>
          <w:szCs w:val="36"/>
        </w:rPr>
        <w:t>  </w:t>
      </w:r>
      <w:r>
        <w:rPr>
          <w:rFonts w:hint="eastAsia" w:ascii="宋体" w:hAnsi="宋体" w:eastAsia="宋体" w:cs="宋体"/>
          <w:sz w:val="36"/>
          <w:szCs w:val="36"/>
        </w:rPr>
        <w:t>采购邀请函</w:t>
      </w:r>
    </w:p>
    <w:p>
      <w:pPr>
        <w:rPr>
          <w:rFonts w:ascii="宋体" w:hAnsi="宋体" w:eastAsia="宋体" w:cs="MS Mincho"/>
          <w:sz w:val="36"/>
          <w:szCs w:val="36"/>
        </w:rPr>
      </w:pPr>
      <w:r>
        <w:rPr>
          <w:rFonts w:hint="eastAsia" w:ascii="宋体" w:hAnsi="宋体" w:eastAsia="宋体" w:cs="MS Mincho"/>
          <w:sz w:val="36"/>
          <w:szCs w:val="36"/>
        </w:rPr>
        <w:t>第二章</w:t>
      </w:r>
      <w:r>
        <w:rPr>
          <w:rFonts w:hint="eastAsia" w:ascii="宋体" w:hAnsi="MS Mincho" w:eastAsia="MS Mincho" w:cs="MS Mincho"/>
          <w:sz w:val="36"/>
          <w:szCs w:val="36"/>
        </w:rPr>
        <w:t>  </w:t>
      </w:r>
      <w:r>
        <w:rPr>
          <w:rFonts w:hint="eastAsia" w:ascii="宋体" w:hAnsi="宋体" w:eastAsia="宋体" w:cs="宋体"/>
          <w:sz w:val="36"/>
          <w:szCs w:val="36"/>
        </w:rPr>
        <w:t>采购项目内容</w:t>
      </w:r>
      <w:r>
        <w:rPr>
          <w:rFonts w:hint="eastAsia" w:ascii="宋体" w:hAnsi="MS Mincho" w:eastAsia="MS Mincho" w:cs="MS Mincho"/>
          <w:sz w:val="36"/>
          <w:szCs w:val="36"/>
        </w:rPr>
        <w:t> </w:t>
      </w:r>
    </w:p>
    <w:p>
      <w:pPr>
        <w:rPr>
          <w:rFonts w:ascii="宋体" w:hAnsi="宋体" w:eastAsia="宋体" w:cs="MS Mincho"/>
          <w:sz w:val="36"/>
          <w:szCs w:val="36"/>
        </w:rPr>
      </w:pPr>
      <w:r>
        <w:rPr>
          <w:rFonts w:hint="eastAsia" w:ascii="宋体" w:hAnsi="宋体" w:eastAsia="宋体" w:cs="宋体"/>
          <w:sz w:val="36"/>
          <w:szCs w:val="36"/>
        </w:rPr>
        <w:t>第三章</w:t>
      </w:r>
      <w:r>
        <w:rPr>
          <w:rFonts w:hint="eastAsia" w:ascii="宋体" w:hAnsi="MS Mincho" w:eastAsia="MS Mincho" w:cs="MS Mincho"/>
          <w:sz w:val="36"/>
          <w:szCs w:val="36"/>
        </w:rPr>
        <w:t>  </w:t>
      </w:r>
      <w:r>
        <w:rPr>
          <w:rFonts w:hint="eastAsia" w:ascii="宋体" w:hAnsi="宋体" w:eastAsia="宋体" w:cs="宋体"/>
          <w:sz w:val="36"/>
          <w:szCs w:val="36"/>
        </w:rPr>
        <w:t>谈判须知</w:t>
      </w:r>
      <w:r>
        <w:rPr>
          <w:rFonts w:hint="eastAsia" w:ascii="宋体" w:hAnsi="MS Mincho" w:eastAsia="MS Mincho" w:cs="MS Mincho"/>
          <w:sz w:val="36"/>
          <w:szCs w:val="36"/>
        </w:rPr>
        <w:t> </w:t>
      </w:r>
    </w:p>
    <w:p>
      <w:pPr>
        <w:rPr>
          <w:rFonts w:ascii="宋体" w:hAnsi="宋体" w:eastAsia="宋体" w:cs="MS Mincho"/>
          <w:sz w:val="36"/>
          <w:szCs w:val="36"/>
        </w:rPr>
      </w:pPr>
      <w:r>
        <w:rPr>
          <w:rFonts w:hint="eastAsia" w:ascii="宋体" w:hAnsi="宋体" w:eastAsia="宋体" w:cs="宋体"/>
          <w:sz w:val="36"/>
          <w:szCs w:val="36"/>
        </w:rPr>
        <w:t>第四章</w:t>
      </w:r>
      <w:r>
        <w:rPr>
          <w:rFonts w:hint="eastAsia" w:ascii="宋体" w:hAnsi="MS Mincho" w:eastAsia="MS Mincho" w:cs="MS Mincho"/>
          <w:sz w:val="36"/>
          <w:szCs w:val="36"/>
        </w:rPr>
        <w:t>  </w:t>
      </w:r>
      <w:r>
        <w:rPr>
          <w:rFonts w:hint="eastAsia" w:ascii="宋体" w:hAnsi="宋体" w:eastAsia="宋体" w:cs="宋体"/>
          <w:sz w:val="36"/>
          <w:szCs w:val="36"/>
        </w:rPr>
        <w:t>合同书格式</w:t>
      </w:r>
      <w:r>
        <w:rPr>
          <w:rFonts w:hint="eastAsia" w:ascii="宋体" w:hAnsi="MS Mincho" w:eastAsia="MS Mincho" w:cs="MS Mincho"/>
          <w:sz w:val="36"/>
          <w:szCs w:val="36"/>
        </w:rPr>
        <w:t> </w:t>
      </w:r>
    </w:p>
    <w:p>
      <w:pPr>
        <w:rPr>
          <w:rFonts w:ascii="宋体" w:hAnsi="宋体" w:eastAsia="宋体" w:cs="宋体"/>
          <w:sz w:val="36"/>
          <w:szCs w:val="36"/>
        </w:rPr>
      </w:pPr>
      <w:r>
        <w:rPr>
          <w:rFonts w:hint="eastAsia" w:ascii="宋体" w:hAnsi="宋体" w:eastAsia="宋体" w:cs="宋体"/>
          <w:sz w:val="36"/>
          <w:szCs w:val="36"/>
        </w:rPr>
        <w:t>第五章</w:t>
      </w:r>
      <w:r>
        <w:rPr>
          <w:rFonts w:hint="eastAsia" w:ascii="宋体" w:hAnsi="MS Mincho" w:eastAsia="MS Mincho" w:cs="MS Mincho"/>
          <w:sz w:val="36"/>
          <w:szCs w:val="36"/>
        </w:rPr>
        <w:t>  </w:t>
      </w:r>
      <w:r>
        <w:rPr>
          <w:rFonts w:hint="eastAsia" w:ascii="宋体" w:hAnsi="宋体" w:eastAsia="宋体" w:cs="宋体"/>
          <w:sz w:val="36"/>
          <w:szCs w:val="36"/>
        </w:rPr>
        <w:t>响应文件格式</w:t>
      </w: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jc w:val="center"/>
        <w:rPr>
          <w:rFonts w:ascii="宋体" w:hAnsi="宋体" w:eastAsia="宋体" w:cs="宋体"/>
          <w:b/>
          <w:sz w:val="36"/>
          <w:szCs w:val="36"/>
        </w:rPr>
      </w:pPr>
      <w:r>
        <w:rPr>
          <w:rFonts w:hint="eastAsia" w:ascii="宋体" w:hAnsi="宋体" w:eastAsia="宋体" w:cs="宋体"/>
          <w:b/>
          <w:sz w:val="36"/>
          <w:szCs w:val="36"/>
        </w:rPr>
        <w:t>第一章</w:t>
      </w:r>
      <w:r>
        <w:rPr>
          <w:rFonts w:hint="eastAsia" w:ascii="宋体" w:hAnsi="MS Mincho" w:eastAsia="MS Mincho" w:cs="MS Mincho"/>
          <w:b/>
          <w:sz w:val="36"/>
          <w:szCs w:val="36"/>
        </w:rPr>
        <w:t>  </w:t>
      </w:r>
      <w:r>
        <w:rPr>
          <w:rFonts w:hint="eastAsia" w:ascii="宋体" w:hAnsi="宋体" w:eastAsia="宋体" w:cs="宋体"/>
          <w:b/>
          <w:sz w:val="36"/>
          <w:szCs w:val="36"/>
        </w:rPr>
        <w:t>采购邀请函</w:t>
      </w:r>
    </w:p>
    <w:p>
      <w:pPr>
        <w:adjustRightInd w:val="0"/>
        <w:snapToGrid w:val="0"/>
        <w:spacing w:line="300" w:lineRule="auto"/>
        <w:ind w:firstLine="560" w:firstLineChars="200"/>
        <w:jc w:val="left"/>
        <w:rPr>
          <w:rFonts w:hint="eastAsia" w:ascii="宋体" w:hAnsi="宋体" w:eastAsia="宋体" w:cs="宋体"/>
          <w:sz w:val="28"/>
          <w:szCs w:val="28"/>
          <w:highlight w:val="none"/>
        </w:rPr>
      </w:pPr>
    </w:p>
    <w:p>
      <w:pPr>
        <w:adjustRightInd w:val="0"/>
        <w:snapToGrid w:val="0"/>
        <w:spacing w:line="300" w:lineRule="auto"/>
        <w:jc w:val="left"/>
        <w:rPr>
          <w:rFonts w:hint="eastAsia" w:ascii="宋体" w:hAnsi="宋体" w:eastAsia="宋体" w:cs="宋体"/>
          <w:sz w:val="28"/>
          <w:szCs w:val="28"/>
        </w:rPr>
      </w:pPr>
      <w:bookmarkStart w:id="0" w:name="OLE_LINK1"/>
      <w:r>
        <w:rPr>
          <w:rFonts w:hint="eastAsia" w:ascii="宋体" w:hAnsi="宋体" w:eastAsia="宋体" w:cs="宋体"/>
          <w:sz w:val="28"/>
          <w:szCs w:val="28"/>
          <w:highlight w:val="none"/>
        </w:rPr>
        <w:t>同方知网</w:t>
      </w:r>
      <w:r>
        <w:rPr>
          <w:rFonts w:hint="eastAsia" w:ascii="宋体" w:hAnsi="宋体" w:eastAsia="宋体" w:cs="宋体"/>
          <w:sz w:val="28"/>
          <w:szCs w:val="28"/>
          <w:highlight w:val="none"/>
          <w:lang w:val="en-US" w:eastAsia="zh-CN"/>
        </w:rPr>
        <w:t>数字科技有限公司</w:t>
      </w:r>
      <w:bookmarkEnd w:id="0"/>
      <w:r>
        <w:rPr>
          <w:rFonts w:hint="eastAsia" w:ascii="宋体" w:hAnsi="宋体" w:eastAsia="宋体" w:cs="宋体"/>
          <w:sz w:val="28"/>
          <w:szCs w:val="28"/>
          <w:highlight w:val="none"/>
        </w:rPr>
        <w:t>：</w:t>
      </w:r>
      <w:r>
        <w:rPr>
          <w:rFonts w:hint="eastAsia" w:ascii="宋体" w:hAnsi="宋体" w:eastAsia="宋体" w:cs="宋体"/>
          <w:sz w:val="28"/>
          <w:szCs w:val="28"/>
        </w:rPr>
        <w:t> </w:t>
      </w:r>
    </w:p>
    <w:p>
      <w:pPr>
        <w:adjustRightInd w:val="0"/>
        <w:snapToGrid w:val="0"/>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南京邮电大学通达学院对</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lang w:val="en-US" w:eastAsia="zh-CN"/>
        </w:rPr>
        <w:t>年</w:t>
      </w:r>
      <w:r>
        <w:rPr>
          <w:rFonts w:hint="eastAsia" w:ascii="宋体" w:hAnsi="宋体" w:eastAsia="宋体" w:cs="宋体"/>
          <w:sz w:val="28"/>
          <w:szCs w:val="28"/>
        </w:rPr>
        <w:t>中国知网数据库采购项目进行单一来源采购，拟邀请贵公司作为单一来源商定供应商。</w:t>
      </w:r>
    </w:p>
    <w:p>
      <w:pPr>
        <w:rPr>
          <w:rFonts w:ascii="宋体" w:hAnsi="宋体" w:eastAsia="宋体" w:cs="宋体"/>
          <w:sz w:val="28"/>
          <w:szCs w:val="28"/>
        </w:rPr>
      </w:pPr>
    </w:p>
    <w:p>
      <w:pPr>
        <w:rPr>
          <w:rFonts w:hint="default" w:ascii="宋体" w:hAnsi="宋体" w:eastAsia="宋体" w:cs="MS Mincho"/>
          <w:sz w:val="28"/>
          <w:szCs w:val="28"/>
          <w:lang w:val="en-US"/>
        </w:rPr>
      </w:pPr>
      <w:r>
        <w:rPr>
          <w:rFonts w:hint="eastAsia" w:ascii="宋体" w:hAnsi="宋体" w:eastAsia="宋体" w:cs="宋体"/>
          <w:sz w:val="28"/>
          <w:szCs w:val="28"/>
        </w:rPr>
        <w:t>采购项目编号：</w:t>
      </w:r>
      <w:r>
        <w:rPr>
          <w:rFonts w:hint="eastAsia" w:ascii="宋体" w:hAnsi="宋体" w:eastAsia="宋体" w:cs="宋体"/>
          <w:sz w:val="28"/>
          <w:szCs w:val="28"/>
          <w:lang w:val="en-US" w:eastAsia="zh-CN"/>
        </w:rPr>
        <w:t>TDCG2025047</w:t>
      </w:r>
    </w:p>
    <w:p>
      <w:pPr>
        <w:rPr>
          <w:rFonts w:ascii="宋体" w:hAnsi="宋体" w:eastAsia="宋体" w:cs="宋体"/>
          <w:sz w:val="28"/>
          <w:szCs w:val="28"/>
        </w:rPr>
      </w:pPr>
      <w:r>
        <w:rPr>
          <w:rFonts w:hint="eastAsia" w:ascii="宋体" w:hAnsi="宋体" w:eastAsia="宋体" w:cs="宋体"/>
          <w:sz w:val="28"/>
          <w:szCs w:val="28"/>
        </w:rPr>
        <w:t>采购项目名称：</w:t>
      </w:r>
      <w:r>
        <w:rPr>
          <w:rFonts w:hint="eastAsia" w:ascii="宋体" w:hAnsi="宋体" w:eastAsia="宋体" w:cs="宋体"/>
          <w:sz w:val="28"/>
          <w:szCs w:val="28"/>
          <w:highlight w:val="none"/>
          <w:lang w:val="en-US" w:eastAsia="zh-CN"/>
        </w:rPr>
        <w:t>2026</w:t>
      </w:r>
      <w:r>
        <w:rPr>
          <w:rFonts w:hint="eastAsia" w:ascii="宋体" w:hAnsi="宋体" w:eastAsia="宋体" w:cs="宋体"/>
          <w:sz w:val="28"/>
          <w:szCs w:val="28"/>
        </w:rPr>
        <w:t>年中国知网数据库采购项目</w:t>
      </w:r>
    </w:p>
    <w:p>
      <w:pPr>
        <w:rPr>
          <w:rFonts w:ascii="宋体" w:hAnsi="宋体" w:eastAsia="宋体" w:cs="宋体"/>
          <w:sz w:val="28"/>
          <w:szCs w:val="28"/>
        </w:rPr>
      </w:pPr>
      <w:r>
        <w:rPr>
          <w:rFonts w:hint="eastAsia" w:ascii="宋体" w:hAnsi="宋体" w:eastAsia="宋体" w:cs="宋体"/>
          <w:sz w:val="28"/>
          <w:szCs w:val="28"/>
        </w:rPr>
        <w:t>采购预算：</w:t>
      </w:r>
      <w:r>
        <w:rPr>
          <w:rFonts w:hint="eastAsia" w:ascii="宋体" w:hAnsi="宋体" w:eastAsia="宋体" w:cs="宋体"/>
          <w:sz w:val="28"/>
          <w:szCs w:val="28"/>
          <w:lang w:val="en-US" w:eastAsia="zh-CN"/>
        </w:rPr>
        <w:t>16.8</w:t>
      </w:r>
      <w:r>
        <w:rPr>
          <w:rFonts w:hint="eastAsia" w:ascii="宋体" w:hAnsi="宋体" w:eastAsia="宋体" w:cs="宋体"/>
          <w:sz w:val="28"/>
          <w:szCs w:val="28"/>
        </w:rPr>
        <w:t>万</w:t>
      </w:r>
      <w:r>
        <w:rPr>
          <w:rFonts w:hint="eastAsia" w:ascii="宋体" w:hAnsi="MS Mincho" w:eastAsia="MS Mincho" w:cs="MS Mincho"/>
          <w:sz w:val="28"/>
          <w:szCs w:val="28"/>
        </w:rPr>
        <w:t>                </w:t>
      </w:r>
      <w:bookmarkStart w:id="20" w:name="_GoBack"/>
      <w:bookmarkEnd w:id="20"/>
    </w:p>
    <w:p>
      <w:pPr>
        <w:rPr>
          <w:rFonts w:ascii="宋体" w:hAnsi="宋体" w:eastAsia="宋体" w:cs="宋体"/>
          <w:sz w:val="28"/>
          <w:szCs w:val="28"/>
        </w:rPr>
      </w:pPr>
      <w:r>
        <w:rPr>
          <w:rFonts w:hint="eastAsia" w:ascii="宋体" w:hAnsi="宋体" w:eastAsia="宋体" w:cs="宋体"/>
          <w:sz w:val="28"/>
          <w:szCs w:val="28"/>
        </w:rPr>
        <w:t>商定时</w:t>
      </w:r>
      <w:r>
        <w:rPr>
          <w:rFonts w:hint="eastAsia" w:ascii="宋体" w:hAnsi="宋体" w:eastAsia="宋体" w:cs="宋体"/>
          <w:sz w:val="28"/>
          <w:szCs w:val="28"/>
          <w:highlight w:val="none"/>
        </w:rPr>
        <w:t>间：</w:t>
      </w:r>
      <w:r>
        <w:rPr>
          <w:rFonts w:hint="eastAsia" w:ascii="宋体" w:hAnsi="宋体" w:eastAsia="宋体" w:cs="MS Mincho"/>
          <w:color w:val="auto"/>
          <w:sz w:val="28"/>
          <w:szCs w:val="28"/>
          <w:highlight w:val="none"/>
        </w:rPr>
        <w:t>20</w:t>
      </w:r>
      <w:r>
        <w:rPr>
          <w:rFonts w:hint="eastAsia" w:ascii="宋体" w:hAnsi="宋体" w:eastAsia="宋体" w:cs="MS Mincho"/>
          <w:color w:val="auto"/>
          <w:sz w:val="28"/>
          <w:szCs w:val="28"/>
          <w:highlight w:val="none"/>
          <w:lang w:val="en-US" w:eastAsia="zh-CN"/>
        </w:rPr>
        <w:t>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lang w:val="en-US" w:eastAsia="zh-CN"/>
        </w:rPr>
        <w:t xml:space="preserve">5 </w:t>
      </w:r>
      <w:r>
        <w:rPr>
          <w:rFonts w:hint="eastAsia" w:ascii="宋体" w:hAnsi="宋体" w:eastAsia="宋体" w:cs="宋体"/>
          <w:sz w:val="28"/>
          <w:szCs w:val="28"/>
          <w:highlight w:val="none"/>
        </w:rPr>
        <w:t xml:space="preserve">日 </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分。</w:t>
      </w:r>
      <w:r>
        <w:rPr>
          <w:rFonts w:hint="eastAsia" w:ascii="宋体" w:hAnsi="MS Mincho" w:eastAsia="MS Mincho" w:cs="MS Mincho"/>
          <w:sz w:val="28"/>
          <w:szCs w:val="28"/>
          <w:highlight w:val="none"/>
        </w:rPr>
        <w:t> </w:t>
      </w:r>
    </w:p>
    <w:p>
      <w:pPr>
        <w:rPr>
          <w:rFonts w:ascii="宋体" w:hAnsi="宋体" w:eastAsia="宋体" w:cs="宋体"/>
          <w:sz w:val="28"/>
          <w:szCs w:val="28"/>
        </w:rPr>
      </w:pPr>
      <w:r>
        <w:rPr>
          <w:rFonts w:hint="eastAsia" w:ascii="宋体" w:hAnsi="宋体" w:eastAsia="宋体" w:cs="宋体"/>
          <w:sz w:val="28"/>
          <w:szCs w:val="28"/>
        </w:rPr>
        <w:t>商定地点：扬州市邗江区润扬南路33号南邮通达行政</w:t>
      </w:r>
      <w:r>
        <w:rPr>
          <w:rFonts w:hint="eastAsia" w:ascii="宋体" w:hAnsi="宋体" w:eastAsia="宋体" w:cs="宋体"/>
          <w:color w:val="auto"/>
          <w:sz w:val="28"/>
          <w:szCs w:val="28"/>
        </w:rPr>
        <w:t>楼</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楼</w:t>
      </w:r>
      <w:r>
        <w:rPr>
          <w:rFonts w:hint="eastAsia" w:ascii="宋体" w:hAnsi="宋体" w:eastAsia="宋体" w:cs="宋体"/>
          <w:sz w:val="28"/>
          <w:szCs w:val="28"/>
        </w:rPr>
        <w:t>评标室</w:t>
      </w:r>
      <w:r>
        <w:rPr>
          <w:rFonts w:hint="eastAsia" w:ascii="宋体" w:hAnsi="MS Mincho" w:eastAsia="MS Mincho" w:cs="MS Mincho"/>
          <w:sz w:val="28"/>
          <w:szCs w:val="28"/>
        </w:rPr>
        <w:t> </w:t>
      </w: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rPr>
          <w:rFonts w:ascii="宋体" w:hAnsi="宋体" w:eastAsia="宋体" w:cs="宋体"/>
          <w:sz w:val="36"/>
          <w:szCs w:val="36"/>
        </w:rPr>
      </w:pPr>
    </w:p>
    <w:p>
      <w:pPr>
        <w:pStyle w:val="12"/>
      </w:pPr>
    </w:p>
    <w:p>
      <w:pPr>
        <w:rPr>
          <w:rFonts w:ascii="宋体" w:hAnsi="宋体" w:eastAsia="宋体" w:cs="宋体"/>
          <w:sz w:val="36"/>
          <w:szCs w:val="36"/>
        </w:rPr>
      </w:pPr>
    </w:p>
    <w:p>
      <w:pPr>
        <w:jc w:val="center"/>
        <w:rPr>
          <w:rFonts w:ascii="宋体" w:hAnsi="宋体" w:eastAsia="宋体" w:cs="宋体"/>
          <w:b/>
          <w:sz w:val="36"/>
          <w:szCs w:val="36"/>
        </w:rPr>
      </w:pPr>
      <w:r>
        <w:rPr>
          <w:rFonts w:hint="eastAsia" w:ascii="宋体" w:hAnsi="宋体" w:eastAsia="宋体" w:cs="MS Mincho"/>
          <w:b/>
          <w:sz w:val="36"/>
          <w:szCs w:val="36"/>
        </w:rPr>
        <w:t>第二章</w:t>
      </w:r>
      <w:r>
        <w:rPr>
          <w:rFonts w:hint="eastAsia" w:ascii="宋体" w:hAnsi="宋体" w:eastAsia="MS Mincho" w:cs="MS Mincho"/>
          <w:b/>
          <w:sz w:val="36"/>
          <w:szCs w:val="36"/>
        </w:rPr>
        <w:t>  </w:t>
      </w:r>
      <w:r>
        <w:rPr>
          <w:rFonts w:hint="eastAsia" w:ascii="宋体" w:hAnsi="宋体" w:eastAsia="宋体" w:cs="宋体"/>
          <w:b/>
          <w:sz w:val="36"/>
          <w:szCs w:val="36"/>
        </w:rPr>
        <w:t>采购项目内容</w:t>
      </w:r>
    </w:p>
    <w:p>
      <w:pPr>
        <w:widowControl/>
        <w:spacing w:line="440" w:lineRule="exact"/>
        <w:ind w:firstLine="560"/>
        <w:jc w:val="left"/>
        <w:rPr>
          <w:rFonts w:ascii="宋体" w:hAnsi="宋体" w:eastAsia="宋体"/>
          <w:b/>
          <w:kern w:val="0"/>
          <w:sz w:val="24"/>
          <w:szCs w:val="24"/>
        </w:rPr>
      </w:pPr>
      <w:r>
        <w:rPr>
          <w:rFonts w:hint="eastAsia" w:ascii="宋体" w:hAnsi="宋体" w:eastAsia="宋体" w:cs="Times New Roman"/>
          <w:b/>
          <w:kern w:val="0"/>
          <w:sz w:val="24"/>
          <w:szCs w:val="24"/>
        </w:rPr>
        <w:t>合格的谈判人</w:t>
      </w:r>
      <w:r>
        <w:rPr>
          <w:rFonts w:hint="eastAsia" w:ascii="宋体" w:hAnsi="宋体" w:eastAsia="宋体"/>
          <w:b/>
          <w:kern w:val="0"/>
          <w:sz w:val="24"/>
          <w:szCs w:val="24"/>
        </w:rPr>
        <w:t>资质要求</w:t>
      </w:r>
      <w:r>
        <w:rPr>
          <w:rFonts w:hint="eastAsia" w:ascii="宋体" w:hAnsi="宋体" w:eastAsia="宋体" w:cs="Times New Roman"/>
          <w:b/>
          <w:kern w:val="0"/>
          <w:sz w:val="24"/>
          <w:szCs w:val="24"/>
        </w:rPr>
        <w:t>：</w:t>
      </w:r>
    </w:p>
    <w:p>
      <w:pPr>
        <w:tabs>
          <w:tab w:val="left" w:pos="900"/>
        </w:tabs>
        <w:spacing w:line="360" w:lineRule="auto"/>
        <w:ind w:firstLine="480" w:firstLineChars="200"/>
        <w:rPr>
          <w:rFonts w:hint="default" w:ascii="宋体" w:hAnsi="宋体" w:cs="宋体"/>
          <w:kern w:val="0"/>
          <w:sz w:val="24"/>
          <w:szCs w:val="24"/>
          <w:highlight w:val="none"/>
        </w:rPr>
      </w:pPr>
      <w:r>
        <w:rPr>
          <w:rFonts w:hint="default" w:ascii="宋体" w:hAnsi="宋体" w:cs="宋体"/>
          <w:kern w:val="0"/>
          <w:sz w:val="24"/>
          <w:szCs w:val="24"/>
          <w:highlight w:val="none"/>
          <w:lang w:val="en-US" w:eastAsia="zh-CN"/>
        </w:rPr>
        <w:t>1.</w:t>
      </w:r>
      <w:r>
        <w:rPr>
          <w:rFonts w:hint="eastAsia" w:ascii="宋体" w:hAnsi="宋体" w:cs="宋体"/>
          <w:kern w:val="0"/>
          <w:sz w:val="24"/>
          <w:szCs w:val="24"/>
          <w:highlight w:val="none"/>
          <w:lang w:val="en-US" w:eastAsia="zh-CN"/>
        </w:rPr>
        <w:t>投标人必须是经国家有关部门批准，具有合法经营资质、符合《中华人民共和国政府采购法》第二十二条规定的独立法人；</w:t>
      </w:r>
    </w:p>
    <w:p>
      <w:pPr>
        <w:tabs>
          <w:tab w:val="left" w:pos="900"/>
        </w:tabs>
        <w:spacing w:line="360" w:lineRule="auto"/>
        <w:ind w:firstLine="480" w:firstLineChars="200"/>
        <w:rPr>
          <w:rFonts w:hint="default" w:ascii="宋体" w:hAnsi="宋体" w:cs="宋体"/>
          <w:kern w:val="0"/>
          <w:sz w:val="24"/>
          <w:szCs w:val="24"/>
          <w:highlight w:val="none"/>
        </w:rPr>
      </w:pPr>
      <w:r>
        <w:rPr>
          <w:rFonts w:hint="default" w:ascii="宋体" w:hAnsi="宋体" w:cs="宋体"/>
          <w:kern w:val="0"/>
          <w:sz w:val="24"/>
          <w:szCs w:val="24"/>
          <w:highlight w:val="none"/>
          <w:lang w:val="en-US" w:eastAsia="zh-CN"/>
        </w:rPr>
        <w:t>2.</w:t>
      </w:r>
      <w:r>
        <w:rPr>
          <w:rFonts w:hint="eastAsia" w:ascii="宋体" w:hAnsi="宋体" w:cs="宋体"/>
          <w:kern w:val="0"/>
          <w:sz w:val="24"/>
          <w:szCs w:val="24"/>
          <w:highlight w:val="none"/>
          <w:lang w:val="en-US" w:eastAsia="zh-CN"/>
        </w:rPr>
        <w:t>投标人具备履行合同所必需的设备和专业技术能力的证明材料；</w:t>
      </w:r>
    </w:p>
    <w:p>
      <w:pPr>
        <w:tabs>
          <w:tab w:val="left" w:pos="900"/>
        </w:tabs>
        <w:spacing w:line="360" w:lineRule="auto"/>
        <w:ind w:firstLine="480" w:firstLineChars="200"/>
        <w:rPr>
          <w:rFonts w:hint="default" w:ascii="宋体" w:hAnsi="宋体" w:cs="宋体"/>
          <w:kern w:val="0"/>
          <w:sz w:val="24"/>
          <w:szCs w:val="24"/>
          <w:highlight w:val="none"/>
        </w:rPr>
      </w:pPr>
      <w:r>
        <w:rPr>
          <w:rFonts w:hint="default" w:ascii="宋体" w:hAnsi="宋体" w:cs="宋体"/>
          <w:kern w:val="0"/>
          <w:sz w:val="24"/>
          <w:szCs w:val="24"/>
          <w:highlight w:val="none"/>
          <w:lang w:val="en-US" w:eastAsia="zh-CN"/>
        </w:rPr>
        <w:t>3.</w:t>
      </w:r>
      <w:r>
        <w:rPr>
          <w:rFonts w:hint="eastAsia" w:ascii="宋体" w:hAnsi="宋体" w:cs="宋体"/>
          <w:kern w:val="0"/>
          <w:sz w:val="24"/>
          <w:szCs w:val="24"/>
          <w:highlight w:val="none"/>
          <w:lang w:val="en-US" w:eastAsia="zh-CN"/>
        </w:rPr>
        <w:t>投标人在经营活动中没有违法违规记录，近三年内没有被司法部门或行业主管部门处罚，提供书面声明；</w:t>
      </w:r>
    </w:p>
    <w:p>
      <w:pPr>
        <w:tabs>
          <w:tab w:val="left" w:pos="900"/>
        </w:tabs>
        <w:spacing w:line="360" w:lineRule="auto"/>
        <w:ind w:firstLine="480" w:firstLineChars="200"/>
        <w:rPr>
          <w:rFonts w:hint="default" w:ascii="宋体" w:hAnsi="宋体" w:cs="宋体"/>
          <w:kern w:val="0"/>
          <w:sz w:val="24"/>
          <w:szCs w:val="24"/>
          <w:highlight w:val="none"/>
        </w:rPr>
      </w:pPr>
      <w:r>
        <w:rPr>
          <w:rFonts w:hint="default" w:ascii="宋体" w:hAnsi="宋体" w:cs="宋体"/>
          <w:kern w:val="0"/>
          <w:sz w:val="24"/>
          <w:szCs w:val="24"/>
          <w:highlight w:val="none"/>
          <w:lang w:val="en-US" w:eastAsia="zh-CN"/>
        </w:rPr>
        <w:t>4.</w:t>
      </w:r>
      <w:r>
        <w:rPr>
          <w:rFonts w:hint="eastAsia" w:ascii="宋体" w:hAnsi="宋体" w:cs="宋体"/>
          <w:kern w:val="0"/>
          <w:sz w:val="24"/>
          <w:szCs w:val="24"/>
          <w:highlight w:val="none"/>
          <w:lang w:val="en-US" w:eastAsia="zh-CN"/>
        </w:rPr>
        <w:t>投标人未被</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信用中国</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w:t>
      </w:r>
      <w:r>
        <w:rPr>
          <w:rFonts w:hint="default" w:ascii="宋体" w:hAnsi="宋体" w:cs="宋体"/>
          <w:kern w:val="0"/>
          <w:sz w:val="24"/>
          <w:szCs w:val="24"/>
          <w:highlight w:val="none"/>
          <w:lang w:val="en-US" w:eastAsia="zh-CN"/>
        </w:rPr>
        <w:t>www.creditchina.gov.cn</w:t>
      </w:r>
      <w:r>
        <w:rPr>
          <w:rFonts w:hint="eastAsia" w:ascii="宋体" w:hAnsi="宋体" w:cs="宋体"/>
          <w:kern w:val="0"/>
          <w:sz w:val="24"/>
          <w:szCs w:val="24"/>
          <w:highlight w:val="none"/>
          <w:lang w:val="en-US" w:eastAsia="zh-CN"/>
        </w:rPr>
        <w:t>）或</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诚信江苏</w:t>
      </w:r>
      <w:r>
        <w:rPr>
          <w:rFonts w:hint="default" w:ascii="宋体" w:hAnsi="宋体" w:cs="宋体"/>
          <w:kern w:val="0"/>
          <w:sz w:val="24"/>
          <w:szCs w:val="24"/>
          <w:highlight w:val="none"/>
          <w:lang w:val="en-US" w:eastAsia="zh-CN"/>
        </w:rPr>
        <w:t>”</w:t>
      </w:r>
      <w:r>
        <w:rPr>
          <w:rFonts w:hint="eastAsia" w:ascii="宋体" w:hAnsi="宋体" w:cs="宋体"/>
          <w:kern w:val="0"/>
          <w:sz w:val="24"/>
          <w:szCs w:val="24"/>
          <w:highlight w:val="none"/>
          <w:lang w:val="en-US" w:eastAsia="zh-CN"/>
        </w:rPr>
        <w:t>（</w:t>
      </w:r>
      <w:r>
        <w:rPr>
          <w:rFonts w:hint="default" w:ascii="宋体" w:hAnsi="宋体" w:cs="宋体"/>
          <w:kern w:val="0"/>
          <w:sz w:val="24"/>
          <w:szCs w:val="24"/>
          <w:highlight w:val="none"/>
          <w:lang w:val="en-US" w:eastAsia="zh-CN"/>
        </w:rPr>
        <w:t>www.jscredit.gov.cn</w:t>
      </w:r>
      <w:r>
        <w:rPr>
          <w:rFonts w:hint="eastAsia" w:ascii="宋体" w:hAnsi="宋体" w:cs="宋体"/>
          <w:kern w:val="0"/>
          <w:sz w:val="24"/>
          <w:szCs w:val="24"/>
          <w:highlight w:val="none"/>
          <w:lang w:val="en-US" w:eastAsia="zh-CN"/>
        </w:rPr>
        <w:t>）或中国政府采购网（</w:t>
      </w:r>
      <w:r>
        <w:rPr>
          <w:rFonts w:hint="default" w:ascii="宋体" w:hAnsi="宋体" w:cs="宋体"/>
          <w:kern w:val="0"/>
          <w:sz w:val="24"/>
          <w:szCs w:val="24"/>
          <w:highlight w:val="none"/>
          <w:lang w:val="en-US" w:eastAsia="zh-CN"/>
        </w:rPr>
        <w:t>www.ccgp.gov.cn</w:t>
      </w:r>
      <w:r>
        <w:rPr>
          <w:rFonts w:hint="eastAsia" w:ascii="宋体" w:hAnsi="宋体" w:cs="宋体"/>
          <w:kern w:val="0"/>
          <w:sz w:val="24"/>
          <w:szCs w:val="24"/>
          <w:highlight w:val="none"/>
          <w:lang w:val="en-US" w:eastAsia="zh-CN"/>
        </w:rPr>
        <w:t>）列入失信被执行人、重大税收违法案件当事人名单、政府采购严重失信行为记录名单，提供自本采购公告发布之日至投标截止前的信用记录的截图（截图须加盖公章）；</w:t>
      </w:r>
    </w:p>
    <w:p>
      <w:pPr>
        <w:tabs>
          <w:tab w:val="left" w:pos="900"/>
        </w:tabs>
        <w:spacing w:line="360" w:lineRule="auto"/>
        <w:ind w:firstLine="480" w:firstLineChars="200"/>
        <w:rPr>
          <w:rFonts w:hint="default" w:ascii="宋体" w:hAnsi="宋体" w:cs="宋体"/>
          <w:kern w:val="0"/>
          <w:sz w:val="24"/>
          <w:szCs w:val="24"/>
          <w:highlight w:val="none"/>
          <w:lang w:val="en-US" w:eastAsia="zh-CN"/>
        </w:rPr>
      </w:pPr>
      <w:r>
        <w:rPr>
          <w:rFonts w:hint="default" w:ascii="宋体" w:hAnsi="宋体" w:cs="宋体"/>
          <w:kern w:val="0"/>
          <w:sz w:val="24"/>
          <w:szCs w:val="24"/>
          <w:highlight w:val="none"/>
          <w:lang w:val="en-US" w:eastAsia="zh-CN"/>
        </w:rPr>
        <w:t>5.</w:t>
      </w:r>
      <w:r>
        <w:rPr>
          <w:rFonts w:hint="eastAsia" w:ascii="宋体" w:hAnsi="宋体" w:cs="宋体"/>
          <w:kern w:val="0"/>
          <w:sz w:val="24"/>
          <w:szCs w:val="24"/>
          <w:highlight w:val="none"/>
          <w:lang w:val="en-US" w:eastAsia="zh-CN"/>
        </w:rPr>
        <w:t>本项目不接受联合体投标。</w:t>
      </w:r>
    </w:p>
    <w:p>
      <w:pPr>
        <w:numPr>
          <w:ilvl w:val="0"/>
          <w:numId w:val="1"/>
        </w:numPr>
        <w:tabs>
          <w:tab w:val="left" w:pos="900"/>
        </w:tabs>
        <w:spacing w:line="360" w:lineRule="auto"/>
        <w:ind w:firstLine="482" w:firstLineChars="200"/>
      </w:pPr>
      <w:r>
        <w:rPr>
          <w:rFonts w:hint="eastAsia" w:ascii="宋体" w:hAnsi="宋体" w:cs="宋体"/>
          <w:b/>
          <w:kern w:val="0"/>
          <w:sz w:val="24"/>
          <w:szCs w:val="24"/>
        </w:rPr>
        <w:t>采购内容</w:t>
      </w:r>
    </w:p>
    <w:p>
      <w:pPr>
        <w:tabs>
          <w:tab w:val="left" w:pos="900"/>
        </w:tabs>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本次采购的全文数据库包括《中国学术期刊网络出版总库》</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ABCFGHIJ专辑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、《中国博士学位论文全文数据库》</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ABCFIJ专辑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、《中国优秀硕士学位论文全文数据库》</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ACFIJ专辑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highlight w:val="none"/>
        </w:rPr>
        <w:fldChar w:fldCharType="begin"/>
      </w:r>
      <w:r>
        <w:rPr>
          <w:highlight w:val="none"/>
        </w:rPr>
        <w:instrText xml:space="preserve"> HYPERLINK "http://gongjushu.cnki.net/" \t "_blank" </w:instrText>
      </w:r>
      <w:r>
        <w:rPr>
          <w:highlight w:val="none"/>
        </w:rPr>
        <w:fldChar w:fldCharType="separate"/>
      </w:r>
      <w:r>
        <w:rPr>
          <w:rFonts w:hint="eastAsia" w:ascii="宋体" w:hAnsi="宋体" w:cs="宋体"/>
          <w:kern w:val="0"/>
          <w:sz w:val="24"/>
          <w:szCs w:val="24"/>
          <w:highlight w:val="none"/>
        </w:rPr>
        <w:t>中国工具书网络出版总库</w: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ACFIJ专辑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年鉴专辑版</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CF专辑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服务模式为托管，《</w:t>
      </w:r>
      <w:r>
        <w:rPr>
          <w:rFonts w:hint="eastAsia" w:ascii="宋体" w:hAnsi="宋体" w:cs="宋体"/>
          <w:kern w:val="0"/>
          <w:sz w:val="24"/>
          <w:szCs w:val="24"/>
          <w:highlight w:val="none"/>
          <w:lang w:val="en-US" w:eastAsia="zh-CN"/>
        </w:rPr>
        <w:t>基础教育文献资源总库</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期刊</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精品科普期刊文献库</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服务模式为托管</w:t>
      </w:r>
      <w:r>
        <w:rPr>
          <w:rFonts w:hint="eastAsia" w:ascii="宋体" w:hAnsi="宋体" w:cs="宋体"/>
          <w:kern w:val="0"/>
          <w:sz w:val="24"/>
          <w:szCs w:val="24"/>
          <w:highlight w:val="none"/>
        </w:rPr>
        <w:t xml:space="preserve">。 </w:t>
      </w:r>
    </w:p>
    <w:p>
      <w:pPr>
        <w:tabs>
          <w:tab w:val="left" w:pos="900"/>
        </w:tabs>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二、产品技术要求</w:t>
      </w:r>
    </w:p>
    <w:p>
      <w:pPr>
        <w:pStyle w:val="27"/>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1、学术期刊全文库：内容覆盖自然科学、工程技术、哲学、人文社会科学等与采购人设置专业相关的各个领域，数据库自身的数据回溯不少于10年。学术期刊累计收录要求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8400</w:t>
      </w:r>
      <w:r>
        <w:rPr>
          <w:rFonts w:ascii="宋体" w:hAnsi="宋体" w:eastAsia="宋体" w:cs="宋体"/>
          <w:color w:val="000000" w:themeColor="text1"/>
          <w:sz w:val="24"/>
          <w:szCs w:val="24"/>
          <w:highlight w:val="none"/>
          <w14:textFill>
            <w14:solidFill>
              <w14:schemeClr w14:val="tx1"/>
            </w14:solidFill>
          </w14:textFill>
        </w:rPr>
        <w:t>种以上，文献量累计要求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ascii="宋体" w:hAnsi="宋体" w:eastAsia="宋体" w:cs="宋体"/>
          <w:color w:val="000000" w:themeColor="text1"/>
          <w:sz w:val="24"/>
          <w:szCs w:val="24"/>
          <w:highlight w:val="none"/>
          <w14:textFill>
            <w14:solidFill>
              <w14:schemeClr w14:val="tx1"/>
            </w14:solidFill>
          </w14:textFill>
        </w:rPr>
        <w:t>000万篇以上。</w:t>
      </w:r>
    </w:p>
    <w:p>
      <w:pPr>
        <w:pStyle w:val="27"/>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2、博士学位论文库：要求截至</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5年1月，</w:t>
      </w:r>
      <w:r>
        <w:rPr>
          <w:rFonts w:ascii="宋体" w:hAnsi="宋体" w:eastAsia="宋体" w:cs="宋体"/>
          <w:color w:val="000000" w:themeColor="text1"/>
          <w:sz w:val="24"/>
          <w:szCs w:val="24"/>
          <w:highlight w:val="none"/>
          <w14:textFill>
            <w14:solidFill>
              <w14:schemeClr w14:val="tx1"/>
            </w14:solidFill>
          </w14:textFill>
        </w:rPr>
        <w:t>博士培养单位不少于</w:t>
      </w:r>
      <w:r>
        <w:rPr>
          <w:rFonts w:hint="eastAsia" w:ascii="宋体" w:hAnsi="宋体" w:eastAsia="宋体" w:cs="宋体"/>
          <w:color w:val="000000" w:themeColor="text1"/>
          <w:sz w:val="24"/>
          <w:szCs w:val="24"/>
          <w:highlight w:val="none"/>
          <w:lang w:val="en-US" w:eastAsia="zh-CN"/>
          <w14:textFill>
            <w14:solidFill>
              <w14:schemeClr w14:val="tx1"/>
            </w14:solidFill>
          </w14:textFill>
        </w:rPr>
        <w:t>520</w:t>
      </w:r>
      <w:r>
        <w:rPr>
          <w:rFonts w:ascii="宋体" w:hAnsi="宋体" w:eastAsia="宋体" w:cs="宋体"/>
          <w:color w:val="000000" w:themeColor="text1"/>
          <w:sz w:val="24"/>
          <w:szCs w:val="24"/>
          <w:highlight w:val="none"/>
          <w14:textFill>
            <w14:solidFill>
              <w14:schemeClr w14:val="tx1"/>
            </w14:solidFill>
          </w14:textFill>
        </w:rPr>
        <w:t>家，内容覆盖重点高校覆盖率不少于90%，其中211院校学位论文覆盖率不少于99%。博士论文全文出版总量截止至</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5年1月，</w:t>
      </w:r>
      <w:r>
        <w:rPr>
          <w:rFonts w:ascii="宋体" w:hAnsi="宋体" w:eastAsia="宋体" w:cs="宋体"/>
          <w:color w:val="000000" w:themeColor="text1"/>
          <w:sz w:val="24"/>
          <w:szCs w:val="24"/>
          <w:highlight w:val="none"/>
          <w14:textFill>
            <w14:solidFill>
              <w14:schemeClr w14:val="tx1"/>
            </w14:solidFill>
          </w14:textFill>
        </w:rPr>
        <w:t>要求达</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ascii="宋体" w:hAnsi="宋体" w:eastAsia="宋体" w:cs="宋体"/>
          <w:color w:val="000000" w:themeColor="text1"/>
          <w:sz w:val="24"/>
          <w:szCs w:val="24"/>
          <w:highlight w:val="none"/>
          <w14:textFill>
            <w14:solidFill>
              <w14:schemeClr w14:val="tx1"/>
            </w14:solidFill>
          </w14:textFill>
        </w:rPr>
        <w:t>万篇，合作的博士培养单位要求达1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0家以上，其中“985工程”院校不少于10家、“211工程”院校不少于35家。要求出版时间平均不晚于学位授予时间的2个月。</w:t>
      </w:r>
    </w:p>
    <w:p>
      <w:pPr>
        <w:pStyle w:val="27"/>
        <w:spacing w:line="360" w:lineRule="auto"/>
        <w:ind w:firstLine="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3、硕士学位论文全文库：要求截至</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5年1月，</w:t>
      </w:r>
      <w:r>
        <w:rPr>
          <w:rFonts w:ascii="宋体" w:hAnsi="宋体" w:eastAsia="宋体" w:cs="宋体"/>
          <w:color w:val="000000" w:themeColor="text1"/>
          <w:sz w:val="24"/>
          <w:szCs w:val="24"/>
          <w:highlight w:val="none"/>
          <w14:textFill>
            <w14:solidFill>
              <w14:schemeClr w14:val="tx1"/>
            </w14:solidFill>
          </w14:textFill>
        </w:rPr>
        <w:t>收录优秀硕士论文不少于</w:t>
      </w:r>
      <w:r>
        <w:rPr>
          <w:rFonts w:hint="eastAsia" w:ascii="宋体" w:hAnsi="宋体" w:eastAsia="宋体" w:cs="宋体"/>
          <w:color w:val="000000" w:themeColor="text1"/>
          <w:sz w:val="24"/>
          <w:szCs w:val="24"/>
          <w:highlight w:val="none"/>
          <w:lang w:val="en-US" w:eastAsia="zh-CN"/>
          <w14:textFill>
            <w14:solidFill>
              <w14:schemeClr w14:val="tx1"/>
            </w14:solidFill>
          </w14:textFill>
        </w:rPr>
        <w:t>500</w:t>
      </w:r>
      <w:r>
        <w:rPr>
          <w:rFonts w:ascii="宋体" w:hAnsi="宋体" w:eastAsia="宋体" w:cs="宋体"/>
          <w:sz w:val="24"/>
          <w:szCs w:val="24"/>
        </w:rPr>
        <w:t>万篇。要求覆盖基础科学、工程技术、农业、哲学、医学、哲学、人文、社会科学等各个领域。要求985以及211高校论文覆盖不少于90%。要求合作的硕士培养单</w:t>
      </w:r>
      <w:r>
        <w:rPr>
          <w:rFonts w:ascii="宋体" w:hAnsi="宋体" w:eastAsia="宋体" w:cs="宋体"/>
          <w:color w:val="auto"/>
          <w:sz w:val="24"/>
          <w:szCs w:val="24"/>
        </w:rPr>
        <w:t>位7</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w:t>
      </w:r>
      <w:r>
        <w:rPr>
          <w:rFonts w:ascii="宋体" w:hAnsi="宋体" w:eastAsia="宋体" w:cs="宋体"/>
          <w:sz w:val="24"/>
          <w:szCs w:val="24"/>
        </w:rPr>
        <w:t>家以上。出版时</w:t>
      </w:r>
      <w:r>
        <w:rPr>
          <w:rFonts w:ascii="宋体" w:hAnsi="宋体" w:eastAsia="宋体" w:cs="宋体"/>
          <w:color w:val="000000" w:themeColor="text1"/>
          <w:sz w:val="24"/>
          <w:szCs w:val="24"/>
          <w14:textFill>
            <w14:solidFill>
              <w14:schemeClr w14:val="tx1"/>
            </w14:solidFill>
          </w14:textFill>
        </w:rPr>
        <w:t>间要求平均不晚于学位授予时间的2个月。出版的论文要求全部取得作者和培养单位的授权，用户使用完全合法。</w:t>
      </w:r>
    </w:p>
    <w:p>
      <w:pPr>
        <w:pStyle w:val="27"/>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4、工具书总库：收录我国</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00余家出版社出版的工具书，其中50%以上须全部取得权利人的授权。资源类型包括辞书和资料两个大类，辞书包括汉/外语文词典、专科辞典、专业翻译词典、百科辞典、综合性辞典、百科全书、人物传记等；资料类包括手册、图录、医学图谱</w:t>
      </w:r>
      <w:r>
        <w:rPr>
          <w:rFonts w:ascii="宋体" w:hAnsi="宋体" w:eastAsia="宋体" w:cs="宋体"/>
          <w:color w:val="000000" w:themeColor="text1"/>
          <w:sz w:val="24"/>
          <w:szCs w:val="24"/>
          <w:highlight w:val="none"/>
          <w14:textFill>
            <w14:solidFill>
              <w14:schemeClr w14:val="tx1"/>
            </w14:solidFill>
          </w14:textFill>
        </w:rPr>
        <w:t>、年表、类书、志书、史书、专著教材等。 它能够通过超文本技术建立了知识之间的链接和相关条目之间的跳转阅读，使读者在一个平台上能够非常方便的获取分散在不同工具书里的、具有相关性的知识信息。截至</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5年1月</w:t>
      </w:r>
      <w:r>
        <w:rPr>
          <w:rFonts w:ascii="宋体" w:hAnsi="宋体" w:eastAsia="宋体" w:cs="宋体"/>
          <w:color w:val="000000" w:themeColor="text1"/>
          <w:sz w:val="24"/>
          <w:szCs w:val="24"/>
          <w:highlight w:val="none"/>
          <w14:textFill>
            <w14:solidFill>
              <w14:schemeClr w14:val="tx1"/>
            </w14:solidFill>
          </w14:textFill>
        </w:rPr>
        <w:t>，收录工具书不低于</w:t>
      </w:r>
      <w:r>
        <w:rPr>
          <w:rFonts w:hint="eastAsia" w:ascii="宋体" w:hAnsi="宋体" w:eastAsia="宋体" w:cs="宋体"/>
          <w:color w:val="000000" w:themeColor="text1"/>
          <w:sz w:val="24"/>
          <w:szCs w:val="24"/>
          <w:highlight w:val="none"/>
          <w:lang w:val="en-US" w:eastAsia="zh-CN"/>
          <w14:textFill>
            <w14:solidFill>
              <w14:schemeClr w14:val="tx1"/>
            </w14:solidFill>
          </w14:textFill>
        </w:rPr>
        <w:t>14000</w:t>
      </w:r>
      <w:r>
        <w:rPr>
          <w:rFonts w:ascii="宋体" w:hAnsi="宋体" w:eastAsia="宋体" w:cs="宋体"/>
          <w:color w:val="000000" w:themeColor="text1"/>
          <w:sz w:val="24"/>
          <w:szCs w:val="24"/>
          <w:highlight w:val="none"/>
          <w14:textFill>
            <w14:solidFill>
              <w14:schemeClr w14:val="tx1"/>
            </w14:solidFill>
          </w14:textFill>
        </w:rPr>
        <w:t>部。</w:t>
      </w:r>
    </w:p>
    <w:p>
      <w:pPr>
        <w:pStyle w:val="27"/>
        <w:spacing w:line="360" w:lineRule="auto"/>
        <w:ind w:firstLine="480"/>
        <w:rPr>
          <w:rFonts w:ascii="宋体" w:hAnsi="宋体" w:eastAsia="宋体" w:cs="宋体"/>
          <w:sz w:val="24"/>
          <w:szCs w:val="24"/>
        </w:rPr>
      </w:pPr>
      <w:r>
        <w:rPr>
          <w:rFonts w:ascii="宋体" w:hAnsi="宋体" w:eastAsia="宋体" w:cs="宋体"/>
          <w:color w:val="000000" w:themeColor="text1"/>
          <w:sz w:val="24"/>
          <w:szCs w:val="24"/>
          <w:highlight w:val="none"/>
          <w14:textFill>
            <w14:solidFill>
              <w14:schemeClr w14:val="tx1"/>
            </w14:solidFill>
          </w14:textFill>
        </w:rPr>
        <w:t>5、供应商的产品必须合法解决版权，保证所供数据库信息内容符合</w:t>
      </w:r>
      <w:r>
        <w:rPr>
          <w:rFonts w:ascii="宋体" w:hAnsi="宋体" w:eastAsia="宋体" w:cs="宋体"/>
          <w:color w:val="000000" w:themeColor="text1"/>
          <w:sz w:val="24"/>
          <w:szCs w:val="24"/>
          <w14:textFill>
            <w14:solidFill>
              <w14:schemeClr w14:val="tx1"/>
            </w14:solidFill>
          </w14:textFill>
        </w:rPr>
        <w:t>中华人民共和</w:t>
      </w:r>
      <w:r>
        <w:rPr>
          <w:rFonts w:ascii="宋体" w:hAnsi="宋体" w:eastAsia="宋体" w:cs="宋体"/>
          <w:sz w:val="24"/>
          <w:szCs w:val="24"/>
        </w:rPr>
        <w:t>国相关法律，并保证所供信息不会引起知识产权纠纷等法律责任。供应商报价产品必须具备国内、国际正式连续出版物刊号。供应商提供的产品必须全部或者部分通过新闻出版总署（或者同级别其他国家主管机构）的鉴定验收，具备电子出版物许可及互联网出版许可。</w:t>
      </w:r>
    </w:p>
    <w:p>
      <w:pPr>
        <w:pStyle w:val="27"/>
        <w:spacing w:line="360" w:lineRule="auto"/>
        <w:ind w:firstLine="480"/>
        <w:rPr>
          <w:rFonts w:ascii="Times New Roman" w:hAnsi="Times New Roman" w:eastAsia="宋体"/>
          <w:b/>
          <w:sz w:val="24"/>
        </w:rPr>
      </w:pPr>
      <w:r>
        <w:rPr>
          <w:rFonts w:ascii="宋体" w:hAnsi="宋体" w:eastAsia="宋体" w:cs="宋体"/>
          <w:sz w:val="24"/>
          <w:szCs w:val="24"/>
        </w:rPr>
        <w:t>6、数据库需包库使用IP访问，其中《中国学术期刊网络出版总库》ABCFGHIJ专</w:t>
      </w:r>
      <w:r>
        <w:rPr>
          <w:rFonts w:ascii="宋体" w:hAnsi="宋体" w:eastAsia="宋体" w:cs="宋体"/>
          <w:color w:val="auto"/>
          <w:sz w:val="24"/>
          <w:szCs w:val="24"/>
        </w:rPr>
        <w:t>辑、《中国博士学位论文全文数据库》A</w:t>
      </w:r>
      <w:r>
        <w:rPr>
          <w:rFonts w:hint="eastAsia" w:ascii="宋体" w:hAnsi="宋体" w:cs="宋体"/>
          <w:color w:val="auto"/>
          <w:kern w:val="0"/>
          <w:sz w:val="24"/>
          <w:szCs w:val="24"/>
          <w:highlight w:val="none"/>
          <w:lang w:val="en-US" w:eastAsia="zh-CN"/>
        </w:rPr>
        <w:t>B</w:t>
      </w:r>
      <w:r>
        <w:rPr>
          <w:rFonts w:ascii="宋体" w:hAnsi="宋体" w:eastAsia="宋体" w:cs="宋体"/>
          <w:color w:val="auto"/>
          <w:sz w:val="24"/>
          <w:szCs w:val="24"/>
        </w:rPr>
        <w:t>CFIJ专辑、《</w:t>
      </w:r>
      <w:r>
        <w:rPr>
          <w:rFonts w:ascii="宋体" w:hAnsi="宋体" w:eastAsia="宋体" w:cs="宋体"/>
          <w:sz w:val="24"/>
          <w:szCs w:val="24"/>
        </w:rPr>
        <w:t>中国优秀硕士学位论文全文数据库》ACFIJ专辑、《中国工具书网咯出版总库》ACFIJ专辑需提供本地镜像服务。</w:t>
      </w:r>
      <w:r>
        <w:rPr>
          <w:rFonts w:hint="eastAsia" w:ascii="宋体" w:hAnsi="宋体" w:eastAsia="宋体" w:cs="宋体"/>
          <w:sz w:val="24"/>
          <w:szCs w:val="24"/>
        </w:rPr>
        <w:t>（</w:t>
      </w:r>
      <w:r>
        <w:rPr>
          <w:rFonts w:ascii="宋体" w:hAnsi="宋体" w:eastAsia="宋体" w:cs="宋体"/>
          <w:sz w:val="24"/>
          <w:szCs w:val="24"/>
        </w:rPr>
        <w:t>A：基础科学;B:工程科技I;C:工程科技II;F:哲学与人文科学;G:社会科学I;H:社会科学II;I:信息科技;J:经济与管理科学</w:t>
      </w:r>
      <w:r>
        <w:rPr>
          <w:rFonts w:hint="eastAsia" w:ascii="宋体" w:hAnsi="宋体" w:eastAsia="宋体" w:cs="宋体"/>
          <w:sz w:val="24"/>
          <w:szCs w:val="24"/>
        </w:rPr>
        <w:t>）</w:t>
      </w: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 xml:space="preserve">三、采购数据资源类型要求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1.采购数据库</w:t>
      </w:r>
      <w:r>
        <w:rPr>
          <w:rFonts w:hint="eastAsia" w:ascii="宋体" w:hAnsi="宋体" w:eastAsia="宋体" w:cs="宋体"/>
          <w:sz w:val="24"/>
          <w:szCs w:val="24"/>
          <w:lang w:val="en-US" w:eastAsia="zh-CN"/>
        </w:rPr>
        <w:t>(专辑）</w:t>
      </w:r>
    </w:p>
    <w:p>
      <w:pPr>
        <w:pStyle w:val="12"/>
        <w:ind w:firstLine="480"/>
        <w:rPr>
          <w:rFonts w:ascii="宋体" w:hAnsi="宋体" w:eastAsia="宋体" w:cs="宋体"/>
          <w:sz w:val="24"/>
          <w:szCs w:val="24"/>
        </w:rPr>
      </w:pPr>
    </w:p>
    <w:p>
      <w:pPr>
        <w:pStyle w:val="12"/>
        <w:ind w:firstLine="480"/>
        <w:rPr>
          <w:rFonts w:ascii="宋体" w:hAnsi="宋体" w:eastAsia="宋体" w:cs="宋体"/>
          <w:sz w:val="24"/>
          <w:szCs w:val="24"/>
        </w:rPr>
      </w:pPr>
    </w:p>
    <w:p>
      <w:pPr>
        <w:pStyle w:val="12"/>
        <w:ind w:firstLine="480"/>
        <w:rPr>
          <w:rFonts w:ascii="宋体" w:hAnsi="宋体" w:eastAsia="宋体" w:cs="宋体"/>
          <w:sz w:val="24"/>
          <w:szCs w:val="24"/>
        </w:rPr>
      </w:pPr>
    </w:p>
    <w:p>
      <w:pPr>
        <w:pStyle w:val="12"/>
        <w:ind w:firstLine="480"/>
        <w:rPr>
          <w:rFonts w:ascii="宋体" w:hAnsi="宋体" w:eastAsia="宋体" w:cs="宋体"/>
          <w:sz w:val="24"/>
          <w:szCs w:val="24"/>
        </w:rPr>
      </w:pPr>
    </w:p>
    <w:tbl>
      <w:tblPr>
        <w:tblStyle w:val="13"/>
        <w:tblpPr w:leftFromText="180" w:rightFromText="180" w:vertAnchor="page" w:horzAnchor="page" w:tblpX="2101" w:tblpY="1768"/>
        <w:tblOverlap w:val="never"/>
        <w:tblW w:w="7611" w:type="dxa"/>
        <w:tblInd w:w="0" w:type="dxa"/>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Layout w:type="fixed"/>
        <w:tblCellMar>
          <w:top w:w="0" w:type="dxa"/>
          <w:left w:w="108" w:type="dxa"/>
          <w:bottom w:w="0" w:type="dxa"/>
          <w:right w:w="108" w:type="dxa"/>
        </w:tblCellMar>
      </w:tblPr>
      <w:tblGrid>
        <w:gridCol w:w="1063"/>
        <w:gridCol w:w="1172"/>
        <w:gridCol w:w="1181"/>
        <w:gridCol w:w="1241"/>
        <w:gridCol w:w="1522"/>
        <w:gridCol w:w="1432"/>
      </w:tblGrid>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97" w:hRule="atLeast"/>
        </w:trPr>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jc w:val="center"/>
              <w:rPr>
                <w:rFonts w:ascii="宋体" w:hAnsi="宋体" w:eastAsia="宋体" w:cs="宋体"/>
                <w:b/>
                <w:bCs/>
                <w:sz w:val="24"/>
                <w:szCs w:val="24"/>
              </w:rPr>
            </w:pPr>
            <w:r>
              <w:rPr>
                <w:rFonts w:hint="eastAsia" w:ascii="宋体" w:hAnsi="宋体" w:eastAsia="宋体" w:cs="宋体"/>
                <w:b/>
                <w:bCs/>
                <w:sz w:val="24"/>
                <w:szCs w:val="24"/>
              </w:rPr>
              <w:t>数据库</w:t>
            </w:r>
          </w:p>
        </w:tc>
        <w:tc>
          <w:tcPr>
            <w:tcW w:w="11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jc w:val="center"/>
              <w:rPr>
                <w:rFonts w:ascii="宋体" w:hAnsi="宋体" w:eastAsia="宋体" w:cs="宋体"/>
                <w:b/>
                <w:bCs/>
                <w:sz w:val="24"/>
                <w:szCs w:val="24"/>
              </w:rPr>
            </w:pPr>
            <w:r>
              <w:rPr>
                <w:rFonts w:hint="eastAsia" w:ascii="宋体" w:hAnsi="宋体" w:eastAsia="宋体" w:cs="宋体"/>
                <w:b/>
                <w:bCs/>
                <w:sz w:val="24"/>
                <w:szCs w:val="24"/>
              </w:rPr>
              <w:t>专辑</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jc w:val="center"/>
              <w:rPr>
                <w:rFonts w:ascii="宋体" w:hAnsi="宋体" w:eastAsia="宋体" w:cs="宋体"/>
                <w:b/>
                <w:bCs/>
                <w:sz w:val="24"/>
                <w:szCs w:val="24"/>
              </w:rPr>
            </w:pPr>
            <w:r>
              <w:rPr>
                <w:rFonts w:hint="eastAsia" w:ascii="宋体" w:hAnsi="宋体" w:eastAsia="宋体" w:cs="宋体"/>
                <w:b/>
                <w:bCs/>
                <w:sz w:val="24"/>
                <w:szCs w:val="24"/>
              </w:rPr>
              <w:t>产品年度</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jc w:val="center"/>
              <w:rPr>
                <w:rFonts w:ascii="宋体" w:hAnsi="宋体" w:eastAsia="宋体" w:cs="宋体"/>
                <w:b/>
                <w:bCs/>
                <w:sz w:val="24"/>
                <w:szCs w:val="24"/>
              </w:rPr>
            </w:pPr>
            <w:r>
              <w:rPr>
                <w:rFonts w:hint="eastAsia" w:ascii="宋体" w:hAnsi="宋体" w:eastAsia="宋体" w:cs="宋体"/>
                <w:b/>
                <w:bCs/>
                <w:sz w:val="24"/>
                <w:szCs w:val="24"/>
              </w:rPr>
              <w:t>使用模式</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jc w:val="center"/>
              <w:rPr>
                <w:rFonts w:ascii="宋体" w:hAnsi="宋体" w:eastAsia="宋体" w:cs="宋体"/>
                <w:b/>
                <w:bCs/>
                <w:sz w:val="24"/>
                <w:szCs w:val="24"/>
              </w:rPr>
            </w:pPr>
            <w:r>
              <w:rPr>
                <w:rFonts w:hint="eastAsia" w:ascii="宋体" w:hAnsi="宋体" w:eastAsia="宋体" w:cs="宋体"/>
                <w:b/>
                <w:bCs/>
                <w:sz w:val="24"/>
                <w:szCs w:val="24"/>
              </w:rPr>
              <w:t>数据量</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auto"/>
              <w:jc w:val="center"/>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54"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期刊</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 w:val="24"/>
                <w:szCs w:val="24"/>
                <w:highlight w:val="none"/>
              </w:rPr>
            </w:pPr>
            <w:r>
              <w:rPr>
                <w:rFonts w:hint="eastAsia" w:ascii="宋体" w:hAnsi="宋体" w:cs="宋体"/>
                <w:color w:val="auto"/>
                <w:sz w:val="20"/>
                <w:szCs w:val="20"/>
                <w:highlight w:val="none"/>
              </w:rPr>
              <w:t>ABCFGHIJ</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云托管</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0"/>
                <w:szCs w:val="20"/>
                <w:highlight w:val="none"/>
                <w:lang w:val="en-US" w:eastAsia="zh-CN"/>
              </w:rPr>
              <w:t>5010</w:t>
            </w:r>
            <w:r>
              <w:rPr>
                <w:rFonts w:hint="eastAsia" w:ascii="宋体" w:hAnsi="宋体" w:eastAsia="宋体" w:cs="宋体"/>
                <w:bCs/>
                <w:color w:val="auto"/>
                <w:sz w:val="20"/>
                <w:szCs w:val="20"/>
                <w:highlight w:val="none"/>
              </w:rPr>
              <w:t>万篇</w:t>
            </w:r>
          </w:p>
        </w:tc>
        <w:tc>
          <w:tcPr>
            <w:tcW w:w="1432" w:type="dxa"/>
            <w:vMerge w:val="restart"/>
            <w:tcBorders>
              <w:top w:val="single" w:color="000000" w:sz="4" w:space="0"/>
              <w:left w:val="single" w:color="000000" w:sz="4" w:space="0"/>
              <w:right w:val="single" w:color="000000" w:sz="4" w:space="0"/>
            </w:tcBorders>
            <w:vAlign w:val="center"/>
          </w:tcPr>
          <w:p>
            <w:pPr>
              <w:spacing w:line="30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往年订</w:t>
            </w:r>
            <w:r>
              <w:rPr>
                <w:rFonts w:hint="eastAsia" w:ascii="宋体" w:hAnsi="宋体" w:eastAsia="宋体" w:cs="宋体"/>
                <w:bCs/>
                <w:color w:val="auto"/>
                <w:sz w:val="24"/>
                <w:szCs w:val="24"/>
                <w:highlight w:val="none"/>
                <w:lang w:val="en-US" w:eastAsia="zh-CN"/>
              </w:rPr>
              <w:t>购</w:t>
            </w: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54"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硕士</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Cs w:val="21"/>
                <w:highlight w:val="none"/>
              </w:rPr>
            </w:pPr>
            <w:r>
              <w:rPr>
                <w:rFonts w:hint="eastAsia" w:ascii="宋体" w:hAnsi="宋体" w:cs="宋体"/>
                <w:color w:val="auto"/>
                <w:sz w:val="20"/>
                <w:szCs w:val="20"/>
                <w:highlight w:val="none"/>
              </w:rPr>
              <w:t>ACFIJ</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云托管</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lang w:val="en-US" w:eastAsia="zh-CN"/>
              </w:rPr>
              <w:t>387.2</w:t>
            </w:r>
            <w:r>
              <w:rPr>
                <w:rFonts w:ascii="宋体" w:hAnsi="宋体" w:cs="宋体"/>
                <w:bCs/>
                <w:color w:val="auto"/>
                <w:sz w:val="20"/>
                <w:szCs w:val="20"/>
                <w:highlight w:val="none"/>
              </w:rPr>
              <w:t>万篇</w:t>
            </w:r>
          </w:p>
        </w:tc>
        <w:tc>
          <w:tcPr>
            <w:tcW w:w="1432" w:type="dxa"/>
            <w:vMerge w:val="continue"/>
            <w:tcBorders>
              <w:left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54"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ascii="宋体" w:hAnsi="宋体" w:cs="宋体"/>
                <w:bCs/>
                <w:color w:val="auto"/>
                <w:sz w:val="20"/>
                <w:szCs w:val="20"/>
                <w:highlight w:val="none"/>
              </w:rPr>
              <w:t>博士</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Cs w:val="21"/>
                <w:highlight w:val="none"/>
              </w:rPr>
            </w:pPr>
            <w:r>
              <w:rPr>
                <w:rFonts w:hint="eastAsia" w:ascii="宋体" w:hAnsi="宋体" w:cs="宋体"/>
                <w:color w:val="auto"/>
                <w:sz w:val="20"/>
                <w:szCs w:val="20"/>
                <w:highlight w:val="none"/>
              </w:rPr>
              <w:t>A</w:t>
            </w:r>
            <w:r>
              <w:rPr>
                <w:rFonts w:hint="eastAsia" w:ascii="宋体" w:hAnsi="宋体" w:cs="宋体"/>
                <w:color w:val="auto"/>
                <w:sz w:val="20"/>
                <w:szCs w:val="20"/>
                <w:highlight w:val="none"/>
                <w:lang w:val="en-US" w:eastAsia="zh-CN"/>
              </w:rPr>
              <w:t>B</w:t>
            </w:r>
            <w:r>
              <w:rPr>
                <w:rFonts w:hint="eastAsia" w:ascii="宋体" w:hAnsi="宋体" w:cs="宋体"/>
                <w:color w:val="auto"/>
                <w:sz w:val="20"/>
                <w:szCs w:val="20"/>
                <w:highlight w:val="none"/>
              </w:rPr>
              <w:t>CFIJ</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云托管</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lang w:val="en-US" w:eastAsia="zh-CN"/>
              </w:rPr>
              <w:t>43.7</w:t>
            </w:r>
            <w:r>
              <w:rPr>
                <w:rFonts w:hint="eastAsia" w:ascii="宋体" w:hAnsi="宋体" w:cs="宋体"/>
                <w:bCs/>
                <w:color w:val="auto"/>
                <w:sz w:val="20"/>
                <w:szCs w:val="20"/>
                <w:highlight w:val="none"/>
              </w:rPr>
              <w:t>万</w:t>
            </w:r>
            <w:r>
              <w:rPr>
                <w:rFonts w:ascii="宋体" w:hAnsi="宋体" w:cs="宋体"/>
                <w:bCs/>
                <w:color w:val="auto"/>
                <w:sz w:val="20"/>
                <w:szCs w:val="20"/>
                <w:highlight w:val="none"/>
              </w:rPr>
              <w:t>篇</w:t>
            </w:r>
          </w:p>
        </w:tc>
        <w:tc>
          <w:tcPr>
            <w:tcW w:w="1432" w:type="dxa"/>
            <w:vMerge w:val="continue"/>
            <w:tcBorders>
              <w:left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54"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年鉴</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CF</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0"/>
                <w:szCs w:val="20"/>
                <w:highlight w:val="none"/>
              </w:rPr>
              <w:t>云托管</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686.3万篇</w:t>
            </w:r>
          </w:p>
        </w:tc>
        <w:tc>
          <w:tcPr>
            <w:tcW w:w="1432" w:type="dxa"/>
            <w:vMerge w:val="continue"/>
            <w:tcBorders>
              <w:left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54"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精品科普</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全库</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云租用</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187.7万篇</w:t>
            </w:r>
          </w:p>
        </w:tc>
        <w:tc>
          <w:tcPr>
            <w:tcW w:w="1432" w:type="dxa"/>
            <w:vMerge w:val="continue"/>
            <w:tcBorders>
              <w:left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454"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基础教育</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期刊</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云租用</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default" w:ascii="宋体" w:hAnsi="宋体" w:cs="宋体" w:eastAsiaTheme="minorEastAsia"/>
                <w:bCs/>
                <w:color w:val="auto"/>
                <w:sz w:val="20"/>
                <w:szCs w:val="20"/>
                <w:highlight w:val="none"/>
                <w:lang w:val="en-US" w:eastAsia="zh-CN"/>
              </w:rPr>
            </w:pPr>
            <w:r>
              <w:rPr>
                <w:rFonts w:hint="eastAsia" w:ascii="宋体" w:hAnsi="宋体" w:cs="宋体"/>
                <w:bCs/>
                <w:color w:val="auto"/>
                <w:sz w:val="20"/>
                <w:szCs w:val="20"/>
                <w:highlight w:val="none"/>
                <w:lang w:val="en-US" w:eastAsia="zh-CN"/>
              </w:rPr>
              <w:t>68万篇</w:t>
            </w:r>
          </w:p>
        </w:tc>
        <w:tc>
          <w:tcPr>
            <w:tcW w:w="1432" w:type="dxa"/>
            <w:vMerge w:val="continue"/>
            <w:tcBorders>
              <w:left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357" w:hRule="atLeast"/>
        </w:trPr>
        <w:tc>
          <w:tcPr>
            <w:tcW w:w="1063"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工具书</w:t>
            </w:r>
          </w:p>
        </w:tc>
        <w:tc>
          <w:tcPr>
            <w:tcW w:w="117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szCs w:val="21"/>
                <w:highlight w:val="none"/>
              </w:rPr>
            </w:pPr>
            <w:r>
              <w:rPr>
                <w:rFonts w:hint="eastAsia" w:ascii="宋体" w:hAnsi="宋体" w:cs="宋体"/>
                <w:color w:val="auto"/>
                <w:sz w:val="20"/>
                <w:szCs w:val="20"/>
                <w:highlight w:val="none"/>
              </w:rPr>
              <w:t>ACFIJ</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202</w:t>
            </w:r>
            <w:r>
              <w:rPr>
                <w:rFonts w:hint="eastAsia" w:ascii="宋体" w:hAnsi="宋体" w:cs="宋体"/>
                <w:bCs/>
                <w:color w:val="auto"/>
                <w:sz w:val="20"/>
                <w:szCs w:val="20"/>
                <w:highlight w:val="none"/>
                <w:lang w:val="en-US" w:eastAsia="zh-CN"/>
              </w:rPr>
              <w:t>4</w:t>
            </w:r>
            <w:r>
              <w:rPr>
                <w:rFonts w:hint="eastAsia" w:ascii="宋体" w:hAnsi="宋体" w:cs="宋体"/>
                <w:bCs/>
                <w:color w:val="auto"/>
                <w:sz w:val="20"/>
                <w:szCs w:val="20"/>
                <w:highlight w:val="none"/>
              </w:rPr>
              <w:t>年</w:t>
            </w:r>
          </w:p>
        </w:tc>
        <w:tc>
          <w:tcPr>
            <w:tcW w:w="1241"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rPr>
              <w:t>云托管</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cs="宋体"/>
                <w:bCs/>
                <w:color w:val="auto"/>
                <w:sz w:val="20"/>
                <w:szCs w:val="20"/>
                <w:highlight w:val="none"/>
                <w:lang w:val="en-US" w:eastAsia="zh-CN"/>
              </w:rPr>
              <w:t>901</w:t>
            </w:r>
            <w:r>
              <w:rPr>
                <w:rFonts w:hint="eastAsia" w:ascii="宋体" w:hAnsi="宋体" w:cs="宋体"/>
                <w:bCs/>
                <w:color w:val="auto"/>
                <w:sz w:val="20"/>
                <w:szCs w:val="20"/>
                <w:highlight w:val="none"/>
              </w:rPr>
              <w:t>册</w:t>
            </w:r>
          </w:p>
        </w:tc>
        <w:tc>
          <w:tcPr>
            <w:tcW w:w="1432" w:type="dxa"/>
            <w:vMerge w:val="continue"/>
            <w:tcBorders>
              <w:left w:val="single" w:color="000000" w:sz="4" w:space="0"/>
              <w:right w:val="single" w:color="000000" w:sz="4" w:space="0"/>
            </w:tcBorders>
          </w:tcPr>
          <w:p>
            <w:pPr>
              <w:spacing w:line="300" w:lineRule="auto"/>
              <w:jc w:val="center"/>
              <w:rPr>
                <w:rFonts w:ascii="宋体" w:hAnsi="宋体" w:eastAsia="宋体" w:cs="宋体"/>
                <w:bCs/>
                <w:color w:val="auto"/>
                <w:sz w:val="24"/>
                <w:szCs w:val="24"/>
                <w:highlight w:val="none"/>
              </w:rPr>
            </w:pPr>
          </w:p>
        </w:tc>
      </w:tr>
      <w:tr>
        <w:tblPrEx>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108" w:type="dxa"/>
            <w:bottom w:w="0" w:type="dxa"/>
            <w:right w:w="108" w:type="dxa"/>
          </w:tblCellMar>
        </w:tblPrEx>
        <w:trPr>
          <w:trHeight w:val="357" w:hRule="atLeast"/>
        </w:trPr>
        <w:tc>
          <w:tcPr>
            <w:tcW w:w="1063" w:type="dxa"/>
            <w:tcBorders>
              <w:top w:val="single" w:color="000000" w:sz="4" w:space="0"/>
              <w:left w:val="single" w:color="000000" w:sz="4" w:space="0"/>
              <w:bottom w:val="single" w:color="000000" w:sz="4" w:space="0"/>
              <w:right w:val="single" w:color="000000" w:sz="4" w:space="0"/>
            </w:tcBorders>
          </w:tcPr>
          <w:p>
            <w:pPr>
              <w:spacing w:line="300" w:lineRule="auto"/>
              <w:jc w:val="center"/>
              <w:rPr>
                <w:rFonts w:ascii="宋体" w:hAnsi="宋体" w:eastAsia="宋体" w:cs="宋体"/>
                <w:bCs/>
                <w:color w:val="auto"/>
                <w:sz w:val="24"/>
                <w:szCs w:val="24"/>
                <w:highlight w:val="none"/>
              </w:rPr>
            </w:pPr>
          </w:p>
        </w:tc>
        <w:tc>
          <w:tcPr>
            <w:tcW w:w="5116"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上述数据库专辑202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年度</w:t>
            </w:r>
            <w:r>
              <w:rPr>
                <w:rFonts w:hint="eastAsia" w:ascii="宋体" w:hAnsi="宋体" w:eastAsia="宋体" w:cs="宋体"/>
                <w:bCs/>
                <w:color w:val="auto"/>
                <w:sz w:val="24"/>
                <w:szCs w:val="24"/>
                <w:highlight w:val="none"/>
                <w:lang w:val="en-US" w:eastAsia="zh-CN"/>
              </w:rPr>
              <w:t>继续</w:t>
            </w:r>
            <w:r>
              <w:rPr>
                <w:rFonts w:hint="eastAsia" w:ascii="宋体" w:hAnsi="宋体" w:eastAsia="宋体" w:cs="宋体"/>
                <w:bCs/>
                <w:color w:val="auto"/>
                <w:sz w:val="24"/>
                <w:szCs w:val="24"/>
                <w:highlight w:val="none"/>
              </w:rPr>
              <w:t>包库使用</w:t>
            </w:r>
          </w:p>
        </w:tc>
        <w:tc>
          <w:tcPr>
            <w:tcW w:w="1432" w:type="dxa"/>
            <w:tcBorders>
              <w:left w:val="single" w:color="000000" w:sz="4" w:space="0"/>
              <w:bottom w:val="single" w:color="000000" w:sz="4" w:space="0"/>
              <w:right w:val="single" w:color="000000" w:sz="4" w:space="0"/>
            </w:tcBorders>
          </w:tcPr>
          <w:p>
            <w:pPr>
              <w:spacing w:line="300" w:lineRule="auto"/>
              <w:jc w:val="center"/>
              <w:rPr>
                <w:rFonts w:ascii="宋体" w:hAnsi="宋体" w:eastAsia="宋体" w:cs="宋体"/>
                <w:bCs/>
                <w:color w:val="auto"/>
                <w:sz w:val="24"/>
                <w:szCs w:val="24"/>
                <w:highlight w:val="none"/>
              </w:rPr>
            </w:pPr>
          </w:p>
        </w:tc>
      </w:tr>
    </w:tbl>
    <w:p>
      <w:pPr>
        <w:pStyle w:val="12"/>
        <w:ind w:firstLine="480"/>
        <w:rPr>
          <w:rFonts w:ascii="宋体" w:hAnsi="宋体" w:eastAsia="宋体" w:cs="宋体"/>
          <w:color w:val="auto"/>
          <w:sz w:val="24"/>
          <w:szCs w:val="24"/>
          <w:highlight w:val="none"/>
        </w:rPr>
      </w:pPr>
    </w:p>
    <w:p>
      <w:pPr>
        <w:pStyle w:val="12"/>
        <w:ind w:firstLine="480"/>
        <w:rPr>
          <w:rFonts w:ascii="宋体" w:hAnsi="宋体" w:eastAsia="宋体" w:cs="宋体"/>
          <w:color w:val="auto"/>
          <w:sz w:val="24"/>
          <w:szCs w:val="24"/>
          <w:highlight w:val="none"/>
        </w:rPr>
      </w:pPr>
    </w:p>
    <w:p>
      <w:pPr>
        <w:pStyle w:val="12"/>
        <w:ind w:firstLine="480"/>
        <w:rPr>
          <w:rFonts w:ascii="宋体" w:hAnsi="宋体" w:eastAsia="宋体" w:cs="宋体"/>
          <w:color w:val="auto"/>
          <w:sz w:val="24"/>
          <w:szCs w:val="24"/>
          <w:highlight w:val="none"/>
        </w:rPr>
      </w:pPr>
    </w:p>
    <w:p>
      <w:pPr>
        <w:spacing w:line="360" w:lineRule="auto"/>
        <w:rPr>
          <w:rFonts w:ascii="宋体" w:hAnsi="宋体" w:eastAsia="宋体" w:cs="宋体"/>
          <w:b/>
          <w:color w:val="auto"/>
          <w:sz w:val="24"/>
          <w:szCs w:val="24"/>
          <w:highlight w:val="none"/>
        </w:rPr>
      </w:pPr>
    </w:p>
    <w:p>
      <w:pPr>
        <w:pStyle w:val="12"/>
        <w:ind w:firstLine="482"/>
        <w:rPr>
          <w:rFonts w:ascii="宋体" w:hAnsi="宋体" w:eastAsia="宋体" w:cs="宋体"/>
          <w:b/>
          <w:color w:val="auto"/>
          <w:sz w:val="24"/>
          <w:szCs w:val="24"/>
          <w:highlight w:val="none"/>
        </w:rPr>
      </w:pPr>
    </w:p>
    <w:p>
      <w:pPr>
        <w:pStyle w:val="12"/>
        <w:ind w:firstLine="482"/>
        <w:rPr>
          <w:rFonts w:ascii="宋体" w:hAnsi="宋体" w:eastAsia="宋体" w:cs="宋体"/>
          <w:b/>
          <w:color w:val="auto"/>
          <w:sz w:val="24"/>
          <w:szCs w:val="24"/>
          <w:highlight w:val="none"/>
        </w:rPr>
      </w:pPr>
    </w:p>
    <w:p>
      <w:pPr>
        <w:pStyle w:val="12"/>
        <w:ind w:firstLine="482"/>
        <w:rPr>
          <w:rFonts w:ascii="宋体" w:hAnsi="宋体" w:eastAsia="宋体" w:cs="宋体"/>
          <w:b/>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sz w:val="24"/>
          <w:szCs w:val="24"/>
          <w:lang w:val="en-US" w:eastAsia="zh-CN"/>
        </w:rPr>
      </w:pP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.为学校开通全球学术快报APP（不限制IP地址，手机认证后可漫游）。</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.为学校提供CNKI Scholar，方便老师检索中外文文献资料。</w:t>
      </w:r>
    </w:p>
    <w:p>
      <w:pPr>
        <w:spacing w:line="360" w:lineRule="auto"/>
        <w:ind w:firstLine="241" w:firstLineChars="100"/>
        <w:rPr>
          <w:rFonts w:ascii="宋体" w:hAnsi="宋体" w:eastAsia="宋体" w:cs="宋体"/>
          <w:b/>
          <w:sz w:val="24"/>
          <w:szCs w:val="24"/>
        </w:rPr>
      </w:pPr>
      <w:r>
        <w:rPr>
          <w:rFonts w:hint="eastAsia" w:ascii="宋体" w:hAnsi="宋体" w:eastAsia="宋体" w:cs="宋体"/>
          <w:b/>
          <w:sz w:val="24"/>
          <w:szCs w:val="24"/>
        </w:rPr>
        <w:t>附：专辑名称及服务说明</w:t>
      </w:r>
    </w:p>
    <w:p>
      <w:pPr>
        <w:numPr>
          <w:ilvl w:val="0"/>
          <w:numId w:val="0"/>
        </w:numPr>
        <w:spacing w:after="156" w:afterLines="50" w:line="360" w:lineRule="auto"/>
        <w:rPr>
          <w:rFonts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专辑名称：</w:t>
      </w:r>
    </w:p>
    <w:tbl>
      <w:tblPr>
        <w:tblStyle w:val="13"/>
        <w:tblpPr w:leftFromText="180" w:rightFromText="180" w:vertAnchor="text" w:horzAnchor="page" w:tblpX="2040" w:tblpY="2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035"/>
        <w:gridCol w:w="1035"/>
        <w:gridCol w:w="1035"/>
        <w:gridCol w:w="1035"/>
        <w:gridCol w:w="1035"/>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(A)</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（B）</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(C)</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(I)</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(F)</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(G)</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(H)</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基础科学</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工程科技Ⅰ辑</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工程科技Ⅱ辑</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信息科技</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哲学与人文科学</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社会科学Ⅰ辑</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社会科学Ⅱ辑</w:t>
            </w:r>
          </w:p>
        </w:tc>
        <w:tc>
          <w:tcPr>
            <w:tcW w:w="1035"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经济与管理科学</w:t>
            </w:r>
          </w:p>
        </w:tc>
      </w:tr>
    </w:tbl>
    <w:p>
      <w:pPr>
        <w:spacing w:line="360" w:lineRule="auto"/>
        <w:ind w:firstLine="241" w:firstLineChars="100"/>
        <w:rPr>
          <w:rFonts w:ascii="宋体" w:hAnsi="宋体" w:eastAsia="宋体" w:cs="宋体"/>
          <w:b/>
          <w:sz w:val="24"/>
          <w:szCs w:val="24"/>
        </w:rPr>
      </w:pPr>
      <w:r>
        <w:rPr>
          <w:rFonts w:hint="eastAsia" w:ascii="宋体" w:hAnsi="宋体" w:eastAsia="宋体" w:cs="宋体"/>
          <w:b/>
          <w:sz w:val="24"/>
          <w:szCs w:val="24"/>
        </w:rPr>
        <w:t>2.服务说明：</w:t>
      </w:r>
    </w:p>
    <w:p>
      <w:pPr>
        <w:spacing w:line="360" w:lineRule="auto"/>
        <w:rPr>
          <w:rFonts w:ascii="宋体" w:hAnsi="宋体" w:eastAsia="宋体" w:cs="宋体"/>
          <w:sz w:val="24"/>
          <w:szCs w:val="24"/>
        </w:rPr>
      </w:pPr>
      <w:r>
        <w:rPr>
          <w:rFonts w:hint="eastAsia" w:ascii="宋体" w:hAnsi="宋体" w:eastAsia="宋体" w:cs="宋体"/>
          <w:sz w:val="24"/>
          <w:szCs w:val="24"/>
        </w:rPr>
        <w:t xml:space="preserve">    云托管方式：即在合同期内，用户委托数据库商将数据库和期刊网络版存放在“中国知网”网站（www.cnki.net），并为甲方提供数据库保管、检索、浏览、下载和数据安装等服务。甲方拥有数据库的永久保存权和在甲方内部网络上的永久使用权。</w:t>
      </w:r>
    </w:p>
    <w:p>
      <w:pPr>
        <w:tabs>
          <w:tab w:val="left" w:pos="900"/>
        </w:tabs>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四、数据库服务方式</w:t>
      </w:r>
    </w:p>
    <w:p>
      <w:pPr>
        <w:spacing w:line="400" w:lineRule="exact"/>
        <w:ind w:firstLine="482" w:firstLineChars="200"/>
        <w:rPr>
          <w:rFonts w:ascii="宋体" w:hAnsi="宋体" w:eastAsia="宋体" w:cs="宋体"/>
          <w:b/>
          <w:kern w:val="0"/>
          <w:sz w:val="24"/>
        </w:rPr>
      </w:pPr>
      <w:r>
        <w:rPr>
          <w:rFonts w:hint="eastAsia" w:ascii="宋体" w:hAnsi="宋体" w:eastAsia="宋体" w:cs="宋体"/>
          <w:b/>
          <w:kern w:val="0"/>
          <w:sz w:val="24"/>
        </w:rPr>
        <w:t>乙方按以下方式提供服务：</w:t>
      </w:r>
    </w:p>
    <w:p>
      <w:pPr>
        <w:spacing w:line="400" w:lineRule="exact"/>
        <w:ind w:firstLine="482" w:firstLineChars="200"/>
        <w:rPr>
          <w:rFonts w:ascii="宋体" w:hAnsi="宋体" w:eastAsia="宋体" w:cs="宋体"/>
          <w:kern w:val="0"/>
          <w:sz w:val="24"/>
        </w:rPr>
      </w:pPr>
      <w:r>
        <w:rPr>
          <w:rFonts w:hint="eastAsia" w:ascii="宋体" w:hAnsi="宋体" w:eastAsia="宋体" w:cs="宋体"/>
          <w:b/>
          <w:kern w:val="0"/>
          <w:sz w:val="24"/>
        </w:rPr>
        <w:t>1.云托管方式：</w:t>
      </w:r>
      <w:r>
        <w:rPr>
          <w:rFonts w:hint="eastAsia" w:ascii="宋体" w:hAnsi="宋体" w:eastAsia="宋体" w:cs="宋体"/>
          <w:kern w:val="0"/>
          <w:sz w:val="24"/>
        </w:rPr>
        <w:t>即在合同期内，甲方委托乙方将数据库和期刊网络版存放在“中国知网”网站（www.cnki.net），并为甲方提供数据库保管、检索、浏览、下载和数据安装等服务。甲方拥有数据库的永久保存权和在甲方内部网络上的永久使用权。</w:t>
      </w:r>
    </w:p>
    <w:p>
      <w:pPr>
        <w:spacing w:line="400" w:lineRule="exact"/>
        <w:ind w:left="420"/>
        <w:rPr>
          <w:rFonts w:ascii="宋体" w:hAnsi="宋体" w:eastAsia="宋体" w:cs="宋体"/>
          <w:strike w:val="0"/>
          <w:dstrike w:val="0"/>
          <w:kern w:val="0"/>
          <w:sz w:val="24"/>
          <w:highlight w:val="none"/>
        </w:rPr>
      </w:pPr>
      <w:r>
        <w:rPr>
          <w:rFonts w:hint="eastAsia" w:ascii="宋体" w:hAnsi="宋体" w:eastAsia="宋体" w:cs="宋体"/>
          <w:b/>
          <w:strike w:val="0"/>
          <w:dstrike w:val="0"/>
          <w:kern w:val="0"/>
          <w:sz w:val="24"/>
          <w:highlight w:val="none"/>
        </w:rPr>
        <w:t>2.本地镜像方式：</w:t>
      </w:r>
      <w:r>
        <w:rPr>
          <w:rFonts w:hint="eastAsia" w:ascii="宋体" w:hAnsi="宋体" w:eastAsia="宋体" w:cs="宋体"/>
          <w:strike w:val="0"/>
          <w:dstrike w:val="0"/>
          <w:kern w:val="0"/>
          <w:sz w:val="24"/>
          <w:highlight w:val="none"/>
        </w:rPr>
        <w:t>将乙方许可使用的数据库和期刊网络版全文数据安装到甲方内部网络服务器上供甲方永久使用。</w:t>
      </w:r>
    </w:p>
    <w:p>
      <w:pPr>
        <w:pStyle w:val="28"/>
        <w:adjustRightInd w:val="0"/>
        <w:snapToGrid w:val="0"/>
        <w:spacing w:line="400" w:lineRule="exact"/>
        <w:ind w:right="210" w:rightChars="100" w:firstLineChars="0"/>
        <w:rPr>
          <w:rFonts w:ascii="宋体" w:hAnsi="宋体" w:eastAsia="宋体" w:cs="宋体"/>
          <w:color w:val="auto"/>
          <w:sz w:val="24"/>
          <w:highlight w:val="none"/>
        </w:rPr>
      </w:pPr>
      <w:r>
        <w:rPr>
          <w:rFonts w:hint="eastAsia" w:ascii="宋体" w:hAnsi="宋体" w:eastAsia="宋体" w:cs="宋体"/>
          <w:b/>
          <w:bCs/>
          <w:sz w:val="24"/>
          <w:lang w:val="en-US" w:eastAsia="zh-CN"/>
        </w:rPr>
        <w:t>3</w:t>
      </w:r>
      <w:r>
        <w:rPr>
          <w:rFonts w:hint="eastAsia" w:ascii="宋体" w:hAnsi="宋体" w:eastAsia="宋体" w:cs="宋体"/>
          <w:b/>
          <w:bCs/>
          <w:sz w:val="24"/>
        </w:rPr>
        <w:t>.开通服务账号：</w:t>
      </w:r>
      <w:r>
        <w:rPr>
          <w:rFonts w:hint="eastAsia" w:ascii="宋体" w:hAnsi="宋体" w:eastAsia="宋体" w:cs="宋体"/>
          <w:sz w:val="24"/>
        </w:rPr>
        <w:t>在本合同约定的服务期开始前，乙方为甲方提供专为甲方服务</w:t>
      </w:r>
      <w:r>
        <w:rPr>
          <w:rFonts w:hint="eastAsia" w:ascii="宋体" w:hAnsi="宋体" w:eastAsia="宋体" w:cs="宋体"/>
          <w:sz w:val="24"/>
          <w:highlight w:val="none"/>
        </w:rPr>
        <w:t>的“中国知网”网站的账号和密码，甲方确认开通结果。数据库网上使用期限：</w:t>
      </w:r>
      <w:r>
        <w:rPr>
          <w:rFonts w:hint="eastAsia" w:ascii="宋体" w:hAnsi="宋体" w:eastAsia="宋体" w:cs="宋体"/>
          <w:kern w:val="0"/>
          <w:sz w:val="24"/>
          <w:highlight w:val="none"/>
        </w:rPr>
        <w:t>自</w:t>
      </w:r>
      <w:r>
        <w:rPr>
          <w:rFonts w:hint="eastAsia" w:ascii="宋体" w:hAnsi="宋体" w:eastAsia="宋体" w:cs="宋体"/>
          <w:color w:val="auto"/>
          <w:kern w:val="0"/>
          <w:sz w:val="24"/>
          <w:highlight w:val="none"/>
          <w:u w:val="single"/>
        </w:rPr>
        <w:t>202</w:t>
      </w:r>
      <w:r>
        <w:rPr>
          <w:rFonts w:hint="eastAsia" w:ascii="宋体" w:hAnsi="宋体" w:eastAsia="宋体" w:cs="宋体"/>
          <w:color w:val="auto"/>
          <w:kern w:val="0"/>
          <w:sz w:val="24"/>
          <w:highlight w:val="none"/>
          <w:u w:val="single"/>
          <w:lang w:val="en-US" w:eastAsia="zh-CN"/>
        </w:rPr>
        <w:t>6</w:t>
      </w:r>
      <w:r>
        <w:rPr>
          <w:rFonts w:hint="eastAsia" w:ascii="宋体" w:hAnsi="宋体" w:eastAsia="宋体" w:cs="宋体"/>
          <w:color w:val="auto"/>
          <w:kern w:val="0"/>
          <w:sz w:val="24"/>
          <w:highlight w:val="none"/>
          <w:u w:val="single"/>
        </w:rPr>
        <w:t>年1月1日至202</w:t>
      </w:r>
      <w:r>
        <w:rPr>
          <w:rFonts w:hint="eastAsia" w:ascii="宋体" w:hAnsi="宋体" w:eastAsia="宋体" w:cs="宋体"/>
          <w:color w:val="auto"/>
          <w:kern w:val="0"/>
          <w:sz w:val="24"/>
          <w:highlight w:val="none"/>
          <w:u w:val="single"/>
          <w:lang w:val="en-US" w:eastAsia="zh-CN"/>
        </w:rPr>
        <w:t>6</w:t>
      </w:r>
      <w:r>
        <w:rPr>
          <w:rFonts w:hint="eastAsia" w:ascii="宋体" w:hAnsi="宋体" w:eastAsia="宋体" w:cs="宋体"/>
          <w:color w:val="auto"/>
          <w:kern w:val="0"/>
          <w:sz w:val="24"/>
          <w:highlight w:val="none"/>
          <w:u w:val="single"/>
        </w:rPr>
        <w:t>年12月31日。</w:t>
      </w:r>
    </w:p>
    <w:p>
      <w:pPr>
        <w:pStyle w:val="28"/>
        <w:adjustRightInd w:val="0"/>
        <w:snapToGrid w:val="0"/>
        <w:spacing w:line="400" w:lineRule="exact"/>
        <w:ind w:right="210" w:rightChars="100" w:firstLineChars="0"/>
        <w:rPr>
          <w:rFonts w:ascii="宋体" w:hAnsi="宋体" w:eastAsia="宋体" w:cs="宋体"/>
          <w:sz w:val="24"/>
        </w:rPr>
      </w:pPr>
      <w:r>
        <w:rPr>
          <w:rFonts w:hint="eastAsia" w:ascii="宋体" w:hAnsi="宋体" w:eastAsia="宋体" w:cs="宋体"/>
          <w:b/>
          <w:bCs/>
          <w:sz w:val="24"/>
          <w:lang w:val="en-US" w:eastAsia="zh-CN"/>
        </w:rPr>
        <w:t>4</w:t>
      </w:r>
      <w:r>
        <w:rPr>
          <w:rFonts w:hint="eastAsia" w:ascii="宋体" w:hAnsi="宋体" w:eastAsia="宋体" w:cs="宋体"/>
          <w:b/>
          <w:bCs/>
          <w:sz w:val="24"/>
        </w:rPr>
        <w:t>.数据库安装：</w:t>
      </w:r>
      <w:r>
        <w:rPr>
          <w:rFonts w:hint="eastAsia" w:ascii="宋体" w:hAnsi="宋体" w:eastAsia="宋体" w:cs="宋体"/>
          <w:sz w:val="24"/>
        </w:rPr>
        <w:t>在本合同期内每年年底或本合同终止时，乙方按甲方要求,将数据库安装在甲方内部网络服务器上，乙方不收取服务费。甲方应具备必要的安装条件，并在安装完成后确认安装结果。</w:t>
      </w:r>
    </w:p>
    <w:p>
      <w:pPr>
        <w:pStyle w:val="28"/>
        <w:spacing w:line="400" w:lineRule="exact"/>
        <w:ind w:left="420" w:right="210" w:rightChars="100" w:firstLine="0" w:firstLineChars="0"/>
        <w:rPr>
          <w:rFonts w:ascii="宋体" w:hAnsi="宋体" w:eastAsia="宋体" w:cs="宋体"/>
          <w:sz w:val="24"/>
        </w:rPr>
      </w:pPr>
      <w:r>
        <w:rPr>
          <w:rFonts w:hint="eastAsia" w:ascii="宋体" w:hAnsi="宋体" w:eastAsia="宋体" w:cs="宋体"/>
          <w:b/>
          <w:bCs/>
          <w:sz w:val="24"/>
          <w:lang w:val="en-US" w:eastAsia="zh-CN"/>
        </w:rPr>
        <w:t>5</w:t>
      </w:r>
      <w:r>
        <w:rPr>
          <w:rFonts w:hint="eastAsia" w:ascii="宋体" w:hAnsi="宋体" w:eastAsia="宋体" w:cs="宋体"/>
          <w:b/>
          <w:bCs/>
          <w:sz w:val="24"/>
        </w:rPr>
        <w:t>.内容新</w:t>
      </w:r>
      <w:r>
        <w:rPr>
          <w:rFonts w:hint="eastAsia" w:ascii="宋体" w:hAnsi="宋体" w:eastAsia="宋体" w:cs="宋体"/>
          <w:b/>
          <w:bCs/>
          <w:kern w:val="0"/>
          <w:sz w:val="24"/>
        </w:rPr>
        <w:t>增:</w:t>
      </w:r>
      <w:r>
        <w:rPr>
          <w:rFonts w:hint="eastAsia" w:ascii="宋体" w:hAnsi="宋体" w:eastAsia="宋体" w:cs="宋体"/>
          <w:kern w:val="0"/>
          <w:sz w:val="24"/>
        </w:rPr>
        <w:t>乙方每个工作日在“中国知网”网站提供新增数据库内容</w:t>
      </w:r>
      <w:r>
        <w:rPr>
          <w:rFonts w:hint="eastAsia" w:ascii="宋体" w:hAnsi="宋体" w:eastAsia="宋体" w:cs="宋体"/>
          <w:sz w:val="24"/>
        </w:rPr>
        <w:t>。</w:t>
      </w:r>
    </w:p>
    <w:p>
      <w:pPr>
        <w:pStyle w:val="27"/>
        <w:spacing w:line="360" w:lineRule="auto"/>
        <w:ind w:firstLine="482"/>
        <w:rPr>
          <w:rFonts w:ascii="宋体" w:hAnsi="宋体" w:eastAsia="宋体" w:cs="宋体"/>
          <w:b/>
          <w:sz w:val="24"/>
        </w:rPr>
      </w:pPr>
      <w:r>
        <w:rPr>
          <w:rFonts w:hint="eastAsia" w:ascii="宋体" w:hAnsi="宋体" w:eastAsia="宋体" w:cs="宋体"/>
          <w:b/>
          <w:sz w:val="24"/>
        </w:rPr>
        <w:t>五、售后服务</w:t>
      </w:r>
    </w:p>
    <w:p>
      <w:pPr>
        <w:pStyle w:val="28"/>
        <w:numPr>
          <w:ilvl w:val="0"/>
          <w:numId w:val="2"/>
        </w:numPr>
        <w:spacing w:line="400" w:lineRule="exact"/>
        <w:ind w:right="210" w:rightChars="100" w:firstLineChars="0"/>
        <w:rPr>
          <w:rFonts w:ascii="宋体" w:hAnsi="宋体" w:eastAsia="宋体" w:cs="宋体"/>
          <w:b/>
          <w:bCs/>
          <w:kern w:val="0"/>
          <w:sz w:val="24"/>
        </w:rPr>
      </w:pPr>
      <w:r>
        <w:rPr>
          <w:rFonts w:hint="eastAsia" w:ascii="宋体" w:hAnsi="宋体" w:eastAsia="宋体" w:cs="宋体"/>
          <w:b/>
          <w:bCs/>
          <w:kern w:val="0"/>
          <w:sz w:val="24"/>
        </w:rPr>
        <w:t>乙方保证和承诺</w:t>
      </w:r>
    </w:p>
    <w:p>
      <w:pPr>
        <w:spacing w:line="400" w:lineRule="exact"/>
        <w:ind w:firstLine="480" w:firstLineChars="200"/>
        <w:rPr>
          <w:rFonts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中国学术期刊（光盘版）》电子杂志社有限公司是依法成立的电子和互联网出版单位，“中国知网”网站（www.cnki.net）是该社的互联网出版网站，“中国知网”数据库由该社或其他单位编辑出版并享有著作权。支撑“中国知网”数据库的计算机应用软件由乙方享有著作权。</w:t>
      </w:r>
    </w:p>
    <w:p>
      <w:pPr>
        <w:spacing w:line="400" w:lineRule="exact"/>
        <w:ind w:right="210" w:rightChars="100" w:firstLine="480" w:firstLineChars="200"/>
        <w:rPr>
          <w:rFonts w:ascii="宋体" w:hAnsi="宋体" w:eastAsia="宋体" w:cs="宋体"/>
          <w:kern w:val="0"/>
          <w:sz w:val="24"/>
        </w:rPr>
      </w:pPr>
      <w:r>
        <w:rPr>
          <w:rFonts w:hint="eastAsia" w:ascii="宋体" w:hAnsi="宋体" w:eastAsia="宋体" w:cs="宋体"/>
          <w:kern w:val="0"/>
          <w:sz w:val="24"/>
        </w:rPr>
        <w:t>2.乙方承诺其拥有所需的权利和授权向甲方提供“中国知网”数据库及网络版期刊许可和服务。如有第三方就“中国知网”数据库及网络版期刊向甲方提起权利请求，乙方将负责解决并承担甲方因此产生的全部赔偿责任。</w:t>
      </w:r>
    </w:p>
    <w:p>
      <w:pPr>
        <w:spacing w:line="400" w:lineRule="exact"/>
        <w:ind w:right="210" w:rightChars="100" w:firstLine="480" w:firstLineChars="200"/>
        <w:rPr>
          <w:rFonts w:ascii="宋体" w:hAnsi="宋体" w:eastAsia="宋体" w:cs="宋体"/>
          <w:kern w:val="0"/>
          <w:sz w:val="24"/>
        </w:rPr>
      </w:pPr>
      <w:r>
        <w:rPr>
          <w:rFonts w:hint="eastAsia" w:ascii="宋体" w:hAnsi="宋体" w:eastAsia="宋体" w:cs="宋体"/>
          <w:kern w:val="0"/>
          <w:sz w:val="24"/>
        </w:rPr>
        <w:t>3.出版内容保证,数据库内容按照《“中国知网”数据库出版计划》出版，期刊网络版按期刊出版计划进行出版。如出版不符合约定且是由乙方原因造成，则乙方应在合理时间内用可能的最快捷的方式通知对方，并在十五日内提供证明文件说明该事件的细节和不能履行或部分不能履行或延迟履行本合同的原因，然后由双方协商是否延期履行本合同或终止本合同。</w:t>
      </w:r>
    </w:p>
    <w:p>
      <w:pPr>
        <w:pStyle w:val="28"/>
        <w:numPr>
          <w:ilvl w:val="0"/>
          <w:numId w:val="2"/>
        </w:numPr>
        <w:spacing w:line="400" w:lineRule="exact"/>
        <w:ind w:right="210" w:rightChars="100" w:firstLineChars="0"/>
        <w:rPr>
          <w:rFonts w:ascii="宋体" w:hAnsi="宋体" w:eastAsia="宋体" w:cs="宋体"/>
          <w:b/>
          <w:bCs/>
          <w:kern w:val="0"/>
          <w:sz w:val="24"/>
        </w:rPr>
      </w:pPr>
      <w:r>
        <w:rPr>
          <w:rFonts w:hint="eastAsia" w:ascii="宋体" w:hAnsi="宋体" w:eastAsia="宋体" w:cs="宋体"/>
          <w:b/>
          <w:bCs/>
          <w:kern w:val="0"/>
          <w:sz w:val="24"/>
        </w:rPr>
        <w:t>数据库日常维护</w:t>
      </w:r>
    </w:p>
    <w:p>
      <w:pPr>
        <w:pStyle w:val="28"/>
        <w:spacing w:line="400" w:lineRule="exact"/>
        <w:ind w:right="210" w:rightChars="100" w:firstLine="480"/>
        <w:rPr>
          <w:rFonts w:ascii="宋体" w:hAnsi="宋体" w:eastAsia="宋体" w:cs="宋体"/>
          <w:kern w:val="0"/>
          <w:sz w:val="24"/>
        </w:rPr>
      </w:pPr>
      <w:r>
        <w:rPr>
          <w:rFonts w:hint="eastAsia" w:ascii="宋体" w:hAnsi="宋体" w:eastAsia="宋体" w:cs="宋体"/>
          <w:kern w:val="0"/>
          <w:sz w:val="24"/>
        </w:rPr>
        <w:t>1.技术服务</w:t>
      </w:r>
    </w:p>
    <w:p>
      <w:pPr>
        <w:spacing w:line="400" w:lineRule="exact"/>
        <w:ind w:right="210" w:rightChars="100" w:firstLine="480" w:firstLineChars="200"/>
        <w:rPr>
          <w:rFonts w:ascii="宋体" w:hAnsi="宋体" w:eastAsia="宋体" w:cs="宋体"/>
          <w:kern w:val="0"/>
          <w:sz w:val="24"/>
        </w:rPr>
      </w:pPr>
      <w:r>
        <w:rPr>
          <w:rFonts w:hint="eastAsia" w:ascii="宋体" w:hAnsi="宋体" w:eastAsia="宋体" w:cs="宋体"/>
          <w:kern w:val="0"/>
          <w:sz w:val="24"/>
        </w:rPr>
        <w:t>乙方为甲方系统管理人员提供一次技术培训，时间和方式由双方商定。</w:t>
      </w:r>
    </w:p>
    <w:p>
      <w:pPr>
        <w:spacing w:line="400" w:lineRule="exact"/>
        <w:ind w:right="210" w:rightChars="100" w:firstLine="480" w:firstLineChars="200"/>
        <w:rPr>
          <w:rFonts w:ascii="宋体" w:hAnsi="宋体" w:eastAsia="宋体" w:cs="宋体"/>
          <w:kern w:val="0"/>
          <w:sz w:val="24"/>
        </w:rPr>
      </w:pPr>
      <w:r>
        <w:rPr>
          <w:rFonts w:hint="eastAsia" w:ascii="宋体" w:hAnsi="宋体" w:eastAsia="宋体" w:cs="宋体"/>
          <w:kern w:val="0"/>
          <w:sz w:val="24"/>
        </w:rPr>
        <w:t>2.技术咨询</w:t>
      </w:r>
    </w:p>
    <w:p>
      <w:pPr>
        <w:spacing w:line="400" w:lineRule="exact"/>
        <w:ind w:right="210" w:rightChars="100" w:firstLine="480" w:firstLineChars="200"/>
        <w:rPr>
          <w:rFonts w:ascii="宋体" w:hAnsi="宋体" w:eastAsia="宋体" w:cs="宋体"/>
          <w:kern w:val="0"/>
          <w:sz w:val="24"/>
        </w:rPr>
      </w:pPr>
      <w:r>
        <w:rPr>
          <w:rFonts w:hint="eastAsia" w:ascii="宋体" w:hAnsi="宋体" w:eastAsia="宋体" w:cs="宋体"/>
          <w:kern w:val="0"/>
          <w:sz w:val="24"/>
        </w:rPr>
        <w:t>乙方为甲方提供电话咨询服务,客户服务热线</w:t>
      </w:r>
      <w:r>
        <w:rPr>
          <w:rFonts w:hint="eastAsia" w:ascii="宋体" w:hAnsi="宋体" w:eastAsia="宋体" w:cs="宋体"/>
          <w:bCs/>
          <w:kern w:val="0"/>
          <w:sz w:val="24"/>
        </w:rPr>
        <w:t>4008109888</w:t>
      </w:r>
      <w:r>
        <w:rPr>
          <w:rFonts w:hint="eastAsia" w:ascii="宋体" w:hAnsi="宋体" w:eastAsia="宋体" w:cs="宋体"/>
          <w:kern w:val="0"/>
          <w:sz w:val="24"/>
        </w:rPr>
        <w:t>。</w:t>
      </w:r>
    </w:p>
    <w:p>
      <w:pPr>
        <w:spacing w:line="400" w:lineRule="exact"/>
        <w:ind w:right="210" w:rightChars="100" w:firstLine="480" w:firstLineChars="200"/>
        <w:rPr>
          <w:rFonts w:ascii="宋体" w:hAnsi="宋体" w:eastAsia="宋体" w:cs="宋体"/>
          <w:kern w:val="0"/>
          <w:sz w:val="24"/>
        </w:rPr>
      </w:pPr>
      <w:r>
        <w:rPr>
          <w:rFonts w:hint="eastAsia" w:ascii="宋体" w:hAnsi="宋体" w:eastAsia="宋体" w:cs="宋体"/>
          <w:kern w:val="0"/>
          <w:sz w:val="24"/>
        </w:rPr>
        <w:t>3.合同期满后服务</w:t>
      </w:r>
    </w:p>
    <w:p>
      <w:pPr>
        <w:pStyle w:val="28"/>
        <w:spacing w:line="400" w:lineRule="exact"/>
        <w:ind w:right="210" w:rightChars="100" w:firstLineChars="0"/>
        <w:rPr>
          <w:rFonts w:ascii="宋体" w:hAnsi="宋体" w:eastAsia="宋体" w:cs="宋体"/>
          <w:kern w:val="0"/>
          <w:sz w:val="24"/>
        </w:rPr>
      </w:pPr>
      <w:r>
        <w:rPr>
          <w:rFonts w:hint="eastAsia" w:ascii="宋体" w:hAnsi="宋体" w:eastAsia="宋体" w:cs="宋体"/>
          <w:sz w:val="24"/>
        </w:rPr>
        <w:t>本合同期满后甲方不再续订</w:t>
      </w:r>
      <w:r>
        <w:rPr>
          <w:rFonts w:hint="eastAsia" w:ascii="宋体" w:hAnsi="宋体" w:eastAsia="宋体" w:cs="宋体"/>
          <w:kern w:val="0"/>
          <w:sz w:val="24"/>
        </w:rPr>
        <w:t>数据库</w:t>
      </w:r>
      <w:r>
        <w:rPr>
          <w:rFonts w:hint="eastAsia" w:ascii="宋体" w:hAnsi="宋体" w:eastAsia="宋体" w:cs="宋体"/>
          <w:sz w:val="24"/>
        </w:rPr>
        <w:t>，乙方上门维护甲方内部网络服务器安装的</w:t>
      </w:r>
      <w:r>
        <w:rPr>
          <w:rFonts w:hint="eastAsia" w:ascii="宋体" w:hAnsi="宋体" w:eastAsia="宋体" w:cs="宋体"/>
          <w:kern w:val="0"/>
          <w:sz w:val="24"/>
        </w:rPr>
        <w:t>“中国知网”数据库按</w:t>
      </w:r>
      <w:r>
        <w:rPr>
          <w:rFonts w:hint="eastAsia" w:ascii="宋体" w:hAnsi="宋体" w:eastAsia="宋体" w:cs="宋体"/>
          <w:sz w:val="24"/>
        </w:rPr>
        <w:t>省会城市300元/天、非省会城市450元/天的标准向甲方收取服务费。</w:t>
      </w:r>
    </w:p>
    <w:p>
      <w:pPr>
        <w:spacing w:line="4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六、违约责任</w:t>
      </w:r>
    </w:p>
    <w:p>
      <w:pPr>
        <w:spacing w:line="400" w:lineRule="exact"/>
        <w:ind w:firstLine="480" w:firstLineChars="200"/>
        <w:rPr>
          <w:rFonts w:ascii="宋体" w:hAnsi="宋体" w:eastAsia="宋体" w:cs="宋体"/>
          <w:kern w:val="0"/>
          <w:sz w:val="24"/>
        </w:rPr>
      </w:pPr>
      <w:r>
        <w:rPr>
          <w:rFonts w:hint="eastAsia" w:ascii="宋体" w:hAnsi="宋体" w:eastAsia="宋体" w:cs="宋体"/>
          <w:kern w:val="0"/>
          <w:sz w:val="24"/>
        </w:rPr>
        <w:t>1.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pPr>
        <w:tabs>
          <w:tab w:val="left" w:pos="420"/>
        </w:tabs>
        <w:spacing w:line="400" w:lineRule="exact"/>
        <w:ind w:firstLine="480" w:firstLineChars="200"/>
        <w:rPr>
          <w:rFonts w:ascii="宋体" w:hAnsi="宋体" w:eastAsia="宋体" w:cs="宋体"/>
          <w:kern w:val="0"/>
          <w:sz w:val="24"/>
        </w:rPr>
      </w:pPr>
      <w:r>
        <w:rPr>
          <w:rFonts w:hint="eastAsia" w:ascii="宋体" w:hAnsi="宋体" w:eastAsia="宋体" w:cs="宋体"/>
          <w:kern w:val="0"/>
          <w:sz w:val="24"/>
        </w:rPr>
        <w:t>2.甲方验收后，如乙方许可使用的“中国知网”数据库的文献量未达到《“中国知网”数据库出版计划》规定且误差大于5%的，乙方按缺少文献量占总文献量的比例双倍向甲方退还数据库许可及服务费。</w:t>
      </w:r>
    </w:p>
    <w:p>
      <w:pPr>
        <w:spacing w:line="4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七、合同解除</w:t>
      </w:r>
    </w:p>
    <w:p>
      <w:pPr>
        <w:pStyle w:val="28"/>
        <w:spacing w:line="400" w:lineRule="exact"/>
        <w:ind w:right="210" w:rightChars="100" w:firstLineChars="0"/>
        <w:rPr>
          <w:rFonts w:ascii="宋体" w:hAnsi="宋体" w:eastAsia="宋体" w:cs="宋体"/>
          <w:kern w:val="0"/>
          <w:sz w:val="24"/>
        </w:rPr>
      </w:pPr>
      <w:r>
        <w:rPr>
          <w:rFonts w:hint="eastAsia" w:ascii="宋体" w:hAnsi="宋体" w:eastAsia="宋体" w:cs="宋体"/>
          <w:kern w:val="0"/>
          <w:sz w:val="24"/>
        </w:rPr>
        <w:t>1.“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pPr>
        <w:pStyle w:val="28"/>
        <w:spacing w:line="400" w:lineRule="exact"/>
        <w:ind w:right="210" w:rightChars="100" w:firstLineChars="0"/>
        <w:rPr>
          <w:rFonts w:ascii="宋体" w:hAnsi="宋体" w:eastAsia="宋体" w:cs="宋体"/>
          <w:kern w:val="0"/>
          <w:sz w:val="24"/>
        </w:rPr>
      </w:pPr>
      <w:r>
        <w:rPr>
          <w:rFonts w:hint="eastAsia" w:ascii="宋体" w:hAnsi="宋体" w:eastAsia="宋体" w:cs="宋体"/>
          <w:kern w:val="0"/>
          <w:sz w:val="24"/>
        </w:rPr>
        <w:t>2.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合同或终止合同。因不可抗力原因未履行合同的，未履行一方对另一方不承担违约责任。</w:t>
      </w:r>
    </w:p>
    <w:p>
      <w:pPr>
        <w:spacing w:line="360" w:lineRule="exact"/>
        <w:rPr>
          <w:rFonts w:ascii="宋体" w:hAnsi="宋体" w:eastAsia="宋体" w:cs="宋体"/>
          <w:kern w:val="0"/>
          <w:sz w:val="24"/>
          <w:szCs w:val="24"/>
          <w:shd w:val="clear" w:color="auto" w:fill="FFFFFF"/>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ascii="宋体" w:hAnsi="宋体" w:eastAsia="宋体" w:cs="宋体"/>
          <w:b/>
          <w:sz w:val="36"/>
          <w:szCs w:val="36"/>
        </w:rPr>
      </w:pPr>
      <w:r>
        <w:rPr>
          <w:rFonts w:hint="eastAsia" w:ascii="宋体" w:hAnsi="宋体" w:eastAsia="宋体" w:cs="宋体"/>
          <w:b/>
          <w:sz w:val="36"/>
          <w:szCs w:val="36"/>
        </w:rPr>
        <w:t>第三章</w:t>
      </w:r>
      <w:r>
        <w:rPr>
          <w:rFonts w:hint="eastAsia" w:ascii="宋体" w:hAnsi="MS Mincho" w:eastAsia="MS Mincho" w:cs="MS Mincho"/>
          <w:b/>
          <w:sz w:val="36"/>
          <w:szCs w:val="36"/>
        </w:rPr>
        <w:t>  </w:t>
      </w:r>
      <w:r>
        <w:rPr>
          <w:rFonts w:hint="eastAsia" w:ascii="宋体" w:hAnsi="宋体" w:eastAsia="宋体" w:cs="宋体"/>
          <w:b/>
          <w:sz w:val="36"/>
          <w:szCs w:val="36"/>
        </w:rPr>
        <w:t>谈判须知</w:t>
      </w:r>
    </w:p>
    <w:p>
      <w:pPr>
        <w:spacing w:line="360" w:lineRule="exact"/>
        <w:ind w:firstLine="482" w:firstLineChars="200"/>
        <w:rPr>
          <w:rFonts w:ascii="宋体" w:hAnsi="宋体" w:cs="宋体"/>
          <w:b/>
          <w:sz w:val="24"/>
          <w:szCs w:val="24"/>
        </w:rPr>
      </w:pPr>
      <w:bookmarkStart w:id="1" w:name="_Toc16938519"/>
      <w:bookmarkStart w:id="2" w:name="_Toc20823275"/>
      <w:bookmarkStart w:id="3" w:name="_Toc513029203"/>
      <w:bookmarkStart w:id="4" w:name="_Toc120614214"/>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w:t>
      </w:r>
      <w:r>
        <w:rPr>
          <w:rFonts w:hint="eastAsia" w:ascii="宋体" w:hAnsi="宋体" w:cs="宋体"/>
          <w:sz w:val="24"/>
          <w:szCs w:val="24"/>
          <w:highlight w:val="none"/>
          <w:lang w:val="en-US" w:eastAsia="zh-CN"/>
        </w:rPr>
        <w:t>单一来源</w:t>
      </w:r>
      <w:r>
        <w:rPr>
          <w:rFonts w:hint="eastAsia" w:ascii="宋体" w:hAnsi="宋体" w:cs="宋体"/>
          <w:sz w:val="24"/>
          <w:szCs w:val="24"/>
          <w:highlight w:val="none"/>
        </w:rPr>
        <w:t>招标</w:t>
      </w:r>
      <w:r>
        <w:rPr>
          <w:rFonts w:hint="eastAsia" w:ascii="宋体" w:hAnsi="宋体" w:cs="宋体"/>
          <w:sz w:val="24"/>
          <w:szCs w:val="24"/>
        </w:rPr>
        <w:t>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2、合格的谈判人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2.1满足采购公告中谈判人资质要求的规定。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4、谈判费用</w:t>
      </w:r>
    </w:p>
    <w:p>
      <w:pPr>
        <w:spacing w:line="360" w:lineRule="exact"/>
        <w:ind w:firstLine="480" w:firstLineChars="200"/>
        <w:rPr>
          <w:rFonts w:ascii="宋体" w:hAnsi="宋体" w:cs="宋体"/>
          <w:sz w:val="24"/>
          <w:szCs w:val="24"/>
        </w:rPr>
      </w:pPr>
      <w:r>
        <w:rPr>
          <w:rFonts w:hint="eastAsia" w:ascii="宋体" w:hAnsi="宋体" w:cs="宋体"/>
          <w:sz w:val="24"/>
          <w:szCs w:val="24"/>
        </w:rPr>
        <w:t>4.1谈判人应自行承担所有参与谈判有关费用，无论谈判过程中的做法和结果如何，采购人在任何情况下均无义务和责任承担这些费用。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5.1谈判人一旦购买了本采购文件并参与谈判，即被认为接受了本采购文件中的所有条件和规定。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（1）谈判人须知</w:t>
      </w:r>
    </w:p>
    <w:p>
      <w:pPr>
        <w:spacing w:line="360" w:lineRule="exact"/>
        <w:ind w:firstLine="360" w:firstLineChars="150"/>
        <w:rPr>
          <w:rFonts w:ascii="宋体" w:hAnsi="宋体" w:cs="宋体"/>
          <w:sz w:val="24"/>
          <w:szCs w:val="24"/>
        </w:rPr>
      </w:pPr>
      <w:r>
        <w:rPr>
          <w:rFonts w:hint="eastAsia" w:ascii="宋体" w:hAnsi="宋体" w:cs="宋体"/>
          <w:sz w:val="24"/>
          <w:szCs w:val="24"/>
        </w:rPr>
        <w:t>（2）合同条款及格式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（3）项目需求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（4）评标方法与评标标准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（5）谈判文件格式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谈判人应认真阅读采购文件中所有的事项、格式、条款和规范等要求。按采购文件要求和规定编制谈判文件，并保证所提供的全部资料的真实性，以使其谈判文件对采购文件作出实质性响应，否则其风险由谈判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任何要求对采购文件进行澄清的谈判人，均应在谈判截止期前3日前以书面形式通知采购人。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8.l在谈判截止日期3日前，无论何种原因，采购人均可主动或在解答谈判人提出的澄清问题时对采购文件进行修改。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8.2采购文件的修改将在“南京邮电大学”网站上公布，并对所有谈判人具有约束力。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8.3为使谈判人编写标书有充分时间对标书文件的修改部分进行分析、研究，采购人有权推迟谈判截止日期和开标日期，并将此变更书面通知所有购买采购文件的谈判人。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三、谈判文件的编制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9、谈判语言及度量衡单位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9.1谈判人提供的谈判文件以及谈判人与采购人就有关谈判的所有来往通知、函件和文件均使用简体中文。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9.2除技术性能另有规定外，谈判文件所使用的度量衡单位，均采用国家法定计量单位。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10、谈判文件的构成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谈判人编写的谈判文件应包括下列部分：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10.1谈判文件目录；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10.2谈判函：须含谈判人的开户名称、开户银行、账号、电话、传真、E-mail等联系方式；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10.3谈判人资格证明材料；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highlight w:val="none"/>
        </w:rPr>
      </w:pPr>
      <w:r>
        <w:rPr>
          <w:rFonts w:hint="eastAsia" w:ascii="宋体" w:hAnsi="宋体" w:cs="宋体"/>
          <w:sz w:val="24"/>
          <w:szCs w:val="24"/>
        </w:rPr>
        <w:t>（3）</w:t>
      </w:r>
      <w:r>
        <w:rPr>
          <w:rFonts w:hint="eastAsia" w:ascii="宋体" w:hAnsi="宋体" w:cs="宋体"/>
          <w:sz w:val="24"/>
          <w:szCs w:val="24"/>
          <w:highlight w:val="none"/>
        </w:rPr>
        <w:t>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highlight w:val="none"/>
        </w:rPr>
        <w:t>（4）法人的</w:t>
      </w:r>
      <w:r>
        <w:rPr>
          <w:rFonts w:hint="eastAsia" w:ascii="宋体" w:hAnsi="宋体" w:cs="宋体"/>
          <w:sz w:val="24"/>
          <w:szCs w:val="24"/>
        </w:rPr>
        <w:t>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（7）企业基本情况（经营规模、经营状况及行业优势）简介及谈判人认为有必要提供的其它文件。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10.4开标一览表：谈判人应按照采购文件中提供的格式完整、正确地填写开标一览表。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谈判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（3）开标一览表中的价格应与谈判文件中的报价表中价格一致，如不一致，不作为无效谈判处理，但评标时一律按开标一览表中价格为准。</w:t>
      </w:r>
      <w:r>
        <w:rPr>
          <w:rFonts w:hint="eastAsia" w:ascii="宋体" w:hAnsi="宋体" w:cs="宋体"/>
          <w:b/>
          <w:sz w:val="24"/>
          <w:szCs w:val="24"/>
        </w:rPr>
        <w:t>开标一览表必须盖章，并单独装在小信封内于谈判截止时间前与谈判文件一起递交。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谈判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10.6谈判人按照采购文件中商务条款提供交货安装、工期保证等方案以及产品售后服务和质量承诺，并附《商务条款响应及偏离表》；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10.7谈判人的业绩情况；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10.8谈判人认为有必要提供的声明及文件材料；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10.9谈判人应将谈判文件按上述顺序分别装订成册。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采购文件未列明，而谈判单位认为必需的费用也需列入报价。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2</w:t>
      </w:r>
      <w:r>
        <w:rPr>
          <w:rFonts w:hint="eastAsia" w:ascii="宋体" w:hAnsi="宋体" w:cs="宋体"/>
          <w:b/>
          <w:sz w:val="24"/>
          <w:szCs w:val="24"/>
        </w:rPr>
        <w:t>、谈判有效期</w:t>
      </w:r>
    </w:p>
    <w:p>
      <w:pPr>
        <w:spacing w:line="360" w:lineRule="exact"/>
        <w:ind w:firstLine="480" w:firstLineChars="200"/>
        <w:rPr>
          <w:rFonts w:ascii="宋体" w:hAnsi="宋体" w:cs="宋体"/>
          <w:sz w:val="24"/>
          <w:szCs w:val="24"/>
        </w:rPr>
      </w:pPr>
      <w:r>
        <w:rPr>
          <w:rFonts w:hint="eastAsia" w:ascii="宋体" w:hAnsi="宋体" w:cs="宋体"/>
          <w:sz w:val="24"/>
          <w:szCs w:val="24"/>
        </w:rPr>
        <w:t>谈判有效期为招标人规定的开标之日后三十(30)天内有效。如果采购人在有效期之内，可向谈判人提出缩短或延长谈判有效期的要求。要求与答复均应采用书面形式。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3</w:t>
      </w:r>
      <w:r>
        <w:rPr>
          <w:rFonts w:hint="eastAsia" w:ascii="宋体" w:hAnsi="宋体" w:cs="宋体"/>
          <w:b/>
          <w:sz w:val="24"/>
          <w:szCs w:val="24"/>
        </w:rPr>
        <w:t>、谈判文件份数和签署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 xml:space="preserve">.l谈判文件一式五份(正本一份，副本四份)。一旦正本和副本不符，以正本为准。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.2谈判文件中</w:t>
      </w:r>
      <w:r>
        <w:rPr>
          <w:rFonts w:hint="eastAsia" w:ascii="宋体" w:hAnsi="宋体" w:cs="宋体"/>
          <w:sz w:val="24"/>
          <w:szCs w:val="24"/>
          <w:highlight w:val="none"/>
        </w:rPr>
        <w:t>法人或其授权代表签字。授权代表须将法人以书面形式出具法</w:t>
      </w:r>
      <w:r>
        <w:rPr>
          <w:rFonts w:hint="eastAsia" w:ascii="宋体" w:hAnsi="宋体" w:cs="宋体"/>
          <w:sz w:val="24"/>
          <w:szCs w:val="24"/>
          <w:highlight w:val="none"/>
          <w:lang w:val="en-US" w:eastAsia="zh-CN"/>
        </w:rPr>
        <w:t>人</w:t>
      </w:r>
      <w:r>
        <w:rPr>
          <w:rFonts w:hint="eastAsia" w:ascii="宋体" w:hAnsi="宋体" w:cs="宋体"/>
          <w:sz w:val="24"/>
          <w:szCs w:val="24"/>
        </w:rPr>
        <w:t>授权书(原件)附在谈判文件中。</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.3除谈判人对错处做必要修改时，谈判文件不得行间插字、涂改或增删。如有修改错漏处，必须由谈判文件签署人签字并加盖公章。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四、谈判文件的递交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、谈判文件的密封和标记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w:t>
      </w:r>
      <w:r>
        <w:rPr>
          <w:rFonts w:hint="eastAsia" w:ascii="宋体" w:hAnsi="宋体" w:cs="宋体"/>
          <w:b/>
          <w:bCs/>
          <w:i/>
          <w:iCs/>
          <w:sz w:val="24"/>
          <w:szCs w:val="24"/>
          <w:lang w:val="en-US" w:eastAsia="zh-CN"/>
        </w:rPr>
        <w:t>4</w:t>
      </w:r>
      <w:r>
        <w:rPr>
          <w:rFonts w:hint="eastAsia" w:ascii="宋体" w:hAnsi="宋体" w:cs="宋体"/>
          <w:b/>
          <w:bCs/>
          <w:i/>
          <w:iCs/>
          <w:sz w:val="24"/>
          <w:szCs w:val="24"/>
        </w:rPr>
        <w:t>.1谈判人应将谈判文件密封，封口处要贴封签并加盖谈判单位公章。不论谈判人中标与否，谈判文件均不退回。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.2文件袋上应注明谈判项目名称、正、副本、谈判单位、授权代表姓名及联系方式。如因标注不清而产生的后果由谈判人自负。</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bCs/>
          <w:sz w:val="24"/>
          <w:szCs w:val="24"/>
        </w:rPr>
        <w:t>未按要求密封和加写标记，采购人对误投或过早启封概不负责。对由此造成提前开封的谈判文件，采购人将予以拒绝，作无效谈判处理。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、谈判截止日期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w:t>
      </w:r>
      <w:r>
        <w:rPr>
          <w:rFonts w:hint="eastAsia" w:ascii="宋体" w:hAnsi="宋体" w:cs="宋体"/>
          <w:bCs/>
          <w:sz w:val="24"/>
          <w:szCs w:val="24"/>
        </w:rPr>
        <w:t xml:space="preserve"> 采购人收到谈判文件的时间不得迟于采购公告中规定的截止时间。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w:t>
      </w:r>
      <w:r>
        <w:rPr>
          <w:rFonts w:hint="eastAsia" w:ascii="宋体" w:hAnsi="宋体" w:cs="宋体"/>
          <w:bCs/>
          <w:sz w:val="24"/>
          <w:szCs w:val="24"/>
        </w:rPr>
        <w:t xml:space="preserve"> 采购人可以按照规定，通过修改采购文件有权酌情延长谈判截止日期，在此情况下，谈判人的所有权利和义务以及谈判人受制的截止日期均应以延长后新的截止日期为准。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、迟交的谈判文件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迟交的谈判文件将被拒收并原封退回。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、谈判文件的修改和撤回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.1谈判人在递交谈判书后，在规定的谈判截止日期前可以修改或撤回其谈判文件。修改文件必须在谈判截止时间前送达采购招标管理办公室。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.2谈判截止日期后不可对其谈判文件作任何修改或撤回，否则其谈判保证金将被没收。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、开标</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.l采购人将在规定的时间和地址组织公开开标。谈判人法人代表或授权代表须携本人身份证原件参加公开开标。如有必要可以让谈判人有一定时间的陈述，或接收评标工作组成员的提问后退场。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2开标时请谈判人授权代表查验谈判文件密封情况，确认无误后，当众拆封宣读每份谈判文件中“开标一览表”的各项内容，未列入开标一览表的内容一律不在开标时宣读。开标时未宣读的谈判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lang w:val="en-US" w:eastAsia="zh-CN"/>
        </w:rPr>
        <w:t>19</w:t>
      </w:r>
      <w:r>
        <w:rPr>
          <w:rFonts w:hint="eastAsia" w:ascii="宋体" w:hAnsi="宋体" w:cs="宋体"/>
          <w:b/>
          <w:sz w:val="24"/>
          <w:szCs w:val="24"/>
        </w:rPr>
        <w:t>、评标过程的保密与公正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.l公开开标后，直至通知谈判人中标为止，凡是与审查、澄清、评价和比较谈判的有关资料，均不得向谈判人或与评标无关的人员透露。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.2谈判人试图影响评标或授予合同方面的任何尝试，可能导致该谈判人的标被废弃。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0</w:t>
      </w:r>
      <w:r>
        <w:rPr>
          <w:rFonts w:hint="eastAsia" w:ascii="宋体" w:hAnsi="宋体" w:cs="宋体"/>
          <w:b/>
          <w:sz w:val="24"/>
          <w:szCs w:val="24"/>
        </w:rPr>
        <w:t>、谈判的澄清</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.1评标期间，为有助于对谈判文件的审查、评价和比较，评标工作组有权要求谈判人对其谈判文件进行澄清，但并非对每个谈判人都作澄清要求。</w:t>
      </w:r>
    </w:p>
    <w:p>
      <w:pPr>
        <w:spacing w:line="360" w:lineRule="exact"/>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.2接到澄清要求的谈判人应派人按要求做出澄清，书面澄清的内容须由谈判人法定代表人或授权代表签署，并作为谈判文件的补充部分，但谈判的价格和实质性的内容不得做任何更改。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.3 接到澄清要求的谈判人如未按规定做出澄清，其风险由谈判人自行承担。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1</w:t>
      </w:r>
      <w:r>
        <w:rPr>
          <w:rFonts w:hint="eastAsia" w:ascii="宋体" w:hAnsi="宋体" w:cs="宋体"/>
          <w:b/>
          <w:sz w:val="24"/>
          <w:szCs w:val="24"/>
        </w:rPr>
        <w:t>、无效谈判条款和废标条款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.1无效谈判条款：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（1）未按要求交纳谈判保证金的；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（3）谈判人在报价时采用选择性报价；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（4）谈判人不具备采购文件中规定资格要求的；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（5）不符合法律、法规和本采购文件中规定的属无效谈判的情形。</w:t>
      </w:r>
    </w:p>
    <w:p>
      <w:pPr>
        <w:spacing w:line="360" w:lineRule="exact"/>
        <w:ind w:left="479" w:leftChars="228"/>
        <w:rPr>
          <w:rFonts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（3）谈判人的报价均超过了采购预算的；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.1评标工作组首先对所有合格谈判人按评标办法进行打分，根据综合得分，由高到低排列，向招标小组推荐中标候选人。最终由招标小组根据推荐的中标候选人确定中标人。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.2中标人名单将在南京邮电大学通达学院网站上进行公示，公示有效期为三日。</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.3本项目收取中标人中标服务费人民币</w:t>
      </w:r>
      <w:r>
        <w:rPr>
          <w:rFonts w:hint="eastAsia" w:ascii="宋体" w:hAnsi="宋体" w:cs="宋体"/>
          <w:sz w:val="24"/>
          <w:szCs w:val="24"/>
          <w:u w:val="single"/>
          <w:lang w:val="en-US" w:eastAsia="zh-CN"/>
        </w:rPr>
        <w:t>贰</w:t>
      </w:r>
      <w:r>
        <w:rPr>
          <w:rFonts w:hint="eastAsia" w:ascii="宋体" w:hAnsi="宋体" w:cs="宋体"/>
          <w:sz w:val="24"/>
          <w:szCs w:val="24"/>
          <w:u w:val="single"/>
        </w:rPr>
        <w:t>仟元（</w:t>
      </w:r>
      <w:r>
        <w:rPr>
          <w:rFonts w:hint="eastAsia" w:ascii="宋体" w:hAnsi="宋体" w:cs="宋体"/>
          <w:sz w:val="24"/>
          <w:szCs w:val="24"/>
          <w:u w:val="single"/>
          <w:lang w:val="en-US" w:eastAsia="zh-CN"/>
        </w:rPr>
        <w:t>2</w:t>
      </w:r>
      <w:r>
        <w:rPr>
          <w:rFonts w:hint="eastAsia" w:ascii="宋体" w:hAnsi="宋体" w:cs="宋体"/>
          <w:sz w:val="24"/>
          <w:szCs w:val="24"/>
          <w:u w:val="single"/>
        </w:rPr>
        <w:t>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（4）恶意竞争，谈判总报价明显低于其自身合理成本且又无法提供证明的；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.1参加谈判供应商认为采购过程和采购结果使自己的权益受到损害的，可以从采购结果公布之日起3日内，以书面形式向采购人提出质疑。非书面形式、3日之外提交以及匿名的质疑将不予受理。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.2质疑必须以参加谈判供应商法人代表或授权代表（谈判文件中所确定的）送达的方式提交，未按上述要求提交的质疑函（含传真、电子邮件等）采购人有权不予受理。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.3未参加谈判的供应商或在谈判活动中本身权益未受到损害或从谈判活动中受益的供应商所提出的质疑也不予受理。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.4谈判人提出书面质疑必须有理、有据，不得恶意质疑或提交虚假质疑。否则，采购人将不予受理。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.5采购人将在收到谈判供应商的书面质疑后在规定时间内作出答复，但答复的内容不得涉及商业秘密。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4</w:t>
      </w:r>
      <w:r>
        <w:rPr>
          <w:rFonts w:hint="eastAsia" w:ascii="宋体" w:hAnsi="宋体" w:cs="宋体"/>
          <w:b/>
          <w:sz w:val="24"/>
          <w:szCs w:val="24"/>
        </w:rPr>
        <w:t>、签订合同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lang w:val="en-US" w:eastAsia="zh-CN"/>
        </w:rPr>
        <w:t>24</w:t>
      </w:r>
      <w:r>
        <w:rPr>
          <w:rFonts w:hint="eastAsia" w:ascii="宋体" w:hAnsi="宋体" w:cs="宋体"/>
          <w:sz w:val="24"/>
          <w:szCs w:val="24"/>
        </w:rPr>
        <w:t>.2采购文件、中标人的谈判文件及澄清文件等，均为签订合同的依据。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.2采购结束后，采购人若由于各种客观原因，必须对采购项目所牵涉的货物和服务进行适当的减少时，在双方协商一致的前提下，可以按照中标时价格水平做相应的调减，并据此签订补充合同。</w:t>
      </w:r>
      <w:bookmarkEnd w:id="1"/>
      <w:bookmarkEnd w:id="2"/>
      <w:bookmarkEnd w:id="3"/>
      <w:bookmarkEnd w:id="4"/>
    </w:p>
    <w:p>
      <w:pPr>
        <w:widowControl/>
        <w:jc w:val="left"/>
        <w:rPr>
          <w:rFonts w:ascii="宋体" w:hAnsi="宋体" w:cs="宋体"/>
          <w:sz w:val="24"/>
          <w:szCs w:val="24"/>
        </w:rPr>
      </w:pPr>
      <w:r>
        <w:rPr>
          <w:rFonts w:ascii="宋体" w:hAnsi="宋体" w:cs="宋体"/>
          <w:sz w:val="24"/>
          <w:szCs w:val="24"/>
        </w:rPr>
        <w:br w:type="page"/>
      </w:r>
    </w:p>
    <w:p>
      <w:pPr>
        <w:jc w:val="center"/>
        <w:rPr>
          <w:rFonts w:ascii="宋体" w:hAnsi="宋体" w:eastAsia="宋体" w:cs="宋体"/>
          <w:b/>
          <w:sz w:val="36"/>
          <w:szCs w:val="36"/>
        </w:rPr>
      </w:pPr>
      <w:r>
        <w:rPr>
          <w:rFonts w:hint="eastAsia" w:ascii="宋体" w:hAnsi="宋体" w:eastAsia="宋体" w:cs="宋体"/>
          <w:b/>
          <w:sz w:val="36"/>
          <w:szCs w:val="36"/>
        </w:rPr>
        <w:t>第四章</w:t>
      </w:r>
      <w:r>
        <w:rPr>
          <w:rFonts w:hint="eastAsia" w:ascii="宋体" w:hAnsi="MS Mincho" w:eastAsia="MS Mincho" w:cs="MS Mincho"/>
          <w:b/>
          <w:sz w:val="36"/>
          <w:szCs w:val="36"/>
        </w:rPr>
        <w:t>  </w:t>
      </w:r>
      <w:r>
        <w:rPr>
          <w:rFonts w:hint="eastAsia" w:ascii="宋体" w:hAnsi="宋体" w:eastAsia="宋体" w:cs="宋体"/>
          <w:b/>
          <w:sz w:val="36"/>
          <w:szCs w:val="36"/>
        </w:rPr>
        <w:t>合同书格式</w:t>
      </w:r>
    </w:p>
    <w:p>
      <w:pPr>
        <w:jc w:val="center"/>
        <w:rPr>
          <w:rFonts w:ascii="宋体" w:hAnsi="宋体" w:eastAsia="宋体"/>
          <w:b/>
          <w:sz w:val="36"/>
          <w:szCs w:val="36"/>
        </w:rPr>
      </w:pPr>
    </w:p>
    <w:p>
      <w:pPr>
        <w:jc w:val="center"/>
        <w:rPr>
          <w:rFonts w:ascii="黑体" w:hAnsi="黑体" w:eastAsia="黑体"/>
          <w:b/>
          <w:bCs/>
          <w:color w:val="000000" w:themeColor="text1"/>
          <w:kern w:val="0"/>
          <w:sz w:val="52"/>
          <w:szCs w:val="21"/>
          <w14:textFill>
            <w14:solidFill>
              <w14:schemeClr w14:val="tx1"/>
            </w14:solidFill>
          </w14:textFill>
        </w:rPr>
      </w:pPr>
      <w:r>
        <w:rPr>
          <w:rFonts w:hint="eastAsia" w:ascii="黑体" w:hAnsi="黑体" w:eastAsia="黑体"/>
          <w:b/>
          <w:bCs/>
          <w:color w:val="000000" w:themeColor="text1"/>
          <w:kern w:val="0"/>
          <w:sz w:val="52"/>
          <w:szCs w:val="21"/>
          <w14:textFill>
            <w14:solidFill>
              <w14:schemeClr w14:val="tx1"/>
            </w14:solidFill>
          </w14:textFill>
        </w:rPr>
        <w:t>“中国知网”</w:t>
      </w:r>
    </w:p>
    <w:p>
      <w:pPr>
        <w:jc w:val="center"/>
        <w:rPr>
          <w:rFonts w:ascii="黑体" w:hAnsi="黑体" w:eastAsia="黑体"/>
          <w:b/>
          <w:bCs/>
          <w:color w:val="000000" w:themeColor="text1"/>
          <w:kern w:val="0"/>
          <w:sz w:val="52"/>
          <w:szCs w:val="21"/>
          <w14:textFill>
            <w14:solidFill>
              <w14:schemeClr w14:val="tx1"/>
            </w14:solidFill>
          </w14:textFill>
        </w:rPr>
      </w:pPr>
      <w:r>
        <w:rPr>
          <w:rFonts w:hint="eastAsia" w:ascii="黑体" w:hAnsi="黑体" w:eastAsia="黑体"/>
          <w:b/>
          <w:bCs/>
          <w:color w:val="000000" w:themeColor="text1"/>
          <w:kern w:val="0"/>
          <w:sz w:val="52"/>
          <w:szCs w:val="21"/>
          <w14:textFill>
            <w14:solidFill>
              <w14:schemeClr w14:val="tx1"/>
            </w14:solidFill>
          </w14:textFill>
        </w:rPr>
        <w:t>数据库服务合同</w:t>
      </w:r>
    </w:p>
    <w:p>
      <w:pPr>
        <w:jc w:val="center"/>
        <w:rPr>
          <w:rFonts w:ascii="宋体" w:hAnsi="宋体"/>
          <w:color w:val="000000" w:themeColor="text1"/>
          <w:kern w:val="0"/>
          <w:sz w:val="44"/>
          <w:szCs w:val="21"/>
          <w14:textFill>
            <w14:solidFill>
              <w14:schemeClr w14:val="tx1"/>
            </w14:solidFill>
          </w14:textFill>
        </w:rPr>
      </w:pPr>
    </w:p>
    <w:p>
      <w:pPr>
        <w:rPr>
          <w:rFonts w:ascii="宋体" w:hAnsi="宋体"/>
          <w:b/>
          <w:bCs/>
          <w:color w:val="000000" w:themeColor="text1"/>
          <w:kern w:val="0"/>
          <w:sz w:val="24"/>
          <w:szCs w:val="21"/>
          <w14:textFill>
            <w14:solidFill>
              <w14:schemeClr w14:val="tx1"/>
            </w14:solidFill>
          </w14:textFill>
        </w:rPr>
      </w:pPr>
    </w:p>
    <w:p>
      <w:pPr>
        <w:rPr>
          <w:rFonts w:ascii="黑体" w:hAnsi="宋体" w:eastAsia="黑体"/>
          <w:b/>
          <w:bCs/>
          <w:color w:val="000000" w:themeColor="text1"/>
          <w:kern w:val="0"/>
          <w:szCs w:val="21"/>
          <w14:textFill>
            <w14:solidFill>
              <w14:schemeClr w14:val="tx1"/>
            </w14:solidFill>
          </w14:textFill>
        </w:rPr>
      </w:pPr>
    </w:p>
    <w:p>
      <w:pPr>
        <w:rPr>
          <w:rFonts w:ascii="宋体" w:hAnsi="宋体"/>
          <w:b/>
          <w:bCs/>
          <w:color w:val="000000" w:themeColor="text1"/>
          <w:kern w:val="0"/>
          <w:sz w:val="24"/>
          <w:szCs w:val="21"/>
          <w14:textFill>
            <w14:solidFill>
              <w14:schemeClr w14:val="tx1"/>
            </w14:solidFill>
          </w14:textFill>
        </w:rPr>
      </w:pPr>
    </w:p>
    <w:p>
      <w:pPr>
        <w:rPr>
          <w:rFonts w:ascii="黑体" w:hAnsi="宋体" w:eastAsia="黑体"/>
          <w:b/>
          <w:bCs/>
          <w:color w:val="000000" w:themeColor="text1"/>
          <w:kern w:val="0"/>
          <w:szCs w:val="21"/>
          <w14:textFill>
            <w14:solidFill>
              <w14:schemeClr w14:val="tx1"/>
            </w14:solidFill>
          </w14:textFill>
        </w:rPr>
      </w:pPr>
    </w:p>
    <w:p>
      <w:pPr>
        <w:ind w:firstLine="1124" w:firstLineChars="400"/>
        <w:rPr>
          <w:rFonts w:ascii="宋体" w:hAnsi="宋体"/>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甲方</w:t>
      </w:r>
      <w:r>
        <w:rPr>
          <w:rFonts w:hint="eastAsia" w:ascii="宋体" w:hAnsi="宋体"/>
          <w:color w:val="000000" w:themeColor="text1"/>
          <w:kern w:val="0"/>
          <w:sz w:val="28"/>
          <w:szCs w:val="28"/>
          <w14:textFill>
            <w14:solidFill>
              <w14:schemeClr w14:val="tx1"/>
            </w14:solidFill>
          </w14:textFill>
        </w:rPr>
        <w:t xml:space="preserve">: </w:t>
      </w:r>
      <w:r>
        <w:rPr>
          <w:rFonts w:ascii="宋体" w:hAnsi="宋体"/>
          <w:color w:val="000000" w:themeColor="text1"/>
          <w:kern w:val="0"/>
          <w:sz w:val="28"/>
          <w:szCs w:val="28"/>
          <w:u w:val="single"/>
          <w14:textFill>
            <w14:solidFill>
              <w14:schemeClr w14:val="tx1"/>
            </w14:solidFill>
          </w14:textFill>
        </w:rPr>
        <w:t>南京邮电大学通达学院</w:t>
      </w:r>
    </w:p>
    <w:p>
      <w:pPr>
        <w:spacing w:line="360" w:lineRule="auto"/>
        <w:ind w:firstLine="1124" w:firstLineChars="400"/>
        <w:rPr>
          <w:rFonts w:ascii="宋体" w:hAnsi="宋体"/>
          <w:bCs/>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住所地：</w:t>
      </w:r>
      <w:r>
        <w:rPr>
          <w:rFonts w:hint="eastAsia" w:ascii="宋体" w:hAnsi="宋体"/>
          <w:bCs/>
          <w:color w:val="000000" w:themeColor="text1"/>
          <w:kern w:val="0"/>
          <w:sz w:val="28"/>
          <w:szCs w:val="28"/>
          <w:u w:val="single"/>
          <w14:textFill>
            <w14:solidFill>
              <w14:schemeClr w14:val="tx1"/>
            </w14:solidFill>
          </w14:textFill>
        </w:rPr>
        <w:t>江苏省扬州市</w:t>
      </w:r>
      <w:r>
        <w:rPr>
          <w:rFonts w:ascii="宋体" w:hAnsi="宋体"/>
          <w:bCs/>
          <w:color w:val="000000" w:themeColor="text1"/>
          <w:kern w:val="0"/>
          <w:sz w:val="28"/>
          <w:szCs w:val="28"/>
          <w:u w:val="single"/>
          <w14:textFill>
            <w14:solidFill>
              <w14:schemeClr w14:val="tx1"/>
            </w14:solidFill>
          </w14:textFill>
        </w:rPr>
        <w:t>邗江区润扬南路33号</w:t>
      </w:r>
      <w:r>
        <w:rPr>
          <w:rFonts w:hint="eastAsia" w:ascii="宋体" w:hAnsi="宋体"/>
          <w:bCs/>
          <w:color w:val="000000" w:themeColor="text1"/>
          <w:kern w:val="0"/>
          <w:sz w:val="28"/>
          <w:szCs w:val="28"/>
          <w14:textFill>
            <w14:solidFill>
              <w14:schemeClr w14:val="tx1"/>
            </w14:solidFill>
          </w14:textFill>
        </w:rPr>
        <w:t xml:space="preserve"> </w:t>
      </w:r>
    </w:p>
    <w:p>
      <w:pPr>
        <w:spacing w:line="360" w:lineRule="auto"/>
        <w:ind w:firstLine="1124" w:firstLineChars="400"/>
        <w:rPr>
          <w:rFonts w:ascii="宋体" w:hAnsi="宋体"/>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 xml:space="preserve">订购负责人：         </w:t>
      </w:r>
      <w:r>
        <w:rPr>
          <w:rFonts w:hint="eastAsia" w:ascii="宋体" w:hAnsi="宋体" w:cs="宋体"/>
          <w:bCs/>
          <w:color w:val="000000" w:themeColor="text1"/>
          <w:kern w:val="0"/>
          <w:sz w:val="28"/>
          <w:szCs w:val="28"/>
          <w14:textFill>
            <w14:solidFill>
              <w14:schemeClr w14:val="tx1"/>
            </w14:solidFill>
          </w14:textFill>
        </w:rPr>
        <w:t xml:space="preserve">    </w:t>
      </w:r>
      <w:r>
        <w:rPr>
          <w:rFonts w:hint="eastAsia" w:ascii="宋体" w:hAnsi="宋体"/>
          <w:b/>
          <w:bCs/>
          <w:color w:val="000000" w:themeColor="text1"/>
          <w:kern w:val="0"/>
          <w:sz w:val="28"/>
          <w:szCs w:val="28"/>
          <w14:textFill>
            <w14:solidFill>
              <w14:schemeClr w14:val="tx1"/>
            </w14:solidFill>
          </w14:textFill>
        </w:rPr>
        <w:t>联系方式：</w:t>
      </w:r>
    </w:p>
    <w:p>
      <w:pPr>
        <w:widowControl/>
        <w:ind w:firstLine="1124" w:firstLineChars="400"/>
        <w:jc w:val="left"/>
        <w:rPr>
          <w:rFonts w:ascii="宋体" w:hAnsi="宋体"/>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 xml:space="preserve">联系人：            </w:t>
      </w:r>
      <w:r>
        <w:rPr>
          <w:rFonts w:hint="eastAsia" w:ascii="宋体" w:hAnsi="宋体"/>
          <w:color w:val="000000" w:themeColor="text1"/>
          <w:kern w:val="0"/>
          <w:sz w:val="28"/>
          <w:szCs w:val="28"/>
          <w14:textFill>
            <w14:solidFill>
              <w14:schemeClr w14:val="tx1"/>
            </w14:solidFill>
          </w14:textFill>
        </w:rPr>
        <w:t xml:space="preserve">     </w:t>
      </w:r>
      <w:r>
        <w:rPr>
          <w:rFonts w:hint="eastAsia" w:ascii="宋体" w:hAnsi="宋体"/>
          <w:b/>
          <w:bCs/>
          <w:color w:val="000000" w:themeColor="text1"/>
          <w:kern w:val="0"/>
          <w:sz w:val="28"/>
          <w:szCs w:val="28"/>
          <w14:textFill>
            <w14:solidFill>
              <w14:schemeClr w14:val="tx1"/>
            </w14:solidFill>
          </w14:textFill>
        </w:rPr>
        <w:t>联系方式：</w:t>
      </w:r>
    </w:p>
    <w:p>
      <w:pPr>
        <w:ind w:firstLine="180"/>
        <w:rPr>
          <w:rFonts w:ascii="宋体" w:hAnsi="宋体"/>
          <w:b/>
          <w:bCs/>
          <w:color w:val="000000" w:themeColor="text1"/>
          <w:kern w:val="0"/>
          <w:sz w:val="28"/>
          <w:szCs w:val="28"/>
          <w14:textFill>
            <w14:solidFill>
              <w14:schemeClr w14:val="tx1"/>
            </w14:solidFill>
          </w14:textFill>
        </w:rPr>
      </w:pPr>
    </w:p>
    <w:p>
      <w:pPr>
        <w:ind w:firstLine="1124" w:firstLineChars="400"/>
        <w:rPr>
          <w:rFonts w:ascii="宋体" w:hAnsi="宋体"/>
          <w:color w:val="000000" w:themeColor="text1"/>
          <w:kern w:val="0"/>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乙方</w:t>
      </w:r>
      <w:r>
        <w:rPr>
          <w:rFonts w:hint="eastAsia" w:ascii="宋体" w:hAnsi="宋体"/>
          <w:color w:val="000000" w:themeColor="text1"/>
          <w:kern w:val="0"/>
          <w:sz w:val="28"/>
          <w:szCs w:val="28"/>
          <w14:textFill>
            <w14:solidFill>
              <w14:schemeClr w14:val="tx1"/>
            </w14:solidFill>
          </w14:textFill>
        </w:rPr>
        <w:t>：</w:t>
      </w:r>
    </w:p>
    <w:p>
      <w:pPr>
        <w:spacing w:line="360" w:lineRule="auto"/>
        <w:ind w:firstLine="1124" w:firstLineChars="400"/>
        <w:rPr>
          <w:rFonts w:ascii="宋体" w:hAnsi="宋体"/>
          <w:color w:val="000000" w:themeColor="text1"/>
          <w:kern w:val="0"/>
          <w:sz w:val="28"/>
          <w:szCs w:val="28"/>
          <w:u w:val="single"/>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住所地</w:t>
      </w:r>
      <w:r>
        <w:rPr>
          <w:rFonts w:hint="eastAsia" w:ascii="宋体" w:hAnsi="宋体"/>
          <w:color w:val="000000" w:themeColor="text1"/>
          <w:kern w:val="0"/>
          <w:sz w:val="28"/>
          <w:szCs w:val="28"/>
          <w:u w:val="single"/>
          <w14:textFill>
            <w14:solidFill>
              <w14:schemeClr w14:val="tx1"/>
            </w14:solidFill>
          </w14:textFill>
        </w:rPr>
        <w:t>：</w:t>
      </w:r>
    </w:p>
    <w:p>
      <w:pPr>
        <w:spacing w:line="360" w:lineRule="auto"/>
        <w:ind w:firstLine="1124" w:firstLineChars="400"/>
        <w:rPr>
          <w:rFonts w:ascii="宋体" w:hAnsi="宋体"/>
          <w:color w:val="000000" w:themeColor="text1"/>
          <w:kern w:val="0"/>
          <w:sz w:val="28"/>
          <w:szCs w:val="28"/>
          <w:u w:val="single"/>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联系人：</w:t>
      </w:r>
      <w:r>
        <w:rPr>
          <w:rFonts w:hint="eastAsia" w:ascii="宋体" w:hAnsi="宋体"/>
          <w:color w:val="000000" w:themeColor="text1"/>
          <w:kern w:val="0"/>
          <w:sz w:val="28"/>
          <w:szCs w:val="28"/>
          <w14:textFill>
            <w14:solidFill>
              <w14:schemeClr w14:val="tx1"/>
            </w14:solidFill>
          </w14:textFill>
        </w:rPr>
        <w:t xml:space="preserve">                </w:t>
      </w:r>
      <w:r>
        <w:rPr>
          <w:rFonts w:hint="eastAsia" w:ascii="宋体" w:hAnsi="宋体"/>
          <w:b/>
          <w:bCs/>
          <w:color w:val="000000" w:themeColor="text1"/>
          <w:kern w:val="0"/>
          <w:sz w:val="28"/>
          <w:szCs w:val="28"/>
          <w14:textFill>
            <w14:solidFill>
              <w14:schemeClr w14:val="tx1"/>
            </w14:solidFill>
          </w14:textFill>
        </w:rPr>
        <w:t>联系方式：</w:t>
      </w:r>
    </w:p>
    <w:p>
      <w:pPr>
        <w:ind w:firstLine="180"/>
        <w:jc w:val="center"/>
        <w:rPr>
          <w:rFonts w:ascii="宋体" w:hAnsi="宋体"/>
          <w:b/>
          <w:bCs/>
          <w:color w:val="000000" w:themeColor="text1"/>
          <w:kern w:val="0"/>
          <w:sz w:val="28"/>
          <w:szCs w:val="28"/>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531" w:right="1474" w:bottom="1418" w:left="1474" w:header="851" w:footer="992" w:gutter="0"/>
          <w:pgNumType w:start="1"/>
          <w:cols w:space="720" w:num="1"/>
          <w:docGrid w:type="lines" w:linePitch="312" w:charSpace="0"/>
        </w:sectPr>
      </w:pPr>
    </w:p>
    <w:p>
      <w:pPr>
        <w:ind w:right="25" w:rightChars="12" w:firstLine="420" w:firstLineChars="200"/>
        <w:rPr>
          <w:rFonts w:ascii="宋体" w:hAnsi="宋体"/>
          <w:color w:val="000000"/>
          <w:szCs w:val="21"/>
        </w:rPr>
      </w:pPr>
      <w:r>
        <w:rPr>
          <w:rFonts w:hint="eastAsia" w:ascii="宋体" w:hAnsi="宋体"/>
          <w:color w:val="000000"/>
          <w:szCs w:val="21"/>
        </w:rPr>
        <w:t>根据《中华人民共和国民法典》《中华人民共和国著作权法》和其它相关法律法规，甲乙双方就乙方向甲方提供“中国知网”数据库服务事宜，协商一致，达成如下意见，共同遵照执行。</w:t>
      </w:r>
    </w:p>
    <w:p>
      <w:pPr>
        <w:numPr>
          <w:ilvl w:val="0"/>
          <w:numId w:val="3"/>
        </w:numPr>
        <w:spacing w:before="156" w:beforeLines="50"/>
        <w:ind w:right="25" w:rightChars="12"/>
        <w:rPr>
          <w:rFonts w:ascii="黑体" w:hAnsi="宋体" w:eastAsia="黑体"/>
          <w:b/>
          <w:color w:val="000000"/>
          <w:kern w:val="0"/>
          <w:szCs w:val="21"/>
        </w:rPr>
      </w:pPr>
      <w:r>
        <w:rPr>
          <w:rFonts w:hint="eastAsia" w:ascii="黑体" w:hAnsi="宋体" w:eastAsia="黑体"/>
          <w:b/>
          <w:color w:val="000000"/>
          <w:kern w:val="0"/>
          <w:szCs w:val="21"/>
        </w:rPr>
        <w:t>甲方的权利与义务</w:t>
      </w:r>
    </w:p>
    <w:p>
      <w:pPr>
        <w:spacing w:before="156" w:beforeLines="50"/>
        <w:ind w:right="25" w:rightChars="12" w:firstLine="420"/>
        <w:rPr>
          <w:rFonts w:ascii="黑体" w:hAnsi="宋体" w:eastAsia="黑体"/>
          <w:b/>
          <w:color w:val="000000"/>
          <w:kern w:val="0"/>
          <w:szCs w:val="21"/>
        </w:rPr>
      </w:pPr>
      <w:r>
        <w:rPr>
          <w:rFonts w:hint="eastAsia" w:ascii="宋体" w:hAnsi="宋体"/>
          <w:color w:val="000000"/>
          <w:kern w:val="0"/>
          <w:szCs w:val="21"/>
        </w:rPr>
        <w:t>甲方通过本合同获得乙方提供的“中国知网”数据库服务，包括《中国学术期刊（光盘版）》电子杂志社有限公司编辑出版的各类数据库、乙方获得合法授权代理销售的合作产品以及乙方开发的支撑数据库产品的计算机应用软件、乙方为保证本合同约定数据库正常使用而提供的持续出版的数据库内容的安装、数据库系统的维护及技术支持等服务。</w:t>
      </w:r>
    </w:p>
    <w:p>
      <w:pPr>
        <w:pStyle w:val="32"/>
        <w:numPr>
          <w:ilvl w:val="0"/>
          <w:numId w:val="4"/>
        </w:numPr>
        <w:spacing w:before="156" w:beforeLines="50"/>
        <w:ind w:left="1168" w:right="25" w:rightChars="12" w:hanging="748" w:firstLineChars="0"/>
        <w:rPr>
          <w:rFonts w:ascii="宋体" w:hAnsi="宋体"/>
          <w:color w:val="000000"/>
          <w:kern w:val="0"/>
          <w:szCs w:val="21"/>
        </w:rPr>
      </w:pPr>
      <w:r>
        <w:rPr>
          <w:rFonts w:hint="eastAsia" w:ascii="宋体" w:hAnsi="宋体"/>
          <w:color w:val="000000"/>
          <w:kern w:val="0"/>
          <w:szCs w:val="21"/>
        </w:rPr>
        <w:t>订购内容</w:t>
      </w:r>
    </w:p>
    <w:p>
      <w:pPr>
        <w:spacing w:before="156" w:beforeLines="50"/>
        <w:ind w:right="25" w:rightChars="12" w:firstLine="420"/>
        <w:rPr>
          <w:rFonts w:ascii="宋体" w:hAnsi="宋体"/>
          <w:color w:val="000000"/>
          <w:kern w:val="0"/>
          <w:szCs w:val="21"/>
          <w:highlight w:val="yellow"/>
        </w:rPr>
      </w:pPr>
      <w:r>
        <w:rPr>
          <w:rFonts w:hint="eastAsia" w:ascii="宋体" w:hAnsi="宋体"/>
          <w:color w:val="000000"/>
          <w:kern w:val="0"/>
          <w:szCs w:val="21"/>
        </w:rPr>
        <w:t>甲方获得许可使用的服务内容见附件一《“中国知网”数据库订单》。</w:t>
      </w:r>
    </w:p>
    <w:p>
      <w:pPr>
        <w:pStyle w:val="32"/>
        <w:numPr>
          <w:ilvl w:val="0"/>
          <w:numId w:val="4"/>
        </w:numPr>
        <w:spacing w:before="156" w:beforeLines="50"/>
        <w:ind w:left="1168" w:right="25" w:rightChars="12" w:hanging="748" w:firstLineChars="0"/>
        <w:rPr>
          <w:rFonts w:ascii="宋体" w:hAnsi="宋体"/>
          <w:color w:val="000000"/>
          <w:kern w:val="0"/>
          <w:szCs w:val="21"/>
        </w:rPr>
      </w:pPr>
      <w:r>
        <w:rPr>
          <w:rFonts w:hint="eastAsia" w:ascii="宋体" w:hAnsi="宋体"/>
          <w:color w:val="000000"/>
          <w:kern w:val="0"/>
          <w:szCs w:val="21"/>
        </w:rPr>
        <w:t>数据库服务方式</w:t>
      </w:r>
    </w:p>
    <w:p>
      <w:pPr>
        <w:spacing w:before="156" w:beforeLines="50"/>
        <w:ind w:left="420" w:right="25" w:rightChars="12"/>
        <w:rPr>
          <w:rFonts w:ascii="宋体" w:hAnsi="宋体"/>
          <w:b/>
          <w:color w:val="000000"/>
          <w:kern w:val="0"/>
          <w:szCs w:val="21"/>
        </w:rPr>
      </w:pPr>
      <w:r>
        <w:rPr>
          <w:rFonts w:hint="eastAsia" w:ascii="宋体" w:hAnsi="宋体"/>
          <w:b/>
          <w:color w:val="000000"/>
          <w:kern w:val="0"/>
          <w:szCs w:val="21"/>
        </w:rPr>
        <w:t>根据附件一甲方选择，乙方按以下方式提供服务：</w:t>
      </w:r>
    </w:p>
    <w:p>
      <w:pPr>
        <w:spacing w:before="156" w:beforeLines="50"/>
        <w:ind w:left="420" w:right="25" w:rightChars="12"/>
        <w:rPr>
          <w:rFonts w:ascii="宋体" w:hAnsi="宋体"/>
          <w:color w:val="000000"/>
          <w:kern w:val="0"/>
          <w:szCs w:val="21"/>
        </w:rPr>
      </w:pPr>
      <w:r>
        <w:rPr>
          <w:rFonts w:hint="eastAsia" w:ascii="宋体" w:hAnsi="宋体"/>
          <w:b/>
          <w:color w:val="000000"/>
          <w:kern w:val="0"/>
          <w:szCs w:val="21"/>
        </w:rPr>
        <w:t>1、云托管方式：</w:t>
      </w:r>
      <w:r>
        <w:rPr>
          <w:rFonts w:hint="eastAsia" w:ascii="宋体" w:hAnsi="宋体"/>
          <w:color w:val="000000"/>
          <w:kern w:val="0"/>
          <w:szCs w:val="21"/>
        </w:rPr>
        <w:t>即在本合同期内，甲方委托乙方将本合同约定数据库存放在“中国知网”网站（</w:t>
      </w:r>
      <w:r>
        <w:rPr>
          <w:color w:val="000000"/>
          <w:kern w:val="0"/>
          <w:szCs w:val="21"/>
        </w:rPr>
        <w:t>www.cnki.net</w:t>
      </w:r>
      <w:r>
        <w:rPr>
          <w:rFonts w:hint="eastAsia" w:ascii="宋体" w:hAnsi="宋体"/>
          <w:color w:val="000000"/>
          <w:kern w:val="0"/>
          <w:szCs w:val="21"/>
        </w:rPr>
        <w:t>），并获得乙方提供的检索、浏览、下载和数据库保管、数据安装等服务。</w:t>
      </w:r>
    </w:p>
    <w:p>
      <w:pPr>
        <w:pStyle w:val="32"/>
        <w:numPr>
          <w:ilvl w:val="0"/>
          <w:numId w:val="4"/>
        </w:numPr>
        <w:spacing w:before="156" w:beforeLines="50"/>
        <w:ind w:left="1168" w:right="25" w:rightChars="12" w:hanging="748" w:firstLineChars="0"/>
        <w:rPr>
          <w:rFonts w:ascii="宋体" w:hAnsi="宋体"/>
          <w:color w:val="000000"/>
          <w:kern w:val="0"/>
          <w:szCs w:val="21"/>
        </w:rPr>
      </w:pPr>
      <w:r>
        <w:rPr>
          <w:rFonts w:hint="eastAsia" w:ascii="宋体" w:hAnsi="宋体"/>
          <w:color w:val="000000"/>
          <w:kern w:val="0"/>
          <w:szCs w:val="21"/>
        </w:rPr>
        <w:t>服务提供</w:t>
      </w:r>
    </w:p>
    <w:p>
      <w:pPr>
        <w:spacing w:before="156" w:beforeLines="50"/>
        <w:ind w:right="25" w:rightChars="12" w:firstLine="420"/>
        <w:rPr>
          <w:rFonts w:ascii="宋体" w:hAnsi="宋体"/>
          <w:b/>
          <w:color w:val="000000"/>
          <w:kern w:val="0"/>
          <w:szCs w:val="21"/>
        </w:rPr>
      </w:pPr>
      <w:r>
        <w:rPr>
          <w:rFonts w:hint="eastAsia" w:ascii="宋体" w:hAnsi="宋体"/>
          <w:b/>
          <w:color w:val="000000"/>
          <w:kern w:val="0"/>
          <w:szCs w:val="21"/>
        </w:rPr>
        <w:t>根据附件一甲方选择，乙方按以下方式提供服务：</w:t>
      </w:r>
    </w:p>
    <w:p>
      <w:pPr>
        <w:pStyle w:val="27"/>
        <w:numPr>
          <w:ilvl w:val="255"/>
          <w:numId w:val="0"/>
        </w:numPr>
        <w:ind w:left="426" w:right="25" w:rightChars="12"/>
        <w:rPr>
          <w:rFonts w:ascii="宋体" w:hAnsi="宋体"/>
          <w:b/>
          <w:color w:val="000000"/>
          <w:kern w:val="0"/>
          <w:szCs w:val="21"/>
        </w:rPr>
      </w:pPr>
      <w:r>
        <w:rPr>
          <w:rFonts w:hint="eastAsia" w:ascii="宋体" w:hAnsi="宋体"/>
          <w:b/>
          <w:color w:val="000000"/>
          <w:kern w:val="0"/>
          <w:szCs w:val="21"/>
        </w:rPr>
        <w:t>1、云托管方式</w:t>
      </w:r>
      <w:r>
        <w:rPr>
          <w:rFonts w:ascii="宋体" w:hAnsi="宋体"/>
          <w:b/>
          <w:color w:val="000000"/>
          <w:kern w:val="0"/>
          <w:szCs w:val="21"/>
        </w:rPr>
        <w:t>：</w:t>
      </w:r>
    </w:p>
    <w:p>
      <w:pPr>
        <w:pStyle w:val="32"/>
        <w:numPr>
          <w:ilvl w:val="0"/>
          <w:numId w:val="5"/>
        </w:numPr>
        <w:adjustRightInd w:val="0"/>
        <w:snapToGrid w:val="0"/>
        <w:spacing w:before="156" w:beforeLines="50"/>
        <w:ind w:left="1134" w:right="25" w:rightChars="12" w:firstLineChars="0"/>
        <w:rPr>
          <w:rFonts w:ascii="宋体" w:hAnsi="宋体"/>
          <w:color w:val="000000"/>
          <w:szCs w:val="21"/>
        </w:rPr>
      </w:pPr>
      <w:r>
        <w:rPr>
          <w:rFonts w:hint="eastAsia" w:ascii="宋体" w:hAnsi="宋体"/>
          <w:color w:val="000000"/>
          <w:kern w:val="0"/>
          <w:szCs w:val="21"/>
        </w:rPr>
        <w:t>开通服务账号：在本合同约定的服务期开始前，乙方为甲方提供专为甲方服务的“中</w:t>
      </w:r>
      <w:r>
        <w:rPr>
          <w:rFonts w:hint="eastAsia" w:ascii="宋体" w:hAnsi="宋体"/>
          <w:color w:val="000000"/>
          <w:szCs w:val="21"/>
        </w:rPr>
        <w:t>国知网”网站的账号和密码，甲方确认开通结果。</w:t>
      </w:r>
    </w:p>
    <w:p>
      <w:pPr>
        <w:spacing w:before="156" w:beforeLines="50"/>
        <w:ind w:left="714" w:right="25" w:rightChars="12" w:firstLine="420"/>
        <w:rPr>
          <w:rFonts w:ascii="宋体" w:hAnsi="宋体"/>
          <w:color w:val="000000"/>
          <w:szCs w:val="21"/>
        </w:rPr>
      </w:pPr>
      <w:r>
        <w:rPr>
          <w:rFonts w:hint="eastAsia" w:ascii="宋体" w:hAnsi="宋体"/>
          <w:color w:val="000000"/>
          <w:szCs w:val="21"/>
        </w:rPr>
        <w:t>数据库网上使用期限：</w:t>
      </w:r>
    </w:p>
    <w:p>
      <w:pPr>
        <w:spacing w:before="156" w:beforeLines="50"/>
        <w:ind w:left="714" w:right="25" w:rightChars="12" w:firstLine="420"/>
        <w:rPr>
          <w:rFonts w:ascii="宋体" w:hAnsi="宋体"/>
          <w:color w:val="000000"/>
          <w:kern w:val="0"/>
          <w:szCs w:val="21"/>
          <w:u w:val="single"/>
        </w:rPr>
      </w:pPr>
      <w:r>
        <w:rPr>
          <w:rFonts w:hint="eastAsia" w:ascii="宋体" w:hAnsi="宋体"/>
          <w:color w:val="000000"/>
          <w:kern w:val="0"/>
          <w:szCs w:val="21"/>
        </w:rPr>
        <w:t>自</w:t>
      </w:r>
      <w:r>
        <w:rPr>
          <w:rFonts w:hint="eastAsia" w:ascii="宋体" w:hAnsi="宋体"/>
          <w:color w:val="000000"/>
          <w:kern w:val="0"/>
          <w:szCs w:val="21"/>
          <w:u w:val="single"/>
        </w:rPr>
        <w:t xml:space="preserve"> 202</w:t>
      </w:r>
      <w:r>
        <w:rPr>
          <w:rFonts w:hint="eastAsia" w:ascii="宋体" w:hAnsi="宋体"/>
          <w:color w:val="000000"/>
          <w:kern w:val="0"/>
          <w:szCs w:val="21"/>
          <w:u w:val="single"/>
          <w:lang w:val="en-US" w:eastAsia="zh-CN"/>
        </w:rPr>
        <w:t>6</w:t>
      </w:r>
      <w:r>
        <w:rPr>
          <w:rFonts w:hint="eastAsia" w:ascii="宋体" w:hAnsi="宋体"/>
          <w:color w:val="000000"/>
          <w:kern w:val="0"/>
          <w:szCs w:val="21"/>
        </w:rPr>
        <w:t>年</w:t>
      </w:r>
      <w:r>
        <w:rPr>
          <w:rFonts w:hint="eastAsia" w:ascii="宋体" w:hAnsi="宋体"/>
          <w:color w:val="000000"/>
          <w:kern w:val="0"/>
          <w:szCs w:val="21"/>
          <w:u w:val="single"/>
        </w:rPr>
        <w:t xml:space="preserve"> </w:t>
      </w:r>
      <w:r>
        <w:rPr>
          <w:rFonts w:hint="eastAsia" w:ascii="宋体" w:hAnsi="宋体"/>
          <w:color w:val="000000"/>
          <w:kern w:val="0"/>
          <w:szCs w:val="21"/>
          <w:u w:val="single"/>
          <w:lang w:val="en-US" w:eastAsia="zh-CN"/>
        </w:rPr>
        <w:t>1</w:t>
      </w:r>
      <w:r>
        <w:rPr>
          <w:rFonts w:hint="eastAsia" w:ascii="宋体" w:hAnsi="宋体"/>
          <w:color w:val="000000"/>
          <w:kern w:val="0"/>
          <w:szCs w:val="21"/>
        </w:rPr>
        <w:t>月</w:t>
      </w:r>
      <w:r>
        <w:rPr>
          <w:rFonts w:hint="eastAsia" w:ascii="宋体" w:hAnsi="宋体"/>
          <w:color w:val="000000"/>
          <w:kern w:val="0"/>
          <w:szCs w:val="21"/>
          <w:u w:val="single"/>
        </w:rPr>
        <w:t xml:space="preserve"> </w:t>
      </w:r>
      <w:r>
        <w:rPr>
          <w:rFonts w:hint="eastAsia" w:ascii="宋体" w:hAnsi="宋体"/>
          <w:color w:val="000000"/>
          <w:kern w:val="0"/>
          <w:szCs w:val="21"/>
          <w:u w:val="single"/>
          <w:lang w:val="en-US" w:eastAsia="zh-CN"/>
        </w:rPr>
        <w:t>1</w:t>
      </w:r>
      <w:r>
        <w:rPr>
          <w:rFonts w:hint="eastAsia" w:ascii="宋体" w:hAnsi="宋体"/>
          <w:color w:val="000000"/>
          <w:kern w:val="0"/>
          <w:szCs w:val="21"/>
        </w:rPr>
        <w:t>日至</w:t>
      </w:r>
      <w:r>
        <w:rPr>
          <w:rFonts w:hint="eastAsia" w:ascii="宋体" w:hAnsi="宋体"/>
          <w:color w:val="000000"/>
          <w:kern w:val="0"/>
          <w:szCs w:val="21"/>
          <w:u w:val="single"/>
        </w:rPr>
        <w:t xml:space="preserve"> 202</w:t>
      </w:r>
      <w:r>
        <w:rPr>
          <w:rFonts w:hint="eastAsia" w:ascii="宋体" w:hAnsi="宋体"/>
          <w:color w:val="000000"/>
          <w:kern w:val="0"/>
          <w:szCs w:val="21"/>
          <w:u w:val="single"/>
          <w:lang w:val="en-US" w:eastAsia="zh-CN"/>
        </w:rPr>
        <w:t>6</w:t>
      </w:r>
      <w:r>
        <w:rPr>
          <w:rFonts w:hint="eastAsia" w:ascii="宋体" w:hAnsi="宋体"/>
          <w:color w:val="000000"/>
          <w:kern w:val="0"/>
          <w:szCs w:val="21"/>
          <w:u w:val="single"/>
        </w:rPr>
        <w:t xml:space="preserve"> </w:t>
      </w:r>
      <w:r>
        <w:rPr>
          <w:rFonts w:hint="eastAsia" w:ascii="宋体" w:hAnsi="宋体"/>
          <w:color w:val="000000"/>
          <w:kern w:val="0"/>
          <w:szCs w:val="21"/>
        </w:rPr>
        <w:t>年</w:t>
      </w:r>
      <w:r>
        <w:rPr>
          <w:rFonts w:hint="eastAsia" w:ascii="宋体" w:hAnsi="宋体"/>
          <w:color w:val="000000"/>
          <w:kern w:val="0"/>
          <w:szCs w:val="21"/>
          <w:u w:val="single"/>
        </w:rPr>
        <w:t xml:space="preserve"> </w:t>
      </w:r>
      <w:r>
        <w:rPr>
          <w:rFonts w:hint="eastAsia" w:ascii="宋体" w:hAnsi="宋体"/>
          <w:color w:val="000000"/>
          <w:kern w:val="0"/>
          <w:szCs w:val="21"/>
          <w:u w:val="single"/>
          <w:lang w:val="en-US" w:eastAsia="zh-CN"/>
        </w:rPr>
        <w:t>12</w:t>
      </w:r>
      <w:r>
        <w:rPr>
          <w:rFonts w:hint="eastAsia" w:ascii="宋体" w:hAnsi="宋体"/>
          <w:color w:val="000000"/>
          <w:kern w:val="0"/>
          <w:szCs w:val="21"/>
          <w:u w:val="single"/>
        </w:rPr>
        <w:t xml:space="preserve"> </w:t>
      </w:r>
      <w:r>
        <w:rPr>
          <w:rFonts w:hint="eastAsia" w:ascii="宋体" w:hAnsi="宋体"/>
          <w:color w:val="000000"/>
          <w:kern w:val="0"/>
          <w:szCs w:val="21"/>
        </w:rPr>
        <w:t>月</w:t>
      </w:r>
      <w:r>
        <w:rPr>
          <w:rFonts w:hint="eastAsia" w:ascii="宋体" w:hAnsi="宋体"/>
          <w:color w:val="000000"/>
          <w:kern w:val="0"/>
          <w:szCs w:val="21"/>
          <w:u w:val="single"/>
        </w:rPr>
        <w:t xml:space="preserve"> </w:t>
      </w:r>
      <w:r>
        <w:rPr>
          <w:rFonts w:hint="eastAsia" w:ascii="宋体" w:hAnsi="宋体"/>
          <w:color w:val="000000"/>
          <w:kern w:val="0"/>
          <w:szCs w:val="21"/>
          <w:u w:val="single"/>
          <w:lang w:val="en-US" w:eastAsia="zh-CN"/>
        </w:rPr>
        <w:t>31</w:t>
      </w:r>
      <w:r>
        <w:rPr>
          <w:rFonts w:hint="eastAsia" w:ascii="宋体" w:hAnsi="宋体"/>
          <w:color w:val="000000"/>
          <w:kern w:val="0"/>
          <w:szCs w:val="21"/>
        </w:rPr>
        <w:t>日。</w:t>
      </w:r>
    </w:p>
    <w:p>
      <w:pPr>
        <w:pStyle w:val="32"/>
        <w:numPr>
          <w:ilvl w:val="0"/>
          <w:numId w:val="5"/>
        </w:numPr>
        <w:adjustRightInd w:val="0"/>
        <w:snapToGrid w:val="0"/>
        <w:spacing w:before="156" w:beforeLines="50"/>
        <w:ind w:left="1134" w:right="25" w:rightChars="12" w:firstLineChars="0"/>
        <w:rPr>
          <w:rFonts w:ascii="宋体" w:hAnsi="宋体"/>
          <w:color w:val="000000"/>
          <w:szCs w:val="21"/>
        </w:rPr>
      </w:pPr>
      <w:r>
        <w:rPr>
          <w:rFonts w:hint="eastAsia" w:ascii="宋体" w:hAnsi="宋体"/>
          <w:color w:val="000000"/>
          <w:szCs w:val="21"/>
        </w:rPr>
        <w:t>数据库安装：在本合同期内每年年底或本合同终止时，乙方可向甲方提供数据库光盘，并在甲方要求时将数据库免费安装在甲方内部网络服务器上。甲方应具备必要的安装条件，并在安装完成后确认安装结果。</w:t>
      </w:r>
    </w:p>
    <w:p>
      <w:pPr>
        <w:pStyle w:val="32"/>
        <w:numPr>
          <w:ilvl w:val="0"/>
          <w:numId w:val="5"/>
        </w:numPr>
        <w:adjustRightInd w:val="0"/>
        <w:snapToGrid w:val="0"/>
        <w:spacing w:before="156" w:beforeLines="50"/>
        <w:ind w:left="1134" w:right="25" w:rightChars="12" w:firstLineChars="0"/>
        <w:rPr>
          <w:rFonts w:ascii="宋体" w:hAnsi="宋体"/>
          <w:color w:val="000000"/>
          <w:kern w:val="0"/>
          <w:szCs w:val="21"/>
        </w:rPr>
      </w:pPr>
      <w:r>
        <w:rPr>
          <w:rFonts w:hint="eastAsia" w:ascii="宋体" w:hAnsi="宋体"/>
          <w:color w:val="000000"/>
          <w:kern w:val="0"/>
          <w:szCs w:val="21"/>
        </w:rPr>
        <w:t>本合同期满后甲方不再续订数据库，且需要乙方继续提供甲方拥有永久使用权的数据库的云托管服务的，甲方每年按当年同类数据库续订费10%的标准向乙方支付服务费。</w:t>
      </w:r>
    </w:p>
    <w:p>
      <w:pPr>
        <w:pStyle w:val="32"/>
        <w:numPr>
          <w:ilvl w:val="0"/>
          <w:numId w:val="5"/>
        </w:numPr>
        <w:adjustRightInd w:val="0"/>
        <w:snapToGrid w:val="0"/>
        <w:spacing w:before="156" w:beforeLines="50"/>
        <w:ind w:left="1134" w:right="25" w:rightChars="12" w:firstLineChars="0"/>
        <w:rPr>
          <w:rFonts w:ascii="宋体" w:hAnsi="宋体"/>
          <w:color w:val="000000"/>
          <w:szCs w:val="21"/>
        </w:rPr>
      </w:pPr>
      <w:r>
        <w:rPr>
          <w:rFonts w:hint="eastAsia" w:ascii="宋体" w:hAnsi="宋体"/>
          <w:color w:val="000000"/>
          <w:szCs w:val="21"/>
        </w:rPr>
        <w:t>数据库保存：乙方可按年度向甲方提供全年的数据库保存光盘。</w:t>
      </w:r>
    </w:p>
    <w:p>
      <w:pPr>
        <w:pStyle w:val="32"/>
        <w:numPr>
          <w:ilvl w:val="0"/>
          <w:numId w:val="5"/>
        </w:numPr>
        <w:adjustRightInd w:val="0"/>
        <w:snapToGrid w:val="0"/>
        <w:spacing w:before="156" w:beforeLines="50"/>
        <w:ind w:left="1134" w:right="25" w:rightChars="12" w:firstLineChars="0"/>
        <w:rPr>
          <w:rFonts w:ascii="宋体" w:hAnsi="宋体"/>
          <w:color w:val="000000"/>
          <w:szCs w:val="21"/>
        </w:rPr>
      </w:pPr>
      <w:r>
        <w:rPr>
          <w:rFonts w:hint="eastAsia" w:ascii="宋体" w:hAnsi="宋体"/>
          <w:color w:val="000000"/>
          <w:szCs w:val="21"/>
        </w:rPr>
        <w:t>内容新增</w:t>
      </w:r>
    </w:p>
    <w:p>
      <w:pPr>
        <w:pStyle w:val="32"/>
        <w:spacing w:before="156" w:beforeLines="50"/>
        <w:ind w:left="1215" w:right="25" w:rightChars="12" w:firstLine="0" w:firstLineChars="0"/>
        <w:rPr>
          <w:rFonts w:ascii="宋体" w:hAnsi="宋体"/>
          <w:color w:val="000000"/>
          <w:szCs w:val="21"/>
        </w:rPr>
      </w:pPr>
      <w:r>
        <w:rPr>
          <w:rFonts w:hint="eastAsia" w:ascii="宋体" w:hAnsi="宋体"/>
          <w:color w:val="000000"/>
          <w:kern w:val="0"/>
          <w:szCs w:val="21"/>
        </w:rPr>
        <w:t>乙方每个工作日在“中国知网”网站提供新增数据库内容</w:t>
      </w:r>
      <w:r>
        <w:rPr>
          <w:rFonts w:hint="eastAsia" w:ascii="宋体" w:hAnsi="宋体"/>
          <w:color w:val="000000"/>
          <w:szCs w:val="21"/>
        </w:rPr>
        <w:t>。</w:t>
      </w:r>
    </w:p>
    <w:p>
      <w:pPr>
        <w:pStyle w:val="32"/>
        <w:numPr>
          <w:ilvl w:val="0"/>
          <w:numId w:val="4"/>
        </w:numPr>
        <w:spacing w:before="156" w:beforeLines="50"/>
        <w:ind w:left="1168" w:right="25" w:rightChars="12" w:hanging="748" w:firstLineChars="0"/>
        <w:rPr>
          <w:rFonts w:ascii="宋体" w:hAnsi="宋体"/>
          <w:color w:val="000000"/>
          <w:kern w:val="0"/>
          <w:szCs w:val="21"/>
        </w:rPr>
      </w:pPr>
      <w:r>
        <w:rPr>
          <w:rFonts w:hint="eastAsia" w:ascii="宋体" w:hAnsi="宋体"/>
          <w:color w:val="000000"/>
          <w:kern w:val="0"/>
          <w:szCs w:val="21"/>
        </w:rPr>
        <w:t>服务订购费</w:t>
      </w:r>
    </w:p>
    <w:p>
      <w:pPr>
        <w:spacing w:before="156" w:beforeLines="50"/>
        <w:ind w:left="420" w:right="25" w:rightChars="12" w:firstLine="300"/>
        <w:rPr>
          <w:rFonts w:ascii="宋体" w:hAnsi="宋体"/>
          <w:kern w:val="0"/>
          <w:szCs w:val="21"/>
        </w:rPr>
      </w:pPr>
      <w:r>
        <w:rPr>
          <w:rFonts w:hint="eastAsia" w:ascii="宋体" w:hAnsi="宋体"/>
          <w:kern w:val="0"/>
          <w:szCs w:val="21"/>
        </w:rPr>
        <w:t>甲方应在202</w:t>
      </w:r>
      <w:r>
        <w:rPr>
          <w:rFonts w:hint="eastAsia" w:ascii="宋体" w:hAnsi="宋体"/>
          <w:kern w:val="0"/>
          <w:szCs w:val="21"/>
          <w:lang w:val="en-US" w:eastAsia="zh-CN"/>
        </w:rPr>
        <w:t>5</w:t>
      </w:r>
      <w:r>
        <w:rPr>
          <w:rFonts w:hint="eastAsia" w:ascii="宋体" w:hAnsi="宋体"/>
          <w:kern w:val="0"/>
          <w:szCs w:val="21"/>
        </w:rPr>
        <w:t>年12月31日之前支付下列款项：</w:t>
      </w:r>
    </w:p>
    <w:p>
      <w:pPr>
        <w:spacing w:before="156" w:beforeLines="50"/>
        <w:ind w:left="420" w:right="25" w:rightChars="12" w:firstLine="300"/>
        <w:rPr>
          <w:rFonts w:ascii="宋体" w:hAnsi="宋体"/>
          <w:kern w:val="0"/>
          <w:szCs w:val="21"/>
        </w:rPr>
      </w:pPr>
      <w:r>
        <w:rPr>
          <w:rFonts w:hint="eastAsia" w:ascii="宋体" w:hAnsi="宋体"/>
          <w:kern w:val="0"/>
          <w:szCs w:val="21"/>
        </w:rPr>
        <w:t xml:space="preserve">服务费： </w:t>
      </w:r>
      <w:r>
        <w:rPr>
          <w:rFonts w:hint="eastAsia" w:ascii="宋体" w:hAnsi="宋体"/>
          <w:kern w:val="0"/>
          <w:szCs w:val="21"/>
          <w:u w:val="single"/>
        </w:rPr>
        <w:t xml:space="preserve">  </w:t>
      </w:r>
      <w:r>
        <w:rPr>
          <w:rFonts w:hint="eastAsia" w:ascii="宋体" w:hAnsi="宋体"/>
          <w:szCs w:val="21"/>
          <w:u w:val="single"/>
          <w:lang w:val="en-US" w:eastAsia="zh-CN"/>
        </w:rPr>
        <w:t xml:space="preserve">              </w:t>
      </w:r>
      <w:r>
        <w:rPr>
          <w:rFonts w:hint="eastAsia" w:ascii="宋体" w:hAnsi="宋体"/>
          <w:kern w:val="0"/>
          <w:szCs w:val="21"/>
          <w:u w:val="single"/>
        </w:rPr>
        <w:t xml:space="preserve"> </w:t>
      </w:r>
      <w:r>
        <w:rPr>
          <w:rFonts w:hint="eastAsia" w:ascii="宋体" w:hAnsi="宋体"/>
          <w:kern w:val="0"/>
          <w:szCs w:val="21"/>
        </w:rPr>
        <w:t>（人民币大写）</w:t>
      </w:r>
    </w:p>
    <w:p>
      <w:pPr>
        <w:spacing w:before="156" w:beforeLines="50"/>
        <w:ind w:left="420" w:right="25" w:rightChars="12" w:firstLine="300"/>
        <w:rPr>
          <w:rFonts w:hint="eastAsia" w:ascii="宋体" w:hAnsi="宋体"/>
          <w:color w:val="000000"/>
          <w:kern w:val="0"/>
          <w:szCs w:val="21"/>
          <w:lang w:val="en-US" w:eastAsia="zh-CN"/>
        </w:rPr>
      </w:pPr>
    </w:p>
    <w:p>
      <w:pPr>
        <w:spacing w:before="156" w:beforeLines="50"/>
        <w:ind w:left="420" w:right="25" w:rightChars="12" w:firstLine="300"/>
        <w:rPr>
          <w:rFonts w:hint="eastAsia" w:ascii="宋体" w:hAnsi="宋体"/>
          <w:color w:val="000000"/>
          <w:kern w:val="0"/>
          <w:szCs w:val="21"/>
          <w:lang w:val="en-US" w:eastAsia="zh-CN"/>
        </w:rPr>
      </w:pPr>
    </w:p>
    <w:p>
      <w:pPr>
        <w:spacing w:before="156" w:beforeLines="50"/>
        <w:ind w:left="420" w:right="25" w:rightChars="12" w:firstLine="300"/>
        <w:rPr>
          <w:rFonts w:hint="eastAsia" w:ascii="宋体" w:hAnsi="宋体"/>
          <w:color w:val="000000"/>
          <w:kern w:val="0"/>
          <w:szCs w:val="21"/>
        </w:rPr>
      </w:pPr>
    </w:p>
    <w:p>
      <w:pPr>
        <w:spacing w:before="156" w:beforeLines="50"/>
        <w:ind w:left="420" w:right="25" w:rightChars="12" w:firstLine="300"/>
        <w:rPr>
          <w:rFonts w:ascii="宋体" w:hAnsi="宋体"/>
          <w:color w:val="000000"/>
          <w:kern w:val="0"/>
          <w:szCs w:val="21"/>
        </w:rPr>
      </w:pPr>
      <w:r>
        <w:rPr>
          <w:rFonts w:hint="eastAsia" w:ascii="宋体" w:hAnsi="宋体"/>
          <w:color w:val="000000"/>
          <w:kern w:val="0"/>
          <w:szCs w:val="21"/>
        </w:rPr>
        <w:t>乙方账号信息：</w:t>
      </w:r>
    </w:p>
    <w:p>
      <w:pPr>
        <w:spacing w:line="240" w:lineRule="auto"/>
        <w:ind w:left="420" w:right="25" w:rightChars="12" w:firstLine="420"/>
        <w:rPr>
          <w:rFonts w:hint="eastAsia" w:ascii="宋体" w:hAnsi="宋体"/>
          <w:bCs/>
          <w:color w:val="000000"/>
          <w:kern w:val="0"/>
          <w:sz w:val="21"/>
          <w:szCs w:val="21"/>
        </w:rPr>
      </w:pPr>
      <w:r>
        <w:rPr>
          <w:rFonts w:hint="eastAsia" w:ascii="宋体" w:hAnsi="宋体"/>
          <w:bCs/>
          <w:color w:val="000000"/>
          <w:kern w:val="0"/>
          <w:sz w:val="21"/>
          <w:szCs w:val="21"/>
        </w:rPr>
        <w:t>户名：同方知网数字</w:t>
      </w:r>
      <w:r>
        <w:rPr>
          <w:rFonts w:hint="eastAsia" w:ascii="宋体" w:hAnsi="宋体"/>
          <w:bCs/>
          <w:color w:val="000000"/>
          <w:kern w:val="0"/>
          <w:sz w:val="21"/>
          <w:szCs w:val="21"/>
          <w:lang w:eastAsia="zh-CN"/>
        </w:rPr>
        <w:t>科技</w:t>
      </w:r>
      <w:r>
        <w:rPr>
          <w:rFonts w:hint="eastAsia" w:ascii="宋体" w:hAnsi="宋体"/>
          <w:bCs/>
          <w:color w:val="000000"/>
          <w:kern w:val="0"/>
          <w:sz w:val="21"/>
          <w:szCs w:val="21"/>
        </w:rPr>
        <w:t>有限公司</w:t>
      </w:r>
    </w:p>
    <w:p>
      <w:pPr>
        <w:spacing w:line="240" w:lineRule="auto"/>
        <w:ind w:left="420" w:right="25" w:rightChars="12" w:firstLine="420"/>
        <w:rPr>
          <w:rFonts w:hint="eastAsia" w:ascii="宋体" w:hAnsi="宋体"/>
          <w:bCs/>
          <w:color w:val="000000"/>
          <w:kern w:val="0"/>
          <w:sz w:val="21"/>
          <w:szCs w:val="21"/>
        </w:rPr>
      </w:pPr>
      <w:r>
        <w:rPr>
          <w:rFonts w:hint="eastAsia" w:ascii="宋体" w:hAnsi="宋体"/>
          <w:bCs/>
          <w:color w:val="000000"/>
          <w:kern w:val="0"/>
          <w:sz w:val="21"/>
          <w:szCs w:val="21"/>
        </w:rPr>
        <w:t>开户银行：建行清华大学支行</w:t>
      </w:r>
    </w:p>
    <w:p>
      <w:pPr>
        <w:spacing w:line="240" w:lineRule="auto"/>
        <w:ind w:left="420" w:right="25" w:rightChars="12" w:firstLine="420"/>
        <w:rPr>
          <w:rFonts w:hint="eastAsia" w:ascii="宋体" w:hAnsi="宋体"/>
          <w:bCs/>
          <w:color w:val="000000"/>
          <w:kern w:val="0"/>
          <w:sz w:val="21"/>
          <w:szCs w:val="21"/>
        </w:rPr>
      </w:pPr>
      <w:r>
        <w:rPr>
          <w:rFonts w:hint="eastAsia" w:ascii="宋体" w:hAnsi="宋体"/>
          <w:bCs/>
          <w:color w:val="000000"/>
          <w:kern w:val="0"/>
          <w:sz w:val="21"/>
          <w:szCs w:val="21"/>
        </w:rPr>
        <w:t>账号：11001029000052500014</w:t>
      </w:r>
    </w:p>
    <w:p>
      <w:pPr>
        <w:pStyle w:val="32"/>
        <w:numPr>
          <w:ilvl w:val="0"/>
          <w:numId w:val="4"/>
        </w:numPr>
        <w:spacing w:before="156" w:beforeLines="50"/>
        <w:ind w:left="1168" w:right="25" w:rightChars="12" w:hanging="748" w:firstLineChars="0"/>
        <w:rPr>
          <w:rFonts w:ascii="宋体" w:hAnsi="宋体"/>
          <w:color w:val="000000"/>
          <w:kern w:val="0"/>
          <w:szCs w:val="21"/>
        </w:rPr>
      </w:pPr>
      <w:r>
        <w:rPr>
          <w:rFonts w:hint="eastAsia" w:ascii="宋体" w:hAnsi="宋体"/>
          <w:color w:val="000000"/>
          <w:kern w:val="0"/>
          <w:szCs w:val="21"/>
        </w:rPr>
        <w:t>出版内容保证</w:t>
      </w:r>
    </w:p>
    <w:p>
      <w:pPr>
        <w:spacing w:before="156" w:beforeLines="50"/>
        <w:ind w:left="420" w:leftChars="200" w:right="25" w:rightChars="12" w:firstLine="420" w:firstLineChars="200"/>
        <w:rPr>
          <w:rFonts w:ascii="宋体" w:hAnsi="宋体"/>
          <w:color w:val="000000"/>
          <w:kern w:val="0"/>
          <w:szCs w:val="21"/>
        </w:rPr>
      </w:pPr>
      <w:r>
        <w:rPr>
          <w:rFonts w:hint="eastAsia" w:ascii="宋体" w:hAnsi="宋体"/>
          <w:color w:val="000000"/>
          <w:kern w:val="0"/>
          <w:szCs w:val="21"/>
        </w:rPr>
        <w:t>数据库内容按照《“中国知网”数据库出版计划》出版。如出版不符合约定且是由乙方原因造成，则乙方按照本合同第四条第二款承担违约责任。</w:t>
      </w:r>
    </w:p>
    <w:p>
      <w:pPr>
        <w:pStyle w:val="32"/>
        <w:numPr>
          <w:ilvl w:val="0"/>
          <w:numId w:val="4"/>
        </w:numPr>
        <w:spacing w:before="156" w:beforeLines="50"/>
        <w:ind w:left="1168" w:right="25" w:rightChars="12" w:hanging="748" w:firstLineChars="0"/>
        <w:rPr>
          <w:rFonts w:ascii="宋体" w:hAnsi="宋体"/>
          <w:color w:val="000000"/>
          <w:kern w:val="0"/>
          <w:szCs w:val="21"/>
        </w:rPr>
      </w:pPr>
      <w:r>
        <w:rPr>
          <w:rFonts w:hint="eastAsia" w:ascii="宋体" w:hAnsi="宋体"/>
          <w:color w:val="000000"/>
          <w:kern w:val="0"/>
          <w:szCs w:val="21"/>
        </w:rPr>
        <w:t>使用及限制</w:t>
      </w:r>
    </w:p>
    <w:p>
      <w:pPr>
        <w:pStyle w:val="27"/>
        <w:numPr>
          <w:ilvl w:val="0"/>
          <w:numId w:val="6"/>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仅能在其单位内部网络IP范围内使用本合同约定的数据库。甲方将其确认的内部网络的IP范围填写在附件二《甲方基本信息表》中，甲方确保IP范围的真实性。如甲方IP范围发生变化应及时通知乙方，以免影响正常使用。</w:t>
      </w:r>
    </w:p>
    <w:p>
      <w:pPr>
        <w:pStyle w:val="27"/>
        <w:numPr>
          <w:ilvl w:val="0"/>
          <w:numId w:val="6"/>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甲方使用“中国知网”数据库仅限于甲方最终用户以合理的方式使用及用于完成本职工作及个人学习、研究之目的。</w:t>
      </w:r>
    </w:p>
    <w:p>
      <w:pPr>
        <w:pStyle w:val="27"/>
        <w:spacing w:before="156" w:beforeLines="50"/>
        <w:ind w:left="780" w:right="25" w:rightChars="12" w:firstLine="0" w:firstLineChars="0"/>
        <w:rPr>
          <w:rFonts w:ascii="宋体" w:hAnsi="宋体"/>
          <w:color w:val="000000"/>
          <w:kern w:val="0"/>
          <w:szCs w:val="21"/>
        </w:rPr>
      </w:pPr>
      <w:r>
        <w:rPr>
          <w:rFonts w:hint="eastAsia" w:ascii="宋体" w:hAnsi="宋体"/>
          <w:color w:val="000000"/>
          <w:kern w:val="0"/>
          <w:szCs w:val="21"/>
        </w:rPr>
        <w:t>不合理使用及相关违约责任详见附件三《不合理使用的方式及违约责任》。</w:t>
      </w:r>
    </w:p>
    <w:p>
      <w:pPr>
        <w:pStyle w:val="27"/>
        <w:numPr>
          <w:ilvl w:val="0"/>
          <w:numId w:val="6"/>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甲方依本合同约定取得“中国知网”数据库使用权，该权利不可转许可及转让。</w:t>
      </w:r>
    </w:p>
    <w:p>
      <w:pPr>
        <w:pStyle w:val="27"/>
        <w:numPr>
          <w:ilvl w:val="0"/>
          <w:numId w:val="6"/>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承诺尊重保护乙方及其代理的其他机构的知识产权，不使用侵犯乙方或其代理的其他机构合法权利的软件和数据库，并将为乙方和其代理的其他机构对侵权行为的调查和取证提供便利。甲方使用明知是侵犯乙方或其代理的其他机构知识产权的数据库的，乙方有权追究甲方的法律责任。</w:t>
      </w:r>
    </w:p>
    <w:p>
      <w:pPr>
        <w:pStyle w:val="32"/>
        <w:ind w:left="1259" w:right="25" w:rightChars="12" w:firstLine="0" w:firstLineChars="0"/>
        <w:rPr>
          <w:rFonts w:ascii="宋体" w:hAnsi="宋体"/>
          <w:color w:val="000000"/>
          <w:kern w:val="0"/>
          <w:szCs w:val="21"/>
        </w:rPr>
      </w:pPr>
    </w:p>
    <w:p>
      <w:pPr>
        <w:numPr>
          <w:ilvl w:val="0"/>
          <w:numId w:val="3"/>
        </w:numPr>
        <w:ind w:right="25" w:rightChars="12"/>
        <w:rPr>
          <w:rFonts w:ascii="宋体" w:hAnsi="宋体" w:eastAsia="黑体"/>
          <w:b/>
          <w:color w:val="000000"/>
          <w:kern w:val="0"/>
          <w:szCs w:val="21"/>
        </w:rPr>
      </w:pPr>
      <w:r>
        <w:rPr>
          <w:rFonts w:hint="eastAsia" w:ascii="宋体" w:hAnsi="宋体" w:eastAsia="黑体"/>
          <w:b/>
          <w:color w:val="000000"/>
          <w:kern w:val="0"/>
          <w:szCs w:val="21"/>
        </w:rPr>
        <w:t>乙方的权利与义务</w:t>
      </w:r>
    </w:p>
    <w:p>
      <w:pPr>
        <w:pStyle w:val="32"/>
        <w:numPr>
          <w:ilvl w:val="0"/>
          <w:numId w:val="2"/>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保证和承诺</w:t>
      </w:r>
    </w:p>
    <w:p>
      <w:pPr>
        <w:pStyle w:val="27"/>
        <w:numPr>
          <w:ilvl w:val="0"/>
          <w:numId w:val="7"/>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中国学术期刊（光盘版）》电子杂志社有限公司（下简称“电子杂志社”）是依法成立的电子和互联网出版单位，“中国知网”网站（www.cnki.net）是该社的互联网出版网站。支撑“中国知网”数据库的计算机应用软件由乙方享有著作权。</w:t>
      </w:r>
    </w:p>
    <w:p>
      <w:pPr>
        <w:pStyle w:val="27"/>
        <w:numPr>
          <w:ilvl w:val="0"/>
          <w:numId w:val="7"/>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中国知网系列数据库著作权属于电子杂志社，乙方是电子杂志社的代理销售单位，电子杂志社对乙方的代理销售行为拥有监督权，电子杂志社举报电话：82170818-8361。</w:t>
      </w:r>
    </w:p>
    <w:p>
      <w:pPr>
        <w:pStyle w:val="27"/>
        <w:numPr>
          <w:ilvl w:val="0"/>
          <w:numId w:val="7"/>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乙方承诺其拥有所需的权利和授权向甲方提供“中国知网”数据库许可和服务。如有第三方就“中国知网”数据库向甲方提起权利请求，乙方将负责解决并承担甲方因此产生的全部赔偿责任。</w:t>
      </w:r>
    </w:p>
    <w:p>
      <w:pPr>
        <w:pStyle w:val="32"/>
        <w:numPr>
          <w:ilvl w:val="0"/>
          <w:numId w:val="2"/>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按照本合同约定时间及方式提供“中国知网”数据库及约定服务。</w:t>
      </w:r>
    </w:p>
    <w:p>
      <w:pPr>
        <w:pStyle w:val="32"/>
        <w:numPr>
          <w:ilvl w:val="0"/>
          <w:numId w:val="2"/>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数据库日常维护</w:t>
      </w:r>
    </w:p>
    <w:p>
      <w:pPr>
        <w:pStyle w:val="27"/>
        <w:numPr>
          <w:ilvl w:val="0"/>
          <w:numId w:val="8"/>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技术服务</w:t>
      </w:r>
    </w:p>
    <w:p>
      <w:pPr>
        <w:ind w:left="420" w:right="25" w:rightChars="12" w:firstLine="420" w:firstLineChars="200"/>
        <w:rPr>
          <w:rFonts w:ascii="宋体" w:hAnsi="宋体"/>
          <w:color w:val="000000"/>
          <w:kern w:val="0"/>
          <w:szCs w:val="21"/>
        </w:rPr>
      </w:pPr>
      <w:r>
        <w:rPr>
          <w:rFonts w:hint="eastAsia" w:ascii="宋体" w:hAnsi="宋体"/>
          <w:color w:val="000000"/>
          <w:kern w:val="0"/>
          <w:szCs w:val="21"/>
        </w:rPr>
        <w:t>乙方为甲方系统管理人员提供一次技术培训，时间和方式由双方商定。</w:t>
      </w:r>
    </w:p>
    <w:p>
      <w:pPr>
        <w:pStyle w:val="27"/>
        <w:numPr>
          <w:ilvl w:val="0"/>
          <w:numId w:val="8"/>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技术咨询</w:t>
      </w:r>
    </w:p>
    <w:p>
      <w:pPr>
        <w:ind w:left="420" w:right="25" w:rightChars="12" w:firstLine="420" w:firstLineChars="200"/>
        <w:rPr>
          <w:rFonts w:ascii="宋体" w:hAnsi="宋体"/>
          <w:color w:val="000000"/>
          <w:kern w:val="0"/>
          <w:szCs w:val="21"/>
        </w:rPr>
      </w:pPr>
      <w:r>
        <w:rPr>
          <w:rFonts w:hint="eastAsia" w:ascii="宋体" w:hAnsi="宋体"/>
          <w:color w:val="000000"/>
          <w:kern w:val="0"/>
          <w:szCs w:val="21"/>
        </w:rPr>
        <w:t>乙方为甲方提供电话咨询服务,客户服务热线</w:t>
      </w:r>
      <w:r>
        <w:rPr>
          <w:rFonts w:hint="eastAsia" w:ascii="宋体" w:hAnsi="宋体"/>
          <w:bCs/>
          <w:color w:val="000000"/>
          <w:kern w:val="0"/>
          <w:szCs w:val="21"/>
        </w:rPr>
        <w:t>4008109888</w:t>
      </w:r>
      <w:r>
        <w:rPr>
          <w:rFonts w:hint="eastAsia" w:ascii="宋体" w:hAnsi="宋体"/>
          <w:color w:val="000000"/>
          <w:kern w:val="0"/>
          <w:szCs w:val="21"/>
        </w:rPr>
        <w:t>。</w:t>
      </w:r>
    </w:p>
    <w:p>
      <w:pPr>
        <w:pStyle w:val="27"/>
        <w:numPr>
          <w:ilvl w:val="0"/>
          <w:numId w:val="8"/>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合同期满后服务</w:t>
      </w:r>
    </w:p>
    <w:p>
      <w:pPr>
        <w:pStyle w:val="32"/>
        <w:spacing w:before="156" w:beforeLines="50"/>
        <w:ind w:left="420" w:right="25" w:rightChars="12" w:firstLineChars="0"/>
        <w:rPr>
          <w:rFonts w:ascii="宋体" w:hAnsi="宋体"/>
          <w:color w:val="000000"/>
          <w:szCs w:val="21"/>
        </w:rPr>
      </w:pPr>
      <w:r>
        <w:rPr>
          <w:rFonts w:hint="eastAsia" w:ascii="宋体" w:hAnsi="宋体"/>
          <w:color w:val="000000"/>
          <w:szCs w:val="21"/>
        </w:rPr>
        <w:t>本合同期满后甲方不再续订</w:t>
      </w:r>
      <w:r>
        <w:rPr>
          <w:rFonts w:hint="eastAsia" w:ascii="宋体" w:hAnsi="宋体"/>
          <w:color w:val="000000"/>
          <w:kern w:val="0"/>
          <w:szCs w:val="21"/>
        </w:rPr>
        <w:t>数据库</w:t>
      </w:r>
      <w:r>
        <w:rPr>
          <w:rFonts w:hint="eastAsia" w:ascii="宋体" w:hAnsi="宋体"/>
          <w:color w:val="000000"/>
          <w:szCs w:val="21"/>
        </w:rPr>
        <w:t>，乙方上门维护甲方内部网络服务器安装的</w:t>
      </w:r>
      <w:r>
        <w:rPr>
          <w:rFonts w:hint="eastAsia" w:ascii="宋体" w:hAnsi="宋体"/>
          <w:color w:val="000000"/>
          <w:kern w:val="0"/>
          <w:szCs w:val="21"/>
        </w:rPr>
        <w:t>“中国知网”数据库按</w:t>
      </w:r>
      <w:r>
        <w:rPr>
          <w:rFonts w:hint="eastAsia" w:ascii="宋体" w:hAnsi="宋体"/>
          <w:color w:val="000000"/>
          <w:szCs w:val="21"/>
        </w:rPr>
        <w:t>省会城市300元/天、非省会城市450元/天的标准向甲方收取服务费。</w:t>
      </w:r>
    </w:p>
    <w:p>
      <w:pPr>
        <w:pStyle w:val="32"/>
        <w:numPr>
          <w:ilvl w:val="0"/>
          <w:numId w:val="2"/>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乙方有权核查甲方提供的IP范围的真实性，并有权停止对甲方实际IP范围以外的IP提供数据库服务。</w:t>
      </w:r>
    </w:p>
    <w:p>
      <w:pPr>
        <w:pStyle w:val="32"/>
        <w:ind w:right="25" w:rightChars="12" w:firstLine="0" w:firstLineChars="0"/>
        <w:rPr>
          <w:rFonts w:ascii="宋体" w:hAnsi="宋体"/>
          <w:color w:val="000000"/>
          <w:kern w:val="0"/>
          <w:szCs w:val="21"/>
        </w:rPr>
      </w:pPr>
    </w:p>
    <w:p>
      <w:pPr>
        <w:numPr>
          <w:ilvl w:val="0"/>
          <w:numId w:val="3"/>
        </w:numPr>
        <w:ind w:right="25" w:rightChars="12"/>
        <w:rPr>
          <w:rFonts w:ascii="黑体" w:hAnsi="宋体" w:eastAsia="黑体"/>
          <w:b/>
          <w:color w:val="000000"/>
          <w:kern w:val="0"/>
          <w:szCs w:val="21"/>
        </w:rPr>
      </w:pPr>
      <w:r>
        <w:rPr>
          <w:rFonts w:hint="eastAsia" w:ascii="黑体" w:hAnsi="宋体" w:eastAsia="黑体"/>
          <w:b/>
          <w:color w:val="000000"/>
          <w:kern w:val="0"/>
          <w:szCs w:val="21"/>
        </w:rPr>
        <w:t>保密</w:t>
      </w:r>
    </w:p>
    <w:p>
      <w:pPr>
        <w:spacing w:before="156" w:beforeLines="50"/>
        <w:ind w:right="25" w:rightChars="12" w:firstLine="420"/>
        <w:rPr>
          <w:color w:val="000000"/>
        </w:rPr>
      </w:pPr>
      <w:r>
        <w:rPr>
          <w:rFonts w:hint="eastAsia"/>
          <w:color w:val="000000"/>
        </w:rPr>
        <w:t>对于因本合同的订立和履行双方知晓的对方的商业和技术秘密，以及本合同许可与服务费，双方均有保密义务。该保密义务在本合同期满或解除后仍然有效。</w:t>
      </w:r>
    </w:p>
    <w:p>
      <w:pPr>
        <w:ind w:right="25" w:rightChars="12" w:firstLine="420"/>
        <w:rPr>
          <w:color w:val="000000"/>
        </w:rPr>
      </w:pPr>
    </w:p>
    <w:p>
      <w:pPr>
        <w:numPr>
          <w:ilvl w:val="0"/>
          <w:numId w:val="3"/>
        </w:numPr>
        <w:ind w:right="25" w:rightChars="12"/>
        <w:rPr>
          <w:rFonts w:ascii="黑体" w:hAnsi="宋体" w:eastAsia="黑体"/>
          <w:b/>
          <w:color w:val="000000"/>
          <w:kern w:val="0"/>
          <w:szCs w:val="21"/>
        </w:rPr>
      </w:pPr>
      <w:r>
        <w:rPr>
          <w:rFonts w:hint="eastAsia" w:ascii="黑体" w:hAnsi="宋体" w:eastAsia="黑体"/>
          <w:b/>
          <w:color w:val="000000"/>
          <w:kern w:val="0"/>
          <w:szCs w:val="21"/>
        </w:rPr>
        <w:t>违约责任</w:t>
      </w:r>
    </w:p>
    <w:p>
      <w:pPr>
        <w:pStyle w:val="32"/>
        <w:numPr>
          <w:ilvl w:val="0"/>
          <w:numId w:val="9"/>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甲方责任</w:t>
      </w:r>
    </w:p>
    <w:p>
      <w:pPr>
        <w:pStyle w:val="27"/>
        <w:numPr>
          <w:ilvl w:val="0"/>
          <w:numId w:val="10"/>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甲方逾期支付服务订购费，甲方应按照本合同约定的逾期服务订购费的0.1%每日向乙方支付违约金。</w:t>
      </w:r>
    </w:p>
    <w:p>
      <w:pPr>
        <w:pStyle w:val="27"/>
        <w:numPr>
          <w:ilvl w:val="0"/>
          <w:numId w:val="10"/>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 xml:space="preserve">甲方不合理使用数据库，按附件三的约定承担违约责任。 </w:t>
      </w:r>
    </w:p>
    <w:p>
      <w:pPr>
        <w:pStyle w:val="32"/>
        <w:numPr>
          <w:ilvl w:val="0"/>
          <w:numId w:val="9"/>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乙方责任</w:t>
      </w:r>
    </w:p>
    <w:p>
      <w:pPr>
        <w:pStyle w:val="27"/>
        <w:numPr>
          <w:ilvl w:val="0"/>
          <w:numId w:val="11"/>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pPr>
        <w:pStyle w:val="27"/>
        <w:numPr>
          <w:ilvl w:val="0"/>
          <w:numId w:val="11"/>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甲方验收后，如乙方许可使用的“中国知网”数据库的文献量未达到《“中国知网”数据库出版计划》规定且误差大于5%的，乙方按缺少文献量占总文献量的比例双倍向甲方退还数据库许可及服务费。</w:t>
      </w:r>
    </w:p>
    <w:p>
      <w:pPr>
        <w:ind w:left="1128" w:right="25" w:rightChars="12"/>
        <w:rPr>
          <w:rFonts w:ascii="宋体" w:hAnsi="宋体"/>
          <w:color w:val="000000"/>
          <w:kern w:val="0"/>
          <w:szCs w:val="21"/>
        </w:rPr>
      </w:pPr>
    </w:p>
    <w:p>
      <w:pPr>
        <w:numPr>
          <w:ilvl w:val="0"/>
          <w:numId w:val="3"/>
        </w:numPr>
        <w:ind w:right="25" w:rightChars="12"/>
        <w:rPr>
          <w:rFonts w:ascii="黑体" w:hAnsi="宋体" w:eastAsia="黑体"/>
          <w:b/>
          <w:color w:val="000000"/>
          <w:kern w:val="0"/>
          <w:szCs w:val="21"/>
        </w:rPr>
      </w:pPr>
      <w:r>
        <w:rPr>
          <w:rFonts w:hint="eastAsia" w:ascii="黑体" w:hAnsi="宋体" w:eastAsia="黑体"/>
          <w:b/>
          <w:color w:val="000000"/>
          <w:kern w:val="0"/>
          <w:szCs w:val="21"/>
        </w:rPr>
        <w:t>不可抗力</w:t>
      </w:r>
    </w:p>
    <w:p>
      <w:pPr>
        <w:pStyle w:val="32"/>
        <w:numPr>
          <w:ilvl w:val="0"/>
          <w:numId w:val="12"/>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pPr>
        <w:pStyle w:val="32"/>
        <w:numPr>
          <w:ilvl w:val="0"/>
          <w:numId w:val="12"/>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pPr>
        <w:pStyle w:val="32"/>
        <w:spacing w:before="156" w:beforeLines="50"/>
        <w:ind w:left="420" w:right="25" w:rightChars="12" w:firstLine="0" w:firstLineChars="0"/>
        <w:rPr>
          <w:rFonts w:ascii="宋体" w:hAnsi="宋体"/>
          <w:color w:val="000000"/>
          <w:kern w:val="0"/>
          <w:szCs w:val="21"/>
        </w:rPr>
      </w:pPr>
    </w:p>
    <w:p>
      <w:pPr>
        <w:numPr>
          <w:ilvl w:val="0"/>
          <w:numId w:val="3"/>
        </w:numPr>
        <w:ind w:right="25" w:rightChars="12"/>
        <w:rPr>
          <w:rFonts w:ascii="黑体" w:hAnsi="宋体" w:eastAsia="黑体"/>
          <w:b/>
          <w:color w:val="000000"/>
          <w:kern w:val="0"/>
          <w:szCs w:val="21"/>
        </w:rPr>
      </w:pPr>
      <w:r>
        <w:rPr>
          <w:rFonts w:hint="eastAsia" w:ascii="黑体" w:hAnsi="宋体" w:eastAsia="黑体"/>
          <w:b/>
          <w:color w:val="000000"/>
          <w:kern w:val="0"/>
          <w:szCs w:val="21"/>
        </w:rPr>
        <w:t>廉洁条款</w:t>
      </w:r>
    </w:p>
    <w:p>
      <w:pPr>
        <w:pStyle w:val="32"/>
        <w:numPr>
          <w:ilvl w:val="0"/>
          <w:numId w:val="13"/>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合同双方严格遵守中国有关反腐败、反商业贿赂的法律、监管政策及经营行为所在地的国家、地区有关禁止腐败、贿赂的法律、监管规则。双方及其管理人员、业务人员不接受合同另外一方提供的任何礼金、有价证券、贵重物品及其他回扣、好处费、感谢费和劳务费等；不接受任何为双方管理人员、业务人员购置的通信工具、交通工具、家电、高档办公用品等。</w:t>
      </w:r>
    </w:p>
    <w:p>
      <w:pPr>
        <w:pStyle w:val="32"/>
        <w:numPr>
          <w:ilvl w:val="0"/>
          <w:numId w:val="13"/>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任何一方若违反上述规定，应当向对方支付礼金、有价证券、贵重物品及其他回扣、好处费、感谢费和劳务费或其他购置商品价值3倍的违约金，可直接从货款中扣除。一年内发生3次以上的，对方可直接解除合同，并不承担违约责任。</w:t>
      </w:r>
    </w:p>
    <w:p>
      <w:pPr>
        <w:ind w:right="25" w:rightChars="12"/>
        <w:rPr>
          <w:rFonts w:ascii="宋体" w:hAnsi="宋体"/>
          <w:color w:val="000000"/>
        </w:rPr>
      </w:pPr>
    </w:p>
    <w:p>
      <w:pPr>
        <w:numPr>
          <w:ilvl w:val="0"/>
          <w:numId w:val="3"/>
        </w:numPr>
        <w:ind w:right="25" w:rightChars="12"/>
        <w:rPr>
          <w:rFonts w:ascii="黑体" w:hAnsi="宋体" w:eastAsia="黑体"/>
          <w:b/>
          <w:color w:val="000000"/>
          <w:kern w:val="0"/>
          <w:szCs w:val="21"/>
        </w:rPr>
      </w:pPr>
      <w:r>
        <w:rPr>
          <w:rFonts w:hint="eastAsia" w:ascii="黑体" w:hAnsi="宋体" w:eastAsia="黑体"/>
          <w:b/>
          <w:color w:val="000000"/>
          <w:kern w:val="0"/>
          <w:szCs w:val="21"/>
        </w:rPr>
        <w:t>争议解决</w:t>
      </w:r>
    </w:p>
    <w:p>
      <w:pPr>
        <w:pStyle w:val="32"/>
        <w:numPr>
          <w:ilvl w:val="0"/>
          <w:numId w:val="0"/>
        </w:numPr>
        <w:spacing w:before="156" w:beforeLines="50"/>
        <w:ind w:left="0" w:right="25" w:rightChars="12" w:firstLine="420" w:firstLineChars="0"/>
        <w:rPr>
          <w:rFonts w:hint="eastAsia" w:ascii="宋体" w:hAnsi="宋体"/>
          <w:color w:val="000000"/>
          <w:kern w:val="0"/>
          <w:szCs w:val="21"/>
        </w:rPr>
      </w:pPr>
      <w:r>
        <w:rPr>
          <w:rFonts w:hint="eastAsia" w:ascii="宋体" w:hAnsi="宋体"/>
          <w:color w:val="000000"/>
          <w:kern w:val="0"/>
          <w:szCs w:val="21"/>
        </w:rPr>
        <w:t>（一）由本合同引起或与本合同有关的任何争议，双方均应通过友好协商解决，如果协商不能解决争议，甲乙双方同意采取下列两种方式的第（1）种方式解决争议，并由败诉方承担相关诉讼费用(包括但不限于律师费、取证费、保全费等)：</w:t>
      </w:r>
    </w:p>
    <w:p>
      <w:pPr>
        <w:pStyle w:val="32"/>
        <w:numPr>
          <w:ilvl w:val="0"/>
          <w:numId w:val="0"/>
        </w:numPr>
        <w:spacing w:before="156" w:beforeLines="50"/>
        <w:ind w:left="0" w:right="25" w:rightChars="12" w:firstLine="420" w:firstLineChars="0"/>
        <w:rPr>
          <w:rFonts w:hint="eastAsia" w:ascii="宋体" w:hAnsi="宋体"/>
          <w:color w:val="000000"/>
          <w:kern w:val="0"/>
          <w:szCs w:val="21"/>
        </w:rPr>
      </w:pPr>
      <w:r>
        <w:rPr>
          <w:rFonts w:hint="eastAsia" w:ascii="宋体" w:hAnsi="宋体"/>
          <w:color w:val="000000"/>
          <w:kern w:val="0"/>
          <w:szCs w:val="21"/>
        </w:rPr>
        <w:t>（1）向甲方所在地有管辖权的人民法院提起诉讼，适用中华人民共和国法律；</w:t>
      </w:r>
    </w:p>
    <w:p>
      <w:pPr>
        <w:pStyle w:val="32"/>
        <w:numPr>
          <w:ilvl w:val="0"/>
          <w:numId w:val="0"/>
        </w:numPr>
        <w:spacing w:before="156" w:beforeLines="50"/>
        <w:ind w:left="0" w:right="25" w:rightChars="12" w:firstLine="420" w:firstLineChars="0"/>
        <w:rPr>
          <w:rFonts w:ascii="宋体" w:hAnsi="宋体"/>
          <w:color w:val="000000"/>
          <w:kern w:val="0"/>
          <w:szCs w:val="21"/>
        </w:rPr>
      </w:pPr>
      <w:r>
        <w:rPr>
          <w:rFonts w:hint="eastAsia" w:ascii="宋体" w:hAnsi="宋体"/>
          <w:color w:val="000000"/>
          <w:kern w:val="0"/>
          <w:szCs w:val="21"/>
        </w:rPr>
        <w:t>（2）向扬州仲裁委员会按其仲裁规则申请仲裁。。</w:t>
      </w:r>
    </w:p>
    <w:p>
      <w:pPr>
        <w:pStyle w:val="32"/>
        <w:numPr>
          <w:ilvl w:val="0"/>
          <w:numId w:val="0"/>
        </w:numPr>
        <w:spacing w:before="156" w:beforeLines="50"/>
        <w:ind w:left="0" w:right="25" w:rightChars="12" w:firstLine="420" w:firstLineChars="0"/>
        <w:rPr>
          <w:rFonts w:ascii="宋体" w:hAnsi="宋体"/>
          <w:color w:val="000000"/>
          <w:kern w:val="0"/>
          <w:szCs w:val="21"/>
        </w:rPr>
      </w:pPr>
      <w:r>
        <w:rPr>
          <w:rFonts w:hint="eastAsia" w:ascii="宋体" w:hAnsi="宋体"/>
          <w:color w:val="000000"/>
          <w:kern w:val="0"/>
          <w:szCs w:val="21"/>
        </w:rPr>
        <w:t>（二）如本合同任何条款被法院裁决为无效，不影响本合同其他条款的持续有效和执行。</w:t>
      </w:r>
    </w:p>
    <w:p>
      <w:pPr>
        <w:ind w:right="25" w:rightChars="12"/>
        <w:rPr>
          <w:rFonts w:ascii="宋体" w:hAnsi="宋体"/>
          <w:color w:val="000000"/>
        </w:rPr>
      </w:pPr>
    </w:p>
    <w:p>
      <w:pPr>
        <w:numPr>
          <w:ilvl w:val="0"/>
          <w:numId w:val="3"/>
        </w:numPr>
        <w:ind w:right="25" w:rightChars="12"/>
        <w:rPr>
          <w:rFonts w:ascii="黑体" w:hAnsi="宋体" w:eastAsia="黑体"/>
          <w:b/>
          <w:color w:val="000000"/>
          <w:kern w:val="0"/>
          <w:szCs w:val="21"/>
        </w:rPr>
      </w:pPr>
      <w:r>
        <w:rPr>
          <w:rFonts w:hint="eastAsia" w:ascii="黑体" w:hAnsi="宋体" w:eastAsia="黑体"/>
          <w:b/>
          <w:color w:val="000000"/>
          <w:kern w:val="0"/>
          <w:szCs w:val="21"/>
        </w:rPr>
        <w:t>其他</w:t>
      </w:r>
    </w:p>
    <w:p>
      <w:pPr>
        <w:pStyle w:val="32"/>
        <w:numPr>
          <w:ilvl w:val="0"/>
          <w:numId w:val="14"/>
        </w:numPr>
        <w:spacing w:before="156" w:beforeLines="50"/>
        <w:ind w:right="25" w:rightChars="12" w:firstLineChars="0"/>
        <w:rPr>
          <w:rFonts w:ascii="宋体" w:hAnsi="宋体"/>
          <w:color w:val="000000"/>
          <w:kern w:val="0"/>
          <w:szCs w:val="21"/>
        </w:rPr>
      </w:pPr>
      <w:r>
        <w:rPr>
          <w:rFonts w:hint="eastAsia" w:ascii="宋体" w:hAnsi="宋体"/>
          <w:color w:val="000000"/>
          <w:szCs w:val="21"/>
        </w:rPr>
        <w:t>下列附件</w:t>
      </w:r>
      <w:r>
        <w:rPr>
          <w:rFonts w:hint="eastAsia" w:ascii="宋体" w:hAnsi="宋体"/>
          <w:color w:val="000000"/>
          <w:kern w:val="0"/>
          <w:szCs w:val="21"/>
        </w:rPr>
        <w:t>为本合同重要组成部分，与本合同具同等法律效力</w:t>
      </w:r>
      <w:r>
        <w:rPr>
          <w:rFonts w:ascii="宋体" w:hAnsi="宋体"/>
          <w:color w:val="000000"/>
          <w:kern w:val="0"/>
          <w:szCs w:val="21"/>
        </w:rPr>
        <w:t>：</w:t>
      </w:r>
    </w:p>
    <w:p>
      <w:pPr>
        <w:ind w:right="25" w:rightChars="12" w:firstLine="630" w:firstLineChars="300"/>
        <w:rPr>
          <w:rFonts w:ascii="宋体" w:hAnsi="宋体"/>
          <w:color w:val="000000"/>
          <w:kern w:val="0"/>
          <w:szCs w:val="21"/>
        </w:rPr>
      </w:pPr>
      <w:r>
        <w:rPr>
          <w:rFonts w:hint="eastAsia" w:ascii="宋体" w:hAnsi="宋体"/>
          <w:color w:val="000000"/>
          <w:szCs w:val="21"/>
        </w:rPr>
        <w:t>附件一《“中国知网”数据库订单》</w:t>
      </w:r>
    </w:p>
    <w:p>
      <w:pPr>
        <w:ind w:left="420" w:leftChars="200" w:right="25" w:rightChars="12" w:firstLine="210" w:firstLineChars="100"/>
        <w:rPr>
          <w:rFonts w:ascii="宋体" w:hAnsi="宋体"/>
          <w:color w:val="000000"/>
          <w:kern w:val="0"/>
          <w:szCs w:val="21"/>
        </w:rPr>
      </w:pPr>
      <w:r>
        <w:rPr>
          <w:rFonts w:hint="eastAsia" w:ascii="宋体" w:hAnsi="宋体"/>
          <w:color w:val="000000"/>
          <w:kern w:val="0"/>
          <w:szCs w:val="21"/>
        </w:rPr>
        <w:t>附件二《</w:t>
      </w:r>
      <w:r>
        <w:rPr>
          <w:rFonts w:ascii="宋体" w:hAnsi="宋体"/>
          <w:color w:val="000000"/>
          <w:kern w:val="0"/>
          <w:szCs w:val="21"/>
        </w:rPr>
        <w:t>甲方</w:t>
      </w:r>
      <w:r>
        <w:rPr>
          <w:rFonts w:hint="eastAsia" w:ascii="宋体" w:hAnsi="宋体"/>
          <w:color w:val="000000"/>
          <w:kern w:val="0"/>
          <w:szCs w:val="21"/>
        </w:rPr>
        <w:t>基本信息表》</w:t>
      </w:r>
    </w:p>
    <w:p>
      <w:pPr>
        <w:ind w:left="630" w:leftChars="300" w:right="25" w:rightChars="12"/>
        <w:rPr>
          <w:rFonts w:hint="eastAsia" w:ascii="宋体" w:hAnsi="宋体"/>
          <w:color w:val="000000"/>
          <w:szCs w:val="21"/>
        </w:rPr>
      </w:pPr>
      <w:r>
        <w:rPr>
          <w:rFonts w:hint="eastAsia" w:ascii="宋体" w:hAnsi="宋体"/>
          <w:color w:val="000000"/>
          <w:szCs w:val="21"/>
        </w:rPr>
        <w:t>附件三《不合理使用的方式及违约责任》</w:t>
      </w:r>
    </w:p>
    <w:p>
      <w:pPr>
        <w:pStyle w:val="12"/>
        <w:ind w:firstLine="630" w:firstLineChars="300"/>
        <w:jc w:val="both"/>
      </w:pPr>
      <w:r>
        <w:rPr>
          <w:rFonts w:hint="eastAsia" w:ascii="宋体" w:hAnsi="宋体" w:eastAsia="宋体" w:cs="Times New Roman"/>
          <w:color w:val="000000"/>
          <w:kern w:val="2"/>
          <w:sz w:val="21"/>
          <w:szCs w:val="21"/>
          <w:lang w:val="en-US" w:eastAsia="zh-CN" w:bidi="ar-SA"/>
        </w:rPr>
        <w:t>附件四《南邮通达学院2024年度CNKI数据库订购方案》</w:t>
      </w:r>
    </w:p>
    <w:p>
      <w:pPr>
        <w:pStyle w:val="32"/>
        <w:numPr>
          <w:ilvl w:val="0"/>
          <w:numId w:val="14"/>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本合同期限从本合同签订时起，至本合同约定数据库安装更新完毕时止。</w:t>
      </w:r>
    </w:p>
    <w:p>
      <w:pPr>
        <w:pStyle w:val="32"/>
        <w:numPr>
          <w:ilvl w:val="0"/>
          <w:numId w:val="14"/>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本合同未尽事宜，或本合同变更事项，由双方协商并以书面方式加以确定。</w:t>
      </w:r>
    </w:p>
    <w:p>
      <w:pPr>
        <w:pStyle w:val="32"/>
        <w:numPr>
          <w:ilvl w:val="0"/>
          <w:numId w:val="14"/>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本合同一式</w:t>
      </w:r>
      <w:r>
        <w:rPr>
          <w:rFonts w:hint="eastAsia" w:ascii="宋体" w:hAnsi="宋体"/>
          <w:color w:val="000000"/>
          <w:kern w:val="0"/>
          <w:szCs w:val="21"/>
          <w:lang w:val="en-US" w:eastAsia="zh-CN"/>
        </w:rPr>
        <w:t>陆</w:t>
      </w:r>
      <w:r>
        <w:rPr>
          <w:rFonts w:hint="eastAsia" w:ascii="宋体" w:hAnsi="宋体"/>
          <w:color w:val="000000"/>
          <w:kern w:val="0"/>
          <w:szCs w:val="21"/>
        </w:rPr>
        <w:t>份，甲方执</w:t>
      </w:r>
      <w:r>
        <w:rPr>
          <w:rFonts w:hint="eastAsia" w:ascii="宋体" w:hAnsi="宋体"/>
          <w:color w:val="000000"/>
          <w:kern w:val="0"/>
          <w:szCs w:val="21"/>
          <w:lang w:val="en-US" w:eastAsia="zh-CN"/>
        </w:rPr>
        <w:t>肆</w:t>
      </w:r>
      <w:r>
        <w:rPr>
          <w:rFonts w:hint="eastAsia" w:ascii="宋体" w:hAnsi="宋体"/>
          <w:color w:val="000000"/>
          <w:kern w:val="0"/>
          <w:szCs w:val="21"/>
        </w:rPr>
        <w:t>份，乙方执贰份，具有同等法律效力。</w:t>
      </w:r>
    </w:p>
    <w:p>
      <w:pPr>
        <w:pStyle w:val="32"/>
        <w:numPr>
          <w:ilvl w:val="0"/>
          <w:numId w:val="14"/>
        </w:numPr>
        <w:spacing w:before="156" w:beforeLines="50"/>
        <w:ind w:right="25" w:rightChars="12" w:firstLineChars="0"/>
        <w:rPr>
          <w:rFonts w:ascii="宋体" w:hAnsi="宋体"/>
          <w:color w:val="000000"/>
          <w:kern w:val="0"/>
          <w:szCs w:val="21"/>
        </w:rPr>
      </w:pPr>
      <w:r>
        <w:rPr>
          <w:rFonts w:hint="eastAsia" w:ascii="宋体" w:hAnsi="宋体"/>
          <w:color w:val="000000"/>
          <w:kern w:val="0"/>
          <w:szCs w:val="21"/>
        </w:rPr>
        <w:t>本合同经双方盖章、授权代表签字后生效。</w:t>
      </w:r>
    </w:p>
    <w:tbl>
      <w:tblPr>
        <w:tblStyle w:val="13"/>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87"/>
        <w:gridCol w:w="4587"/>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587" w:type="dxa"/>
          </w:tcPr>
          <w:p>
            <w:pPr>
              <w:pStyle w:val="5"/>
              <w:ind w:left="0" w:leftChars="0"/>
              <w:rPr>
                <w:rFonts w:ascii="宋体" w:hAnsi="宋体"/>
                <w:b/>
                <w:bCs/>
                <w:color w:val="000000"/>
                <w:kern w:val="0"/>
                <w:szCs w:val="21"/>
              </w:rPr>
            </w:pPr>
          </w:p>
          <w:p>
            <w:pPr>
              <w:ind w:right="25" w:rightChars="12"/>
              <w:rPr>
                <w:rFonts w:ascii="黑体" w:hAnsi="宋体" w:eastAsia="黑体"/>
                <w:b/>
                <w:color w:val="000000"/>
                <w:kern w:val="0"/>
                <w:szCs w:val="21"/>
              </w:rPr>
            </w:pPr>
          </w:p>
          <w:p>
            <w:pPr>
              <w:pStyle w:val="5"/>
            </w:pPr>
          </w:p>
          <w:p>
            <w:pPr>
              <w:ind w:right="25" w:rightChars="12"/>
              <w:rPr>
                <w:rFonts w:ascii="黑体" w:hAnsi="宋体" w:eastAsia="黑体"/>
                <w:color w:val="000000"/>
                <w:kern w:val="0"/>
                <w:szCs w:val="21"/>
              </w:rPr>
            </w:pPr>
            <w:r>
              <w:rPr>
                <w:rFonts w:hint="eastAsia" w:ascii="黑体" w:hAnsi="宋体" w:eastAsia="黑体"/>
                <w:color w:val="000000"/>
                <w:kern w:val="0"/>
                <w:szCs w:val="21"/>
              </w:rPr>
              <w:t>甲方（盖章）：</w:t>
            </w:r>
          </w:p>
          <w:p>
            <w:pPr>
              <w:ind w:right="25" w:rightChars="12"/>
              <w:rPr>
                <w:rFonts w:ascii="黑体" w:hAnsi="宋体" w:eastAsia="黑体"/>
                <w:b/>
                <w:color w:val="000000"/>
                <w:kern w:val="0"/>
                <w:szCs w:val="21"/>
              </w:rPr>
            </w:pPr>
          </w:p>
        </w:tc>
        <w:tc>
          <w:tcPr>
            <w:tcW w:w="4587" w:type="dxa"/>
          </w:tcPr>
          <w:p>
            <w:pPr>
              <w:ind w:right="25" w:rightChars="12"/>
              <w:rPr>
                <w:rFonts w:ascii="黑体" w:hAnsi="宋体" w:eastAsia="黑体"/>
                <w:b/>
                <w:color w:val="000000"/>
                <w:kern w:val="0"/>
                <w:szCs w:val="21"/>
              </w:rPr>
            </w:pPr>
          </w:p>
          <w:p>
            <w:pPr>
              <w:ind w:right="25" w:rightChars="12"/>
              <w:rPr>
                <w:rFonts w:ascii="黑体" w:hAnsi="宋体" w:eastAsia="黑体"/>
                <w:b/>
                <w:color w:val="000000"/>
                <w:kern w:val="0"/>
                <w:szCs w:val="21"/>
              </w:rPr>
            </w:pPr>
          </w:p>
          <w:p>
            <w:pPr>
              <w:ind w:right="25" w:rightChars="12"/>
              <w:rPr>
                <w:rFonts w:ascii="黑体" w:hAnsi="宋体" w:eastAsia="黑体"/>
                <w:b/>
                <w:color w:val="000000"/>
                <w:kern w:val="0"/>
                <w:szCs w:val="21"/>
              </w:rPr>
            </w:pPr>
          </w:p>
          <w:p>
            <w:pPr>
              <w:ind w:right="25" w:rightChars="12"/>
              <w:rPr>
                <w:rFonts w:hint="eastAsia" w:ascii="黑体" w:hAnsi="宋体" w:eastAsia="黑体"/>
                <w:color w:val="000000"/>
                <w:kern w:val="0"/>
                <w:szCs w:val="21"/>
                <w:lang w:eastAsia="zh-CN"/>
              </w:rPr>
            </w:pPr>
            <w:r>
              <w:rPr>
                <w:rFonts w:hint="eastAsia" w:ascii="黑体" w:hAnsi="宋体" w:eastAsia="黑体"/>
                <w:color w:val="000000"/>
                <w:kern w:val="0"/>
                <w:szCs w:val="21"/>
              </w:rPr>
              <w:t>乙方（盖章）：</w:t>
            </w:r>
            <w:r>
              <w:rPr>
                <w:rFonts w:hint="eastAsia" w:ascii="黑体" w:hAnsi="宋体" w:eastAsia="黑体"/>
                <w:color w:val="000000"/>
                <w:kern w:val="0"/>
                <w:szCs w:val="21"/>
                <w:lang w:val="en-US" w:eastAsia="zh-CN"/>
              </w:rPr>
              <w:t xml:space="preserve">  </w:t>
            </w:r>
          </w:p>
          <w:p>
            <w:pPr>
              <w:ind w:right="25" w:rightChars="12"/>
              <w:rPr>
                <w:rFonts w:ascii="黑体" w:hAnsi="宋体" w:eastAsia="黑体"/>
                <w:b/>
                <w:color w:val="000000"/>
                <w:kern w:val="0"/>
                <w:szCs w:val="21"/>
              </w:rPr>
            </w:pPr>
          </w:p>
          <w:p>
            <w:pPr>
              <w:ind w:right="25" w:rightChars="12"/>
              <w:rPr>
                <w:rFonts w:ascii="黑体" w:hAnsi="宋体" w:eastAsia="黑体"/>
                <w:b/>
                <w:color w:val="000000"/>
                <w:kern w:val="0"/>
                <w:szCs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587" w:type="dxa"/>
          </w:tcPr>
          <w:p>
            <w:pPr>
              <w:ind w:right="25" w:rightChars="12"/>
              <w:rPr>
                <w:rFonts w:ascii="黑体" w:hAnsi="宋体" w:eastAsia="黑体"/>
                <w:b/>
                <w:color w:val="000000"/>
                <w:kern w:val="0"/>
                <w:szCs w:val="21"/>
              </w:rPr>
            </w:pPr>
          </w:p>
          <w:p>
            <w:pPr>
              <w:ind w:right="25" w:rightChars="12"/>
              <w:rPr>
                <w:rFonts w:ascii="黑体" w:hAnsi="宋体" w:eastAsia="黑体"/>
                <w:color w:val="000000"/>
                <w:kern w:val="0"/>
                <w:szCs w:val="21"/>
              </w:rPr>
            </w:pPr>
            <w:r>
              <w:rPr>
                <w:rFonts w:hint="eastAsia" w:ascii="黑体" w:hAnsi="宋体" w:eastAsia="黑体"/>
                <w:color w:val="000000"/>
                <w:kern w:val="0"/>
                <w:szCs w:val="21"/>
              </w:rPr>
              <w:t xml:space="preserve">授权代表（签字）：                     </w:t>
            </w:r>
          </w:p>
          <w:p>
            <w:pPr>
              <w:ind w:right="25" w:rightChars="12"/>
              <w:rPr>
                <w:rFonts w:ascii="宋体" w:hAnsi="宋体"/>
                <w:b/>
                <w:bCs/>
                <w:color w:val="000000"/>
                <w:u w:val="single"/>
              </w:rPr>
            </w:pPr>
          </w:p>
        </w:tc>
        <w:tc>
          <w:tcPr>
            <w:tcW w:w="4587" w:type="dxa"/>
          </w:tcPr>
          <w:p>
            <w:pPr>
              <w:ind w:right="25" w:rightChars="12"/>
              <w:rPr>
                <w:rFonts w:ascii="黑体" w:hAnsi="宋体" w:eastAsia="黑体"/>
                <w:b/>
                <w:color w:val="000000"/>
                <w:kern w:val="0"/>
                <w:szCs w:val="21"/>
              </w:rPr>
            </w:pPr>
          </w:p>
          <w:p>
            <w:pPr>
              <w:ind w:right="25" w:rightChars="12"/>
              <w:rPr>
                <w:rFonts w:ascii="宋体" w:hAnsi="宋体"/>
                <w:b/>
                <w:bCs/>
                <w:color w:val="000000"/>
                <w:u w:val="single"/>
              </w:rPr>
            </w:pPr>
            <w:r>
              <w:rPr>
                <w:rFonts w:hint="eastAsia" w:ascii="黑体" w:hAnsi="宋体" w:eastAsia="黑体"/>
                <w:color w:val="000000"/>
                <w:kern w:val="0"/>
                <w:szCs w:val="21"/>
              </w:rPr>
              <w:t xml:space="preserve">法定代表人（签字）：                   </w:t>
            </w:r>
          </w:p>
        </w:tc>
      </w:tr>
    </w:tbl>
    <w:p>
      <w:pPr>
        <w:ind w:right="25" w:rightChars="12"/>
        <w:rPr>
          <w:rFonts w:ascii="宋体" w:hAnsi="宋体"/>
          <w:b/>
          <w:bCs/>
          <w:color w:val="000000"/>
        </w:rPr>
      </w:pPr>
    </w:p>
    <w:p>
      <w:pPr>
        <w:pStyle w:val="5"/>
        <w:rPr>
          <w:rFonts w:ascii="宋体" w:hAnsi="宋体"/>
          <w:b/>
          <w:bCs/>
          <w:color w:val="000000"/>
        </w:rPr>
        <w:sectPr>
          <w:pgSz w:w="11906" w:h="16838"/>
          <w:pgMar w:top="1531" w:right="1474" w:bottom="1418" w:left="1474" w:header="851" w:footer="992" w:gutter="0"/>
          <w:pgNumType w:start="1"/>
          <w:cols w:space="720" w:num="1"/>
          <w:docGrid w:type="lines" w:linePitch="312" w:charSpace="0"/>
        </w:sectPr>
      </w:pPr>
    </w:p>
    <w:tbl>
      <w:tblPr>
        <w:tblStyle w:val="13"/>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87"/>
        <w:gridCol w:w="4587"/>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587" w:type="dxa"/>
          </w:tcPr>
          <w:p>
            <w:pPr>
              <w:ind w:right="25" w:rightChars="12"/>
              <w:rPr>
                <w:rFonts w:ascii="宋体" w:hAnsi="宋体"/>
                <w:b/>
                <w:bCs/>
                <w:color w:val="000000"/>
                <w:u w:val="single"/>
              </w:rPr>
            </w:pPr>
            <w:r>
              <w:rPr>
                <w:rFonts w:hint="eastAsia" w:ascii="黑体" w:hAnsi="宋体" w:eastAsia="黑体"/>
                <w:color w:val="000000"/>
                <w:kern w:val="0"/>
                <w:szCs w:val="21"/>
              </w:rPr>
              <w:t xml:space="preserve">日期：                                </w:t>
            </w:r>
          </w:p>
        </w:tc>
        <w:tc>
          <w:tcPr>
            <w:tcW w:w="4587" w:type="dxa"/>
          </w:tcPr>
          <w:p>
            <w:pPr>
              <w:ind w:right="25" w:rightChars="12"/>
              <w:rPr>
                <w:rFonts w:ascii="宋体" w:hAnsi="宋体"/>
                <w:b/>
                <w:bCs/>
                <w:color w:val="000000"/>
                <w:u w:val="single"/>
              </w:rPr>
            </w:pPr>
            <w:r>
              <w:rPr>
                <w:rFonts w:hint="eastAsia" w:ascii="黑体" w:hAnsi="宋体" w:eastAsia="黑体"/>
                <w:color w:val="000000"/>
                <w:kern w:val="0"/>
                <w:szCs w:val="21"/>
              </w:rPr>
              <w:t>日期：</w:t>
            </w:r>
            <w:r>
              <w:rPr>
                <w:rFonts w:hint="eastAsia" w:ascii="宋体" w:hAnsi="宋体"/>
                <w:b/>
                <w:bCs/>
                <w:color w:val="000000"/>
                <w:u w:val="single"/>
              </w:rPr>
              <w:t xml:space="preserve">                              </w:t>
            </w:r>
          </w:p>
        </w:tc>
      </w:tr>
    </w:tbl>
    <w:p>
      <w:pPr>
        <w:widowControl/>
        <w:ind w:right="25" w:rightChars="12"/>
        <w:jc w:val="left"/>
        <w:rPr>
          <w:color w:val="000000"/>
        </w:rPr>
      </w:pPr>
    </w:p>
    <w:p>
      <w:pPr>
        <w:pStyle w:val="7"/>
        <w:rPr>
          <w:color w:val="000000"/>
        </w:rPr>
      </w:pPr>
    </w:p>
    <w:p>
      <w:pPr>
        <w:sectPr>
          <w:type w:val="continuous"/>
          <w:pgSz w:w="11906" w:h="16838"/>
          <w:pgMar w:top="1531" w:right="1474" w:bottom="1418" w:left="1474" w:header="851" w:footer="992" w:gutter="0"/>
          <w:pgNumType w:start="1"/>
          <w:cols w:space="720" w:num="1"/>
          <w:docGrid w:type="lines" w:linePitch="312" w:charSpace="0"/>
        </w:sectPr>
      </w:pPr>
    </w:p>
    <w:p>
      <w:pPr>
        <w:jc w:val="center"/>
        <w:rPr>
          <w:rFonts w:ascii="宋体" w:hAnsi="宋体" w:eastAsia="宋体" w:cs="宋体"/>
          <w:b/>
          <w:sz w:val="36"/>
          <w:szCs w:val="36"/>
        </w:rPr>
      </w:pPr>
    </w:p>
    <w:p>
      <w:pPr>
        <w:jc w:val="center"/>
        <w:rPr>
          <w:rFonts w:ascii="宋体" w:hAnsi="宋体" w:eastAsia="宋体" w:cs="宋体"/>
          <w:b/>
          <w:sz w:val="36"/>
          <w:szCs w:val="36"/>
        </w:rPr>
      </w:pPr>
      <w:r>
        <w:rPr>
          <w:rFonts w:hint="eastAsia" w:ascii="宋体" w:hAnsi="宋体" w:eastAsia="宋体" w:cs="宋体"/>
          <w:b/>
          <w:sz w:val="36"/>
          <w:szCs w:val="36"/>
        </w:rPr>
        <w:t>第五章</w:t>
      </w:r>
      <w:r>
        <w:rPr>
          <w:rFonts w:hint="eastAsia" w:ascii="宋体" w:hAnsi="MS Mincho" w:eastAsia="MS Mincho" w:cs="MS Mincho"/>
          <w:b/>
          <w:sz w:val="36"/>
          <w:szCs w:val="36"/>
        </w:rPr>
        <w:t>  </w:t>
      </w:r>
      <w:r>
        <w:rPr>
          <w:rFonts w:hint="eastAsia" w:ascii="宋体" w:hAnsi="宋体" w:eastAsia="宋体" w:cs="宋体"/>
          <w:b/>
          <w:sz w:val="36"/>
          <w:szCs w:val="36"/>
        </w:rPr>
        <w:t>响应文件格式</w:t>
      </w:r>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u w:val="single"/>
        </w:rPr>
      </w:pPr>
      <w:r>
        <w:rPr>
          <w:rFonts w:hint="eastAsia" w:ascii="宋体" w:hAnsi="宋体" w:cs="宋体"/>
          <w:b/>
          <w:sz w:val="36"/>
        </w:rPr>
        <w:t>谈判人名称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谈判主要文件目录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谈判函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谈判人资格证明材料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六、谈判人业绩情况</w:t>
      </w:r>
    </w:p>
    <w:p>
      <w:pPr>
        <w:ind w:firstLine="480" w:firstLineChars="200"/>
        <w:rPr>
          <w:rFonts w:hint="eastAsia" w:ascii="宋体" w:hAnsi="宋体" w:cs="宋体" w:eastAsiaTheme="minorEastAsia"/>
          <w:sz w:val="24"/>
          <w:lang w:val="en-US" w:eastAsia="zh-CN"/>
        </w:rPr>
      </w:pPr>
      <w:r>
        <w:rPr>
          <w:rFonts w:hint="eastAsia" w:ascii="宋体" w:hAnsi="宋体" w:cs="宋体"/>
          <w:sz w:val="24"/>
        </w:rPr>
        <w:t>七、谈判人其它声明及</w:t>
      </w:r>
      <w:r>
        <w:rPr>
          <w:rFonts w:hint="eastAsia" w:ascii="宋体" w:hAnsi="宋体" w:cs="宋体"/>
          <w:sz w:val="24"/>
          <w:lang w:val="en-US" w:eastAsia="zh-CN"/>
        </w:rPr>
        <w:t>材料</w:t>
      </w:r>
    </w:p>
    <w:p>
      <w:pPr>
        <w:spacing w:line="440" w:lineRule="exact"/>
        <w:rPr>
          <w:rFonts w:ascii="宋体" w:hAnsi="宋体" w:cs="宋体"/>
          <w:sz w:val="24"/>
        </w:rPr>
      </w:pPr>
    </w:p>
    <w:p>
      <w:pPr>
        <w:pStyle w:val="2"/>
        <w:ind w:firstLine="3213" w:firstLineChars="1000"/>
        <w:jc w:val="both"/>
        <w:rPr>
          <w:rFonts w:ascii="宋体" w:hAnsi="宋体" w:eastAsia="宋体" w:cs="宋体"/>
          <w:bCs w:val="0"/>
          <w:sz w:val="32"/>
          <w:szCs w:val="32"/>
        </w:rPr>
      </w:pPr>
    </w:p>
    <w:p>
      <w:pPr>
        <w:pStyle w:val="2"/>
        <w:ind w:firstLine="3213" w:firstLineChars="1000"/>
        <w:jc w:val="both"/>
        <w:rPr>
          <w:rFonts w:ascii="宋体" w:hAnsi="宋体" w:eastAsia="宋体" w:cs="宋体"/>
          <w:bCs w:val="0"/>
          <w:sz w:val="32"/>
          <w:szCs w:val="32"/>
        </w:rPr>
      </w:pPr>
    </w:p>
    <w:p>
      <w:pPr>
        <w:pStyle w:val="2"/>
        <w:ind w:firstLine="3213" w:firstLineChars="1000"/>
        <w:jc w:val="both"/>
        <w:rPr>
          <w:rFonts w:ascii="宋体" w:hAnsi="宋体" w:eastAsia="宋体" w:cs="宋体"/>
          <w:bCs w:val="0"/>
          <w:sz w:val="32"/>
          <w:szCs w:val="32"/>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2"/>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一、谈判函格式</w:t>
      </w:r>
    </w:p>
    <w:p>
      <w:pPr>
        <w:pStyle w:val="17"/>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17"/>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根据贵方的项目编号为招标文件，正式授权下述签字人_____________________(姓名和职务)代表我方____________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（谈判人的名称），全权处理本次项目谈判的有关事宜。</w:t>
      </w:r>
    </w:p>
    <w:p>
      <w:pPr>
        <w:pStyle w:val="17"/>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17"/>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17"/>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2.我们完全理解贵方不一定将合同授予最低报价的谈判人。</w:t>
      </w:r>
    </w:p>
    <w:p>
      <w:pPr>
        <w:pStyle w:val="17"/>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7"/>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4.我们同意从规定的开标日期起遵循本谈判文件，并在规定的谈判有效期期满之前均具有约束力。</w:t>
      </w:r>
    </w:p>
    <w:p>
      <w:pPr>
        <w:pStyle w:val="17"/>
        <w:spacing w:before="0" w:after="0" w:line="420" w:lineRule="exact"/>
        <w:rPr>
          <w:rFonts w:ascii="宋体" w:hAnsi="宋体" w:cs="宋体"/>
          <w:kern w:val="2"/>
          <w:szCs w:val="21"/>
        </w:rPr>
      </w:pPr>
      <w:r>
        <w:rPr>
          <w:rFonts w:hint="eastAsia" w:ascii="宋体" w:hAnsi="宋体" w:cs="宋体"/>
          <w:kern w:val="2"/>
          <w:szCs w:val="21"/>
        </w:rPr>
        <w:t>5.如果在开标后规定的谈判有效期内撤回谈判或中标后拒绝签订合同，我们的谈判保证金可被贵方没收。</w:t>
      </w:r>
    </w:p>
    <w:p>
      <w:pPr>
        <w:pStyle w:val="17"/>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6.同意向贵方提供贵方可能另外要求的与谈判有关的任何证据或资料，并保证我方已提供和将要提供的文件是真实的、准确的。</w:t>
      </w:r>
    </w:p>
    <w:p>
      <w:pPr>
        <w:pStyle w:val="17"/>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7"/>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17"/>
        <w:spacing w:before="0" w:after="0" w:line="420" w:lineRule="exact"/>
        <w:ind w:firstLineChars="200"/>
        <w:rPr>
          <w:rFonts w:ascii="宋体" w:hAnsi="宋体" w:cs="宋体"/>
          <w:kern w:val="2"/>
          <w:szCs w:val="21"/>
        </w:rPr>
      </w:pPr>
      <w:r>
        <w:rPr>
          <w:rFonts w:hint="eastAsia" w:ascii="宋体" w:hAnsi="宋体" w:cs="宋体"/>
          <w:kern w:val="2"/>
          <w:szCs w:val="21"/>
        </w:rPr>
        <w:t>9.与本谈判有关的正式通讯地址为：</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谈判人开户行：</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谈判人授权代表姓名（签字）： </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谈判人名称（公章）： </w:t>
      </w:r>
    </w:p>
    <w:p>
      <w:pPr>
        <w:pStyle w:val="17"/>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156"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5" w:name="_Toc462564147"/>
      <w:bookmarkStart w:id="6" w:name="_Toc120614284"/>
      <w:r>
        <w:rPr>
          <w:rFonts w:hint="eastAsia" w:ascii="宋体" w:hAnsi="宋体" w:cs="宋体"/>
          <w:b/>
          <w:sz w:val="32"/>
          <w:szCs w:val="32"/>
        </w:rPr>
        <w:t>二、谈判人资质、业绩审核索引表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w:t>
            </w:r>
            <w:r>
              <w:rPr>
                <w:rFonts w:hint="eastAsia" w:ascii="宋体" w:hAnsi="宋体" w:cs="宋体"/>
                <w:lang w:val="en-US" w:eastAsia="zh-CN"/>
              </w:rPr>
              <w:t>负责人</w:t>
            </w:r>
            <w:r>
              <w:rPr>
                <w:rFonts w:hint="eastAsia" w:ascii="宋体" w:hAnsi="宋体" w:cs="宋体"/>
              </w:rPr>
              <w:t>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谈判人若非生产者，须提供生产者或其驻中国办事机构（或生产者授权的中国境内最高级别代理机构）针对本项目的专项授权书原件(加盖公章)或谈判人取得的产品代理证书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w:t>
            </w:r>
            <w:r>
              <w:rPr>
                <w:rFonts w:hint="eastAsia" w:ascii="宋体" w:hAnsi="宋体" w:cs="宋体"/>
                <w:lang w:val="en-US" w:eastAsia="zh-CN"/>
              </w:rPr>
              <w:t>负责人</w:t>
            </w:r>
            <w:r>
              <w:rPr>
                <w:rFonts w:hint="eastAsia" w:ascii="宋体" w:hAnsi="宋体" w:cs="宋体"/>
              </w:rPr>
              <w:t>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企业基本情况（经营规模、经营状况及行业优势）简介及谈判人认为有必要提供的其它文件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8"/>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156"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156" w:afterLines="50"/>
        <w:jc w:val="center"/>
        <w:rPr>
          <w:rFonts w:ascii="宋体" w:hAnsi="宋体" w:cs="宋体"/>
          <w:b/>
          <w:sz w:val="32"/>
          <w:szCs w:val="32"/>
        </w:rPr>
      </w:pPr>
      <w:r>
        <w:rPr>
          <w:rFonts w:hint="eastAsia" w:ascii="宋体" w:hAnsi="宋体" w:cs="宋体"/>
          <w:b/>
          <w:sz w:val="32"/>
          <w:szCs w:val="32"/>
        </w:rPr>
        <w:t>三、法人授权书格式</w:t>
      </w:r>
    </w:p>
    <w:p>
      <w:pPr>
        <w:pStyle w:val="25"/>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w:t>
      </w:r>
      <w:r>
        <w:rPr>
          <w:rFonts w:hint="eastAsia" w:ascii="宋体" w:hAnsi="宋体" w:cs="宋体"/>
          <w:bCs/>
          <w:sz w:val="24"/>
          <w:lang w:val="en-US" w:eastAsia="zh-CN"/>
        </w:rPr>
        <w:t>定负责人</w:t>
      </w:r>
      <w:r>
        <w:rPr>
          <w:rFonts w:hint="eastAsia" w:ascii="宋体" w:hAnsi="宋体" w:cs="宋体"/>
          <w:bCs/>
          <w:sz w:val="24"/>
        </w:rPr>
        <w:t>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5"/>
        <w:rPr>
          <w:rFonts w:ascii="宋体" w:hAnsi="宋体" w:cs="宋体"/>
        </w:rPr>
      </w:pPr>
    </w:p>
    <w:p>
      <w:pPr>
        <w:pStyle w:val="4"/>
        <w:jc w:val="center"/>
        <w:rPr>
          <w:rFonts w:ascii="宋体" w:hAnsi="宋体" w:cs="宋体"/>
          <w:bCs w:val="0"/>
        </w:rPr>
      </w:pPr>
      <w:r>
        <w:rPr>
          <w:rFonts w:hint="eastAsia" w:ascii="宋体" w:hAnsi="宋体" w:cs="宋体"/>
        </w:rPr>
        <w:br w:type="page"/>
      </w:r>
      <w:bookmarkEnd w:id="5"/>
      <w:bookmarkStart w:id="7" w:name="_Hlt26955070"/>
      <w:bookmarkEnd w:id="7"/>
      <w:bookmarkStart w:id="8" w:name="_格式3__银行出具的资信证明"/>
      <w:bookmarkEnd w:id="8"/>
      <w:bookmarkStart w:id="9" w:name="_Hlt26671380"/>
      <w:bookmarkEnd w:id="9"/>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谈判人全称（公章):                       项目名称：</w:t>
      </w:r>
    </w:p>
    <w:tbl>
      <w:tblPr>
        <w:tblStyle w:val="13"/>
        <w:tblW w:w="87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sz w:val="24"/>
                <w:lang w:val="en-US" w:eastAsia="zh-CN"/>
              </w:rPr>
            </w:pPr>
            <w:r>
              <w:rPr>
                <w:rFonts w:hint="eastAsia" w:ascii="宋体" w:hAnsi="宋体" w:cs="宋体"/>
                <w:sz w:val="24"/>
                <w:lang w:val="en-US" w:eastAsia="zh-CN"/>
              </w:rPr>
              <w:t>5</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vMerge w:val="restart"/>
            <w:tcBorders>
              <w:top w:val="single" w:color="auto" w:sz="4" w:space="0"/>
              <w:left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vMerge w:val="continue"/>
            <w:tcBorders>
              <w:left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vMerge w:val="continue"/>
            <w:tcBorders>
              <w:left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sz w:val="24"/>
                <w:lang w:val="en-US" w:eastAsia="zh-CN"/>
              </w:rPr>
            </w:pPr>
            <w:r>
              <w:rPr>
                <w:rFonts w:hint="eastAsia" w:ascii="宋体" w:hAnsi="宋体" w:cs="宋体"/>
                <w:sz w:val="24"/>
                <w:lang w:val="en-US" w:eastAsia="zh-CN"/>
              </w:rPr>
              <w:t>合计</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vMerge w:val="continue"/>
            <w:tcBorders>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w:t>
      </w:r>
      <w:r>
        <w:rPr>
          <w:rFonts w:hint="eastAsia" w:ascii="宋体" w:hAnsi="宋体" w:cs="宋体"/>
          <w:sz w:val="24"/>
          <w:lang w:val="en-US" w:eastAsia="zh-CN"/>
        </w:rPr>
        <w:t>负责</w:t>
      </w:r>
      <w:r>
        <w:rPr>
          <w:rFonts w:hint="eastAsia" w:ascii="宋体" w:hAnsi="宋体" w:cs="宋体"/>
          <w:sz w:val="24"/>
        </w:rPr>
        <w:t>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56" w:beforeLines="50" w:after="312" w:afterLines="100"/>
        <w:jc w:val="left"/>
        <w:rPr>
          <w:rFonts w:ascii="宋体" w:hAnsi="宋体" w:cs="宋体"/>
          <w:sz w:val="24"/>
        </w:rPr>
      </w:pPr>
      <w:r>
        <w:rPr>
          <w:rFonts w:hint="eastAsia" w:ascii="宋体" w:hAnsi="宋体" w:cs="宋体"/>
          <w:sz w:val="24"/>
        </w:rPr>
        <w:t>谈判人全称（公章):                       项目名称：</w:t>
      </w:r>
    </w:p>
    <w:tbl>
      <w:tblPr>
        <w:tblStyle w:val="13"/>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招标文件要求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w:t>
      </w:r>
      <w:r>
        <w:rPr>
          <w:rFonts w:hint="eastAsia" w:ascii="宋体" w:hAnsi="宋体" w:cs="宋体"/>
          <w:sz w:val="24"/>
          <w:lang w:val="en-US" w:eastAsia="zh-CN"/>
        </w:rPr>
        <w:t>负责</w:t>
      </w:r>
      <w:r>
        <w:rPr>
          <w:rFonts w:hint="eastAsia" w:ascii="宋体" w:hAnsi="宋体" w:cs="宋体"/>
          <w:sz w:val="24"/>
        </w:rPr>
        <w:t>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156" w:beforeLines="50" w:after="156" w:afterLines="50"/>
        <w:jc w:val="center"/>
        <w:rPr>
          <w:rFonts w:ascii="宋体" w:hAnsi="宋体" w:cs="宋体"/>
          <w:b/>
          <w:sz w:val="32"/>
          <w:szCs w:val="32"/>
        </w:rPr>
      </w:pPr>
      <w:r>
        <w:rPr>
          <w:rFonts w:hint="eastAsia" w:ascii="宋体" w:hAnsi="宋体" w:cs="宋体"/>
          <w:b/>
          <w:sz w:val="36"/>
        </w:rPr>
        <w:br w:type="page"/>
      </w:r>
      <w:bookmarkEnd w:id="6"/>
      <w:bookmarkStart w:id="10" w:name="_Hlt26955054"/>
      <w:bookmarkEnd w:id="10"/>
      <w:r>
        <w:rPr>
          <w:rFonts w:hint="eastAsia" w:ascii="宋体" w:hAnsi="宋体" w:cs="宋体"/>
          <w:b/>
          <w:sz w:val="32"/>
          <w:szCs w:val="32"/>
        </w:rPr>
        <w:t>六、</w:t>
      </w:r>
      <w:bookmarkStart w:id="11" w:name="_格式2__法定代表人授权书"/>
      <w:bookmarkEnd w:id="11"/>
      <w:bookmarkStart w:id="12" w:name="_Toc460901585"/>
      <w:bookmarkStart w:id="13" w:name="_Toc120614283"/>
      <w:bookmarkStart w:id="14" w:name="_Toc513029276"/>
      <w:bookmarkStart w:id="15" w:name="_Toc23828478"/>
      <w:bookmarkStart w:id="16" w:name="_Toc26554095"/>
      <w:bookmarkStart w:id="17" w:name="_Toc49090577"/>
      <w:bookmarkStart w:id="18" w:name="_Toc22356580"/>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谈判人全称（公章):                       项目名称：</w:t>
      </w:r>
    </w:p>
    <w:tbl>
      <w:tblPr>
        <w:tblStyle w:val="13"/>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序号</w:t>
            </w:r>
          </w:p>
        </w:tc>
        <w:tc>
          <w:tcPr>
            <w:tcW w:w="2976" w:type="dxa"/>
            <w:vAlign w:val="center"/>
          </w:tcPr>
          <w:p>
            <w:pPr>
              <w:pStyle w:val="24"/>
              <w:ind w:left="420"/>
              <w:jc w:val="center"/>
              <w:rPr>
                <w:rFonts w:hAnsi="宋体"/>
                <w:color w:val="auto"/>
              </w:rPr>
            </w:pPr>
            <w:r>
              <w:rPr>
                <w:rFonts w:hint="eastAsia" w:hAnsi="宋体"/>
                <w:color w:val="auto"/>
              </w:rPr>
              <w:t>项目</w:t>
            </w:r>
          </w:p>
        </w:tc>
        <w:tc>
          <w:tcPr>
            <w:tcW w:w="1985" w:type="dxa"/>
            <w:vAlign w:val="center"/>
          </w:tcPr>
          <w:p>
            <w:pPr>
              <w:pStyle w:val="24"/>
              <w:ind w:left="420"/>
              <w:jc w:val="center"/>
              <w:rPr>
                <w:rFonts w:hAnsi="宋体"/>
                <w:color w:val="auto"/>
              </w:rPr>
            </w:pPr>
            <w:r>
              <w:rPr>
                <w:rFonts w:hint="eastAsia" w:hAnsi="宋体"/>
                <w:color w:val="auto"/>
              </w:rPr>
              <w:t>招标文件中主要商务条款的描述</w:t>
            </w:r>
          </w:p>
        </w:tc>
        <w:tc>
          <w:tcPr>
            <w:tcW w:w="1843" w:type="dxa"/>
            <w:vAlign w:val="center"/>
          </w:tcPr>
          <w:p>
            <w:pPr>
              <w:pStyle w:val="24"/>
              <w:ind w:left="420"/>
              <w:jc w:val="center"/>
              <w:rPr>
                <w:rFonts w:hAnsi="宋体"/>
                <w:color w:val="auto"/>
              </w:rPr>
            </w:pPr>
            <w:r>
              <w:rPr>
                <w:rFonts w:hint="eastAsia" w:hAnsi="宋体"/>
                <w:color w:val="auto"/>
              </w:rPr>
              <w:t>谈判供应商的承诺或说明</w:t>
            </w:r>
          </w:p>
        </w:tc>
        <w:tc>
          <w:tcPr>
            <w:tcW w:w="1687" w:type="dxa"/>
            <w:vAlign w:val="center"/>
          </w:tcPr>
          <w:p>
            <w:pPr>
              <w:pStyle w:val="24"/>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1</w:t>
            </w:r>
          </w:p>
        </w:tc>
        <w:tc>
          <w:tcPr>
            <w:tcW w:w="2976" w:type="dxa"/>
            <w:vAlign w:val="center"/>
          </w:tcPr>
          <w:p>
            <w:pPr>
              <w:pStyle w:val="24"/>
              <w:ind w:left="420"/>
              <w:jc w:val="center"/>
              <w:rPr>
                <w:rFonts w:hAnsi="宋体"/>
                <w:color w:val="auto"/>
              </w:rPr>
            </w:pPr>
            <w:r>
              <w:rPr>
                <w:rFonts w:hint="eastAsia" w:hAnsi="宋体"/>
                <w:color w:val="auto"/>
              </w:rPr>
              <w:t>质保期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2</w:t>
            </w:r>
          </w:p>
        </w:tc>
        <w:tc>
          <w:tcPr>
            <w:tcW w:w="2976" w:type="dxa"/>
            <w:vAlign w:val="center"/>
          </w:tcPr>
          <w:p>
            <w:pPr>
              <w:pStyle w:val="24"/>
              <w:ind w:left="420"/>
              <w:jc w:val="center"/>
              <w:rPr>
                <w:rFonts w:hAnsi="宋体"/>
                <w:color w:val="auto"/>
              </w:rPr>
            </w:pPr>
            <w:r>
              <w:rPr>
                <w:rFonts w:hint="eastAsia" w:hAnsi="宋体"/>
                <w:color w:val="auto"/>
              </w:rPr>
              <w:t>售后技术服务要求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3</w:t>
            </w:r>
          </w:p>
        </w:tc>
        <w:tc>
          <w:tcPr>
            <w:tcW w:w="2976" w:type="dxa"/>
            <w:vAlign w:val="center"/>
          </w:tcPr>
          <w:p>
            <w:pPr>
              <w:pStyle w:val="24"/>
              <w:ind w:left="420"/>
              <w:jc w:val="center"/>
              <w:rPr>
                <w:rFonts w:hAnsi="宋体"/>
                <w:color w:val="auto"/>
              </w:rPr>
            </w:pPr>
            <w:r>
              <w:rPr>
                <w:rFonts w:hint="eastAsia" w:hAnsi="宋体"/>
                <w:color w:val="auto"/>
              </w:rPr>
              <w:t>供货期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4</w:t>
            </w:r>
          </w:p>
        </w:tc>
        <w:tc>
          <w:tcPr>
            <w:tcW w:w="2976" w:type="dxa"/>
            <w:vAlign w:val="center"/>
          </w:tcPr>
          <w:p>
            <w:pPr>
              <w:pStyle w:val="24"/>
              <w:ind w:left="420"/>
              <w:jc w:val="center"/>
              <w:rPr>
                <w:rFonts w:hAnsi="宋体"/>
                <w:color w:val="auto"/>
              </w:rPr>
            </w:pPr>
            <w:r>
              <w:rPr>
                <w:rFonts w:hint="eastAsia" w:hAnsi="宋体"/>
                <w:color w:val="auto"/>
              </w:rPr>
              <w:t>交货方式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5</w:t>
            </w:r>
          </w:p>
        </w:tc>
        <w:tc>
          <w:tcPr>
            <w:tcW w:w="2976" w:type="dxa"/>
            <w:vAlign w:val="center"/>
          </w:tcPr>
          <w:p>
            <w:pPr>
              <w:pStyle w:val="24"/>
              <w:ind w:left="420"/>
              <w:jc w:val="center"/>
              <w:rPr>
                <w:rFonts w:hAnsi="宋体"/>
                <w:color w:val="auto"/>
              </w:rPr>
            </w:pPr>
            <w:r>
              <w:rPr>
                <w:rFonts w:hint="eastAsia" w:hAnsi="宋体"/>
                <w:color w:val="auto"/>
              </w:rPr>
              <w:t>付款方式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6</w:t>
            </w:r>
          </w:p>
        </w:tc>
        <w:tc>
          <w:tcPr>
            <w:tcW w:w="2976" w:type="dxa"/>
            <w:vAlign w:val="center"/>
          </w:tcPr>
          <w:p>
            <w:pPr>
              <w:pStyle w:val="24"/>
              <w:ind w:left="420"/>
              <w:jc w:val="center"/>
              <w:rPr>
                <w:rFonts w:hAnsi="宋体"/>
                <w:color w:val="auto"/>
              </w:rPr>
            </w:pPr>
            <w:r>
              <w:rPr>
                <w:rFonts w:hint="eastAsia" w:hAnsi="宋体"/>
                <w:color w:val="auto"/>
              </w:rPr>
              <w:t>谈判货币</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7</w:t>
            </w:r>
          </w:p>
        </w:tc>
        <w:tc>
          <w:tcPr>
            <w:tcW w:w="2976" w:type="dxa"/>
            <w:vAlign w:val="center"/>
          </w:tcPr>
          <w:p>
            <w:pPr>
              <w:pStyle w:val="24"/>
              <w:ind w:left="420"/>
              <w:jc w:val="center"/>
              <w:rPr>
                <w:rFonts w:hAnsi="宋体"/>
                <w:color w:val="auto"/>
              </w:rPr>
            </w:pPr>
            <w:r>
              <w:rPr>
                <w:rFonts w:hint="eastAsia" w:hAnsi="宋体"/>
                <w:color w:val="auto"/>
              </w:rPr>
              <w:t>备品备件及耗材等要求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8</w:t>
            </w:r>
          </w:p>
        </w:tc>
        <w:tc>
          <w:tcPr>
            <w:tcW w:w="2976" w:type="dxa"/>
            <w:vAlign w:val="center"/>
          </w:tcPr>
          <w:p>
            <w:pPr>
              <w:pStyle w:val="24"/>
              <w:ind w:left="420"/>
              <w:jc w:val="center"/>
              <w:rPr>
                <w:rFonts w:hAnsi="宋体"/>
                <w:color w:val="auto"/>
              </w:rPr>
            </w:pPr>
            <w:r>
              <w:rPr>
                <w:rFonts w:hint="eastAsia" w:hAnsi="宋体"/>
                <w:color w:val="auto"/>
              </w:rPr>
              <w:t>培训方式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p>
        </w:tc>
        <w:tc>
          <w:tcPr>
            <w:tcW w:w="2976" w:type="dxa"/>
            <w:vAlign w:val="center"/>
          </w:tcPr>
          <w:p>
            <w:pPr>
              <w:pStyle w:val="24"/>
              <w:ind w:left="420"/>
              <w:jc w:val="center"/>
              <w:rPr>
                <w:rFonts w:hAnsi="宋体"/>
                <w:color w:val="auto"/>
              </w:rPr>
            </w:pP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bl>
    <w:p>
      <w:pPr>
        <w:pStyle w:val="24"/>
        <w:spacing w:line="360" w:lineRule="auto"/>
        <w:ind w:left="420" w:firstLine="2520" w:firstLineChars="1050"/>
        <w:rPr>
          <w:rFonts w:hAnsi="宋体"/>
          <w:color w:val="auto"/>
        </w:rPr>
      </w:pPr>
      <w:r>
        <w:rPr>
          <w:rFonts w:hint="eastAsia" w:hAnsi="宋体"/>
          <w:color w:val="auto"/>
        </w:rPr>
        <w:t xml:space="preserve">             法定</w:t>
      </w:r>
      <w:r>
        <w:rPr>
          <w:rFonts w:hint="eastAsia" w:hAnsi="宋体"/>
          <w:color w:val="auto"/>
          <w:lang w:val="en-US" w:eastAsia="zh-CN"/>
        </w:rPr>
        <w:t>负责</w:t>
      </w:r>
      <w:r>
        <w:rPr>
          <w:rFonts w:hint="eastAsia" w:hAnsi="宋体"/>
          <w:color w:val="auto"/>
        </w:rPr>
        <w:t>人（授权代表）签字：</w:t>
      </w:r>
    </w:p>
    <w:p>
      <w:pPr>
        <w:pStyle w:val="24"/>
        <w:spacing w:line="360" w:lineRule="exact"/>
        <w:ind w:left="420"/>
        <w:rPr>
          <w:rFonts w:hAnsi="宋体"/>
          <w:color w:val="auto"/>
        </w:rPr>
      </w:pPr>
      <w:r>
        <w:rPr>
          <w:rFonts w:hint="eastAsia" w:hAnsi="宋体"/>
          <w:color w:val="auto"/>
        </w:rPr>
        <w:t>注：</w:t>
      </w:r>
    </w:p>
    <w:p>
      <w:pPr>
        <w:pStyle w:val="24"/>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4"/>
        <w:spacing w:line="360" w:lineRule="exact"/>
        <w:ind w:left="420" w:firstLine="480" w:firstLineChars="200"/>
        <w:rPr>
          <w:rFonts w:hAnsi="宋体"/>
          <w:color w:val="auto"/>
        </w:rPr>
      </w:pPr>
      <w:r>
        <w:rPr>
          <w:rFonts w:hint="eastAsia" w:hAnsi="宋体"/>
          <w:color w:val="auto"/>
        </w:rPr>
        <w:t>2、谈判单位根据项目添加的服务承诺、培训等也请列出；</w:t>
      </w:r>
    </w:p>
    <w:p>
      <w:pPr>
        <w:pStyle w:val="24"/>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4"/>
        <w:spacing w:line="360" w:lineRule="exact"/>
        <w:ind w:left="420" w:firstLine="480" w:firstLineChars="200"/>
        <w:rPr>
          <w:rFonts w:hAnsi="宋体"/>
          <w:color w:val="auto"/>
        </w:rPr>
      </w:pPr>
      <w:r>
        <w:rPr>
          <w:rFonts w:hint="eastAsia" w:hAnsi="宋体"/>
          <w:color w:val="auto"/>
        </w:rPr>
        <w:t>4、谈判单位必须仔细阅读招标文件中所有商务条款和相关服务要求，并对所有商务条款和服务要求偏离的条目列入上表。谈判单位必须根据所将提供服务的实际情况如实填写，评委会如发现有虚假描述的，该谈判文件视为无效。</w:t>
      </w:r>
    </w:p>
    <w:bookmarkEnd w:id="12"/>
    <w:bookmarkEnd w:id="13"/>
    <w:bookmarkEnd w:id="14"/>
    <w:bookmarkEnd w:id="15"/>
    <w:bookmarkEnd w:id="16"/>
    <w:bookmarkEnd w:id="17"/>
    <w:bookmarkEnd w:id="18"/>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七、谈判人业绩情况</w:t>
      </w:r>
    </w:p>
    <w:p>
      <w:pPr>
        <w:spacing w:line="360" w:lineRule="exact"/>
        <w:ind w:firstLine="480" w:firstLineChars="200"/>
        <w:rPr>
          <w:rFonts w:ascii="宋体" w:hAnsi="宋体" w:cs="宋体"/>
          <w:sz w:val="24"/>
          <w:szCs w:val="24"/>
        </w:rPr>
      </w:pPr>
      <w:r>
        <w:rPr>
          <w:rFonts w:hint="eastAsia" w:ascii="宋体" w:hAnsi="宋体" w:cs="宋体"/>
          <w:sz w:val="24"/>
        </w:rPr>
        <w:t>谈判人近三年内业绩材料（谈判人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w:t>
      </w:r>
      <w:r>
        <w:rPr>
          <w:rFonts w:hint="eastAsia" w:ascii="宋体" w:hAnsi="宋体" w:cs="宋体"/>
          <w:sz w:val="24"/>
          <w:lang w:val="en-US" w:eastAsia="zh-CN"/>
        </w:rPr>
        <w:t>负责</w:t>
      </w:r>
      <w:r>
        <w:rPr>
          <w:rFonts w:hint="eastAsia" w:ascii="宋体" w:hAnsi="宋体" w:cs="宋体"/>
          <w:sz w:val="24"/>
        </w:rPr>
        <w:t>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九、谈判人其它声明及材料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谈判人的信誉、荣誉证书或文件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谈判人质量保证体系、环境保证体系等方面的认证证书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能说明谈判产品规格型号、性能参数的彩页资料（或能佐证谈判产品技术参数的其他宣传资料）</w:t>
      </w:r>
      <w:bookmarkStart w:id="19" w:name="_Hlt26955041"/>
      <w:bookmarkEnd w:id="19"/>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p>
      <w:pPr>
        <w:rPr>
          <w:rFonts w:ascii="宋体" w:hAnsi="宋体" w:eastAsia="宋体"/>
          <w:b/>
          <w:sz w:val="36"/>
          <w:szCs w:val="36"/>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tabs>
                              <w:tab w:val="center" w:pos="4320"/>
                              <w:tab w:val="right" w:pos="864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27</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0Xyg51AEAAKYDAAAOAAAAAAAAAAEAIAAA&#10;ACIBAABkcnMvZTJvRG9jLnhtbFBLBQYAAAAABgAGAFkBAABoBQAAAAA=&#10;">
              <v:fill on="f" focussize="0,0"/>
              <v:stroke on="f" weight="1.25pt"/>
              <v:imagedata o:title=""/>
              <o:lock v:ext="edit" aspectratio="f"/>
              <v:textbox inset="0mm,0mm,0mm,0mm" style="mso-fit-shape-to-text:t;">
                <w:txbxContent>
                  <w:p>
                    <w:pPr>
                      <w:pStyle w:val="9"/>
                      <w:tabs>
                        <w:tab w:val="center" w:pos="4320"/>
                        <w:tab w:val="right" w:pos="864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2"/>
      <w:rPr>
        <w:rStyle w:val="31"/>
      </w:rPr>
    </w:pPr>
    <w:r>
      <w:fldChar w:fldCharType="begin"/>
    </w:r>
    <w:r>
      <w:rPr>
        <w:rStyle w:val="31"/>
      </w:rPr>
      <w:instrText xml:space="preserve">PAGE  </w:instrText>
    </w:r>
    <w:r>
      <w:fldChar w:fldCharType="separate"/>
    </w:r>
    <w:r>
      <w:rPr>
        <w:rStyle w:val="31"/>
      </w:rPr>
      <w:t>2</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tabs>
                              <w:tab w:val="center" w:pos="4320"/>
                              <w:tab w:val="right" w:pos="864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27</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pPr>
                      <w:pStyle w:val="9"/>
                      <w:tabs>
                        <w:tab w:val="center" w:pos="4320"/>
                        <w:tab w:val="right" w:pos="8640"/>
                        <w:tab w:val="clear" w:pos="4153"/>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27</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1"/>
        <w:left w:val="none" w:color="auto" w:sz="0" w:space="4"/>
        <w:bottom w:val="none" w:color="auto" w:sz="0" w:space="1"/>
        <w:right w:val="none" w:color="auto" w:sz="0" w:space="4"/>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0E177"/>
    <w:multiLevelType w:val="singleLevel"/>
    <w:tmpl w:val="B010E177"/>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lvlText w:val="(%1)"/>
      <w:lvlJc w:val="left"/>
      <w:pPr>
        <w:ind w:left="1170" w:hanging="750"/>
      </w:pPr>
      <w:rPr>
        <w:rFonts w:hint="default"/>
        <w:lang w:val="en-US"/>
      </w:rPr>
    </w:lvl>
    <w:lvl w:ilvl="1" w:tentative="0">
      <w:start w:val="1"/>
      <w:numFmt w:val="decimal"/>
      <w:lvlText w:val="%2)"/>
      <w:lvlJc w:val="left"/>
      <w:pPr>
        <w:ind w:left="1271"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19"/>
    <w:multiLevelType w:val="singleLevel"/>
    <w:tmpl w:val="00000019"/>
    <w:lvl w:ilvl="0" w:tentative="0">
      <w:start w:val="1"/>
      <w:numFmt w:val="chineseCounting"/>
      <w:suff w:val="space"/>
      <w:lvlText w:val="第%1条"/>
      <w:lvlJc w:val="left"/>
    </w:lvl>
  </w:abstractNum>
  <w:abstractNum w:abstractNumId="3">
    <w:nsid w:val="07347824"/>
    <w:multiLevelType w:val="multilevel"/>
    <w:tmpl w:val="07347824"/>
    <w:lvl w:ilvl="0" w:tentative="0">
      <w:start w:val="1"/>
      <w:numFmt w:val="chineseCountingThousand"/>
      <w:lvlText w:val="(%1)"/>
      <w:lvlJc w:val="left"/>
      <w:pPr>
        <w:ind w:left="1170" w:hanging="750"/>
      </w:pPr>
      <w:rPr>
        <w:rFonts w:hint="default"/>
        <w:lang w:val="en-US"/>
      </w:rPr>
    </w:lvl>
    <w:lvl w:ilvl="1" w:tentative="0">
      <w:start w:val="1"/>
      <w:numFmt w:val="decimal"/>
      <w:lvlText w:val="%2)"/>
      <w:lvlJc w:val="left"/>
      <w:pPr>
        <w:ind w:left="1271"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5A37A7"/>
    <w:multiLevelType w:val="multilevel"/>
    <w:tmpl w:val="255A37A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8127022"/>
    <w:multiLevelType w:val="multilevel"/>
    <w:tmpl w:val="28127022"/>
    <w:lvl w:ilvl="0" w:tentative="0">
      <w:start w:val="1"/>
      <w:numFmt w:val="chineseCountingThousand"/>
      <w:lvlText w:val="(%1)"/>
      <w:lvlJc w:val="left"/>
      <w:pPr>
        <w:ind w:left="1170" w:hanging="750"/>
      </w:pPr>
      <w:rPr>
        <w:rFonts w:hint="default"/>
        <w:lang w:val="en-US"/>
      </w:rPr>
    </w:lvl>
    <w:lvl w:ilvl="1" w:tentative="0">
      <w:start w:val="1"/>
      <w:numFmt w:val="decimal"/>
      <w:lvlText w:val="%2)"/>
      <w:lvlJc w:val="left"/>
      <w:pPr>
        <w:ind w:left="1271"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D887EDD"/>
    <w:multiLevelType w:val="multilevel"/>
    <w:tmpl w:val="2D887ED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4D67E73"/>
    <w:multiLevelType w:val="multilevel"/>
    <w:tmpl w:val="44D67E73"/>
    <w:lvl w:ilvl="0" w:tentative="0">
      <w:start w:val="1"/>
      <w:numFmt w:val="decimal"/>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7361E92"/>
    <w:multiLevelType w:val="multilevel"/>
    <w:tmpl w:val="47361E92"/>
    <w:lvl w:ilvl="0" w:tentative="0">
      <w:start w:val="1"/>
      <w:numFmt w:val="chineseCountingThousand"/>
      <w:lvlText w:val="(%1)"/>
      <w:lvlJc w:val="left"/>
      <w:pPr>
        <w:ind w:left="1170" w:hanging="750"/>
      </w:pPr>
      <w:rPr>
        <w:rFonts w:hint="default"/>
        <w:lang w:val="en-US"/>
      </w:rPr>
    </w:lvl>
    <w:lvl w:ilvl="1" w:tentative="0">
      <w:start w:val="1"/>
      <w:numFmt w:val="decimal"/>
      <w:lvlText w:val="%2)"/>
      <w:lvlJc w:val="left"/>
      <w:pPr>
        <w:ind w:left="1271"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370403F"/>
    <w:multiLevelType w:val="multilevel"/>
    <w:tmpl w:val="5370403F"/>
    <w:lvl w:ilvl="0" w:tentative="0">
      <w:start w:val="1"/>
      <w:numFmt w:val="decimal"/>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7FC16BF"/>
    <w:multiLevelType w:val="multilevel"/>
    <w:tmpl w:val="57FC16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6B1AC4"/>
    <w:multiLevelType w:val="multilevel"/>
    <w:tmpl w:val="596B1AC4"/>
    <w:lvl w:ilvl="0" w:tentative="0">
      <w:start w:val="1"/>
      <w:numFmt w:val="chineseCountingThousand"/>
      <w:lvlText w:val="(%1)"/>
      <w:lvlJc w:val="left"/>
      <w:pPr>
        <w:ind w:left="1170" w:hanging="750"/>
      </w:pPr>
      <w:rPr>
        <w:rFonts w:hint="default"/>
        <w:lang w:val="en-US"/>
      </w:rPr>
    </w:lvl>
    <w:lvl w:ilvl="1" w:tentative="0">
      <w:start w:val="1"/>
      <w:numFmt w:val="decimal"/>
      <w:lvlText w:val="%2)"/>
      <w:lvlJc w:val="left"/>
      <w:pPr>
        <w:ind w:left="1271"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07B2B12"/>
    <w:multiLevelType w:val="multilevel"/>
    <w:tmpl w:val="607B2B12"/>
    <w:lvl w:ilvl="0" w:tentative="0">
      <w:start w:val="1"/>
      <w:numFmt w:val="decimal"/>
      <w:lvlText w:val="%1)"/>
      <w:lvlJc w:val="left"/>
      <w:pPr>
        <w:ind w:left="1575" w:hanging="360"/>
      </w:pPr>
      <w:rPr>
        <w:rFonts w:hint="default"/>
      </w:rPr>
    </w:lvl>
    <w:lvl w:ilvl="1" w:tentative="0">
      <w:start w:val="1"/>
      <w:numFmt w:val="lowerLetter"/>
      <w:lvlText w:val="%2)"/>
      <w:lvlJc w:val="left"/>
      <w:pPr>
        <w:ind w:left="2055" w:hanging="420"/>
      </w:pPr>
    </w:lvl>
    <w:lvl w:ilvl="2" w:tentative="0">
      <w:start w:val="1"/>
      <w:numFmt w:val="lowerRoman"/>
      <w:lvlText w:val="%3."/>
      <w:lvlJc w:val="right"/>
      <w:pPr>
        <w:ind w:left="2475" w:hanging="420"/>
      </w:pPr>
    </w:lvl>
    <w:lvl w:ilvl="3" w:tentative="0">
      <w:start w:val="1"/>
      <w:numFmt w:val="decimal"/>
      <w:lvlText w:val="%4."/>
      <w:lvlJc w:val="left"/>
      <w:pPr>
        <w:ind w:left="2895" w:hanging="420"/>
      </w:pPr>
    </w:lvl>
    <w:lvl w:ilvl="4" w:tentative="0">
      <w:start w:val="1"/>
      <w:numFmt w:val="lowerLetter"/>
      <w:lvlText w:val="%5)"/>
      <w:lvlJc w:val="left"/>
      <w:pPr>
        <w:ind w:left="3315" w:hanging="420"/>
      </w:pPr>
    </w:lvl>
    <w:lvl w:ilvl="5" w:tentative="0">
      <w:start w:val="1"/>
      <w:numFmt w:val="lowerRoman"/>
      <w:lvlText w:val="%6."/>
      <w:lvlJc w:val="right"/>
      <w:pPr>
        <w:ind w:left="3735" w:hanging="420"/>
      </w:pPr>
    </w:lvl>
    <w:lvl w:ilvl="6" w:tentative="0">
      <w:start w:val="1"/>
      <w:numFmt w:val="decimal"/>
      <w:lvlText w:val="%7."/>
      <w:lvlJc w:val="left"/>
      <w:pPr>
        <w:ind w:left="4155" w:hanging="420"/>
      </w:pPr>
    </w:lvl>
    <w:lvl w:ilvl="7" w:tentative="0">
      <w:start w:val="1"/>
      <w:numFmt w:val="lowerLetter"/>
      <w:lvlText w:val="%8)"/>
      <w:lvlJc w:val="left"/>
      <w:pPr>
        <w:ind w:left="4575" w:hanging="420"/>
      </w:pPr>
    </w:lvl>
    <w:lvl w:ilvl="8" w:tentative="0">
      <w:start w:val="1"/>
      <w:numFmt w:val="lowerRoman"/>
      <w:lvlText w:val="%9."/>
      <w:lvlJc w:val="right"/>
      <w:pPr>
        <w:ind w:left="4995" w:hanging="420"/>
      </w:pPr>
    </w:lvl>
  </w:abstractNum>
  <w:abstractNum w:abstractNumId="13">
    <w:nsid w:val="61FE0823"/>
    <w:multiLevelType w:val="multilevel"/>
    <w:tmpl w:val="61FE0823"/>
    <w:lvl w:ilvl="0" w:tentative="0">
      <w:start w:val="1"/>
      <w:numFmt w:val="chineseCountingThousand"/>
      <w:lvlText w:val="(%1)"/>
      <w:lvlJc w:val="left"/>
      <w:pPr>
        <w:ind w:left="1170" w:hanging="750"/>
      </w:pPr>
      <w:rPr>
        <w:rFonts w:hint="default"/>
        <w:lang w:val="en-US"/>
      </w:rPr>
    </w:lvl>
    <w:lvl w:ilvl="1" w:tentative="0">
      <w:start w:val="1"/>
      <w:numFmt w:val="decimal"/>
      <w:lvlText w:val="%2)"/>
      <w:lvlJc w:val="left"/>
      <w:pPr>
        <w:ind w:left="1271"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8"/>
  </w:num>
  <w:num w:numId="3">
    <w:abstractNumId w:val="2"/>
  </w:num>
  <w:num w:numId="4">
    <w:abstractNumId w:val="1"/>
  </w:num>
  <w:num w:numId="5">
    <w:abstractNumId w:val="12"/>
  </w:num>
  <w:num w:numId="6">
    <w:abstractNumId w:val="4"/>
  </w:num>
  <w:num w:numId="7">
    <w:abstractNumId w:val="6"/>
  </w:num>
  <w:num w:numId="8">
    <w:abstractNumId w:val="10"/>
  </w:num>
  <w:num w:numId="9">
    <w:abstractNumId w:val="11"/>
  </w:num>
  <w:num w:numId="10">
    <w:abstractNumId w:val="9"/>
  </w:num>
  <w:num w:numId="11">
    <w:abstractNumId w:val="7"/>
  </w:num>
  <w:num w:numId="12">
    <w:abstractNumId w:val="3"/>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mM4ODZmY2YwZTU2MDljY2NhZGFiMjZmZDk1ZTcifQ=="/>
  </w:docVars>
  <w:rsids>
    <w:rsidRoot w:val="003C15B9"/>
    <w:rsid w:val="00024B42"/>
    <w:rsid w:val="00081B70"/>
    <w:rsid w:val="000829CD"/>
    <w:rsid w:val="000E579A"/>
    <w:rsid w:val="00140432"/>
    <w:rsid w:val="00146533"/>
    <w:rsid w:val="001B3184"/>
    <w:rsid w:val="003C15B9"/>
    <w:rsid w:val="003D539B"/>
    <w:rsid w:val="005E1CD1"/>
    <w:rsid w:val="00632F41"/>
    <w:rsid w:val="0067261B"/>
    <w:rsid w:val="006A1849"/>
    <w:rsid w:val="006E3EEE"/>
    <w:rsid w:val="0074164C"/>
    <w:rsid w:val="007F6C3A"/>
    <w:rsid w:val="00870348"/>
    <w:rsid w:val="00AA1A60"/>
    <w:rsid w:val="00BB2656"/>
    <w:rsid w:val="00C5577A"/>
    <w:rsid w:val="00C6257A"/>
    <w:rsid w:val="00D263D9"/>
    <w:rsid w:val="00D64D2C"/>
    <w:rsid w:val="00D75800"/>
    <w:rsid w:val="00D93CB0"/>
    <w:rsid w:val="00DD0B52"/>
    <w:rsid w:val="00F425A7"/>
    <w:rsid w:val="00F63D95"/>
    <w:rsid w:val="00FA7546"/>
    <w:rsid w:val="00FB14F7"/>
    <w:rsid w:val="0751211C"/>
    <w:rsid w:val="0B4119C2"/>
    <w:rsid w:val="0BA73AEE"/>
    <w:rsid w:val="0D4E1C81"/>
    <w:rsid w:val="0D643D01"/>
    <w:rsid w:val="0DA117FD"/>
    <w:rsid w:val="10005A40"/>
    <w:rsid w:val="11727BBF"/>
    <w:rsid w:val="14F1556F"/>
    <w:rsid w:val="15A8452D"/>
    <w:rsid w:val="18D8161A"/>
    <w:rsid w:val="1944145A"/>
    <w:rsid w:val="1C2F281C"/>
    <w:rsid w:val="1C7FE961"/>
    <w:rsid w:val="1D832ADA"/>
    <w:rsid w:val="1E0A6FF3"/>
    <w:rsid w:val="1F9F098F"/>
    <w:rsid w:val="259D5C07"/>
    <w:rsid w:val="27257023"/>
    <w:rsid w:val="28BB5CCD"/>
    <w:rsid w:val="297574CF"/>
    <w:rsid w:val="2B74459C"/>
    <w:rsid w:val="2CBE3B1B"/>
    <w:rsid w:val="2E25203A"/>
    <w:rsid w:val="32D36436"/>
    <w:rsid w:val="364D5CD5"/>
    <w:rsid w:val="39726C5B"/>
    <w:rsid w:val="3A473663"/>
    <w:rsid w:val="41B23984"/>
    <w:rsid w:val="4220533C"/>
    <w:rsid w:val="42500858"/>
    <w:rsid w:val="45604F9F"/>
    <w:rsid w:val="460F13DC"/>
    <w:rsid w:val="46E2750C"/>
    <w:rsid w:val="481B2C8A"/>
    <w:rsid w:val="49391854"/>
    <w:rsid w:val="4AA62591"/>
    <w:rsid w:val="4B0F4CFF"/>
    <w:rsid w:val="4BC756D3"/>
    <w:rsid w:val="4E473668"/>
    <w:rsid w:val="51513A74"/>
    <w:rsid w:val="51853330"/>
    <w:rsid w:val="539A4AC7"/>
    <w:rsid w:val="56894A62"/>
    <w:rsid w:val="58991B1B"/>
    <w:rsid w:val="59B62B0E"/>
    <w:rsid w:val="5A2321B8"/>
    <w:rsid w:val="5B160BBB"/>
    <w:rsid w:val="5C7A29F6"/>
    <w:rsid w:val="5C7D159F"/>
    <w:rsid w:val="5CEE4D9C"/>
    <w:rsid w:val="5DAF0C1D"/>
    <w:rsid w:val="5DE25DF3"/>
    <w:rsid w:val="5E8A77E0"/>
    <w:rsid w:val="5F797078"/>
    <w:rsid w:val="631A43FD"/>
    <w:rsid w:val="643F0D73"/>
    <w:rsid w:val="65CC6636"/>
    <w:rsid w:val="678036DB"/>
    <w:rsid w:val="697365F4"/>
    <w:rsid w:val="73563D09"/>
    <w:rsid w:val="74736F42"/>
    <w:rsid w:val="749F48EA"/>
    <w:rsid w:val="790463BB"/>
    <w:rsid w:val="7DFC59F4"/>
    <w:rsid w:val="7FA712FB"/>
    <w:rsid w:val="7FD72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1"/>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3"/>
    <w:link w:val="2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5">
    <w:name w:val="table of authorities"/>
    <w:basedOn w:val="1"/>
    <w:next w:val="1"/>
    <w:autoRedefine/>
    <w:semiHidden/>
    <w:unhideWhenUsed/>
    <w:qFormat/>
    <w:uiPriority w:val="0"/>
    <w:pPr>
      <w:ind w:left="420" w:leftChars="200"/>
    </w:pPr>
  </w:style>
  <w:style w:type="paragraph" w:styleId="6">
    <w:name w:val="annotation text"/>
    <w:basedOn w:val="1"/>
    <w:link w:val="20"/>
    <w:autoRedefine/>
    <w:qFormat/>
    <w:uiPriority w:val="0"/>
    <w:pPr>
      <w:jc w:val="left"/>
    </w:pPr>
    <w:rPr>
      <w:rFonts w:ascii="Times New Roman" w:hAnsi="Times New Roman" w:eastAsia="宋体" w:cs="Times New Roman"/>
    </w:rPr>
  </w:style>
  <w:style w:type="paragraph" w:styleId="7">
    <w:name w:val="Body Text"/>
    <w:basedOn w:val="1"/>
    <w:autoRedefine/>
    <w:qFormat/>
    <w:uiPriority w:val="0"/>
    <w:rPr>
      <w:rFonts w:ascii="楷体_GB2312" w:hAnsi="Arial" w:eastAsia="楷体_GB2312"/>
      <w:sz w:val="28"/>
      <w:szCs w:val="28"/>
    </w:rPr>
  </w:style>
  <w:style w:type="paragraph" w:styleId="8">
    <w:name w:val="Plain Text"/>
    <w:basedOn w:val="1"/>
    <w:link w:val="23"/>
    <w:autoRedefine/>
    <w:qFormat/>
    <w:uiPriority w:val="0"/>
    <w:rPr>
      <w:rFonts w:ascii="宋体" w:hAnsi="Courier New" w:eastAsia="宋体" w:cs="Courier New"/>
      <w:szCs w:val="21"/>
    </w:rPr>
  </w:style>
  <w:style w:type="paragraph" w:styleId="9">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rPr>
      <w:rFonts w:ascii="Times New Roman" w:hAnsi="Times New Roman" w:eastAsia="宋体" w:cs="黑体"/>
      <w:sz w:val="24"/>
    </w:rPr>
  </w:style>
  <w:style w:type="paragraph" w:styleId="12">
    <w:name w:val="Body Text First Indent"/>
    <w:basedOn w:val="7"/>
    <w:autoRedefine/>
    <w:qFormat/>
    <w:uiPriority w:val="0"/>
    <w:pPr>
      <w:spacing w:line="360" w:lineRule="auto"/>
      <w:ind w:firstLine="200" w:firstLineChars="200"/>
    </w:pPr>
    <w:rPr>
      <w:rFonts w:ascii="仿宋_GB2312" w:eastAsia="仿宋_GB2312"/>
      <w:sz w:val="30"/>
      <w:szCs w:val="30"/>
    </w:rPr>
  </w:style>
  <w:style w:type="table" w:styleId="14">
    <w:name w:val="Table Grid"/>
    <w:basedOn w:val="13"/>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paragraph" w:customStyle="1" w:styleId="17">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8">
    <w:name w:val="页眉 Char"/>
    <w:link w:val="10"/>
    <w:autoRedefine/>
    <w:qFormat/>
    <w:uiPriority w:val="0"/>
    <w:rPr>
      <w:sz w:val="18"/>
      <w:szCs w:val="18"/>
    </w:rPr>
  </w:style>
  <w:style w:type="character" w:customStyle="1" w:styleId="19">
    <w:name w:val="页眉 Char1"/>
    <w:basedOn w:val="15"/>
    <w:autoRedefine/>
    <w:semiHidden/>
    <w:qFormat/>
    <w:uiPriority w:val="99"/>
    <w:rPr>
      <w:sz w:val="18"/>
      <w:szCs w:val="18"/>
    </w:rPr>
  </w:style>
  <w:style w:type="character" w:customStyle="1" w:styleId="20">
    <w:name w:val="批注文字 Char"/>
    <w:basedOn w:val="15"/>
    <w:link w:val="6"/>
    <w:autoRedefine/>
    <w:qFormat/>
    <w:uiPriority w:val="0"/>
    <w:rPr>
      <w:rFonts w:ascii="Times New Roman" w:hAnsi="Times New Roman" w:eastAsia="宋体" w:cs="Times New Roman"/>
    </w:rPr>
  </w:style>
  <w:style w:type="character" w:customStyle="1" w:styleId="21">
    <w:name w:val="标题 2 Char"/>
    <w:basedOn w:val="15"/>
    <w:link w:val="2"/>
    <w:autoRedefine/>
    <w:qFormat/>
    <w:uiPriority w:val="0"/>
    <w:rPr>
      <w:rFonts w:ascii="Arial" w:hAnsi="Arial" w:eastAsia="幼圆" w:cs="Arial"/>
      <w:b/>
      <w:bCs/>
      <w:sz w:val="44"/>
      <w:szCs w:val="44"/>
    </w:rPr>
  </w:style>
  <w:style w:type="character" w:customStyle="1" w:styleId="22">
    <w:name w:val="标题 3 Char"/>
    <w:basedOn w:val="15"/>
    <w:link w:val="4"/>
    <w:autoRedefine/>
    <w:qFormat/>
    <w:uiPriority w:val="0"/>
    <w:rPr>
      <w:rFonts w:ascii="Times New Roman" w:hAnsi="Times New Roman" w:eastAsia="宋体" w:cs="Times New Roman"/>
      <w:b/>
      <w:bCs/>
      <w:sz w:val="32"/>
      <w:szCs w:val="32"/>
    </w:rPr>
  </w:style>
  <w:style w:type="character" w:customStyle="1" w:styleId="23">
    <w:name w:val="纯文本 Char"/>
    <w:basedOn w:val="15"/>
    <w:link w:val="8"/>
    <w:autoRedefine/>
    <w:qFormat/>
    <w:uiPriority w:val="0"/>
    <w:rPr>
      <w:rFonts w:ascii="宋体" w:hAnsi="Courier New" w:eastAsia="宋体" w:cs="Courier New"/>
      <w:szCs w:val="21"/>
    </w:rPr>
  </w:style>
  <w:style w:type="paragraph" w:customStyle="1" w:styleId="24">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Char"/>
    <w:basedOn w:val="1"/>
    <w:autoRedefine/>
    <w:qFormat/>
    <w:uiPriority w:val="0"/>
    <w:pPr>
      <w:tabs>
        <w:tab w:val="left" w:pos="360"/>
      </w:tabs>
    </w:pPr>
    <w:rPr>
      <w:rFonts w:ascii="Times New Roman" w:hAnsi="Times New Roman" w:eastAsia="宋体" w:cs="Times New Roman"/>
      <w:sz w:val="24"/>
      <w:szCs w:val="24"/>
    </w:rPr>
  </w:style>
  <w:style w:type="character" w:customStyle="1" w:styleId="26">
    <w:name w:val="页脚 Char"/>
    <w:basedOn w:val="15"/>
    <w:link w:val="9"/>
    <w:autoRedefine/>
    <w:semiHidden/>
    <w:qFormat/>
    <w:uiPriority w:val="99"/>
    <w:rPr>
      <w:sz w:val="18"/>
      <w:szCs w:val="18"/>
    </w:rPr>
  </w:style>
  <w:style w:type="paragraph" w:styleId="27">
    <w:name w:val="List Paragraph"/>
    <w:basedOn w:val="1"/>
    <w:autoRedefine/>
    <w:qFormat/>
    <w:uiPriority w:val="34"/>
    <w:pPr>
      <w:ind w:firstLine="420" w:firstLineChars="200"/>
    </w:pPr>
  </w:style>
  <w:style w:type="paragraph" w:customStyle="1" w:styleId="28">
    <w:name w:val="列出段落1"/>
    <w:basedOn w:val="1"/>
    <w:autoRedefine/>
    <w:qFormat/>
    <w:uiPriority w:val="0"/>
    <w:pPr>
      <w:ind w:firstLine="420" w:firstLineChars="200"/>
    </w:pPr>
  </w:style>
  <w:style w:type="paragraph" w:customStyle="1" w:styleId="29">
    <w:name w:val="页眉1"/>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30">
    <w:name w:val="页脚1"/>
    <w:basedOn w:val="1"/>
    <w:autoRedefine/>
    <w:qFormat/>
    <w:uiPriority w:val="0"/>
    <w:pPr>
      <w:tabs>
        <w:tab w:val="center" w:pos="4153"/>
        <w:tab w:val="right" w:pos="8306"/>
      </w:tabs>
      <w:snapToGrid w:val="0"/>
      <w:jc w:val="left"/>
    </w:pPr>
    <w:rPr>
      <w:kern w:val="0"/>
      <w:sz w:val="18"/>
      <w:szCs w:val="18"/>
    </w:rPr>
  </w:style>
  <w:style w:type="character" w:customStyle="1" w:styleId="31">
    <w:name w:val="页码1"/>
    <w:basedOn w:val="15"/>
    <w:autoRedefine/>
    <w:qFormat/>
    <w:uiPriority w:val="0"/>
  </w:style>
  <w:style w:type="paragraph" w:customStyle="1" w:styleId="32">
    <w:name w:val="列出段落1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4607</Words>
  <Characters>5036</Characters>
  <Lines>110</Lines>
  <Paragraphs>31</Paragraphs>
  <TotalTime>2</TotalTime>
  <ScaleCrop>false</ScaleCrop>
  <LinksUpToDate>false</LinksUpToDate>
  <CharactersWithSpaces>5047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2019-12-19T10:03:00Z</dcterms:created>
  <dc:creator>admin</dc:creator>
  <cp:lastModifiedBy>季海燕</cp:lastModifiedBy>
  <dcterms:modified xsi:type="dcterms:W3CDTF">2025-11-24T02:51:56Z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217C984CCCEC42D8AA70A2FC1917401D_13</vt:lpwstr>
  </property>
  <property fmtid="{D5CDD505-2E9C-101B-9397-08002B2CF9AE}" pid="4" name="KSOTemplateDocerSaveRecord">
    <vt:lpwstr>eyJoZGlkIjoiM2MxNDVjYWI3ODJlNGU1YmEzZDUwMTUyZmFjZjBlYzkiLCJ1c2VySWQiOiIyMDA0Mjk3MDYifQ==</vt:lpwstr>
  </property>
</Properties>
</file>