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pacing w:val="-8"/>
          <w:sz w:val="24"/>
        </w:rPr>
      </w:pPr>
      <w:r>
        <w:rPr>
          <w:rFonts w:hint="eastAsia" w:ascii="宋体" w:hAnsi="宋体" w:cs="宋体"/>
          <w:bCs/>
          <w:sz w:val="44"/>
        </w:rPr>
        <w:t>南邮通达学院2</w:t>
      </w:r>
      <w:r>
        <w:rPr>
          <w:rFonts w:ascii="宋体" w:hAnsi="宋体" w:cs="宋体"/>
          <w:bCs/>
          <w:sz w:val="44"/>
        </w:rPr>
        <w:t>023暑假宿舍楼漏水维修工程方案</w:t>
      </w:r>
    </w:p>
    <w:p>
      <w:pPr>
        <w:pStyle w:val="2"/>
        <w:numPr>
          <w:ilvl w:val="0"/>
          <w:numId w:val="1"/>
        </w:numPr>
        <w:spacing w:line="360" w:lineRule="auto"/>
      </w:pPr>
      <w:bookmarkStart w:id="0" w:name="_Toc194757239"/>
      <w:bookmarkStart w:id="1" w:name="_Toc403722970"/>
      <w:bookmarkStart w:id="2" w:name="_Toc194758350"/>
      <w:r>
        <w:rPr>
          <w:rFonts w:hint="eastAsia"/>
        </w:rPr>
        <w:t>项目概况</w:t>
      </w:r>
    </w:p>
    <w:bookmarkEnd w:id="0"/>
    <w:bookmarkEnd w:id="1"/>
    <w:bookmarkEnd w:id="2"/>
    <w:p>
      <w:pPr>
        <w:pStyle w:val="9"/>
        <w:spacing w:line="360" w:lineRule="auto"/>
        <w:ind w:firstLine="480"/>
        <w:rPr>
          <w:rFonts w:ascii="宋体" w:hAnsi="宋体" w:cs="宋体"/>
          <w:sz w:val="24"/>
        </w:rPr>
      </w:pPr>
      <w:r>
        <w:rPr>
          <w:rFonts w:hint="eastAsia" w:ascii="宋体" w:hAnsi="宋体" w:cs="宋体"/>
          <w:sz w:val="24"/>
        </w:rPr>
        <w:t>根据宿舍管理部门报送需求，有22间宿舍漏水及屋面漏水，分布在各个学生宿舍楼，根据前期现场踏勘，制定不同的维修方式，维修内容包括不局限于拆除原卫生间地砖，做完防水后重新铺贴，包括拆除、找平、堵漏处理、安装、清理等，详见工程量清单。</w:t>
      </w:r>
    </w:p>
    <w:p>
      <w:pPr>
        <w:pStyle w:val="2"/>
        <w:numPr>
          <w:ilvl w:val="0"/>
          <w:numId w:val="1"/>
        </w:numPr>
        <w:spacing w:line="360" w:lineRule="auto"/>
      </w:pPr>
      <w:r>
        <w:t>工程主要内容及要求</w:t>
      </w:r>
    </w:p>
    <w:p>
      <w:pPr>
        <w:pStyle w:val="9"/>
        <w:spacing w:line="360" w:lineRule="auto"/>
        <w:ind w:firstLine="480"/>
        <w:rPr>
          <w:rFonts w:ascii="宋体" w:hAnsi="宋体" w:cs="宋体"/>
          <w:sz w:val="24"/>
        </w:rPr>
      </w:pPr>
      <w:r>
        <w:rPr>
          <w:rFonts w:hint="eastAsia" w:ascii="宋体" w:hAnsi="宋体" w:cs="宋体"/>
          <w:sz w:val="24"/>
        </w:rPr>
        <w:t>部分宿舍采取凿除卫生间地砖，拆除水箱、蹲坑、地漏，地面采用水泥砂浆找平，所有地面预留孔洞周围采用凿半洞堵漏王封堵措施，墙面凿除一块墙砖高度并采用水泥砂浆粉刷底层。墙地面全部满刷JS防水3遍，防水刷完后要进行24小时闭水试验，待试验结束无问题后再能从新砌筑地台，铺贴地砖及蹲坑、水箱、地漏的恢复。管道漏水，需将墙面凿除，凿至漏水管道全部暴露出来再进行更换，最后将墙面按原样恢复。部分宿舍采取封堵措施。</w:t>
      </w:r>
    </w:p>
    <w:p>
      <w:pPr>
        <w:spacing w:line="360" w:lineRule="auto"/>
        <w:rPr>
          <w:rFonts w:ascii="宋体" w:hAnsi="宋体"/>
          <w:b/>
          <w:snapToGrid w:val="0"/>
          <w:szCs w:val="21"/>
        </w:rPr>
      </w:pPr>
      <w:r>
        <w:rPr>
          <w:rFonts w:ascii="宋体" w:hAnsi="宋体"/>
          <w:b/>
          <w:szCs w:val="21"/>
        </w:rPr>
        <w:t>三、</w:t>
      </w:r>
      <w:r>
        <w:rPr>
          <w:rFonts w:hint="eastAsia" w:ascii="宋体" w:hAnsi="宋体"/>
          <w:b/>
          <w:snapToGrid w:val="0"/>
          <w:szCs w:val="21"/>
        </w:rPr>
        <w:t>验收标准</w:t>
      </w:r>
    </w:p>
    <w:p>
      <w:pPr>
        <w:pStyle w:val="9"/>
        <w:spacing w:line="360" w:lineRule="auto"/>
        <w:ind w:firstLine="480"/>
        <w:rPr>
          <w:rFonts w:ascii="宋体" w:hAnsi="宋体" w:cs="宋体"/>
          <w:sz w:val="24"/>
        </w:rPr>
      </w:pPr>
      <w:r>
        <w:rPr>
          <w:rFonts w:ascii="宋体" w:hAnsi="宋体" w:cs="宋体"/>
          <w:sz w:val="24"/>
        </w:rPr>
        <w:t>凿除</w:t>
      </w:r>
      <w:r>
        <w:rPr>
          <w:rFonts w:hint="eastAsia" w:ascii="宋体" w:hAnsi="宋体" w:cs="宋体"/>
          <w:sz w:val="24"/>
        </w:rPr>
        <w:t>地面</w:t>
      </w:r>
      <w:r>
        <w:rPr>
          <w:rFonts w:ascii="宋体" w:hAnsi="宋体" w:cs="宋体"/>
          <w:sz w:val="24"/>
        </w:rPr>
        <w:t>，</w:t>
      </w:r>
      <w:r>
        <w:rPr>
          <w:rFonts w:hint="eastAsia" w:ascii="宋体" w:hAnsi="宋体" w:cs="宋体"/>
          <w:sz w:val="24"/>
        </w:rPr>
        <w:t>全部满刷JS防水3遍，进行2</w:t>
      </w:r>
      <w:r>
        <w:rPr>
          <w:rFonts w:ascii="宋体" w:hAnsi="宋体" w:cs="宋体"/>
          <w:sz w:val="24"/>
        </w:rPr>
        <w:t>4小时闭水试验后进行节点验收。</w:t>
      </w:r>
    </w:p>
    <w:p>
      <w:pPr>
        <w:pStyle w:val="9"/>
        <w:spacing w:line="360" w:lineRule="auto"/>
        <w:ind w:firstLine="480"/>
        <w:rPr>
          <w:rFonts w:ascii="宋体" w:hAnsi="宋体" w:cs="宋体"/>
          <w:sz w:val="24"/>
        </w:rPr>
      </w:pPr>
      <w:r>
        <w:rPr>
          <w:rFonts w:hint="eastAsia" w:ascii="宋体" w:hAnsi="宋体" w:cs="宋体"/>
          <w:sz w:val="24"/>
        </w:rPr>
        <w:t>工程施工</w:t>
      </w:r>
      <w:r>
        <w:rPr>
          <w:rFonts w:ascii="宋体" w:hAnsi="宋体" w:cs="宋体"/>
          <w:sz w:val="24"/>
        </w:rPr>
        <w:t>结束，现场清理完毕，方可组织竣工验收。</w:t>
      </w:r>
    </w:p>
    <w:p>
      <w:pPr>
        <w:pStyle w:val="9"/>
        <w:spacing w:line="360" w:lineRule="auto"/>
        <w:ind w:firstLine="0" w:firstLineChars="0"/>
        <w:rPr>
          <w:rFonts w:hint="eastAsia" w:hAnsi="宋体" w:eastAsia="宋体"/>
          <w:b/>
          <w:sz w:val="24"/>
          <w:lang w:eastAsia="zh-CN"/>
        </w:rPr>
      </w:pPr>
      <w:r>
        <w:rPr>
          <w:rFonts w:hint="eastAsia" w:hAnsi="宋体"/>
          <w:b/>
          <w:sz w:val="24"/>
        </w:rPr>
        <w:t>四、资质要求</w:t>
      </w:r>
      <w:r>
        <w:rPr>
          <w:rFonts w:hint="eastAsia" w:hAnsi="宋体"/>
          <w:b/>
          <w:sz w:val="24"/>
          <w:lang w:eastAsia="zh-CN"/>
        </w:rPr>
        <w:t>（</w:t>
      </w:r>
      <w:r>
        <w:rPr>
          <w:rFonts w:hint="eastAsia" w:hAnsi="宋体"/>
          <w:b/>
          <w:sz w:val="24"/>
          <w:lang w:val="en-US" w:eastAsia="zh-CN"/>
        </w:rPr>
        <w:t>需提供相关证明材料</w:t>
      </w:r>
      <w:bookmarkStart w:id="8" w:name="_GoBack"/>
      <w:bookmarkEnd w:id="8"/>
      <w:r>
        <w:rPr>
          <w:rFonts w:hint="eastAsia" w:hAnsi="宋体"/>
          <w:b/>
          <w:sz w:val="24"/>
          <w:lang w:eastAsia="zh-CN"/>
        </w:rPr>
        <w:t>）</w:t>
      </w:r>
    </w:p>
    <w:p>
      <w:pPr>
        <w:pStyle w:val="9"/>
        <w:spacing w:line="360" w:lineRule="auto"/>
        <w:ind w:firstLine="480"/>
        <w:rPr>
          <w:rFonts w:ascii="宋体" w:hAnsi="宋体" w:cs="宋体"/>
          <w:sz w:val="24"/>
        </w:rPr>
      </w:pPr>
      <w:r>
        <w:rPr>
          <w:rFonts w:hint="eastAsia" w:ascii="宋体" w:hAnsi="宋体" w:cs="宋体"/>
          <w:sz w:val="24"/>
        </w:rPr>
        <w:t>1.具有独立承担民事责任的能力；</w:t>
      </w:r>
    </w:p>
    <w:p>
      <w:pPr>
        <w:pStyle w:val="9"/>
        <w:spacing w:line="360" w:lineRule="auto"/>
        <w:ind w:firstLine="480"/>
        <w:rPr>
          <w:rFonts w:ascii="宋体" w:hAnsi="宋体" w:cs="宋体"/>
          <w:sz w:val="24"/>
        </w:rPr>
      </w:pPr>
      <w:r>
        <w:rPr>
          <w:rFonts w:hint="eastAsia" w:ascii="宋体" w:hAnsi="宋体" w:cs="宋体"/>
          <w:sz w:val="24"/>
        </w:rPr>
        <w:t>2.具有良好的商业信誉：</w:t>
      </w:r>
    </w:p>
    <w:p>
      <w:pPr>
        <w:pStyle w:val="9"/>
        <w:spacing w:line="360" w:lineRule="auto"/>
        <w:ind w:firstLine="480"/>
        <w:rPr>
          <w:rFonts w:ascii="宋体" w:hAnsi="宋体" w:cs="宋体"/>
          <w:sz w:val="24"/>
        </w:rPr>
      </w:pPr>
      <w:r>
        <w:rPr>
          <w:rFonts w:hint="eastAsia" w:ascii="宋体" w:hAnsi="宋体" w:cs="宋体"/>
          <w:sz w:val="24"/>
        </w:rPr>
        <w:t>3.具有履行合同所必需的设备和专业技术能力；</w:t>
      </w:r>
    </w:p>
    <w:p>
      <w:pPr>
        <w:pStyle w:val="9"/>
        <w:spacing w:line="360" w:lineRule="auto"/>
        <w:ind w:firstLine="480"/>
        <w:rPr>
          <w:rFonts w:ascii="宋体" w:hAnsi="宋体" w:cs="宋体"/>
          <w:sz w:val="24"/>
        </w:rPr>
      </w:pPr>
      <w:r>
        <w:rPr>
          <w:rFonts w:hint="eastAsia" w:ascii="宋体" w:hAnsi="宋体" w:cs="宋体"/>
          <w:sz w:val="24"/>
        </w:rPr>
        <w:t>4.有依法缴纳税收的良好记录；</w:t>
      </w:r>
    </w:p>
    <w:p>
      <w:pPr>
        <w:pStyle w:val="9"/>
        <w:spacing w:line="360" w:lineRule="auto"/>
        <w:ind w:firstLine="480"/>
        <w:rPr>
          <w:rFonts w:ascii="宋体" w:hAnsi="宋体" w:cs="宋体"/>
          <w:sz w:val="24"/>
        </w:rPr>
      </w:pPr>
      <w:r>
        <w:rPr>
          <w:rFonts w:hint="eastAsia" w:ascii="宋体" w:hAnsi="宋体" w:cs="宋体"/>
          <w:sz w:val="24"/>
        </w:rPr>
        <w:t>5.参加本次采购活动前三年内，在经营活动中没有重大违法记录；</w:t>
      </w:r>
    </w:p>
    <w:p>
      <w:pPr>
        <w:pStyle w:val="9"/>
        <w:spacing w:line="360" w:lineRule="auto"/>
        <w:ind w:firstLine="480"/>
        <w:rPr>
          <w:rFonts w:ascii="宋体" w:hAnsi="宋体" w:cs="宋体"/>
          <w:sz w:val="24"/>
        </w:rPr>
      </w:pPr>
      <w:r>
        <w:rPr>
          <w:rFonts w:hint="eastAsia" w:ascii="宋体" w:hAnsi="宋体" w:cs="宋体"/>
          <w:sz w:val="24"/>
        </w:rPr>
        <w:t>6.法律、行政法规规定的其他条件；</w:t>
      </w:r>
    </w:p>
    <w:p>
      <w:pPr>
        <w:pStyle w:val="2"/>
        <w:spacing w:line="360" w:lineRule="auto"/>
      </w:pPr>
      <w:r>
        <w:rPr>
          <w:rFonts w:hint="eastAsia"/>
        </w:rPr>
        <w:t>五、维修房间号</w:t>
      </w:r>
    </w:p>
    <w:tbl>
      <w:tblPr>
        <w:tblStyle w:val="5"/>
        <w:tblW w:w="5000" w:type="pct"/>
        <w:tblInd w:w="0" w:type="dxa"/>
        <w:tblLayout w:type="fixed"/>
        <w:tblCellMar>
          <w:top w:w="0" w:type="dxa"/>
          <w:left w:w="108" w:type="dxa"/>
          <w:bottom w:w="0" w:type="dxa"/>
          <w:right w:w="108" w:type="dxa"/>
        </w:tblCellMar>
      </w:tblPr>
      <w:tblGrid>
        <w:gridCol w:w="1159"/>
        <w:gridCol w:w="6117"/>
        <w:gridCol w:w="1246"/>
      </w:tblGrid>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楼 号</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宿舍号</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房间数（间）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4号楼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4106、</w:t>
            </w:r>
            <w:r>
              <w:rPr>
                <w:rFonts w:hint="eastAsia" w:ascii="宋体" w:hAnsi="宋体" w:cs="宋体"/>
                <w:kern w:val="0"/>
                <w:szCs w:val="21"/>
              </w:rPr>
              <w:t>4</w:t>
            </w:r>
            <w:r>
              <w:rPr>
                <w:rFonts w:ascii="宋体" w:hAnsi="宋体" w:cs="宋体"/>
                <w:kern w:val="0"/>
                <w:szCs w:val="21"/>
              </w:rPr>
              <w:t>235</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5号楼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5136</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6号楼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6420、</w:t>
            </w:r>
            <w:r>
              <w:rPr>
                <w:rFonts w:hint="eastAsia" w:ascii="宋体" w:hAnsi="宋体" w:cs="宋体"/>
                <w:kern w:val="0"/>
                <w:szCs w:val="21"/>
              </w:rPr>
              <w:t>6</w:t>
            </w:r>
            <w:r>
              <w:rPr>
                <w:rFonts w:ascii="宋体" w:hAnsi="宋体" w:cs="宋体"/>
                <w:kern w:val="0"/>
                <w:szCs w:val="21"/>
              </w:rPr>
              <w:t>535、</w:t>
            </w:r>
            <w:r>
              <w:rPr>
                <w:rFonts w:hint="eastAsia" w:ascii="宋体" w:hAnsi="宋体" w:cs="宋体"/>
                <w:kern w:val="0"/>
                <w:szCs w:val="21"/>
              </w:rPr>
              <w:t>6</w:t>
            </w:r>
            <w:r>
              <w:rPr>
                <w:rFonts w:ascii="宋体" w:hAnsi="宋体" w:cs="宋体"/>
                <w:kern w:val="0"/>
                <w:szCs w:val="21"/>
              </w:rPr>
              <w:t>536</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3</w:t>
            </w:r>
            <w:r>
              <w:rPr>
                <w:rFonts w:hint="eastAsia" w:ascii="宋体" w:hAnsi="宋体" w:cs="宋体"/>
                <w:kern w:val="0"/>
                <w:szCs w:val="21"/>
              </w:rPr>
              <w:t>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7号楼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7122、</w:t>
            </w:r>
            <w:r>
              <w:rPr>
                <w:rFonts w:hint="eastAsia" w:ascii="宋体" w:hAnsi="宋体" w:cs="宋体"/>
                <w:kern w:val="0"/>
                <w:szCs w:val="21"/>
              </w:rPr>
              <w:t>7</w:t>
            </w:r>
            <w:r>
              <w:rPr>
                <w:rFonts w:ascii="宋体" w:hAnsi="宋体" w:cs="宋体"/>
                <w:kern w:val="0"/>
                <w:szCs w:val="21"/>
              </w:rPr>
              <w:t>130、</w:t>
            </w:r>
            <w:r>
              <w:rPr>
                <w:rFonts w:hint="eastAsia" w:ascii="宋体" w:hAnsi="宋体" w:cs="宋体"/>
                <w:kern w:val="0"/>
                <w:szCs w:val="21"/>
              </w:rPr>
              <w:t>7</w:t>
            </w:r>
            <w:r>
              <w:rPr>
                <w:rFonts w:ascii="宋体" w:hAnsi="宋体" w:cs="宋体"/>
                <w:kern w:val="0"/>
                <w:szCs w:val="21"/>
              </w:rPr>
              <w:t>405、</w:t>
            </w:r>
            <w:r>
              <w:rPr>
                <w:rFonts w:hint="eastAsia" w:ascii="宋体" w:hAnsi="宋体" w:cs="宋体"/>
                <w:kern w:val="0"/>
                <w:szCs w:val="21"/>
              </w:rPr>
              <w:t>7</w:t>
            </w:r>
            <w:r>
              <w:rPr>
                <w:rFonts w:ascii="宋体" w:hAnsi="宋体" w:cs="宋体"/>
                <w:kern w:val="0"/>
                <w:szCs w:val="21"/>
              </w:rPr>
              <w:t>429</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4间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8号楼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8137、</w:t>
            </w:r>
            <w:r>
              <w:rPr>
                <w:rFonts w:hint="eastAsia" w:ascii="宋体" w:hAnsi="宋体" w:cs="宋体"/>
                <w:kern w:val="0"/>
                <w:szCs w:val="21"/>
              </w:rPr>
              <w:t>8</w:t>
            </w:r>
            <w:r>
              <w:rPr>
                <w:rFonts w:ascii="宋体" w:hAnsi="宋体" w:cs="宋体"/>
                <w:kern w:val="0"/>
                <w:szCs w:val="21"/>
              </w:rPr>
              <w:t>139、</w:t>
            </w:r>
            <w:r>
              <w:rPr>
                <w:rFonts w:hint="eastAsia" w:ascii="宋体" w:hAnsi="宋体" w:cs="宋体"/>
                <w:kern w:val="0"/>
                <w:szCs w:val="21"/>
              </w:rPr>
              <w:t>8</w:t>
            </w:r>
            <w:r>
              <w:rPr>
                <w:rFonts w:ascii="宋体" w:hAnsi="宋体" w:cs="宋体"/>
                <w:kern w:val="0"/>
                <w:szCs w:val="21"/>
              </w:rPr>
              <w:t>513、</w:t>
            </w:r>
            <w:r>
              <w:rPr>
                <w:rFonts w:hint="eastAsia" w:ascii="宋体" w:hAnsi="宋体" w:cs="宋体"/>
                <w:kern w:val="0"/>
                <w:szCs w:val="21"/>
              </w:rPr>
              <w:t>8</w:t>
            </w:r>
            <w:r>
              <w:rPr>
                <w:rFonts w:ascii="宋体" w:hAnsi="宋体" w:cs="宋体"/>
                <w:kern w:val="0"/>
                <w:szCs w:val="21"/>
              </w:rPr>
              <w:t>647</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4间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9</w:t>
            </w:r>
            <w:r>
              <w:rPr>
                <w:rFonts w:hint="eastAsia" w:ascii="宋体" w:hAnsi="宋体" w:cs="宋体"/>
                <w:kern w:val="0"/>
                <w:szCs w:val="21"/>
              </w:rPr>
              <w:t>号楼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9107、9134、9444、9220</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4间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教师公寓1</w:t>
            </w:r>
            <w:r>
              <w:rPr>
                <w:rFonts w:ascii="宋体" w:hAnsi="宋体" w:cs="宋体"/>
                <w:kern w:val="0"/>
                <w:szCs w:val="21"/>
              </w:rPr>
              <w:t>#楼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02、</w:t>
            </w:r>
            <w:r>
              <w:rPr>
                <w:rFonts w:hint="eastAsia" w:ascii="宋体" w:hAnsi="宋体" w:cs="宋体"/>
                <w:kern w:val="0"/>
                <w:szCs w:val="21"/>
              </w:rPr>
              <w:t>4</w:t>
            </w:r>
            <w:r>
              <w:rPr>
                <w:rFonts w:ascii="宋体" w:hAnsi="宋体" w:cs="宋体"/>
                <w:kern w:val="0"/>
                <w:szCs w:val="21"/>
              </w:rPr>
              <w:t>01、</w:t>
            </w:r>
            <w:r>
              <w:rPr>
                <w:rFonts w:hint="eastAsia" w:ascii="宋体" w:hAnsi="宋体" w:cs="宋体"/>
                <w:kern w:val="0"/>
                <w:szCs w:val="21"/>
              </w:rPr>
              <w:t>4</w:t>
            </w:r>
            <w:r>
              <w:rPr>
                <w:rFonts w:ascii="宋体" w:hAnsi="宋体" w:cs="宋体"/>
                <w:kern w:val="0"/>
                <w:szCs w:val="21"/>
              </w:rPr>
              <w:t>03</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3间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教师公寓</w:t>
            </w:r>
            <w:r>
              <w:rPr>
                <w:rFonts w:ascii="宋体" w:hAnsi="宋体" w:cs="宋体"/>
                <w:kern w:val="0"/>
                <w:szCs w:val="21"/>
              </w:rPr>
              <w:t>2#楼</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05</w:t>
            </w: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1间</w:t>
            </w:r>
          </w:p>
        </w:tc>
      </w:tr>
      <w:tr>
        <w:tblPrEx>
          <w:tblCellMar>
            <w:top w:w="0" w:type="dxa"/>
            <w:left w:w="108" w:type="dxa"/>
            <w:bottom w:w="0" w:type="dxa"/>
            <w:right w:w="108" w:type="dxa"/>
          </w:tblCellMar>
        </w:tblPrEx>
        <w:trPr>
          <w:trHeight w:val="582" w:hRule="atLeast"/>
          <w:tblHeader/>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8号楼西侧屋面</w:t>
            </w:r>
          </w:p>
        </w:tc>
        <w:tc>
          <w:tcPr>
            <w:tcW w:w="3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r>
    </w:tbl>
    <w:p>
      <w:pPr>
        <w:adjustRightInd w:val="0"/>
        <w:snapToGrid w:val="0"/>
        <w:spacing w:line="360" w:lineRule="auto"/>
        <w:rPr>
          <w:rFonts w:asciiTheme="minorEastAsia" w:hAnsiTheme="minorEastAsia"/>
          <w:sz w:val="22"/>
        </w:rPr>
      </w:pPr>
    </w:p>
    <w:p>
      <w:pPr>
        <w:pStyle w:val="9"/>
        <w:spacing w:line="264" w:lineRule="auto"/>
        <w:ind w:firstLine="0" w:firstLineChars="0"/>
        <w:contextualSpacing/>
        <w:rPr>
          <w:rFonts w:hAnsi="宋体"/>
          <w:b/>
          <w:sz w:val="24"/>
        </w:rPr>
      </w:pPr>
      <w:r>
        <w:rPr>
          <w:rFonts w:hAnsi="宋体"/>
          <w:b/>
          <w:sz w:val="24"/>
        </w:rPr>
        <w:t>六</w:t>
      </w:r>
      <w:r>
        <w:rPr>
          <w:rFonts w:hint="eastAsia" w:hAnsi="宋体"/>
          <w:b/>
          <w:sz w:val="24"/>
        </w:rPr>
        <w:t>、投标文件</w:t>
      </w:r>
    </w:p>
    <w:p>
      <w:pPr>
        <w:pStyle w:val="9"/>
        <w:spacing w:line="264" w:lineRule="auto"/>
        <w:ind w:firstLine="480"/>
        <w:contextualSpacing/>
        <w:rPr>
          <w:rFonts w:asciiTheme="minorEastAsia" w:hAnsiTheme="minorEastAsia"/>
          <w:sz w:val="22"/>
        </w:rPr>
      </w:pPr>
      <w:r>
        <w:rPr>
          <w:rFonts w:hint="eastAsia" w:ascii="宋体" w:hAnsi="宋体" w:cs="宋体"/>
          <w:sz w:val="24"/>
        </w:rPr>
        <w:t>投标文件需准备三份，含正本一本，副本二本。</w:t>
      </w:r>
    </w:p>
    <w:p>
      <w:pPr>
        <w:pStyle w:val="2"/>
        <w:spacing w:line="360" w:lineRule="auto"/>
      </w:pPr>
      <w:r>
        <w:rPr>
          <w:rFonts w:hint="eastAsia"/>
        </w:rPr>
        <w:t>七、评标方法与评标标准</w:t>
      </w:r>
    </w:p>
    <w:p>
      <w:pPr>
        <w:pStyle w:val="10"/>
        <w:spacing w:before="0" w:after="0"/>
        <w:rPr>
          <w:b/>
          <w:kern w:val="2"/>
          <w:sz w:val="21"/>
          <w:szCs w:val="21"/>
        </w:rPr>
      </w:pPr>
      <w:bookmarkStart w:id="3" w:name="_Toc526089285"/>
      <w:bookmarkStart w:id="4" w:name="_Toc38809005"/>
      <w:bookmarkStart w:id="5" w:name="_Toc527108642"/>
      <w:bookmarkStart w:id="6" w:name="_Toc508646227"/>
      <w:bookmarkStart w:id="7" w:name="_Toc503874597"/>
      <w:r>
        <w:rPr>
          <w:rFonts w:hint="eastAsia"/>
          <w:b/>
          <w:kern w:val="2"/>
          <w:sz w:val="21"/>
          <w:szCs w:val="21"/>
        </w:rPr>
        <w:t>一、评审方法</w:t>
      </w:r>
      <w:bookmarkEnd w:id="3"/>
      <w:bookmarkEnd w:id="4"/>
      <w:bookmarkEnd w:id="5"/>
      <w:bookmarkEnd w:id="6"/>
      <w:bookmarkEnd w:id="7"/>
    </w:p>
    <w:p>
      <w:pPr>
        <w:pStyle w:val="10"/>
        <w:spacing w:before="0" w:after="0"/>
        <w:ind w:firstLine="420" w:firstLineChars="200"/>
        <w:rPr>
          <w:rFonts w:ascii="宋体" w:hAnsi="宋体"/>
          <w:kern w:val="2"/>
          <w:sz w:val="21"/>
          <w:szCs w:val="21"/>
        </w:rPr>
      </w:pPr>
      <w:r>
        <w:rPr>
          <w:rFonts w:hint="eastAsia" w:ascii="宋体" w:hAnsi="宋体"/>
          <w:kern w:val="2"/>
          <w:sz w:val="21"/>
          <w:szCs w:val="21"/>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pPr>
        <w:pStyle w:val="10"/>
        <w:spacing w:before="0" w:after="0"/>
        <w:ind w:firstLine="422" w:firstLineChars="200"/>
        <w:rPr>
          <w:rFonts w:ascii="宋体" w:hAnsi="宋体"/>
          <w:b/>
          <w:kern w:val="2"/>
          <w:sz w:val="21"/>
          <w:szCs w:val="21"/>
        </w:rPr>
      </w:pPr>
      <w:r>
        <w:rPr>
          <w:rFonts w:hint="eastAsia" w:ascii="宋体" w:hAnsi="宋体"/>
          <w:b/>
          <w:kern w:val="2"/>
          <w:sz w:val="21"/>
          <w:szCs w:val="21"/>
        </w:rPr>
        <w:t>三、评审标准</w:t>
      </w:r>
    </w:p>
    <w:tbl>
      <w:tblPr>
        <w:tblStyle w:val="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69"/>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tblHeader/>
          <w:jc w:val="center"/>
        </w:trPr>
        <w:tc>
          <w:tcPr>
            <w:tcW w:w="1369" w:type="dxa"/>
            <w:shd w:val="clear" w:color="auto" w:fill="FFFFFF"/>
            <w:tcMar>
              <w:left w:w="108" w:type="dxa"/>
              <w:right w:w="108" w:type="dxa"/>
            </w:tcMar>
            <w:vAlign w:val="center"/>
          </w:tcPr>
          <w:p>
            <w:pPr>
              <w:spacing w:line="360" w:lineRule="auto"/>
              <w:jc w:val="center"/>
              <w:rPr>
                <w:rFonts w:ascii="宋体" w:hAnsi="宋体" w:cs="宋体"/>
                <w:b/>
                <w:szCs w:val="21"/>
              </w:rPr>
            </w:pPr>
            <w:r>
              <w:rPr>
                <w:rFonts w:hint="eastAsia" w:ascii="宋体" w:hAnsi="宋体" w:cs="宋体"/>
                <w:b/>
                <w:szCs w:val="21"/>
              </w:rPr>
              <w:t>项  目</w:t>
            </w:r>
          </w:p>
        </w:tc>
        <w:tc>
          <w:tcPr>
            <w:tcW w:w="7407" w:type="dxa"/>
            <w:shd w:val="clear" w:color="auto" w:fill="FFFFFF"/>
            <w:tcMar>
              <w:left w:w="108" w:type="dxa"/>
              <w:right w:w="108" w:type="dxa"/>
            </w:tcMar>
            <w:vAlign w:val="center"/>
          </w:tcPr>
          <w:p>
            <w:pPr>
              <w:spacing w:line="360" w:lineRule="auto"/>
              <w:jc w:val="center"/>
              <w:rPr>
                <w:rFonts w:ascii="宋体" w:hAnsi="宋体" w:cs="宋体"/>
                <w:b/>
                <w:szCs w:val="21"/>
              </w:rPr>
            </w:pPr>
            <w:r>
              <w:rPr>
                <w:rFonts w:hint="eastAsia" w:ascii="宋体" w:hAnsi="宋体" w:cs="宋体"/>
                <w:b/>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1369" w:type="dxa"/>
            <w:shd w:val="clear" w:color="auto" w:fill="FFFFFF"/>
            <w:tcMar>
              <w:left w:w="108" w:type="dxa"/>
              <w:right w:w="108" w:type="dxa"/>
            </w:tcMar>
            <w:vAlign w:val="center"/>
          </w:tcPr>
          <w:p>
            <w:pPr>
              <w:spacing w:line="360" w:lineRule="auto"/>
              <w:jc w:val="center"/>
              <w:rPr>
                <w:rFonts w:ascii="宋体" w:hAnsi="宋体"/>
                <w:b/>
                <w:bCs/>
                <w:szCs w:val="21"/>
              </w:rPr>
            </w:pPr>
            <w:r>
              <w:rPr>
                <w:rFonts w:hint="eastAsia" w:ascii="宋体" w:hAnsi="宋体"/>
                <w:b/>
                <w:bCs/>
                <w:szCs w:val="21"/>
              </w:rPr>
              <w:t>报</w:t>
            </w:r>
            <w:r>
              <w:rPr>
                <w:rFonts w:ascii="宋体" w:hAnsi="宋体"/>
                <w:b/>
                <w:bCs/>
                <w:szCs w:val="21"/>
              </w:rPr>
              <w:t>价</w:t>
            </w:r>
          </w:p>
          <w:p>
            <w:pPr>
              <w:spacing w:line="360" w:lineRule="auto"/>
              <w:jc w:val="center"/>
              <w:rPr>
                <w:rFonts w:ascii="宋体" w:hAnsi="宋体" w:cs="宋体"/>
                <w:b/>
                <w:szCs w:val="21"/>
              </w:rPr>
            </w:pPr>
            <w:r>
              <w:rPr>
                <w:rFonts w:hint="eastAsia" w:ascii="宋体" w:hAnsi="宋体"/>
                <w:b/>
                <w:bCs/>
                <w:szCs w:val="21"/>
              </w:rPr>
              <w:t>（</w:t>
            </w:r>
            <w:r>
              <w:rPr>
                <w:rFonts w:ascii="宋体" w:hAnsi="宋体"/>
                <w:b/>
                <w:bCs/>
                <w:szCs w:val="21"/>
              </w:rPr>
              <w:t>30</w:t>
            </w:r>
            <w:r>
              <w:rPr>
                <w:rFonts w:hint="eastAsia" w:ascii="宋体" w:hAnsi="宋体"/>
                <w:b/>
                <w:bCs/>
                <w:szCs w:val="21"/>
              </w:rPr>
              <w:t>分）</w:t>
            </w:r>
          </w:p>
        </w:tc>
        <w:tc>
          <w:tcPr>
            <w:tcW w:w="7407" w:type="dxa"/>
            <w:shd w:val="clear" w:color="auto" w:fill="FFFFFF"/>
            <w:tcMar>
              <w:left w:w="108" w:type="dxa"/>
              <w:right w:w="108" w:type="dxa"/>
            </w:tcMar>
            <w:vAlign w:val="center"/>
          </w:tcPr>
          <w:p>
            <w:pPr>
              <w:spacing w:line="360" w:lineRule="auto"/>
              <w:rPr>
                <w:rFonts w:ascii="宋体" w:hAnsi="宋体" w:cs="Cambria"/>
                <w:kern w:val="0"/>
                <w:szCs w:val="21"/>
              </w:rPr>
            </w:pPr>
            <w:r>
              <w:rPr>
                <w:rFonts w:hint="eastAsia" w:ascii="宋体" w:hAnsi="宋体" w:cs="Cambria"/>
                <w:kern w:val="0"/>
                <w:szCs w:val="21"/>
              </w:rPr>
              <w:t>满足磋商文件要求且最后报价最低的供应商的价格为磋商基准价，其价格分为满分30分。其他供应商的价格分统一按照下列公式计算：磋商报价得分=(磋商基准价／最后磋商报价)×30×100%（保留二位小数）。</w:t>
            </w:r>
          </w:p>
          <w:p>
            <w:pPr>
              <w:spacing w:line="360" w:lineRule="auto"/>
              <w:rPr>
                <w:rFonts w:ascii="宋体" w:hAnsi="宋体" w:cs="宋体"/>
                <w:szCs w:val="21"/>
              </w:rPr>
            </w:pPr>
            <w:r>
              <w:rPr>
                <w:rFonts w:hint="eastAsia" w:ascii="宋体" w:hAnsi="宋体" w:cs="Cambria"/>
                <w:kern w:val="0"/>
                <w:szCs w:val="21"/>
              </w:rPr>
              <w:t>注：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1369" w:type="dxa"/>
            <w:shd w:val="clear" w:color="auto" w:fill="FFFFFF"/>
            <w:tcMar>
              <w:left w:w="108" w:type="dxa"/>
              <w:right w:w="108" w:type="dxa"/>
            </w:tcMar>
            <w:vAlign w:val="center"/>
          </w:tcPr>
          <w:p>
            <w:pPr>
              <w:spacing w:line="360" w:lineRule="auto"/>
              <w:jc w:val="center"/>
              <w:rPr>
                <w:rFonts w:ascii="宋体" w:hAnsi="宋体" w:cs="宋体"/>
                <w:b/>
                <w:szCs w:val="21"/>
              </w:rPr>
            </w:pPr>
            <w:r>
              <w:rPr>
                <w:rFonts w:hint="eastAsia" w:ascii="宋体" w:hAnsi="宋体"/>
                <w:b/>
                <w:bCs/>
                <w:szCs w:val="21"/>
              </w:rPr>
              <w:t>施工方案 （</w:t>
            </w:r>
            <w:r>
              <w:rPr>
                <w:rFonts w:ascii="宋体" w:hAnsi="宋体"/>
                <w:b/>
                <w:bCs/>
                <w:szCs w:val="21"/>
              </w:rPr>
              <w:t>5</w:t>
            </w:r>
            <w:r>
              <w:rPr>
                <w:rFonts w:hint="eastAsia" w:ascii="宋体" w:hAnsi="宋体"/>
                <w:b/>
                <w:bCs/>
                <w:szCs w:val="21"/>
                <w:lang w:val="en-US" w:eastAsia="zh-CN"/>
              </w:rPr>
              <w:t>0</w:t>
            </w:r>
            <w:r>
              <w:rPr>
                <w:rFonts w:hint="eastAsia" w:ascii="宋体" w:hAnsi="宋体"/>
                <w:b/>
                <w:bCs/>
                <w:szCs w:val="21"/>
              </w:rPr>
              <w:t>分）</w:t>
            </w:r>
          </w:p>
        </w:tc>
        <w:tc>
          <w:tcPr>
            <w:tcW w:w="7407" w:type="dxa"/>
            <w:shd w:val="clear" w:color="auto" w:fill="FFFFFF"/>
            <w:tcMar>
              <w:left w:w="108" w:type="dxa"/>
              <w:right w:w="108" w:type="dxa"/>
            </w:tcMar>
            <w:vAlign w:val="center"/>
          </w:tcPr>
          <w:p>
            <w:pPr>
              <w:spacing w:line="360" w:lineRule="auto"/>
              <w:rPr>
                <w:rFonts w:ascii="宋体" w:hAnsi="宋体"/>
                <w:b/>
                <w:bCs/>
                <w:szCs w:val="21"/>
              </w:rPr>
            </w:pPr>
            <w:r>
              <w:rPr>
                <w:rFonts w:hint="eastAsia" w:ascii="宋体" w:hAnsi="宋体"/>
                <w:b/>
                <w:bCs/>
                <w:szCs w:val="21"/>
              </w:rPr>
              <w:t>（1）施工组织总设计（包含但不限于以下内容： 1)工程概括和工程特点的说明；2)总的施工部署和主要单位工程的施工方案；3)各种资源的总需要量计划，包括劳动力、原材料、加工构件、施工机械、安装设备；4)全场性施工准备工作计划；5)有关安全和降低成本等技术组织措施和技术经济指标综合考量）（1</w:t>
            </w:r>
            <w:r>
              <w:rPr>
                <w:rFonts w:ascii="宋体" w:hAnsi="宋体"/>
                <w:b/>
                <w:bCs/>
                <w:szCs w:val="21"/>
              </w:rPr>
              <w:t>0</w:t>
            </w:r>
            <w:r>
              <w:rPr>
                <w:rFonts w:hint="eastAsia" w:ascii="宋体" w:hAnsi="宋体"/>
                <w:b/>
                <w:bCs/>
                <w:szCs w:val="21"/>
              </w:rPr>
              <w:t>分）</w:t>
            </w:r>
          </w:p>
          <w:p>
            <w:pPr>
              <w:spacing w:line="360" w:lineRule="auto"/>
              <w:rPr>
                <w:rFonts w:ascii="宋体" w:hAnsi="宋体"/>
                <w:szCs w:val="21"/>
              </w:rPr>
            </w:pPr>
            <w:r>
              <w:rPr>
                <w:rFonts w:hint="eastAsia" w:ascii="宋体" w:hAnsi="宋体"/>
                <w:szCs w:val="21"/>
              </w:rPr>
              <w:t>清楚、详尽，考虑周全完整，切实可行，得10分；较合理、严密、描述较为详细，得7分；基本合理、描述基本详细，得3分；具有明显不合理项、描述欠缺、存在实施难度或不提供不得分。</w:t>
            </w:r>
          </w:p>
          <w:p>
            <w:pPr>
              <w:spacing w:line="360" w:lineRule="auto"/>
              <w:rPr>
                <w:rFonts w:ascii="宋体" w:hAnsi="宋体"/>
                <w:b/>
                <w:bCs/>
                <w:szCs w:val="21"/>
              </w:rPr>
            </w:pPr>
            <w:r>
              <w:rPr>
                <w:rFonts w:hint="eastAsia" w:ascii="宋体" w:hAnsi="宋体"/>
                <w:b/>
                <w:bCs/>
                <w:szCs w:val="21"/>
              </w:rPr>
              <w:t>（2）安全文明施工、 质量保证措施（1</w:t>
            </w:r>
            <w:r>
              <w:rPr>
                <w:rFonts w:ascii="宋体" w:hAnsi="宋体"/>
                <w:b/>
                <w:bCs/>
                <w:szCs w:val="21"/>
              </w:rPr>
              <w:t>0</w:t>
            </w:r>
            <w:r>
              <w:rPr>
                <w:rFonts w:hint="eastAsia" w:ascii="宋体" w:hAnsi="宋体"/>
                <w:b/>
                <w:bCs/>
                <w:szCs w:val="21"/>
              </w:rPr>
              <w:t>分）</w:t>
            </w:r>
          </w:p>
          <w:p>
            <w:pPr>
              <w:spacing w:line="360" w:lineRule="auto"/>
              <w:rPr>
                <w:rFonts w:ascii="宋体" w:hAnsi="宋体"/>
                <w:szCs w:val="21"/>
              </w:rPr>
            </w:pPr>
            <w:r>
              <w:rPr>
                <w:rFonts w:hint="eastAsia" w:ascii="宋体" w:hAnsi="宋体"/>
                <w:szCs w:val="21"/>
              </w:rPr>
              <w:t>对相关风险分析，制订安全文明施工保证措施方案，针对性及准确性强，质量管理措施完整、目标体系明确、措施有力，得1</w:t>
            </w:r>
            <w:r>
              <w:rPr>
                <w:rFonts w:ascii="宋体" w:hAnsi="宋体"/>
                <w:szCs w:val="21"/>
              </w:rPr>
              <w:t>0</w:t>
            </w:r>
            <w:r>
              <w:rPr>
                <w:rFonts w:hint="eastAsia" w:ascii="宋体" w:hAnsi="宋体"/>
                <w:szCs w:val="21"/>
              </w:rPr>
              <w:t>分；较合理准确、严密、描述较为详细，得</w:t>
            </w:r>
            <w:r>
              <w:rPr>
                <w:rFonts w:ascii="宋体" w:hAnsi="宋体"/>
                <w:szCs w:val="21"/>
              </w:rPr>
              <w:t>7</w:t>
            </w:r>
            <w:r>
              <w:rPr>
                <w:rFonts w:hint="eastAsia" w:ascii="宋体" w:hAnsi="宋体"/>
                <w:szCs w:val="21"/>
              </w:rPr>
              <w:t>分；基本合理、描述基本详细，得</w:t>
            </w:r>
            <w:r>
              <w:rPr>
                <w:rFonts w:ascii="宋体" w:hAnsi="宋体"/>
                <w:szCs w:val="21"/>
              </w:rPr>
              <w:t>3</w:t>
            </w:r>
            <w:r>
              <w:rPr>
                <w:rFonts w:hint="eastAsia" w:ascii="宋体" w:hAnsi="宋体"/>
                <w:szCs w:val="21"/>
              </w:rPr>
              <w:t>分；具有明显不合理项、描述欠缺、存在实施难度或不提供不得分。</w:t>
            </w:r>
          </w:p>
          <w:p>
            <w:pPr>
              <w:spacing w:line="360" w:lineRule="auto"/>
              <w:rPr>
                <w:rFonts w:ascii="宋体" w:hAnsi="宋体"/>
                <w:b/>
                <w:bCs/>
                <w:szCs w:val="21"/>
              </w:rPr>
            </w:pPr>
            <w:r>
              <w:rPr>
                <w:rFonts w:hint="eastAsia" w:ascii="宋体" w:hAnsi="宋体"/>
                <w:b/>
                <w:bCs/>
                <w:szCs w:val="21"/>
              </w:rPr>
              <w:t>（3）项目重点、难点和关键点分析（1</w:t>
            </w:r>
            <w:r>
              <w:rPr>
                <w:rFonts w:ascii="宋体" w:hAnsi="宋体"/>
                <w:b/>
                <w:bCs/>
                <w:szCs w:val="21"/>
              </w:rPr>
              <w:t>0</w:t>
            </w:r>
            <w:r>
              <w:rPr>
                <w:rFonts w:hint="eastAsia" w:ascii="宋体" w:hAnsi="宋体"/>
                <w:b/>
                <w:bCs/>
                <w:szCs w:val="21"/>
              </w:rPr>
              <w:t>分）</w:t>
            </w:r>
          </w:p>
          <w:p>
            <w:pPr>
              <w:spacing w:line="360" w:lineRule="auto"/>
              <w:rPr>
                <w:rFonts w:ascii="宋体" w:hAnsi="宋体"/>
                <w:szCs w:val="21"/>
              </w:rPr>
            </w:pPr>
            <w:r>
              <w:rPr>
                <w:rFonts w:hint="eastAsia" w:ascii="宋体" w:hAnsi="宋体"/>
                <w:szCs w:val="21"/>
              </w:rPr>
              <w:t>分析全面、准确，可操作性强，得</w:t>
            </w:r>
            <w:r>
              <w:rPr>
                <w:rFonts w:ascii="宋体" w:hAnsi="宋体"/>
                <w:szCs w:val="21"/>
              </w:rPr>
              <w:t>10</w:t>
            </w:r>
            <w:r>
              <w:rPr>
                <w:rFonts w:hint="eastAsia" w:ascii="宋体" w:hAnsi="宋体"/>
                <w:szCs w:val="21"/>
              </w:rPr>
              <w:t>分；较合理、严密、描述较为详细，得</w:t>
            </w:r>
            <w:r>
              <w:rPr>
                <w:rFonts w:ascii="宋体" w:hAnsi="宋体"/>
                <w:szCs w:val="21"/>
              </w:rPr>
              <w:t>7</w:t>
            </w:r>
            <w:r>
              <w:rPr>
                <w:rFonts w:hint="eastAsia" w:ascii="宋体" w:hAnsi="宋体"/>
                <w:szCs w:val="21"/>
              </w:rPr>
              <w:t>分；基本合理、描述基本详细，得</w:t>
            </w:r>
            <w:r>
              <w:rPr>
                <w:rFonts w:ascii="宋体" w:hAnsi="宋体"/>
                <w:szCs w:val="21"/>
              </w:rPr>
              <w:t>3</w:t>
            </w:r>
            <w:r>
              <w:rPr>
                <w:rFonts w:hint="eastAsia" w:ascii="宋体" w:hAnsi="宋体"/>
                <w:szCs w:val="21"/>
              </w:rPr>
              <w:t>分；具有明显不合理项、描述欠缺、存在实施难度或不提供不得分。</w:t>
            </w:r>
          </w:p>
          <w:p>
            <w:pPr>
              <w:spacing w:line="360" w:lineRule="auto"/>
              <w:rPr>
                <w:rFonts w:ascii="宋体" w:hAnsi="宋体"/>
                <w:b/>
                <w:bCs/>
                <w:szCs w:val="21"/>
              </w:rPr>
            </w:pPr>
            <w:r>
              <w:rPr>
                <w:rFonts w:hint="eastAsia" w:ascii="宋体" w:hAnsi="宋体"/>
                <w:b/>
                <w:bCs/>
                <w:szCs w:val="21"/>
              </w:rPr>
              <w:t>（4）工程进度计划与措施（1</w:t>
            </w:r>
            <w:r>
              <w:rPr>
                <w:rFonts w:ascii="宋体" w:hAnsi="宋体"/>
                <w:b/>
                <w:bCs/>
                <w:szCs w:val="21"/>
              </w:rPr>
              <w:t>0</w:t>
            </w:r>
            <w:r>
              <w:rPr>
                <w:rFonts w:hint="eastAsia" w:ascii="宋体" w:hAnsi="宋体"/>
                <w:b/>
                <w:bCs/>
                <w:szCs w:val="21"/>
              </w:rPr>
              <w:t>分）</w:t>
            </w:r>
          </w:p>
          <w:p>
            <w:pPr>
              <w:spacing w:line="360" w:lineRule="auto"/>
              <w:rPr>
                <w:rFonts w:ascii="宋体" w:hAnsi="宋体"/>
                <w:szCs w:val="21"/>
              </w:rPr>
            </w:pPr>
            <w:r>
              <w:rPr>
                <w:rFonts w:hint="eastAsia" w:ascii="宋体" w:hAnsi="宋体"/>
                <w:szCs w:val="21"/>
              </w:rPr>
              <w:t>工程进度计划是否符合工期要求，从关键路径的准确、清晰，逻辑关系、措施是否有效保证计划实施等综合考量：</w:t>
            </w:r>
          </w:p>
          <w:p>
            <w:pPr>
              <w:spacing w:line="360" w:lineRule="auto"/>
              <w:rPr>
                <w:rFonts w:ascii="宋体" w:hAnsi="宋体"/>
                <w:szCs w:val="21"/>
              </w:rPr>
            </w:pPr>
            <w:r>
              <w:rPr>
                <w:rFonts w:hint="eastAsia" w:ascii="宋体" w:hAnsi="宋体"/>
                <w:szCs w:val="21"/>
              </w:rPr>
              <w:t>完整、规范、合理，操作性强，得10分；较合理、严密、描述较为详细，得7分；基本合理、描述基本详细，得3分；具有明显不合理项、描述欠缺、存在实施难度或不提供不得分。</w:t>
            </w:r>
          </w:p>
          <w:p>
            <w:pPr>
              <w:spacing w:line="360" w:lineRule="auto"/>
              <w:rPr>
                <w:rFonts w:ascii="宋体" w:hAnsi="宋体"/>
                <w:b/>
                <w:bCs/>
                <w:szCs w:val="21"/>
              </w:rPr>
            </w:pPr>
            <w:r>
              <w:rPr>
                <w:rFonts w:hint="eastAsia" w:ascii="宋体" w:hAnsi="宋体"/>
                <w:b/>
                <w:bCs/>
                <w:szCs w:val="21"/>
              </w:rPr>
              <w:t>（</w:t>
            </w:r>
            <w:r>
              <w:rPr>
                <w:rFonts w:ascii="宋体" w:hAnsi="宋体"/>
                <w:b/>
                <w:bCs/>
                <w:szCs w:val="21"/>
              </w:rPr>
              <w:t>5</w:t>
            </w:r>
            <w:r>
              <w:rPr>
                <w:rFonts w:hint="eastAsia" w:ascii="宋体" w:hAnsi="宋体"/>
                <w:b/>
                <w:bCs/>
                <w:szCs w:val="21"/>
              </w:rPr>
              <w:t>）人员配置（</w:t>
            </w:r>
            <w:r>
              <w:rPr>
                <w:rFonts w:ascii="宋体" w:hAnsi="宋体"/>
                <w:b/>
                <w:bCs/>
                <w:szCs w:val="21"/>
              </w:rPr>
              <w:t>10</w:t>
            </w:r>
            <w:r>
              <w:rPr>
                <w:rFonts w:hint="eastAsia" w:ascii="宋体" w:hAnsi="宋体"/>
                <w:b/>
                <w:bCs/>
                <w:szCs w:val="21"/>
              </w:rPr>
              <w:t>分）</w:t>
            </w:r>
          </w:p>
          <w:p>
            <w:pPr>
              <w:spacing w:line="360" w:lineRule="auto"/>
              <w:rPr>
                <w:rFonts w:ascii="宋体" w:hAnsi="宋体"/>
                <w:szCs w:val="21"/>
              </w:rPr>
            </w:pPr>
            <w:r>
              <w:rPr>
                <w:rFonts w:hint="eastAsia" w:ascii="宋体" w:hAnsi="宋体"/>
                <w:szCs w:val="21"/>
              </w:rPr>
              <w:t>详细、合理，考虑周全、切实可行，得10分；较合理、严密、描述较为详细，得7分；基本合理、描述基本详细，得3分；具有明显不合理项、描述欠缺、存在实施难度或不提供不得分。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1369" w:type="dxa"/>
            <w:shd w:val="clear" w:color="auto" w:fill="FFFFFF"/>
            <w:tcMar>
              <w:left w:w="108" w:type="dxa"/>
              <w:right w:w="108" w:type="dxa"/>
            </w:tcMar>
            <w:vAlign w:val="center"/>
          </w:tcPr>
          <w:p>
            <w:pPr>
              <w:spacing w:line="360" w:lineRule="auto"/>
              <w:jc w:val="center"/>
              <w:rPr>
                <w:rFonts w:ascii="宋体" w:hAnsi="宋体"/>
                <w:b/>
                <w:bCs/>
                <w:szCs w:val="21"/>
              </w:rPr>
            </w:pPr>
            <w:r>
              <w:rPr>
                <w:rFonts w:hint="eastAsia" w:ascii="宋体" w:hAnsi="宋体"/>
                <w:b/>
                <w:bCs/>
                <w:szCs w:val="21"/>
              </w:rPr>
              <w:t>公司</w:t>
            </w:r>
            <w:r>
              <w:rPr>
                <w:rFonts w:ascii="宋体" w:hAnsi="宋体"/>
                <w:b/>
                <w:bCs/>
                <w:szCs w:val="21"/>
              </w:rPr>
              <w:t>业绩</w:t>
            </w:r>
          </w:p>
          <w:p>
            <w:pPr>
              <w:spacing w:line="360" w:lineRule="auto"/>
              <w:jc w:val="center"/>
              <w:rPr>
                <w:rFonts w:ascii="宋体" w:hAnsi="宋体"/>
                <w:b/>
                <w:bCs/>
                <w:szCs w:val="21"/>
              </w:rPr>
            </w:pPr>
            <w:r>
              <w:rPr>
                <w:rFonts w:hint="eastAsia" w:ascii="宋体" w:hAnsi="宋体"/>
                <w:b/>
                <w:bCs/>
                <w:szCs w:val="21"/>
              </w:rPr>
              <w:t>（</w:t>
            </w:r>
            <w:r>
              <w:rPr>
                <w:rFonts w:ascii="宋体" w:hAnsi="宋体"/>
                <w:b/>
                <w:bCs/>
                <w:szCs w:val="21"/>
              </w:rPr>
              <w:t>15</w:t>
            </w:r>
            <w:r>
              <w:rPr>
                <w:rFonts w:hint="eastAsia" w:ascii="宋体" w:hAnsi="宋体"/>
                <w:b/>
                <w:bCs/>
                <w:szCs w:val="21"/>
              </w:rPr>
              <w:t>分）</w:t>
            </w:r>
          </w:p>
        </w:tc>
        <w:tc>
          <w:tcPr>
            <w:tcW w:w="7407" w:type="dxa"/>
            <w:shd w:val="clear" w:color="auto" w:fill="FFFFFF"/>
            <w:tcMar>
              <w:left w:w="108" w:type="dxa"/>
              <w:right w:w="108" w:type="dxa"/>
            </w:tcMar>
            <w:vAlign w:val="center"/>
          </w:tcPr>
          <w:p>
            <w:pPr>
              <w:spacing w:line="360" w:lineRule="auto"/>
              <w:rPr>
                <w:rFonts w:ascii="宋体" w:hAnsi="宋体"/>
                <w:szCs w:val="21"/>
              </w:rPr>
            </w:pPr>
            <w:r>
              <w:rPr>
                <w:rFonts w:hint="eastAsia" w:ascii="宋体" w:hAnsi="宋体"/>
                <w:szCs w:val="21"/>
              </w:rPr>
              <w:t>供应商自20</w:t>
            </w:r>
            <w:r>
              <w:rPr>
                <w:rFonts w:ascii="宋体" w:hAnsi="宋体"/>
                <w:szCs w:val="21"/>
              </w:rPr>
              <w:t>19</w:t>
            </w:r>
            <w:r>
              <w:rPr>
                <w:rFonts w:hint="eastAsia" w:ascii="宋体" w:hAnsi="宋体"/>
                <w:szCs w:val="21"/>
              </w:rPr>
              <w:t>年1月1日以来有过类似成功案例</w:t>
            </w:r>
            <w:r>
              <w:rPr>
                <w:rFonts w:hint="eastAsia" w:ascii="宋体" w:hAnsi="宋体"/>
                <w:b/>
                <w:bCs/>
                <w:szCs w:val="21"/>
              </w:rPr>
              <w:t>（提供有效合同复印件加盖供应商公章，合同需清晰可见主要内容及工程量，</w:t>
            </w:r>
            <w:r>
              <w:rPr>
                <w:rFonts w:hint="eastAsia" w:ascii="宋体" w:hAnsi="宋体"/>
                <w:b/>
                <w:bCs/>
                <w:color w:val="FF0000"/>
                <w:szCs w:val="21"/>
              </w:rPr>
              <w:t>原件备查，无原件不得分</w:t>
            </w:r>
            <w:r>
              <w:rPr>
                <w:rFonts w:hint="eastAsia" w:ascii="宋体" w:hAnsi="宋体"/>
                <w:b/>
                <w:bCs/>
                <w:szCs w:val="21"/>
              </w:rPr>
              <w:t>）</w:t>
            </w:r>
            <w:r>
              <w:rPr>
                <w:rFonts w:hint="eastAsia" w:ascii="宋体" w:hAnsi="宋体"/>
                <w:szCs w:val="21"/>
              </w:rPr>
              <w:t>，每提供一份合同得</w:t>
            </w:r>
            <w:r>
              <w:rPr>
                <w:rFonts w:ascii="宋体" w:hAnsi="宋体"/>
                <w:szCs w:val="21"/>
              </w:rPr>
              <w:t>3</w:t>
            </w:r>
            <w:r>
              <w:rPr>
                <w:rFonts w:hint="eastAsia" w:ascii="宋体" w:hAnsi="宋体"/>
                <w:szCs w:val="21"/>
              </w:rPr>
              <w:t>分，最高1</w:t>
            </w:r>
            <w:r>
              <w:rPr>
                <w:rFonts w:hint="eastAsia" w:ascii="宋体" w:hAnsi="宋体"/>
                <w:szCs w:val="21"/>
                <w:lang w:val="en-US" w:eastAsia="zh-CN"/>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1369" w:type="dxa"/>
            <w:shd w:val="clear" w:color="auto" w:fill="FFFFFF"/>
            <w:tcMar>
              <w:left w:w="108" w:type="dxa"/>
              <w:right w:w="108" w:type="dxa"/>
            </w:tcMar>
            <w:vAlign w:val="center"/>
          </w:tcPr>
          <w:p>
            <w:pPr>
              <w:spacing w:line="360" w:lineRule="auto"/>
              <w:jc w:val="center"/>
              <w:rPr>
                <w:rFonts w:ascii="宋体" w:hAnsi="宋体"/>
                <w:b/>
                <w:bCs/>
                <w:szCs w:val="21"/>
              </w:rPr>
            </w:pPr>
            <w:r>
              <w:rPr>
                <w:rFonts w:hint="eastAsia" w:ascii="宋体" w:hAnsi="宋体"/>
                <w:b/>
                <w:bCs/>
                <w:szCs w:val="21"/>
              </w:rPr>
              <w:t>服务承诺</w:t>
            </w:r>
          </w:p>
          <w:p>
            <w:pPr>
              <w:spacing w:line="360" w:lineRule="auto"/>
              <w:jc w:val="center"/>
              <w:rPr>
                <w:rFonts w:ascii="宋体" w:hAnsi="宋体"/>
                <w:b/>
                <w:bCs/>
                <w:szCs w:val="21"/>
              </w:rPr>
            </w:pPr>
            <w:r>
              <w:rPr>
                <w:rFonts w:hint="eastAsia" w:ascii="宋体" w:hAnsi="宋体"/>
                <w:b/>
                <w:bCs/>
                <w:szCs w:val="21"/>
              </w:rPr>
              <w:t>（</w:t>
            </w:r>
            <w:r>
              <w:rPr>
                <w:rFonts w:ascii="宋体" w:hAnsi="宋体"/>
                <w:b/>
                <w:bCs/>
                <w:szCs w:val="21"/>
              </w:rPr>
              <w:t>5</w:t>
            </w:r>
            <w:r>
              <w:rPr>
                <w:rFonts w:hint="eastAsia" w:ascii="宋体" w:hAnsi="宋体"/>
                <w:b/>
                <w:bCs/>
                <w:szCs w:val="21"/>
              </w:rPr>
              <w:t>分）</w:t>
            </w:r>
          </w:p>
        </w:tc>
        <w:tc>
          <w:tcPr>
            <w:tcW w:w="7407" w:type="dxa"/>
            <w:shd w:val="clear" w:color="auto" w:fill="FFFFFF"/>
            <w:tcMar>
              <w:left w:w="108" w:type="dxa"/>
              <w:right w:w="108" w:type="dxa"/>
            </w:tcMar>
            <w:vAlign w:val="center"/>
          </w:tcPr>
          <w:p>
            <w:pPr>
              <w:spacing w:line="360" w:lineRule="auto"/>
              <w:rPr>
                <w:rFonts w:ascii="宋体" w:hAnsi="宋体"/>
                <w:b/>
                <w:bCs/>
                <w:szCs w:val="21"/>
              </w:rPr>
            </w:pPr>
            <w:r>
              <w:rPr>
                <w:rFonts w:hint="eastAsia" w:ascii="宋体" w:hAnsi="宋体"/>
                <w:szCs w:val="21"/>
              </w:rPr>
              <w:t xml:space="preserve">质保期内维修响应时间：供应商提供 </w:t>
            </w:r>
            <w:r>
              <w:rPr>
                <w:rFonts w:ascii="宋体" w:hAnsi="宋体"/>
                <w:szCs w:val="21"/>
              </w:rPr>
              <w:t>4</w:t>
            </w:r>
            <w:r>
              <w:rPr>
                <w:rFonts w:hint="eastAsia" w:ascii="宋体" w:hAnsi="宋体"/>
                <w:szCs w:val="21"/>
              </w:rPr>
              <w:t xml:space="preserve">小时内到达现场查勘情况并提出维修整改建议承诺的，得 </w:t>
            </w:r>
            <w:r>
              <w:rPr>
                <w:rFonts w:ascii="宋体" w:hAnsi="宋体"/>
                <w:szCs w:val="21"/>
              </w:rPr>
              <w:t>5</w:t>
            </w:r>
            <w:r>
              <w:rPr>
                <w:rFonts w:hint="eastAsia" w:ascii="宋体" w:hAnsi="宋体"/>
                <w:szCs w:val="21"/>
              </w:rPr>
              <w:t xml:space="preserve"> 分；8 小时内到达现场查勘情况并提出维修整改建议承诺的，得 </w:t>
            </w:r>
            <w:r>
              <w:rPr>
                <w:rFonts w:ascii="宋体" w:hAnsi="宋体"/>
                <w:szCs w:val="21"/>
              </w:rPr>
              <w:t>3</w:t>
            </w:r>
            <w:r>
              <w:rPr>
                <w:rFonts w:hint="eastAsia" w:ascii="宋体" w:hAnsi="宋体"/>
                <w:szCs w:val="21"/>
              </w:rPr>
              <w:t xml:space="preserve"> 分；12小时内到达现场查勘情况并提出维修整改建议承诺的，得 1 分；其余情况不得分</w:t>
            </w:r>
            <w:r>
              <w:rPr>
                <w:rFonts w:hint="eastAsia" w:ascii="宋体" w:hAnsi="宋体"/>
                <w:b/>
                <w:bCs/>
                <w:szCs w:val="21"/>
              </w:rPr>
              <w:t>（提供有效承诺函原件加盖供应商公章）。</w:t>
            </w:r>
          </w:p>
        </w:tc>
      </w:tr>
    </w:tbl>
    <w:p>
      <w:pPr>
        <w:spacing w:line="360" w:lineRule="auto"/>
        <w:ind w:firstLine="422" w:firstLineChars="200"/>
        <w:rPr>
          <w:rFonts w:ascii="宋体" w:hAnsi="宋体"/>
          <w:b/>
          <w:szCs w:val="21"/>
          <w:lang w:bidi="zh-CN"/>
        </w:rPr>
      </w:pPr>
      <w:r>
        <w:rPr>
          <w:rFonts w:ascii="宋体" w:hAnsi="宋体"/>
          <w:b/>
          <w:szCs w:val="21"/>
          <w:lang w:bidi="zh-CN"/>
        </w:rPr>
        <w:t>注：</w:t>
      </w:r>
      <w:r>
        <w:rPr>
          <w:rFonts w:hint="eastAsia" w:ascii="宋体" w:hAnsi="宋体"/>
          <w:b/>
          <w:szCs w:val="21"/>
          <w:lang w:bidi="zh-CN"/>
        </w:rPr>
        <w:t>（1）</w:t>
      </w:r>
      <w:r>
        <w:rPr>
          <w:rFonts w:ascii="宋体" w:hAnsi="宋体"/>
          <w:b/>
          <w:szCs w:val="21"/>
          <w:lang w:bidi="zh-CN"/>
        </w:rPr>
        <w:t>评分标准中要求提供原件的，供应商须提供相关原件或公证件，否则与之对应项不得分。</w:t>
      </w:r>
    </w:p>
    <w:p>
      <w:pPr>
        <w:spacing w:line="360" w:lineRule="auto"/>
        <w:ind w:firstLine="738" w:firstLineChars="350"/>
        <w:rPr>
          <w:rFonts w:ascii="宋体" w:hAnsi="宋体"/>
          <w:b/>
          <w:szCs w:val="21"/>
          <w:lang w:bidi="zh-CN"/>
        </w:rPr>
      </w:pPr>
      <w:r>
        <w:rPr>
          <w:rFonts w:hint="eastAsia" w:ascii="宋体" w:hAnsi="宋体"/>
          <w:b/>
          <w:szCs w:val="21"/>
          <w:lang w:bidi="zh-CN"/>
        </w:rPr>
        <w:t>（2）响应</w:t>
      </w:r>
      <w:r>
        <w:rPr>
          <w:rFonts w:ascii="宋体" w:hAnsi="宋体"/>
          <w:b/>
          <w:szCs w:val="21"/>
          <w:lang w:bidi="zh-CN"/>
        </w:rPr>
        <w:t>文件的正本和副本中均需提供相关原件的复印件。</w:t>
      </w:r>
    </w:p>
    <w:p>
      <w:pPr>
        <w:spacing w:line="360" w:lineRule="auto"/>
        <w:ind w:firstLine="738" w:firstLineChars="350"/>
        <w:rPr>
          <w:rFonts w:ascii="宋体" w:hAnsi="宋体"/>
          <w:b/>
          <w:szCs w:val="21"/>
        </w:rPr>
      </w:pPr>
      <w:r>
        <w:rPr>
          <w:rFonts w:hint="eastAsia" w:ascii="宋体" w:hAnsi="宋体"/>
          <w:b/>
          <w:szCs w:val="21"/>
          <w:lang w:bidi="zh-CN"/>
        </w:rPr>
        <w:t>（3）</w:t>
      </w:r>
      <w:r>
        <w:rPr>
          <w:rFonts w:ascii="宋体" w:hAnsi="宋体"/>
          <w:b/>
          <w:szCs w:val="21"/>
          <w:lang w:bidi="zh-CN"/>
        </w:rPr>
        <w:t>供应商提供的相关证明材料，如弄虚作假，根据《政府采购法》予以处罚。</w:t>
      </w:r>
    </w:p>
    <w:p>
      <w:pPr>
        <w:spacing w:line="360" w:lineRule="auto"/>
        <w:ind w:firstLine="738" w:firstLineChars="350"/>
        <w:rPr>
          <w:rFonts w:ascii="宋体" w:hAnsi="宋体"/>
          <w:b/>
          <w:szCs w:val="21"/>
        </w:rPr>
      </w:pPr>
      <w:r>
        <w:rPr>
          <w:rFonts w:hint="eastAsia" w:ascii="宋体" w:hAnsi="宋体"/>
          <w:b/>
          <w:szCs w:val="21"/>
        </w:rPr>
        <w:t>（4）上述原件或公证件等属于响应文件的组成部分，须在磋商当天随响应文件一起在磋商截止时间前同时递交，若有缺失，将导致对应项不得分且不允许在磋商开始后补正。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EDF47"/>
    <w:multiLevelType w:val="singleLevel"/>
    <w:tmpl w:val="713ED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ZmM4ODZmY2YwZTU2MDljY2NhZGFiMjZmZDk1ZTcifQ=="/>
  </w:docVars>
  <w:rsids>
    <w:rsidRoot w:val="00D60D85"/>
    <w:rsid w:val="00004E54"/>
    <w:rsid w:val="00021980"/>
    <w:rsid w:val="000A69FC"/>
    <w:rsid w:val="00255BE6"/>
    <w:rsid w:val="0031567B"/>
    <w:rsid w:val="00365719"/>
    <w:rsid w:val="004A5624"/>
    <w:rsid w:val="004E49D4"/>
    <w:rsid w:val="006404BD"/>
    <w:rsid w:val="006F24A1"/>
    <w:rsid w:val="00775A6F"/>
    <w:rsid w:val="007D4B13"/>
    <w:rsid w:val="008A2F9C"/>
    <w:rsid w:val="008B5189"/>
    <w:rsid w:val="008E07D8"/>
    <w:rsid w:val="00990DA8"/>
    <w:rsid w:val="00A17566"/>
    <w:rsid w:val="00A47047"/>
    <w:rsid w:val="00C478C5"/>
    <w:rsid w:val="00C53D00"/>
    <w:rsid w:val="00D60D85"/>
    <w:rsid w:val="00D731F2"/>
    <w:rsid w:val="00D73BD8"/>
    <w:rsid w:val="00DC007D"/>
    <w:rsid w:val="00DD2D9B"/>
    <w:rsid w:val="00E12397"/>
    <w:rsid w:val="00E77F69"/>
    <w:rsid w:val="00E8686C"/>
    <w:rsid w:val="00FF5CBC"/>
    <w:rsid w:val="0CA727E3"/>
    <w:rsid w:val="41A15218"/>
    <w:rsid w:val="53B51F37"/>
    <w:rsid w:val="54BF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b/>
      <w:sz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unhideWhenUsed/>
    <w:qFormat/>
    <w:uiPriority w:val="99"/>
    <w:pPr>
      <w:ind w:firstLine="420" w:firstLineChars="200"/>
    </w:pPr>
  </w:style>
  <w:style w:type="paragraph" w:customStyle="1" w:styleId="1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2171</Words>
  <Characters>2284</Characters>
  <Lines>17</Lines>
  <Paragraphs>4</Paragraphs>
  <TotalTime>190</TotalTime>
  <ScaleCrop>false</ScaleCrop>
  <LinksUpToDate>false</LinksUpToDate>
  <CharactersWithSpaces>2304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2022-07-27T02:07:00Z</dcterms:created>
  <dc:creator>T</dc:creator>
  <cp:lastModifiedBy>季海燕</cp:lastModifiedBy>
  <dcterms:modified xsi:type="dcterms:W3CDTF">2023-07-03T08:59:52Z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49AD704790444B1C8D85FF155D3CAE75_12</vt:lpwstr>
  </property>
</Properties>
</file>