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val="0"/>
        <w:snapToGrid w:val="0"/>
        <w:spacing w:before="100" w:beforeAutospacing="1" w:line="400" w:lineRule="exact"/>
        <w:ind w:left="383"/>
        <w:jc w:val="left"/>
        <w:rPr>
          <w:rFonts w:asciiTheme="minorEastAsia" w:hAnsiTheme="minorEastAsia"/>
          <w:sz w:val="24"/>
        </w:rPr>
      </w:pPr>
      <w:r>
        <w:rPr>
          <w:rFonts w:asciiTheme="minorEastAsia" w:hAnsiTheme="minorEastAsia"/>
          <w:sz w:val="24"/>
        </w:rPr>
        <w:t>附件：</w:t>
      </w:r>
    </w:p>
    <w:p>
      <w:pPr>
        <w:shd w:val="clear" w:color="auto" w:fill="FFFFFF"/>
        <w:adjustRightInd w:val="0"/>
        <w:snapToGrid w:val="0"/>
        <w:spacing w:before="100" w:beforeAutospacing="1" w:line="400" w:lineRule="exact"/>
        <w:ind w:left="383"/>
        <w:jc w:val="left"/>
        <w:rPr>
          <w:rFonts w:asciiTheme="minorEastAsia" w:hAnsiTheme="minorEastAsia"/>
          <w:b/>
          <w:sz w:val="24"/>
        </w:rPr>
      </w:pPr>
      <w:r>
        <w:rPr>
          <w:rFonts w:asciiTheme="minorEastAsia" w:hAnsiTheme="minorEastAsia"/>
          <w:b/>
          <w:sz w:val="24"/>
        </w:rPr>
        <w:t>注：如供应商确认前来，请于当日上午</w:t>
      </w:r>
      <w:r>
        <w:rPr>
          <w:rFonts w:hint="eastAsia" w:asciiTheme="minorEastAsia" w:hAnsiTheme="minorEastAsia"/>
          <w:b/>
          <w:sz w:val="24"/>
        </w:rPr>
        <w:t>9点前将姓名、身份证号、联系方式、车牌号、低风险地区行程码截图、苏康码截图、48小时内核酸证明截图发送至</w:t>
      </w:r>
      <w:r>
        <w:rPr>
          <w:rFonts w:asciiTheme="minorEastAsia" w:hAnsiTheme="minorEastAsia"/>
          <w:b/>
          <w:sz w:val="24"/>
        </w:rPr>
        <w:t>wxf_yz@163.com邮箱。一家供应商只可进一人，感谢您的配合。</w:t>
      </w:r>
    </w:p>
    <w:p>
      <w:pPr>
        <w:spacing w:line="400" w:lineRule="exact"/>
        <w:jc w:val="left"/>
        <w:rPr>
          <w:rFonts w:ascii="黑体" w:hAnsi="黑体" w:eastAsia="黑体"/>
          <w:sz w:val="30"/>
          <w:szCs w:val="30"/>
        </w:rPr>
      </w:pPr>
      <w:bookmarkStart w:id="0" w:name="_Toc502231067"/>
      <w:bookmarkStart w:id="1" w:name="_Toc26159"/>
      <w:bookmarkStart w:id="2" w:name="_Toc502231124"/>
      <w:r>
        <w:rPr>
          <w:rFonts w:hint="eastAsia" w:ascii="黑体" w:hAnsi="黑体" w:eastAsia="黑体"/>
          <w:sz w:val="30"/>
          <w:szCs w:val="30"/>
        </w:rPr>
        <w:t>一、服务需求：</w:t>
      </w:r>
    </w:p>
    <w:p>
      <w:pPr>
        <w:snapToGrid w:val="0"/>
        <w:spacing w:line="400" w:lineRule="exact"/>
        <w:ind w:firstLine="600" w:firstLineChars="250"/>
        <w:rPr>
          <w:rFonts w:ascii="宋体" w:hAnsi="宋体"/>
          <w:bCs/>
          <w:sz w:val="24"/>
        </w:rPr>
      </w:pPr>
      <w:r>
        <w:rPr>
          <w:rFonts w:hint="eastAsia" w:ascii="宋体" w:hAnsi="宋体"/>
          <w:bCs/>
          <w:sz w:val="24"/>
        </w:rPr>
        <w:t>1. 乙方为甲方组织经验丰富且有执业资质的医师、检验师及护理工作人员为甲方员工进行健康检查。</w:t>
      </w:r>
    </w:p>
    <w:p>
      <w:pPr>
        <w:snapToGrid w:val="0"/>
        <w:spacing w:line="400" w:lineRule="exact"/>
        <w:ind w:firstLine="600" w:firstLineChars="250"/>
        <w:rPr>
          <w:rFonts w:ascii="宋体" w:hAnsi="宋体"/>
          <w:bCs/>
          <w:sz w:val="24"/>
        </w:rPr>
      </w:pPr>
      <w:r>
        <w:rPr>
          <w:rFonts w:hint="eastAsia" w:ascii="宋体" w:hAnsi="宋体"/>
          <w:bCs/>
          <w:sz w:val="24"/>
        </w:rPr>
        <w:t>2. 乙方向甲方教职工提供书面体检报告壹份（密封）。</w:t>
      </w:r>
    </w:p>
    <w:p>
      <w:pPr>
        <w:snapToGrid w:val="0"/>
        <w:spacing w:line="400" w:lineRule="exact"/>
        <w:ind w:firstLine="600" w:firstLineChars="250"/>
        <w:rPr>
          <w:rFonts w:ascii="宋体" w:hAnsi="宋体"/>
          <w:bCs/>
          <w:sz w:val="24"/>
        </w:rPr>
      </w:pPr>
      <w:r>
        <w:rPr>
          <w:rFonts w:hint="eastAsia" w:ascii="宋体" w:hAnsi="宋体"/>
          <w:bCs/>
          <w:sz w:val="24"/>
        </w:rPr>
        <w:t>3. 体检完成之后，乙方将针对甲方员工的体检结果，根据甲方的通知，在合理时间内为甲方员工安排专家对体检结果进行讲解，并提供健康管理改进方案，如需要，乙方还为甲方提供办理医疗转诊服务。</w:t>
      </w:r>
    </w:p>
    <w:p>
      <w:pPr>
        <w:snapToGrid w:val="0"/>
        <w:spacing w:line="400" w:lineRule="exact"/>
        <w:ind w:firstLine="600" w:firstLineChars="250"/>
        <w:rPr>
          <w:rFonts w:ascii="宋体" w:hAnsi="宋体"/>
          <w:bCs/>
          <w:sz w:val="24"/>
        </w:rPr>
      </w:pPr>
      <w:r>
        <w:rPr>
          <w:rFonts w:hint="eastAsia" w:ascii="宋体" w:hAnsi="宋体"/>
          <w:bCs/>
          <w:sz w:val="24"/>
        </w:rPr>
        <w:t>4. 乙方负责对甲方员工的个人信息和体检结果做好保密工作。</w:t>
      </w:r>
    </w:p>
    <w:p>
      <w:pPr>
        <w:snapToGrid w:val="0"/>
        <w:spacing w:line="400" w:lineRule="exact"/>
        <w:ind w:firstLine="600" w:firstLineChars="250"/>
        <w:rPr>
          <w:rFonts w:ascii="宋体" w:hAnsi="宋体"/>
          <w:bCs/>
          <w:sz w:val="24"/>
        </w:rPr>
      </w:pPr>
      <w:r>
        <w:rPr>
          <w:rFonts w:hint="eastAsia" w:ascii="宋体" w:hAnsi="宋体"/>
          <w:bCs/>
          <w:sz w:val="24"/>
        </w:rPr>
        <w:t>5. 乙方为甲方体检员工建立个人健康档案。</w:t>
      </w:r>
    </w:p>
    <w:p>
      <w:pPr>
        <w:spacing w:line="400" w:lineRule="exact"/>
        <w:jc w:val="left"/>
        <w:rPr>
          <w:rFonts w:ascii="黑体" w:hAnsi="黑体" w:eastAsia="黑体"/>
          <w:sz w:val="30"/>
          <w:szCs w:val="30"/>
        </w:rPr>
      </w:pPr>
      <w:r>
        <w:rPr>
          <w:rFonts w:hint="eastAsia" w:ascii="黑体" w:hAnsi="黑体" w:eastAsia="黑体"/>
          <w:sz w:val="30"/>
          <w:szCs w:val="30"/>
        </w:rPr>
        <w:t>二、体检套餐内容</w:t>
      </w:r>
    </w:p>
    <w:tbl>
      <w:tblPr>
        <w:tblStyle w:val="2"/>
        <w:tblW w:w="8671" w:type="dxa"/>
        <w:tblInd w:w="113" w:type="dxa"/>
        <w:tblLayout w:type="autofit"/>
        <w:tblCellMar>
          <w:top w:w="0" w:type="dxa"/>
          <w:left w:w="108" w:type="dxa"/>
          <w:bottom w:w="0" w:type="dxa"/>
          <w:right w:w="108" w:type="dxa"/>
        </w:tblCellMar>
      </w:tblPr>
      <w:tblGrid>
        <w:gridCol w:w="1960"/>
        <w:gridCol w:w="4272"/>
        <w:gridCol w:w="738"/>
        <w:gridCol w:w="850"/>
        <w:gridCol w:w="851"/>
      </w:tblGrid>
      <w:tr>
        <w:tblPrEx>
          <w:tblCellMar>
            <w:top w:w="0" w:type="dxa"/>
            <w:left w:w="108" w:type="dxa"/>
            <w:bottom w:w="0" w:type="dxa"/>
            <w:right w:w="108" w:type="dxa"/>
          </w:tblCellMar>
        </w:tblPrEx>
        <w:trPr>
          <w:trHeight w:val="285" w:hRule="atLeast"/>
        </w:trPr>
        <w:tc>
          <w:tcPr>
            <w:tcW w:w="1960" w:type="dxa"/>
            <w:tcBorders>
              <w:top w:val="single" w:color="auto" w:sz="4" w:space="0"/>
              <w:left w:val="single" w:color="auto" w:sz="4" w:space="0"/>
              <w:bottom w:val="single" w:color="auto" w:sz="4" w:space="0"/>
              <w:right w:val="single" w:color="auto" w:sz="4" w:space="0"/>
            </w:tcBorders>
            <w:shd w:val="clear" w:color="000000" w:fill="305496"/>
            <w:vAlign w:val="center"/>
          </w:tcPr>
          <w:p>
            <w:pPr>
              <w:widowControl/>
              <w:spacing w:line="400" w:lineRule="exact"/>
              <w:jc w:val="center"/>
              <w:rPr>
                <w:rFonts w:ascii="宋体" w:hAnsi="宋体" w:cs="宋体"/>
                <w:b/>
                <w:bCs/>
                <w:color w:val="FFFFFF"/>
                <w:kern w:val="0"/>
                <w:sz w:val="18"/>
                <w:szCs w:val="18"/>
              </w:rPr>
            </w:pPr>
            <w:r>
              <w:rPr>
                <w:rFonts w:hint="eastAsia" w:ascii="宋体" w:hAnsi="宋体" w:cs="宋体"/>
                <w:b/>
                <w:bCs/>
                <w:color w:val="FFFFFF"/>
                <w:kern w:val="0"/>
                <w:sz w:val="18"/>
                <w:szCs w:val="18"/>
              </w:rPr>
              <w:t>第一类</w:t>
            </w:r>
          </w:p>
        </w:tc>
        <w:tc>
          <w:tcPr>
            <w:tcW w:w="4272" w:type="dxa"/>
            <w:tcBorders>
              <w:top w:val="single" w:color="auto" w:sz="4" w:space="0"/>
              <w:left w:val="nil"/>
              <w:bottom w:val="single" w:color="auto" w:sz="4" w:space="0"/>
              <w:right w:val="single" w:color="auto" w:sz="4" w:space="0"/>
            </w:tcBorders>
            <w:shd w:val="clear" w:color="000000" w:fill="305496"/>
            <w:vAlign w:val="center"/>
          </w:tcPr>
          <w:p>
            <w:pPr>
              <w:widowControl/>
              <w:spacing w:line="400" w:lineRule="exact"/>
              <w:jc w:val="center"/>
              <w:rPr>
                <w:rFonts w:ascii="宋体" w:hAnsi="宋体" w:cs="宋体"/>
                <w:b/>
                <w:bCs/>
                <w:color w:val="FFFFFF"/>
                <w:kern w:val="0"/>
                <w:sz w:val="18"/>
                <w:szCs w:val="18"/>
              </w:rPr>
            </w:pPr>
            <w:r>
              <w:rPr>
                <w:rFonts w:hint="eastAsia" w:ascii="宋体" w:hAnsi="宋体" w:cs="宋体"/>
                <w:b/>
                <w:bCs/>
                <w:color w:val="FFFFFF"/>
                <w:kern w:val="0"/>
                <w:sz w:val="18"/>
                <w:szCs w:val="18"/>
              </w:rPr>
              <w:t>普查项目</w:t>
            </w:r>
          </w:p>
        </w:tc>
        <w:tc>
          <w:tcPr>
            <w:tcW w:w="738" w:type="dxa"/>
            <w:tcBorders>
              <w:top w:val="single" w:color="auto" w:sz="4" w:space="0"/>
              <w:left w:val="nil"/>
              <w:bottom w:val="single" w:color="auto" w:sz="4" w:space="0"/>
              <w:right w:val="single" w:color="auto" w:sz="4" w:space="0"/>
            </w:tcBorders>
            <w:shd w:val="clear" w:color="000000" w:fill="305496"/>
            <w:vAlign w:val="center"/>
          </w:tcPr>
          <w:p>
            <w:pPr>
              <w:widowControl/>
              <w:spacing w:line="400" w:lineRule="exact"/>
              <w:jc w:val="center"/>
              <w:rPr>
                <w:rFonts w:ascii="宋体" w:hAnsi="宋体" w:cs="宋体"/>
                <w:b/>
                <w:bCs/>
                <w:color w:val="FFFFFF"/>
                <w:kern w:val="0"/>
                <w:sz w:val="18"/>
                <w:szCs w:val="18"/>
              </w:rPr>
            </w:pPr>
            <w:r>
              <w:rPr>
                <w:rFonts w:hint="eastAsia" w:ascii="宋体" w:hAnsi="宋体" w:cs="宋体"/>
                <w:b/>
                <w:bCs/>
                <w:color w:val="FFFFFF"/>
                <w:kern w:val="0"/>
                <w:sz w:val="18"/>
                <w:szCs w:val="18"/>
              </w:rPr>
              <w:t>男</w:t>
            </w:r>
          </w:p>
        </w:tc>
        <w:tc>
          <w:tcPr>
            <w:tcW w:w="850" w:type="dxa"/>
            <w:tcBorders>
              <w:top w:val="single" w:color="auto" w:sz="4" w:space="0"/>
              <w:left w:val="nil"/>
              <w:bottom w:val="single" w:color="auto" w:sz="4" w:space="0"/>
              <w:right w:val="single" w:color="auto" w:sz="4" w:space="0"/>
            </w:tcBorders>
            <w:shd w:val="clear" w:color="000000" w:fill="305496"/>
            <w:vAlign w:val="center"/>
          </w:tcPr>
          <w:p>
            <w:pPr>
              <w:widowControl/>
              <w:spacing w:line="400" w:lineRule="exact"/>
              <w:jc w:val="center"/>
              <w:rPr>
                <w:rFonts w:ascii="宋体" w:hAnsi="宋体" w:cs="宋体"/>
                <w:b/>
                <w:bCs/>
                <w:color w:val="FFFFFF"/>
                <w:kern w:val="0"/>
                <w:sz w:val="18"/>
                <w:szCs w:val="18"/>
              </w:rPr>
            </w:pPr>
            <w:r>
              <w:rPr>
                <w:rFonts w:hint="eastAsia" w:ascii="宋体" w:hAnsi="宋体" w:cs="宋体"/>
                <w:b/>
                <w:bCs/>
                <w:color w:val="FFFFFF"/>
                <w:kern w:val="0"/>
                <w:sz w:val="18"/>
                <w:szCs w:val="18"/>
              </w:rPr>
              <w:t>女未婚</w:t>
            </w:r>
          </w:p>
        </w:tc>
        <w:tc>
          <w:tcPr>
            <w:tcW w:w="851" w:type="dxa"/>
            <w:tcBorders>
              <w:top w:val="single" w:color="auto" w:sz="4" w:space="0"/>
              <w:left w:val="nil"/>
              <w:bottom w:val="single" w:color="auto" w:sz="4" w:space="0"/>
              <w:right w:val="single" w:color="auto" w:sz="4" w:space="0"/>
            </w:tcBorders>
            <w:shd w:val="clear" w:color="000000" w:fill="305496"/>
            <w:vAlign w:val="center"/>
          </w:tcPr>
          <w:p>
            <w:pPr>
              <w:widowControl/>
              <w:spacing w:line="400" w:lineRule="exact"/>
              <w:jc w:val="center"/>
              <w:rPr>
                <w:rFonts w:ascii="宋体" w:hAnsi="宋体" w:cs="宋体"/>
                <w:b/>
                <w:bCs/>
                <w:color w:val="FFFFFF"/>
                <w:kern w:val="0"/>
                <w:sz w:val="18"/>
                <w:szCs w:val="18"/>
              </w:rPr>
            </w:pPr>
            <w:r>
              <w:rPr>
                <w:rFonts w:hint="eastAsia" w:ascii="宋体" w:hAnsi="宋体" w:cs="宋体"/>
                <w:b/>
                <w:bCs/>
                <w:color w:val="FFFFFF"/>
                <w:kern w:val="0"/>
                <w:sz w:val="18"/>
                <w:szCs w:val="18"/>
              </w:rPr>
              <w:t>女已婚</w:t>
            </w:r>
          </w:p>
        </w:tc>
      </w:tr>
      <w:tr>
        <w:tblPrEx>
          <w:tblCellMar>
            <w:top w:w="0" w:type="dxa"/>
            <w:left w:w="108" w:type="dxa"/>
            <w:bottom w:w="0" w:type="dxa"/>
            <w:right w:w="108" w:type="dxa"/>
          </w:tblCellMar>
        </w:tblPrEx>
        <w:trPr>
          <w:trHeight w:val="280" w:hRule="atLeast"/>
        </w:trPr>
        <w:tc>
          <w:tcPr>
            <w:tcW w:w="1960"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一般检查</w:t>
            </w: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身高、体重、血压、体重指数</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w:t>
            </w:r>
          </w:p>
        </w:tc>
      </w:tr>
      <w:tr>
        <w:tblPrEx>
          <w:tblCellMar>
            <w:top w:w="0" w:type="dxa"/>
            <w:left w:w="108" w:type="dxa"/>
            <w:bottom w:w="0" w:type="dxa"/>
            <w:right w:w="108" w:type="dxa"/>
          </w:tblCellMar>
        </w:tblPrEx>
        <w:trPr>
          <w:trHeight w:val="385" w:hRule="atLeast"/>
        </w:trPr>
        <w:tc>
          <w:tcPr>
            <w:tcW w:w="1960"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眼科检查</w:t>
            </w: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外眼及视力+眼底检查</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w:t>
            </w:r>
          </w:p>
        </w:tc>
      </w:tr>
      <w:tr>
        <w:tblPrEx>
          <w:tblCellMar>
            <w:top w:w="0" w:type="dxa"/>
            <w:left w:w="108" w:type="dxa"/>
            <w:bottom w:w="0" w:type="dxa"/>
            <w:right w:w="108" w:type="dxa"/>
          </w:tblCellMar>
        </w:tblPrEx>
        <w:trPr>
          <w:trHeight w:val="469" w:hRule="atLeast"/>
        </w:trPr>
        <w:tc>
          <w:tcPr>
            <w:tcW w:w="1960"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耳鼻咽喉科</w:t>
            </w: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耳鼻咽喉科</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w:t>
            </w:r>
          </w:p>
        </w:tc>
      </w:tr>
      <w:tr>
        <w:tblPrEx>
          <w:tblCellMar>
            <w:top w:w="0" w:type="dxa"/>
            <w:left w:w="108" w:type="dxa"/>
            <w:bottom w:w="0" w:type="dxa"/>
            <w:right w:w="108" w:type="dxa"/>
          </w:tblCellMar>
        </w:tblPrEx>
        <w:trPr>
          <w:trHeight w:val="416" w:hRule="atLeast"/>
        </w:trPr>
        <w:tc>
          <w:tcPr>
            <w:tcW w:w="1960"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内科</w:t>
            </w: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检查心肺、肝脾、腹部等</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w:t>
            </w:r>
          </w:p>
        </w:tc>
      </w:tr>
      <w:tr>
        <w:tblPrEx>
          <w:tblCellMar>
            <w:top w:w="0" w:type="dxa"/>
            <w:left w:w="108" w:type="dxa"/>
            <w:bottom w:w="0" w:type="dxa"/>
            <w:right w:w="108" w:type="dxa"/>
          </w:tblCellMar>
        </w:tblPrEx>
        <w:trPr>
          <w:trHeight w:val="273" w:hRule="atLeast"/>
        </w:trPr>
        <w:tc>
          <w:tcPr>
            <w:tcW w:w="1960"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外科</w:t>
            </w: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皮肤、淋巴结、甲状腺、脊柱、关节、乳腺等</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w:t>
            </w:r>
          </w:p>
        </w:tc>
      </w:tr>
      <w:tr>
        <w:tblPrEx>
          <w:tblCellMar>
            <w:top w:w="0" w:type="dxa"/>
            <w:left w:w="108" w:type="dxa"/>
            <w:bottom w:w="0" w:type="dxa"/>
            <w:right w:w="108" w:type="dxa"/>
          </w:tblCellMar>
        </w:tblPrEx>
        <w:trPr>
          <w:trHeight w:val="285" w:hRule="atLeast"/>
        </w:trPr>
        <w:tc>
          <w:tcPr>
            <w:tcW w:w="1960" w:type="dxa"/>
            <w:tcBorders>
              <w:top w:val="nil"/>
              <w:left w:val="single" w:color="auto" w:sz="4" w:space="0"/>
              <w:bottom w:val="single" w:color="auto" w:sz="4" w:space="0"/>
              <w:right w:val="single" w:color="auto" w:sz="4" w:space="0"/>
            </w:tcBorders>
            <w:shd w:val="clear" w:color="000000" w:fill="305496"/>
            <w:noWrap/>
            <w:vAlign w:val="center"/>
          </w:tcPr>
          <w:p>
            <w:pPr>
              <w:widowControl/>
              <w:spacing w:line="400" w:lineRule="exact"/>
              <w:jc w:val="center"/>
              <w:rPr>
                <w:rFonts w:ascii="宋体" w:hAnsi="宋体" w:cs="宋体"/>
                <w:b/>
                <w:bCs/>
                <w:color w:val="FFFFFF"/>
                <w:kern w:val="0"/>
                <w:sz w:val="18"/>
                <w:szCs w:val="18"/>
              </w:rPr>
            </w:pPr>
            <w:r>
              <w:rPr>
                <w:rFonts w:hint="eastAsia" w:ascii="宋体" w:hAnsi="宋体" w:cs="宋体"/>
                <w:b/>
                <w:bCs/>
                <w:color w:val="FFFFFF"/>
                <w:kern w:val="0"/>
                <w:sz w:val="18"/>
                <w:szCs w:val="18"/>
              </w:rPr>
              <w:t>第二类</w:t>
            </w:r>
          </w:p>
        </w:tc>
        <w:tc>
          <w:tcPr>
            <w:tcW w:w="4272" w:type="dxa"/>
            <w:tcBorders>
              <w:top w:val="nil"/>
              <w:left w:val="nil"/>
              <w:bottom w:val="single" w:color="auto" w:sz="4" w:space="0"/>
              <w:right w:val="single" w:color="auto" w:sz="4" w:space="0"/>
            </w:tcBorders>
            <w:shd w:val="clear" w:color="000000" w:fill="305496"/>
            <w:vAlign w:val="center"/>
          </w:tcPr>
          <w:p>
            <w:pPr>
              <w:widowControl/>
              <w:spacing w:line="400" w:lineRule="exact"/>
              <w:jc w:val="center"/>
              <w:rPr>
                <w:rFonts w:ascii="宋体" w:hAnsi="宋体" w:cs="宋体"/>
                <w:b/>
                <w:bCs/>
                <w:color w:val="FFFFFF"/>
                <w:kern w:val="0"/>
                <w:sz w:val="18"/>
                <w:szCs w:val="18"/>
              </w:rPr>
            </w:pPr>
            <w:r>
              <w:rPr>
                <w:rFonts w:hint="eastAsia" w:ascii="宋体" w:hAnsi="宋体" w:cs="宋体"/>
                <w:b/>
                <w:bCs/>
                <w:color w:val="FFFFFF"/>
                <w:kern w:val="0"/>
                <w:sz w:val="18"/>
                <w:szCs w:val="18"/>
              </w:rPr>
              <w:t>检验项目</w:t>
            </w:r>
          </w:p>
        </w:tc>
        <w:tc>
          <w:tcPr>
            <w:tcW w:w="738" w:type="dxa"/>
            <w:tcBorders>
              <w:top w:val="nil"/>
              <w:left w:val="nil"/>
              <w:bottom w:val="single" w:color="auto" w:sz="4" w:space="0"/>
              <w:right w:val="single" w:color="auto" w:sz="4" w:space="0"/>
            </w:tcBorders>
            <w:shd w:val="clear" w:color="000000" w:fill="305496"/>
            <w:noWrap/>
            <w:vAlign w:val="center"/>
          </w:tcPr>
          <w:p>
            <w:pPr>
              <w:widowControl/>
              <w:spacing w:line="400" w:lineRule="exact"/>
              <w:jc w:val="left"/>
              <w:rPr>
                <w:rFonts w:ascii="宋体" w:hAnsi="宋体" w:cs="宋体"/>
                <w:color w:val="FFFFFF"/>
                <w:kern w:val="0"/>
                <w:sz w:val="18"/>
                <w:szCs w:val="18"/>
              </w:rPr>
            </w:pPr>
            <w:r>
              <w:rPr>
                <w:rFonts w:hint="eastAsia" w:ascii="宋体" w:hAnsi="宋体" w:cs="宋体"/>
                <w:color w:val="FFFFFF"/>
                <w:kern w:val="0"/>
                <w:sz w:val="18"/>
                <w:szCs w:val="18"/>
              </w:rPr>
              <w:t>　</w:t>
            </w:r>
          </w:p>
        </w:tc>
        <w:tc>
          <w:tcPr>
            <w:tcW w:w="850" w:type="dxa"/>
            <w:tcBorders>
              <w:top w:val="nil"/>
              <w:left w:val="nil"/>
              <w:bottom w:val="single" w:color="auto" w:sz="4" w:space="0"/>
              <w:right w:val="single" w:color="auto" w:sz="4" w:space="0"/>
            </w:tcBorders>
            <w:shd w:val="clear" w:color="000000" w:fill="305496"/>
            <w:noWrap/>
            <w:vAlign w:val="center"/>
          </w:tcPr>
          <w:p>
            <w:pPr>
              <w:widowControl/>
              <w:spacing w:line="400" w:lineRule="exact"/>
              <w:jc w:val="left"/>
              <w:rPr>
                <w:rFonts w:ascii="宋体" w:hAnsi="宋体" w:cs="宋体"/>
                <w:color w:val="FFFFFF"/>
                <w:kern w:val="0"/>
                <w:sz w:val="18"/>
                <w:szCs w:val="18"/>
              </w:rPr>
            </w:pPr>
            <w:r>
              <w:rPr>
                <w:rFonts w:hint="eastAsia" w:ascii="宋体" w:hAnsi="宋体" w:cs="宋体"/>
                <w:color w:val="FFFFFF"/>
                <w:kern w:val="0"/>
                <w:sz w:val="18"/>
                <w:szCs w:val="18"/>
              </w:rPr>
              <w:t>　</w:t>
            </w:r>
          </w:p>
        </w:tc>
        <w:tc>
          <w:tcPr>
            <w:tcW w:w="851" w:type="dxa"/>
            <w:tcBorders>
              <w:top w:val="nil"/>
              <w:left w:val="nil"/>
              <w:bottom w:val="single" w:color="auto" w:sz="4" w:space="0"/>
              <w:right w:val="single" w:color="auto" w:sz="4" w:space="0"/>
            </w:tcBorders>
            <w:shd w:val="clear" w:color="000000" w:fill="305496"/>
            <w:noWrap/>
            <w:vAlign w:val="center"/>
          </w:tcPr>
          <w:p>
            <w:pPr>
              <w:widowControl/>
              <w:spacing w:line="400" w:lineRule="exact"/>
              <w:jc w:val="left"/>
              <w:rPr>
                <w:rFonts w:ascii="宋体" w:hAnsi="宋体" w:cs="宋体"/>
                <w:color w:val="FFFFFF"/>
                <w:kern w:val="0"/>
                <w:sz w:val="18"/>
                <w:szCs w:val="18"/>
              </w:rPr>
            </w:pPr>
            <w:r>
              <w:rPr>
                <w:rFonts w:hint="eastAsia" w:ascii="宋体" w:hAnsi="宋体" w:cs="宋体"/>
                <w:color w:val="FFFFFF"/>
                <w:kern w:val="0"/>
                <w:sz w:val="18"/>
                <w:szCs w:val="18"/>
              </w:rPr>
              <w:t>　</w:t>
            </w:r>
          </w:p>
        </w:tc>
      </w:tr>
      <w:tr>
        <w:tblPrEx>
          <w:tblCellMar>
            <w:top w:w="0" w:type="dxa"/>
            <w:left w:w="108" w:type="dxa"/>
            <w:bottom w:w="0" w:type="dxa"/>
            <w:right w:w="108" w:type="dxa"/>
          </w:tblCellMar>
        </w:tblPrEx>
        <w:trPr>
          <w:trHeight w:val="285" w:hRule="atLeast"/>
        </w:trPr>
        <w:tc>
          <w:tcPr>
            <w:tcW w:w="196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尿常规</w:t>
            </w:r>
          </w:p>
        </w:tc>
        <w:tc>
          <w:tcPr>
            <w:tcW w:w="4272"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ascii="等线" w:hAnsi="等线" w:eastAsia="等线" w:cs="宋体"/>
                <w:color w:val="000000"/>
                <w:kern w:val="0"/>
                <w:sz w:val="22"/>
              </w:rPr>
            </w:pPr>
            <w:r>
              <w:rPr>
                <w:rFonts w:hint="eastAsia" w:ascii="等线" w:hAnsi="等线" w:eastAsia="等线" w:cs="宋体"/>
                <w:color w:val="000000"/>
                <w:kern w:val="0"/>
                <w:sz w:val="22"/>
              </w:rPr>
              <w:t>1、隐血</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285"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等线" w:hAnsi="等线" w:eastAsia="等线" w:cs="宋体"/>
                <w:kern w:val="0"/>
                <w:sz w:val="20"/>
                <w:szCs w:val="20"/>
              </w:rPr>
            </w:pPr>
          </w:p>
        </w:tc>
        <w:tc>
          <w:tcPr>
            <w:tcW w:w="4272"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ascii="等线" w:hAnsi="等线" w:eastAsia="等线" w:cs="宋体"/>
                <w:color w:val="000000"/>
                <w:kern w:val="0"/>
                <w:sz w:val="22"/>
              </w:rPr>
            </w:pPr>
            <w:r>
              <w:rPr>
                <w:rFonts w:hint="eastAsia" w:ascii="等线" w:hAnsi="等线" w:eastAsia="等线" w:cs="宋体"/>
                <w:color w:val="000000"/>
                <w:kern w:val="0"/>
                <w:sz w:val="22"/>
              </w:rPr>
              <w:t>2、尿液颜色</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285"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等线" w:hAnsi="等线" w:eastAsia="等线" w:cs="宋体"/>
                <w:kern w:val="0"/>
                <w:sz w:val="20"/>
                <w:szCs w:val="20"/>
              </w:rPr>
            </w:pPr>
          </w:p>
        </w:tc>
        <w:tc>
          <w:tcPr>
            <w:tcW w:w="4272"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ascii="等线" w:hAnsi="等线" w:eastAsia="等线" w:cs="宋体"/>
                <w:color w:val="000000"/>
                <w:kern w:val="0"/>
                <w:sz w:val="22"/>
              </w:rPr>
            </w:pPr>
            <w:r>
              <w:rPr>
                <w:rFonts w:hint="eastAsia" w:ascii="等线" w:hAnsi="等线" w:eastAsia="等线" w:cs="宋体"/>
                <w:color w:val="000000"/>
                <w:kern w:val="0"/>
                <w:sz w:val="22"/>
              </w:rPr>
              <w:t>3、尿酸碱度</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285"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等线" w:hAnsi="等线" w:eastAsia="等线" w:cs="宋体"/>
                <w:kern w:val="0"/>
                <w:sz w:val="20"/>
                <w:szCs w:val="20"/>
              </w:rPr>
            </w:pPr>
          </w:p>
        </w:tc>
        <w:tc>
          <w:tcPr>
            <w:tcW w:w="4272"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ascii="等线" w:hAnsi="等线" w:eastAsia="等线" w:cs="宋体"/>
                <w:color w:val="000000"/>
                <w:kern w:val="0"/>
                <w:sz w:val="22"/>
              </w:rPr>
            </w:pPr>
            <w:r>
              <w:rPr>
                <w:rFonts w:hint="eastAsia" w:ascii="等线" w:hAnsi="等线" w:eastAsia="等线" w:cs="宋体"/>
                <w:color w:val="000000"/>
                <w:kern w:val="0"/>
                <w:sz w:val="22"/>
              </w:rPr>
              <w:t>4、尿液结晶</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285"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等线" w:hAnsi="等线" w:eastAsia="等线" w:cs="宋体"/>
                <w:kern w:val="0"/>
                <w:sz w:val="20"/>
                <w:szCs w:val="20"/>
              </w:rPr>
            </w:pPr>
          </w:p>
        </w:tc>
        <w:tc>
          <w:tcPr>
            <w:tcW w:w="4272"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ascii="等线" w:hAnsi="等线" w:eastAsia="等线" w:cs="宋体"/>
                <w:color w:val="000000"/>
                <w:kern w:val="0"/>
                <w:sz w:val="22"/>
              </w:rPr>
            </w:pPr>
            <w:r>
              <w:rPr>
                <w:rFonts w:hint="eastAsia" w:ascii="等线" w:hAnsi="等线" w:eastAsia="等线" w:cs="宋体"/>
                <w:color w:val="000000"/>
                <w:kern w:val="0"/>
                <w:sz w:val="22"/>
              </w:rPr>
              <w:t>5、尿亚硝酸盐</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285"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等线" w:hAnsi="等线" w:eastAsia="等线" w:cs="宋体"/>
                <w:kern w:val="0"/>
                <w:sz w:val="20"/>
                <w:szCs w:val="20"/>
              </w:rPr>
            </w:pPr>
          </w:p>
        </w:tc>
        <w:tc>
          <w:tcPr>
            <w:tcW w:w="4272"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ascii="等线" w:hAnsi="等线" w:eastAsia="等线" w:cs="宋体"/>
                <w:color w:val="000000"/>
                <w:kern w:val="0"/>
                <w:sz w:val="22"/>
              </w:rPr>
            </w:pPr>
            <w:r>
              <w:rPr>
                <w:rFonts w:hint="eastAsia" w:ascii="等线" w:hAnsi="等线" w:eastAsia="等线" w:cs="宋体"/>
                <w:color w:val="000000"/>
                <w:kern w:val="0"/>
                <w:sz w:val="22"/>
              </w:rPr>
              <w:t>6、尿葡萄糖</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285"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等线" w:hAnsi="等线" w:eastAsia="等线" w:cs="宋体"/>
                <w:kern w:val="0"/>
                <w:sz w:val="20"/>
                <w:szCs w:val="20"/>
              </w:rPr>
            </w:pPr>
          </w:p>
        </w:tc>
        <w:tc>
          <w:tcPr>
            <w:tcW w:w="4272"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ascii="等线" w:hAnsi="等线" w:eastAsia="等线" w:cs="宋体"/>
                <w:color w:val="000000"/>
                <w:kern w:val="0"/>
                <w:sz w:val="22"/>
              </w:rPr>
            </w:pPr>
            <w:r>
              <w:rPr>
                <w:rFonts w:hint="eastAsia" w:ascii="等线" w:hAnsi="等线" w:eastAsia="等线" w:cs="宋体"/>
                <w:color w:val="000000"/>
                <w:kern w:val="0"/>
                <w:sz w:val="22"/>
              </w:rPr>
              <w:t>7、尿比重</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285"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等线" w:hAnsi="等线" w:eastAsia="等线" w:cs="宋体"/>
                <w:kern w:val="0"/>
                <w:sz w:val="20"/>
                <w:szCs w:val="20"/>
              </w:rPr>
            </w:pPr>
          </w:p>
        </w:tc>
        <w:tc>
          <w:tcPr>
            <w:tcW w:w="4272"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ascii="等线" w:hAnsi="等线" w:eastAsia="等线" w:cs="宋体"/>
                <w:color w:val="000000"/>
                <w:kern w:val="0"/>
                <w:sz w:val="22"/>
              </w:rPr>
            </w:pPr>
            <w:r>
              <w:rPr>
                <w:rFonts w:hint="eastAsia" w:ascii="等线" w:hAnsi="等线" w:eastAsia="等线" w:cs="宋体"/>
                <w:color w:val="000000"/>
                <w:kern w:val="0"/>
                <w:sz w:val="22"/>
              </w:rPr>
              <w:t>8、尿液透明度</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285"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等线" w:hAnsi="等线" w:eastAsia="等线" w:cs="宋体"/>
                <w:kern w:val="0"/>
                <w:sz w:val="20"/>
                <w:szCs w:val="20"/>
              </w:rPr>
            </w:pPr>
          </w:p>
        </w:tc>
        <w:tc>
          <w:tcPr>
            <w:tcW w:w="4272"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ascii="等线" w:hAnsi="等线" w:eastAsia="等线" w:cs="宋体"/>
                <w:color w:val="000000"/>
                <w:kern w:val="0"/>
                <w:sz w:val="22"/>
              </w:rPr>
            </w:pPr>
            <w:r>
              <w:rPr>
                <w:rFonts w:hint="eastAsia" w:ascii="等线" w:hAnsi="等线" w:eastAsia="等线" w:cs="宋体"/>
                <w:color w:val="000000"/>
                <w:kern w:val="0"/>
                <w:sz w:val="22"/>
              </w:rPr>
              <w:t>9、尿蛋白质</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285"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等线" w:hAnsi="等线" w:eastAsia="等线" w:cs="宋体"/>
                <w:kern w:val="0"/>
                <w:sz w:val="20"/>
                <w:szCs w:val="20"/>
              </w:rPr>
            </w:pPr>
          </w:p>
        </w:tc>
        <w:tc>
          <w:tcPr>
            <w:tcW w:w="4272"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ascii="等线" w:hAnsi="等线" w:eastAsia="等线" w:cs="宋体"/>
                <w:color w:val="000000"/>
                <w:kern w:val="0"/>
                <w:sz w:val="22"/>
              </w:rPr>
            </w:pPr>
            <w:r>
              <w:rPr>
                <w:rFonts w:hint="eastAsia" w:ascii="等线" w:hAnsi="等线" w:eastAsia="等线" w:cs="宋体"/>
                <w:color w:val="000000"/>
                <w:kern w:val="0"/>
                <w:sz w:val="22"/>
              </w:rPr>
              <w:t>10、尿胆红素</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285"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等线" w:hAnsi="等线" w:eastAsia="等线" w:cs="宋体"/>
                <w:kern w:val="0"/>
                <w:sz w:val="20"/>
                <w:szCs w:val="20"/>
              </w:rPr>
            </w:pPr>
          </w:p>
        </w:tc>
        <w:tc>
          <w:tcPr>
            <w:tcW w:w="4272"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ascii="等线" w:hAnsi="等线" w:eastAsia="等线" w:cs="宋体"/>
                <w:color w:val="000000"/>
                <w:kern w:val="0"/>
                <w:sz w:val="22"/>
              </w:rPr>
            </w:pPr>
            <w:r>
              <w:rPr>
                <w:rFonts w:hint="eastAsia" w:ascii="等线" w:hAnsi="等线" w:eastAsia="等线" w:cs="宋体"/>
                <w:color w:val="000000"/>
                <w:kern w:val="0"/>
                <w:sz w:val="22"/>
              </w:rPr>
              <w:t>11、尿胆原</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285"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等线" w:hAnsi="等线" w:eastAsia="等线" w:cs="宋体"/>
                <w:kern w:val="0"/>
                <w:sz w:val="20"/>
                <w:szCs w:val="20"/>
              </w:rPr>
            </w:pPr>
          </w:p>
        </w:tc>
        <w:tc>
          <w:tcPr>
            <w:tcW w:w="4272"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ascii="等线" w:hAnsi="等线" w:eastAsia="等线" w:cs="宋体"/>
                <w:color w:val="000000"/>
                <w:kern w:val="0"/>
                <w:sz w:val="22"/>
              </w:rPr>
            </w:pPr>
            <w:r>
              <w:rPr>
                <w:rFonts w:hint="eastAsia" w:ascii="等线" w:hAnsi="等线" w:eastAsia="等线" w:cs="宋体"/>
                <w:color w:val="000000"/>
                <w:kern w:val="0"/>
                <w:sz w:val="22"/>
              </w:rPr>
              <w:t>12、尿酮体</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285"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等线" w:hAnsi="等线" w:eastAsia="等线" w:cs="宋体"/>
                <w:kern w:val="0"/>
                <w:sz w:val="20"/>
                <w:szCs w:val="20"/>
              </w:rPr>
            </w:pPr>
          </w:p>
        </w:tc>
        <w:tc>
          <w:tcPr>
            <w:tcW w:w="4272"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ascii="等线" w:hAnsi="等线" w:eastAsia="等线" w:cs="宋体"/>
                <w:color w:val="000000"/>
                <w:kern w:val="0"/>
                <w:sz w:val="22"/>
              </w:rPr>
            </w:pPr>
            <w:r>
              <w:rPr>
                <w:rFonts w:hint="eastAsia" w:ascii="等线" w:hAnsi="等线" w:eastAsia="等线" w:cs="宋体"/>
                <w:color w:val="000000"/>
                <w:kern w:val="0"/>
                <w:sz w:val="22"/>
              </w:rPr>
              <w:t>13、尿白细胞</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285"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等线" w:hAnsi="等线" w:eastAsia="等线" w:cs="宋体"/>
                <w:kern w:val="0"/>
                <w:sz w:val="20"/>
                <w:szCs w:val="20"/>
              </w:rPr>
            </w:pPr>
          </w:p>
        </w:tc>
        <w:tc>
          <w:tcPr>
            <w:tcW w:w="4272"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ascii="等线" w:hAnsi="等线" w:eastAsia="等线" w:cs="宋体"/>
                <w:color w:val="000000"/>
                <w:kern w:val="0"/>
                <w:sz w:val="22"/>
              </w:rPr>
            </w:pPr>
            <w:r>
              <w:rPr>
                <w:rFonts w:hint="eastAsia" w:ascii="等线" w:hAnsi="等线" w:eastAsia="等线" w:cs="宋体"/>
                <w:color w:val="000000"/>
                <w:kern w:val="0"/>
                <w:sz w:val="22"/>
              </w:rPr>
              <w:t>14、尿白细胞镜检</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285"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等线" w:hAnsi="等线" w:eastAsia="等线" w:cs="宋体"/>
                <w:kern w:val="0"/>
                <w:sz w:val="20"/>
                <w:szCs w:val="20"/>
              </w:rPr>
            </w:pPr>
          </w:p>
        </w:tc>
        <w:tc>
          <w:tcPr>
            <w:tcW w:w="4272"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ascii="等线" w:hAnsi="等线" w:eastAsia="等线" w:cs="宋体"/>
                <w:color w:val="000000"/>
                <w:kern w:val="0"/>
                <w:sz w:val="22"/>
              </w:rPr>
            </w:pPr>
            <w:r>
              <w:rPr>
                <w:rFonts w:hint="eastAsia" w:ascii="等线" w:hAnsi="等线" w:eastAsia="等线" w:cs="宋体"/>
                <w:color w:val="000000"/>
                <w:kern w:val="0"/>
                <w:sz w:val="22"/>
              </w:rPr>
              <w:t>15、尿红细胞镜检</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285"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等线" w:hAnsi="等线" w:eastAsia="等线" w:cs="宋体"/>
                <w:kern w:val="0"/>
                <w:sz w:val="20"/>
                <w:szCs w:val="20"/>
              </w:rPr>
            </w:pPr>
          </w:p>
        </w:tc>
        <w:tc>
          <w:tcPr>
            <w:tcW w:w="4272"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ascii="等线" w:hAnsi="等线" w:eastAsia="等线" w:cs="宋体"/>
                <w:color w:val="000000"/>
                <w:kern w:val="0"/>
                <w:sz w:val="22"/>
              </w:rPr>
            </w:pPr>
            <w:r>
              <w:rPr>
                <w:rFonts w:hint="eastAsia" w:ascii="等线" w:hAnsi="等线" w:eastAsia="等线" w:cs="宋体"/>
                <w:color w:val="000000"/>
                <w:kern w:val="0"/>
                <w:sz w:val="22"/>
              </w:rPr>
              <w:t>16、镜检其它</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285"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等线" w:hAnsi="等线" w:eastAsia="等线" w:cs="宋体"/>
                <w:kern w:val="0"/>
                <w:sz w:val="20"/>
                <w:szCs w:val="20"/>
              </w:rPr>
            </w:pPr>
          </w:p>
        </w:tc>
        <w:tc>
          <w:tcPr>
            <w:tcW w:w="4272"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ascii="等线" w:hAnsi="等线" w:eastAsia="等线" w:cs="宋体"/>
                <w:color w:val="000000"/>
                <w:kern w:val="0"/>
                <w:sz w:val="22"/>
              </w:rPr>
            </w:pPr>
            <w:r>
              <w:rPr>
                <w:rFonts w:hint="eastAsia" w:ascii="等线" w:hAnsi="等线" w:eastAsia="等线" w:cs="宋体"/>
                <w:color w:val="000000"/>
                <w:kern w:val="0"/>
                <w:sz w:val="22"/>
              </w:rPr>
              <w:t>17、尿液管型</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285" w:hRule="atLeast"/>
        </w:trPr>
        <w:tc>
          <w:tcPr>
            <w:tcW w:w="196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血常规</w:t>
            </w: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kern w:val="0"/>
                <w:sz w:val="20"/>
                <w:szCs w:val="20"/>
              </w:rPr>
            </w:pPr>
            <w:r>
              <w:rPr>
                <w:rFonts w:hint="eastAsia" w:ascii="等线" w:hAnsi="等线" w:eastAsia="等线" w:cs="宋体"/>
                <w:kern w:val="0"/>
                <w:sz w:val="20"/>
                <w:szCs w:val="20"/>
              </w:rPr>
              <w:t>1、血小板</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285"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等线" w:hAnsi="等线" w:eastAsia="等线" w:cs="宋体"/>
                <w:kern w:val="0"/>
                <w:sz w:val="20"/>
                <w:szCs w:val="20"/>
              </w:rPr>
            </w:pP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kern w:val="0"/>
                <w:sz w:val="20"/>
                <w:szCs w:val="20"/>
              </w:rPr>
            </w:pPr>
            <w:r>
              <w:rPr>
                <w:rFonts w:hint="eastAsia" w:ascii="等线" w:hAnsi="等线" w:eastAsia="等线" w:cs="宋体"/>
                <w:kern w:val="0"/>
                <w:sz w:val="20"/>
                <w:szCs w:val="20"/>
              </w:rPr>
              <w:t>2、血小板分布宽度</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285"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等线" w:hAnsi="等线" w:eastAsia="等线" w:cs="宋体"/>
                <w:kern w:val="0"/>
                <w:sz w:val="20"/>
                <w:szCs w:val="20"/>
              </w:rPr>
            </w:pP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kern w:val="0"/>
                <w:sz w:val="20"/>
                <w:szCs w:val="20"/>
              </w:rPr>
            </w:pPr>
            <w:r>
              <w:rPr>
                <w:rFonts w:hint="eastAsia" w:ascii="等线" w:hAnsi="等线" w:eastAsia="等线" w:cs="宋体"/>
                <w:kern w:val="0"/>
                <w:sz w:val="20"/>
                <w:szCs w:val="20"/>
              </w:rPr>
              <w:t>3、平均血小板体积</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285"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等线" w:hAnsi="等线" w:eastAsia="等线" w:cs="宋体"/>
                <w:kern w:val="0"/>
                <w:sz w:val="20"/>
                <w:szCs w:val="20"/>
              </w:rPr>
            </w:pP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kern w:val="0"/>
                <w:sz w:val="20"/>
                <w:szCs w:val="20"/>
              </w:rPr>
            </w:pPr>
            <w:r>
              <w:rPr>
                <w:rFonts w:hint="eastAsia" w:ascii="等线" w:hAnsi="等线" w:eastAsia="等线" w:cs="宋体"/>
                <w:kern w:val="0"/>
                <w:sz w:val="20"/>
                <w:szCs w:val="20"/>
              </w:rPr>
              <w:t>4、PCT</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285"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等线" w:hAnsi="等线" w:eastAsia="等线" w:cs="宋体"/>
                <w:kern w:val="0"/>
                <w:sz w:val="20"/>
                <w:szCs w:val="20"/>
              </w:rPr>
            </w:pP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kern w:val="0"/>
                <w:sz w:val="20"/>
                <w:szCs w:val="20"/>
              </w:rPr>
            </w:pPr>
            <w:r>
              <w:rPr>
                <w:rFonts w:hint="eastAsia" w:ascii="等线" w:hAnsi="等线" w:eastAsia="等线" w:cs="宋体"/>
                <w:kern w:val="0"/>
                <w:sz w:val="20"/>
                <w:szCs w:val="20"/>
              </w:rPr>
              <w:t>5、红细胞</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285"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等线" w:hAnsi="等线" w:eastAsia="等线" w:cs="宋体"/>
                <w:kern w:val="0"/>
                <w:sz w:val="20"/>
                <w:szCs w:val="20"/>
              </w:rPr>
            </w:pP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kern w:val="0"/>
                <w:sz w:val="20"/>
                <w:szCs w:val="20"/>
              </w:rPr>
            </w:pPr>
            <w:r>
              <w:rPr>
                <w:rFonts w:hint="eastAsia" w:ascii="等线" w:hAnsi="等线" w:eastAsia="等线" w:cs="宋体"/>
                <w:kern w:val="0"/>
                <w:sz w:val="20"/>
                <w:szCs w:val="20"/>
              </w:rPr>
              <w:t>6、血红蛋白</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285"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等线" w:hAnsi="等线" w:eastAsia="等线" w:cs="宋体"/>
                <w:kern w:val="0"/>
                <w:sz w:val="20"/>
                <w:szCs w:val="20"/>
              </w:rPr>
            </w:pP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kern w:val="0"/>
                <w:sz w:val="20"/>
                <w:szCs w:val="20"/>
              </w:rPr>
            </w:pPr>
            <w:r>
              <w:rPr>
                <w:rFonts w:hint="eastAsia" w:ascii="等线" w:hAnsi="等线" w:eastAsia="等线" w:cs="宋体"/>
                <w:kern w:val="0"/>
                <w:sz w:val="20"/>
                <w:szCs w:val="20"/>
              </w:rPr>
              <w:t>7、红细胞压积</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285"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等线" w:hAnsi="等线" w:eastAsia="等线" w:cs="宋体"/>
                <w:kern w:val="0"/>
                <w:sz w:val="20"/>
                <w:szCs w:val="20"/>
              </w:rPr>
            </w:pP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kern w:val="0"/>
                <w:sz w:val="20"/>
                <w:szCs w:val="20"/>
              </w:rPr>
            </w:pPr>
            <w:r>
              <w:rPr>
                <w:rFonts w:hint="eastAsia" w:ascii="等线" w:hAnsi="等线" w:eastAsia="等线" w:cs="宋体"/>
                <w:kern w:val="0"/>
                <w:sz w:val="20"/>
                <w:szCs w:val="20"/>
              </w:rPr>
              <w:t>8、红细胞平均体积</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285"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等线" w:hAnsi="等线" w:eastAsia="等线" w:cs="宋体"/>
                <w:kern w:val="0"/>
                <w:sz w:val="20"/>
                <w:szCs w:val="20"/>
              </w:rPr>
            </w:pP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kern w:val="0"/>
                <w:sz w:val="20"/>
                <w:szCs w:val="20"/>
              </w:rPr>
            </w:pPr>
            <w:r>
              <w:rPr>
                <w:rFonts w:hint="eastAsia" w:ascii="等线" w:hAnsi="等线" w:eastAsia="等线" w:cs="宋体"/>
                <w:kern w:val="0"/>
                <w:sz w:val="20"/>
                <w:szCs w:val="20"/>
              </w:rPr>
              <w:t>9、平均血红蛋白量</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357"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等线" w:hAnsi="等线" w:eastAsia="等线" w:cs="宋体"/>
                <w:kern w:val="0"/>
                <w:sz w:val="20"/>
                <w:szCs w:val="20"/>
              </w:rPr>
            </w:pP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kern w:val="0"/>
                <w:sz w:val="20"/>
                <w:szCs w:val="20"/>
              </w:rPr>
            </w:pPr>
            <w:r>
              <w:rPr>
                <w:rFonts w:hint="eastAsia" w:ascii="等线" w:hAnsi="等线" w:eastAsia="等线" w:cs="宋体"/>
                <w:kern w:val="0"/>
                <w:sz w:val="20"/>
                <w:szCs w:val="20"/>
              </w:rPr>
              <w:t>10、平均血红蛋白浓度</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265"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等线" w:hAnsi="等线" w:eastAsia="等线" w:cs="宋体"/>
                <w:kern w:val="0"/>
                <w:sz w:val="20"/>
                <w:szCs w:val="20"/>
              </w:rPr>
            </w:pP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kern w:val="0"/>
                <w:sz w:val="20"/>
                <w:szCs w:val="20"/>
              </w:rPr>
            </w:pPr>
            <w:r>
              <w:rPr>
                <w:rFonts w:hint="eastAsia" w:ascii="等线" w:hAnsi="等线" w:eastAsia="等线" w:cs="宋体"/>
                <w:kern w:val="0"/>
                <w:sz w:val="20"/>
                <w:szCs w:val="20"/>
              </w:rPr>
              <w:t>11、红细胞分布宽度标准差SD</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285"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等线" w:hAnsi="等线" w:eastAsia="等线" w:cs="宋体"/>
                <w:kern w:val="0"/>
                <w:sz w:val="20"/>
                <w:szCs w:val="20"/>
              </w:rPr>
            </w:pP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kern w:val="0"/>
                <w:sz w:val="20"/>
                <w:szCs w:val="20"/>
              </w:rPr>
            </w:pPr>
            <w:r>
              <w:rPr>
                <w:rFonts w:hint="eastAsia" w:ascii="等线" w:hAnsi="等线" w:eastAsia="等线" w:cs="宋体"/>
                <w:kern w:val="0"/>
                <w:sz w:val="20"/>
                <w:szCs w:val="20"/>
              </w:rPr>
              <w:t>12、RDW-CV</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285"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等线" w:hAnsi="等线" w:eastAsia="等线" w:cs="宋体"/>
                <w:kern w:val="0"/>
                <w:sz w:val="20"/>
                <w:szCs w:val="20"/>
              </w:rPr>
            </w:pP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kern w:val="0"/>
                <w:sz w:val="20"/>
                <w:szCs w:val="20"/>
              </w:rPr>
            </w:pPr>
            <w:r>
              <w:rPr>
                <w:rFonts w:hint="eastAsia" w:ascii="等线" w:hAnsi="等线" w:eastAsia="等线" w:cs="宋体"/>
                <w:kern w:val="0"/>
                <w:sz w:val="20"/>
                <w:szCs w:val="20"/>
              </w:rPr>
              <w:t>13、白细胞</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285"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等线" w:hAnsi="等线" w:eastAsia="等线" w:cs="宋体"/>
                <w:kern w:val="0"/>
                <w:sz w:val="20"/>
                <w:szCs w:val="20"/>
              </w:rPr>
            </w:pP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kern w:val="0"/>
                <w:sz w:val="20"/>
                <w:szCs w:val="20"/>
              </w:rPr>
            </w:pPr>
            <w:r>
              <w:rPr>
                <w:rFonts w:hint="eastAsia" w:ascii="等线" w:hAnsi="等线" w:eastAsia="等线" w:cs="宋体"/>
                <w:kern w:val="0"/>
                <w:sz w:val="20"/>
                <w:szCs w:val="20"/>
              </w:rPr>
              <w:t>14、中性细胞比率</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285"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等线" w:hAnsi="等线" w:eastAsia="等线" w:cs="宋体"/>
                <w:kern w:val="0"/>
                <w:sz w:val="20"/>
                <w:szCs w:val="20"/>
              </w:rPr>
            </w:pP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kern w:val="0"/>
                <w:sz w:val="20"/>
                <w:szCs w:val="20"/>
              </w:rPr>
            </w:pPr>
            <w:r>
              <w:rPr>
                <w:rFonts w:hint="eastAsia" w:ascii="等线" w:hAnsi="等线" w:eastAsia="等线" w:cs="宋体"/>
                <w:kern w:val="0"/>
                <w:sz w:val="20"/>
                <w:szCs w:val="20"/>
              </w:rPr>
              <w:t>15、淋巴细胞比率</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371"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等线" w:hAnsi="等线" w:eastAsia="等线" w:cs="宋体"/>
                <w:kern w:val="0"/>
                <w:sz w:val="20"/>
                <w:szCs w:val="20"/>
              </w:rPr>
            </w:pP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kern w:val="0"/>
                <w:sz w:val="20"/>
                <w:szCs w:val="20"/>
              </w:rPr>
            </w:pPr>
            <w:r>
              <w:rPr>
                <w:rFonts w:hint="eastAsia" w:ascii="等线" w:hAnsi="等线" w:eastAsia="等线" w:cs="宋体"/>
                <w:kern w:val="0"/>
                <w:sz w:val="20"/>
                <w:szCs w:val="20"/>
              </w:rPr>
              <w:t>16、嗜酸性粒细胞比率</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263"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等线" w:hAnsi="等线" w:eastAsia="等线" w:cs="宋体"/>
                <w:kern w:val="0"/>
                <w:sz w:val="20"/>
                <w:szCs w:val="20"/>
              </w:rPr>
            </w:pP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kern w:val="0"/>
                <w:sz w:val="20"/>
                <w:szCs w:val="20"/>
              </w:rPr>
            </w:pPr>
            <w:r>
              <w:rPr>
                <w:rFonts w:hint="eastAsia" w:ascii="等线" w:hAnsi="等线" w:eastAsia="等线" w:cs="宋体"/>
                <w:kern w:val="0"/>
                <w:sz w:val="20"/>
                <w:szCs w:val="20"/>
              </w:rPr>
              <w:t>17、嗜碱性粒细胞比率</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285"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等线" w:hAnsi="等线" w:eastAsia="等线" w:cs="宋体"/>
                <w:kern w:val="0"/>
                <w:sz w:val="20"/>
                <w:szCs w:val="20"/>
              </w:rPr>
            </w:pP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kern w:val="0"/>
                <w:sz w:val="20"/>
                <w:szCs w:val="20"/>
              </w:rPr>
            </w:pPr>
            <w:r>
              <w:rPr>
                <w:rFonts w:hint="eastAsia" w:ascii="等线" w:hAnsi="等线" w:eastAsia="等线" w:cs="宋体"/>
                <w:kern w:val="0"/>
                <w:sz w:val="20"/>
                <w:szCs w:val="20"/>
              </w:rPr>
              <w:t>18、单核细胞比率</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285"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等线" w:hAnsi="等线" w:eastAsia="等线" w:cs="宋体"/>
                <w:kern w:val="0"/>
                <w:sz w:val="20"/>
                <w:szCs w:val="20"/>
              </w:rPr>
            </w:pP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kern w:val="0"/>
                <w:sz w:val="20"/>
                <w:szCs w:val="20"/>
              </w:rPr>
            </w:pPr>
            <w:r>
              <w:rPr>
                <w:rFonts w:hint="eastAsia" w:ascii="等线" w:hAnsi="等线" w:eastAsia="等线" w:cs="宋体"/>
                <w:kern w:val="0"/>
                <w:sz w:val="20"/>
                <w:szCs w:val="20"/>
              </w:rPr>
              <w:t>19、淋巴细胞数</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285"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等线" w:hAnsi="等线" w:eastAsia="等线" w:cs="宋体"/>
                <w:kern w:val="0"/>
                <w:sz w:val="20"/>
                <w:szCs w:val="20"/>
              </w:rPr>
            </w:pP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kern w:val="0"/>
                <w:sz w:val="20"/>
                <w:szCs w:val="20"/>
              </w:rPr>
            </w:pPr>
            <w:r>
              <w:rPr>
                <w:rFonts w:hint="eastAsia" w:ascii="等线" w:hAnsi="等线" w:eastAsia="等线" w:cs="宋体"/>
                <w:kern w:val="0"/>
                <w:sz w:val="20"/>
                <w:szCs w:val="20"/>
              </w:rPr>
              <w:t>20、嗜酸性粒细胞</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285"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等线" w:hAnsi="等线" w:eastAsia="等线" w:cs="宋体"/>
                <w:kern w:val="0"/>
                <w:sz w:val="20"/>
                <w:szCs w:val="20"/>
              </w:rPr>
            </w:pP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kern w:val="0"/>
                <w:sz w:val="20"/>
                <w:szCs w:val="20"/>
              </w:rPr>
            </w:pPr>
            <w:r>
              <w:rPr>
                <w:rFonts w:hint="eastAsia" w:ascii="等线" w:hAnsi="等线" w:eastAsia="等线" w:cs="宋体"/>
                <w:kern w:val="0"/>
                <w:sz w:val="20"/>
                <w:szCs w:val="20"/>
              </w:rPr>
              <w:t>21、嗜碱性粒细胞</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285"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等线" w:hAnsi="等线" w:eastAsia="等线" w:cs="宋体"/>
                <w:kern w:val="0"/>
                <w:sz w:val="20"/>
                <w:szCs w:val="20"/>
              </w:rPr>
            </w:pP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kern w:val="0"/>
                <w:sz w:val="20"/>
                <w:szCs w:val="20"/>
              </w:rPr>
            </w:pPr>
            <w:r>
              <w:rPr>
                <w:rFonts w:hint="eastAsia" w:ascii="等线" w:hAnsi="等线" w:eastAsia="等线" w:cs="宋体"/>
                <w:kern w:val="0"/>
                <w:sz w:val="20"/>
                <w:szCs w:val="20"/>
              </w:rPr>
              <w:t>22、单核细胞</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285"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等线" w:hAnsi="等线" w:eastAsia="等线" w:cs="宋体"/>
                <w:kern w:val="0"/>
                <w:sz w:val="20"/>
                <w:szCs w:val="20"/>
              </w:rPr>
            </w:pP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kern w:val="0"/>
                <w:sz w:val="20"/>
                <w:szCs w:val="20"/>
              </w:rPr>
            </w:pPr>
            <w:r>
              <w:rPr>
                <w:rFonts w:hint="eastAsia" w:ascii="等线" w:hAnsi="等线" w:eastAsia="等线" w:cs="宋体"/>
                <w:kern w:val="0"/>
                <w:sz w:val="20"/>
                <w:szCs w:val="20"/>
              </w:rPr>
              <w:t>23、中性细胞数</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3150" w:hRule="atLeast"/>
        </w:trPr>
        <w:tc>
          <w:tcPr>
            <w:tcW w:w="1960"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肝功五项</w:t>
            </w: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kern w:val="0"/>
                <w:sz w:val="20"/>
                <w:szCs w:val="20"/>
              </w:rPr>
            </w:pPr>
            <w:r>
              <w:rPr>
                <w:rFonts w:hint="eastAsia" w:ascii="等线" w:hAnsi="等线" w:eastAsia="等线" w:cs="宋体"/>
                <w:kern w:val="0"/>
                <w:sz w:val="20"/>
                <w:szCs w:val="20"/>
              </w:rPr>
              <w:t>丙氨酸氨基转移酶ALT、天门冬氨酸氨基转移酶AST、γ-谷氨酰转肽酶γ-GT、总胆红素TBIL、AST/ALT）</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615" w:hRule="atLeast"/>
        </w:trPr>
        <w:tc>
          <w:tcPr>
            <w:tcW w:w="19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肾功检测</w:t>
            </w: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kern w:val="0"/>
                <w:sz w:val="20"/>
                <w:szCs w:val="20"/>
              </w:rPr>
            </w:pPr>
            <w:r>
              <w:rPr>
                <w:rFonts w:hint="eastAsia" w:ascii="等线" w:hAnsi="等线" w:eastAsia="等线" w:cs="宋体"/>
                <w:kern w:val="0"/>
                <w:sz w:val="20"/>
                <w:szCs w:val="20"/>
              </w:rPr>
              <w:t>1、肌酐CREA</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675"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等线" w:hAnsi="等线" w:eastAsia="等线" w:cs="宋体"/>
                <w:kern w:val="0"/>
                <w:sz w:val="20"/>
                <w:szCs w:val="20"/>
              </w:rPr>
            </w:pP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kern w:val="0"/>
                <w:sz w:val="20"/>
                <w:szCs w:val="20"/>
              </w:rPr>
            </w:pPr>
            <w:r>
              <w:rPr>
                <w:rFonts w:hint="eastAsia" w:ascii="等线" w:hAnsi="等线" w:eastAsia="等线" w:cs="宋体"/>
                <w:kern w:val="0"/>
                <w:sz w:val="20"/>
                <w:szCs w:val="20"/>
              </w:rPr>
              <w:t>2、尿素UR</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900"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等线" w:hAnsi="等线" w:eastAsia="等线" w:cs="宋体"/>
                <w:kern w:val="0"/>
                <w:sz w:val="20"/>
                <w:szCs w:val="20"/>
              </w:rPr>
            </w:pP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kern w:val="0"/>
                <w:sz w:val="20"/>
                <w:szCs w:val="20"/>
              </w:rPr>
            </w:pPr>
            <w:r>
              <w:rPr>
                <w:rFonts w:hint="eastAsia" w:ascii="等线" w:hAnsi="等线" w:eastAsia="等线" w:cs="宋体"/>
                <w:kern w:val="0"/>
                <w:sz w:val="20"/>
                <w:szCs w:val="20"/>
              </w:rPr>
              <w:t>3、尿酸UA</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1530" w:hRule="atLeast"/>
        </w:trPr>
        <w:tc>
          <w:tcPr>
            <w:tcW w:w="1960"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血脂检测</w:t>
            </w: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kern w:val="0"/>
                <w:sz w:val="20"/>
                <w:szCs w:val="20"/>
              </w:rPr>
            </w:pPr>
            <w:r>
              <w:rPr>
                <w:rFonts w:hint="eastAsia" w:ascii="等线" w:hAnsi="等线" w:eastAsia="等线" w:cs="宋体"/>
                <w:kern w:val="0"/>
                <w:sz w:val="20"/>
                <w:szCs w:val="20"/>
              </w:rPr>
              <w:t>血脂五项（甘油三脂TG、总胆固醇CHOL、高密度脂蛋白胆固醇HDL-C、低密度脂蛋白胆固醇LDL-C 动脉硬化指数）</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285" w:hRule="atLeast"/>
        </w:trPr>
        <w:tc>
          <w:tcPr>
            <w:tcW w:w="1960"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血糖检测</w:t>
            </w: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kern w:val="0"/>
                <w:sz w:val="20"/>
                <w:szCs w:val="20"/>
              </w:rPr>
            </w:pPr>
            <w:r>
              <w:rPr>
                <w:rFonts w:hint="eastAsia" w:ascii="等线" w:hAnsi="等线" w:eastAsia="等线" w:cs="宋体"/>
                <w:kern w:val="0"/>
                <w:sz w:val="20"/>
                <w:szCs w:val="20"/>
              </w:rPr>
              <w:t>空腹血糖GLU</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285" w:hRule="atLeast"/>
        </w:trPr>
        <w:tc>
          <w:tcPr>
            <w:tcW w:w="1960"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血糖检测</w:t>
            </w: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kern w:val="0"/>
                <w:sz w:val="20"/>
                <w:szCs w:val="20"/>
              </w:rPr>
            </w:pPr>
            <w:r>
              <w:rPr>
                <w:rFonts w:hint="eastAsia" w:ascii="等线" w:hAnsi="等线" w:eastAsia="等线" w:cs="宋体"/>
                <w:kern w:val="0"/>
                <w:sz w:val="20"/>
                <w:szCs w:val="20"/>
              </w:rPr>
              <w:t>糖化血红蛋白HbA1c</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285" w:hRule="atLeast"/>
        </w:trPr>
        <w:tc>
          <w:tcPr>
            <w:tcW w:w="1960"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肝炎病毒检测</w:t>
            </w: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kern w:val="0"/>
                <w:sz w:val="20"/>
                <w:szCs w:val="20"/>
              </w:rPr>
            </w:pPr>
            <w:r>
              <w:rPr>
                <w:rFonts w:hint="eastAsia" w:ascii="等线" w:hAnsi="等线" w:eastAsia="等线" w:cs="宋体"/>
                <w:kern w:val="0"/>
                <w:sz w:val="20"/>
                <w:szCs w:val="20"/>
              </w:rPr>
              <w:t>乙肝两对半（定性）</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285" w:hRule="atLeast"/>
        </w:trPr>
        <w:tc>
          <w:tcPr>
            <w:tcW w:w="1960"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肿瘤筛查</w:t>
            </w: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kern w:val="0"/>
                <w:sz w:val="20"/>
                <w:szCs w:val="20"/>
              </w:rPr>
            </w:pPr>
            <w:r>
              <w:rPr>
                <w:rFonts w:hint="eastAsia" w:ascii="等线" w:hAnsi="等线" w:eastAsia="等线" w:cs="宋体"/>
                <w:kern w:val="0"/>
                <w:sz w:val="20"/>
                <w:szCs w:val="20"/>
              </w:rPr>
              <w:t>甲胎蛋白AFP</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285" w:hRule="atLeast"/>
        </w:trPr>
        <w:tc>
          <w:tcPr>
            <w:tcW w:w="1960"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肿瘤筛查</w:t>
            </w: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kern w:val="0"/>
                <w:sz w:val="20"/>
                <w:szCs w:val="20"/>
              </w:rPr>
            </w:pPr>
            <w:r>
              <w:rPr>
                <w:rFonts w:hint="eastAsia" w:ascii="等线" w:hAnsi="等线" w:eastAsia="等线" w:cs="宋体"/>
                <w:kern w:val="0"/>
                <w:sz w:val="20"/>
                <w:szCs w:val="20"/>
              </w:rPr>
              <w:t>癌胚抗原CEA</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402" w:hRule="atLeast"/>
        </w:trPr>
        <w:tc>
          <w:tcPr>
            <w:tcW w:w="1960"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肿瘤筛查</w:t>
            </w: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kern w:val="0"/>
                <w:sz w:val="20"/>
                <w:szCs w:val="20"/>
              </w:rPr>
            </w:pPr>
            <w:r>
              <w:rPr>
                <w:rFonts w:hint="eastAsia" w:ascii="等线" w:hAnsi="等线" w:eastAsia="等线" w:cs="宋体"/>
                <w:kern w:val="0"/>
                <w:sz w:val="20"/>
                <w:szCs w:val="20"/>
              </w:rPr>
              <w:t>总前列腺特异性抗原PSA</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　</w:t>
            </w:r>
          </w:p>
        </w:tc>
      </w:tr>
      <w:tr>
        <w:tblPrEx>
          <w:tblCellMar>
            <w:top w:w="0" w:type="dxa"/>
            <w:left w:w="108" w:type="dxa"/>
            <w:bottom w:w="0" w:type="dxa"/>
            <w:right w:w="108" w:type="dxa"/>
          </w:tblCellMar>
        </w:tblPrEx>
        <w:trPr>
          <w:trHeight w:val="408" w:hRule="atLeast"/>
        </w:trPr>
        <w:tc>
          <w:tcPr>
            <w:tcW w:w="1960"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肿瘤筛查</w:t>
            </w: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kern w:val="0"/>
                <w:sz w:val="20"/>
                <w:szCs w:val="20"/>
              </w:rPr>
            </w:pPr>
            <w:r>
              <w:rPr>
                <w:rFonts w:hint="eastAsia" w:ascii="等线" w:hAnsi="等线" w:eastAsia="等线" w:cs="宋体"/>
                <w:kern w:val="0"/>
                <w:sz w:val="20"/>
                <w:szCs w:val="20"/>
              </w:rPr>
              <w:t>FPSA游离前列腺特异性抗原F-PSA（男）</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　</w:t>
            </w:r>
          </w:p>
        </w:tc>
      </w:tr>
      <w:tr>
        <w:tblPrEx>
          <w:tblCellMar>
            <w:top w:w="0" w:type="dxa"/>
            <w:left w:w="108" w:type="dxa"/>
            <w:bottom w:w="0" w:type="dxa"/>
            <w:right w:w="108" w:type="dxa"/>
          </w:tblCellMar>
        </w:tblPrEx>
        <w:trPr>
          <w:trHeight w:val="510" w:hRule="atLeast"/>
        </w:trPr>
        <w:tc>
          <w:tcPr>
            <w:tcW w:w="1960"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肿瘤筛查</w:t>
            </w: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kern w:val="0"/>
                <w:sz w:val="20"/>
                <w:szCs w:val="20"/>
              </w:rPr>
            </w:pPr>
            <w:r>
              <w:rPr>
                <w:rFonts w:hint="eastAsia" w:ascii="等线" w:hAnsi="等线" w:eastAsia="等线" w:cs="宋体"/>
                <w:kern w:val="0"/>
                <w:sz w:val="20"/>
                <w:szCs w:val="20"/>
              </w:rPr>
              <w:t>CA724（胃癌标志物）</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510" w:hRule="atLeast"/>
        </w:trPr>
        <w:tc>
          <w:tcPr>
            <w:tcW w:w="1960"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肿瘤筛查</w:t>
            </w: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kern w:val="0"/>
                <w:sz w:val="20"/>
                <w:szCs w:val="20"/>
              </w:rPr>
            </w:pPr>
            <w:r>
              <w:rPr>
                <w:rFonts w:hint="eastAsia" w:ascii="等线" w:hAnsi="等线" w:eastAsia="等线" w:cs="宋体"/>
                <w:kern w:val="0"/>
                <w:sz w:val="20"/>
                <w:szCs w:val="20"/>
              </w:rPr>
              <w:t>CA125（卵巢癌标志物）</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285" w:hRule="atLeast"/>
        </w:trPr>
        <w:tc>
          <w:tcPr>
            <w:tcW w:w="1960"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肿瘤筛查</w:t>
            </w: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kern w:val="0"/>
                <w:sz w:val="20"/>
                <w:szCs w:val="20"/>
              </w:rPr>
            </w:pPr>
            <w:r>
              <w:rPr>
                <w:rFonts w:hint="eastAsia" w:ascii="等线" w:hAnsi="等线" w:eastAsia="等线" w:cs="宋体"/>
                <w:kern w:val="0"/>
                <w:sz w:val="20"/>
                <w:szCs w:val="20"/>
              </w:rPr>
              <w:t>CA153(乳腺癌标志物)</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510" w:hRule="atLeast"/>
        </w:trPr>
        <w:tc>
          <w:tcPr>
            <w:tcW w:w="1960"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肿瘤筛查</w:t>
            </w: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kern w:val="0"/>
                <w:sz w:val="20"/>
                <w:szCs w:val="20"/>
              </w:rPr>
            </w:pPr>
            <w:r>
              <w:rPr>
                <w:rFonts w:hint="eastAsia" w:ascii="等线" w:hAnsi="等线" w:eastAsia="等线" w:cs="宋体"/>
                <w:kern w:val="0"/>
                <w:sz w:val="20"/>
                <w:szCs w:val="20"/>
              </w:rPr>
              <w:t>CA199(消化系统肿瘤标志物）</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445" w:hRule="atLeast"/>
        </w:trPr>
        <w:tc>
          <w:tcPr>
            <w:tcW w:w="1960"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肿瘤筛查</w:t>
            </w: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kern w:val="0"/>
                <w:sz w:val="20"/>
                <w:szCs w:val="20"/>
              </w:rPr>
            </w:pPr>
            <w:r>
              <w:rPr>
                <w:rFonts w:hint="eastAsia" w:ascii="等线" w:hAnsi="等线" w:eastAsia="等线" w:cs="宋体"/>
                <w:kern w:val="0"/>
                <w:sz w:val="20"/>
                <w:szCs w:val="20"/>
              </w:rPr>
              <w:t>血清铁蛋白</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285" w:hRule="atLeast"/>
        </w:trPr>
        <w:tc>
          <w:tcPr>
            <w:tcW w:w="1960" w:type="dxa"/>
            <w:tcBorders>
              <w:top w:val="nil"/>
              <w:left w:val="single" w:color="auto" w:sz="4" w:space="0"/>
              <w:bottom w:val="single" w:color="auto" w:sz="4" w:space="0"/>
              <w:right w:val="single" w:color="auto" w:sz="4" w:space="0"/>
            </w:tcBorders>
            <w:shd w:val="clear" w:color="000000" w:fill="305496"/>
            <w:noWrap/>
            <w:vAlign w:val="center"/>
          </w:tcPr>
          <w:p>
            <w:pPr>
              <w:widowControl/>
              <w:spacing w:line="400" w:lineRule="exact"/>
              <w:jc w:val="center"/>
              <w:rPr>
                <w:rFonts w:ascii="宋体" w:hAnsi="宋体" w:cs="宋体"/>
                <w:b/>
                <w:bCs/>
                <w:color w:val="FFFFFF"/>
                <w:kern w:val="0"/>
                <w:sz w:val="18"/>
                <w:szCs w:val="18"/>
              </w:rPr>
            </w:pPr>
            <w:r>
              <w:rPr>
                <w:rFonts w:hint="eastAsia" w:ascii="宋体" w:hAnsi="宋体" w:cs="宋体"/>
                <w:b/>
                <w:bCs/>
                <w:color w:val="FFFFFF"/>
                <w:kern w:val="0"/>
                <w:sz w:val="18"/>
                <w:szCs w:val="18"/>
              </w:rPr>
              <w:t>第三类</w:t>
            </w:r>
          </w:p>
        </w:tc>
        <w:tc>
          <w:tcPr>
            <w:tcW w:w="4272" w:type="dxa"/>
            <w:tcBorders>
              <w:top w:val="nil"/>
              <w:left w:val="nil"/>
              <w:bottom w:val="single" w:color="auto" w:sz="4" w:space="0"/>
              <w:right w:val="single" w:color="auto" w:sz="4" w:space="0"/>
            </w:tcBorders>
            <w:shd w:val="clear" w:color="000000" w:fill="305496"/>
            <w:vAlign w:val="center"/>
          </w:tcPr>
          <w:p>
            <w:pPr>
              <w:widowControl/>
              <w:spacing w:line="400" w:lineRule="exact"/>
              <w:jc w:val="center"/>
              <w:rPr>
                <w:rFonts w:ascii="宋体" w:hAnsi="宋体" w:cs="宋体"/>
                <w:b/>
                <w:bCs/>
                <w:color w:val="FFFFFF"/>
                <w:kern w:val="0"/>
                <w:sz w:val="18"/>
                <w:szCs w:val="18"/>
              </w:rPr>
            </w:pPr>
            <w:r>
              <w:rPr>
                <w:rFonts w:hint="eastAsia" w:ascii="宋体" w:hAnsi="宋体" w:cs="宋体"/>
                <w:b/>
                <w:bCs/>
                <w:color w:val="FFFFFF"/>
                <w:kern w:val="0"/>
                <w:sz w:val="18"/>
                <w:szCs w:val="18"/>
              </w:rPr>
              <w:t>影像科项目</w:t>
            </w:r>
          </w:p>
        </w:tc>
        <w:tc>
          <w:tcPr>
            <w:tcW w:w="738" w:type="dxa"/>
            <w:tcBorders>
              <w:top w:val="nil"/>
              <w:left w:val="nil"/>
              <w:bottom w:val="single" w:color="auto" w:sz="4" w:space="0"/>
              <w:right w:val="single" w:color="auto" w:sz="4" w:space="0"/>
            </w:tcBorders>
            <w:shd w:val="clear" w:color="000000" w:fill="305496"/>
            <w:noWrap/>
            <w:vAlign w:val="center"/>
          </w:tcPr>
          <w:p>
            <w:pPr>
              <w:widowControl/>
              <w:spacing w:line="400" w:lineRule="exact"/>
              <w:jc w:val="left"/>
              <w:rPr>
                <w:rFonts w:ascii="宋体" w:hAnsi="宋体" w:cs="宋体"/>
                <w:b/>
                <w:bCs/>
                <w:color w:val="FFFFFF"/>
                <w:kern w:val="0"/>
                <w:sz w:val="18"/>
                <w:szCs w:val="18"/>
              </w:rPr>
            </w:pPr>
            <w:r>
              <w:rPr>
                <w:rFonts w:hint="eastAsia" w:ascii="宋体" w:hAnsi="宋体" w:cs="宋体"/>
                <w:b/>
                <w:bCs/>
                <w:color w:val="FFFFFF"/>
                <w:kern w:val="0"/>
                <w:sz w:val="18"/>
                <w:szCs w:val="18"/>
              </w:rPr>
              <w:t>　</w:t>
            </w:r>
          </w:p>
        </w:tc>
        <w:tc>
          <w:tcPr>
            <w:tcW w:w="850" w:type="dxa"/>
            <w:tcBorders>
              <w:top w:val="nil"/>
              <w:left w:val="nil"/>
              <w:bottom w:val="single" w:color="auto" w:sz="4" w:space="0"/>
              <w:right w:val="single" w:color="auto" w:sz="4" w:space="0"/>
            </w:tcBorders>
            <w:shd w:val="clear" w:color="000000" w:fill="305496"/>
            <w:noWrap/>
            <w:vAlign w:val="center"/>
          </w:tcPr>
          <w:p>
            <w:pPr>
              <w:widowControl/>
              <w:spacing w:line="400" w:lineRule="exact"/>
              <w:jc w:val="left"/>
              <w:rPr>
                <w:rFonts w:ascii="宋体" w:hAnsi="宋体" w:cs="宋体"/>
                <w:b/>
                <w:bCs/>
                <w:color w:val="FFFFFF"/>
                <w:kern w:val="0"/>
                <w:sz w:val="18"/>
                <w:szCs w:val="18"/>
              </w:rPr>
            </w:pPr>
            <w:r>
              <w:rPr>
                <w:rFonts w:hint="eastAsia" w:ascii="宋体" w:hAnsi="宋体" w:cs="宋体"/>
                <w:b/>
                <w:bCs/>
                <w:color w:val="FFFFFF"/>
                <w:kern w:val="0"/>
                <w:sz w:val="18"/>
                <w:szCs w:val="18"/>
              </w:rPr>
              <w:t>　</w:t>
            </w:r>
          </w:p>
        </w:tc>
        <w:tc>
          <w:tcPr>
            <w:tcW w:w="851" w:type="dxa"/>
            <w:tcBorders>
              <w:top w:val="nil"/>
              <w:left w:val="nil"/>
              <w:bottom w:val="single" w:color="auto" w:sz="4" w:space="0"/>
              <w:right w:val="single" w:color="auto" w:sz="4" w:space="0"/>
            </w:tcBorders>
            <w:shd w:val="clear" w:color="000000" w:fill="305496"/>
            <w:noWrap/>
            <w:vAlign w:val="center"/>
          </w:tcPr>
          <w:p>
            <w:pPr>
              <w:widowControl/>
              <w:spacing w:line="400" w:lineRule="exact"/>
              <w:jc w:val="left"/>
              <w:rPr>
                <w:rFonts w:ascii="宋体" w:hAnsi="宋体" w:cs="宋体"/>
                <w:b/>
                <w:bCs/>
                <w:color w:val="FFFFFF"/>
                <w:kern w:val="0"/>
                <w:sz w:val="18"/>
                <w:szCs w:val="18"/>
              </w:rPr>
            </w:pPr>
            <w:r>
              <w:rPr>
                <w:rFonts w:hint="eastAsia" w:ascii="宋体" w:hAnsi="宋体" w:cs="宋体"/>
                <w:b/>
                <w:bCs/>
                <w:color w:val="FFFFFF"/>
                <w:kern w:val="0"/>
                <w:sz w:val="18"/>
                <w:szCs w:val="18"/>
              </w:rPr>
              <w:t>　</w:t>
            </w:r>
          </w:p>
        </w:tc>
      </w:tr>
      <w:tr>
        <w:tblPrEx>
          <w:tblCellMar>
            <w:top w:w="0" w:type="dxa"/>
            <w:left w:w="108" w:type="dxa"/>
            <w:bottom w:w="0" w:type="dxa"/>
            <w:right w:w="108" w:type="dxa"/>
          </w:tblCellMar>
        </w:tblPrEx>
        <w:trPr>
          <w:trHeight w:val="510" w:hRule="atLeast"/>
        </w:trPr>
        <w:tc>
          <w:tcPr>
            <w:tcW w:w="1960"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彩超检查</w:t>
            </w: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彩超（肝胆胰脾双肾）</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w:t>
            </w:r>
          </w:p>
        </w:tc>
      </w:tr>
      <w:tr>
        <w:tblPrEx>
          <w:tblCellMar>
            <w:top w:w="0" w:type="dxa"/>
            <w:left w:w="108" w:type="dxa"/>
            <w:bottom w:w="0" w:type="dxa"/>
            <w:right w:w="108" w:type="dxa"/>
          </w:tblCellMar>
        </w:tblPrEx>
        <w:trPr>
          <w:trHeight w:val="510" w:hRule="atLeast"/>
        </w:trPr>
        <w:tc>
          <w:tcPr>
            <w:tcW w:w="1960"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彩超检查</w:t>
            </w: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彩超（双侧乳腺）（女）</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w:t>
            </w:r>
          </w:p>
        </w:tc>
      </w:tr>
      <w:tr>
        <w:tblPrEx>
          <w:tblCellMar>
            <w:top w:w="0" w:type="dxa"/>
            <w:left w:w="108" w:type="dxa"/>
            <w:bottom w:w="0" w:type="dxa"/>
            <w:right w:w="108" w:type="dxa"/>
          </w:tblCellMar>
        </w:tblPrEx>
        <w:trPr>
          <w:trHeight w:val="510" w:hRule="atLeast"/>
        </w:trPr>
        <w:tc>
          <w:tcPr>
            <w:tcW w:w="1960"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彩超检查</w:t>
            </w: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彩超（经腹子宫及双侧附件）（女）</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CellMar>
            <w:top w:w="0" w:type="dxa"/>
            <w:left w:w="108" w:type="dxa"/>
            <w:bottom w:w="0" w:type="dxa"/>
            <w:right w:w="108" w:type="dxa"/>
          </w:tblCellMar>
        </w:tblPrEx>
        <w:trPr>
          <w:trHeight w:val="510" w:hRule="atLeast"/>
        </w:trPr>
        <w:tc>
          <w:tcPr>
            <w:tcW w:w="1960"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彩超检查</w:t>
            </w: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彩超（阴式子宫附件）（女已婚）</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w:t>
            </w:r>
          </w:p>
        </w:tc>
      </w:tr>
      <w:tr>
        <w:tblPrEx>
          <w:tblCellMar>
            <w:top w:w="0" w:type="dxa"/>
            <w:left w:w="108" w:type="dxa"/>
            <w:bottom w:w="0" w:type="dxa"/>
            <w:right w:w="108" w:type="dxa"/>
          </w:tblCellMar>
        </w:tblPrEx>
        <w:trPr>
          <w:trHeight w:val="735" w:hRule="atLeast"/>
        </w:trPr>
        <w:tc>
          <w:tcPr>
            <w:tcW w:w="1960"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彩超检查</w:t>
            </w: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彩超（前列腺）</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r>
      <w:tr>
        <w:tblPrEx>
          <w:tblCellMar>
            <w:top w:w="0" w:type="dxa"/>
            <w:left w:w="108" w:type="dxa"/>
            <w:bottom w:w="0" w:type="dxa"/>
            <w:right w:w="108" w:type="dxa"/>
          </w:tblCellMar>
        </w:tblPrEx>
        <w:trPr>
          <w:trHeight w:val="285" w:hRule="atLeast"/>
        </w:trPr>
        <w:tc>
          <w:tcPr>
            <w:tcW w:w="1960"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彩超检查</w:t>
            </w: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彩超（甲状腺）</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w:t>
            </w:r>
          </w:p>
        </w:tc>
      </w:tr>
      <w:tr>
        <w:tblPrEx>
          <w:tblCellMar>
            <w:top w:w="0" w:type="dxa"/>
            <w:left w:w="108" w:type="dxa"/>
            <w:bottom w:w="0" w:type="dxa"/>
            <w:right w:w="108" w:type="dxa"/>
          </w:tblCellMar>
        </w:tblPrEx>
        <w:trPr>
          <w:trHeight w:val="750" w:hRule="atLeast"/>
        </w:trPr>
        <w:tc>
          <w:tcPr>
            <w:tcW w:w="1960"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放射检查</w:t>
            </w: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CT（胸部）</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w:t>
            </w:r>
          </w:p>
        </w:tc>
      </w:tr>
      <w:tr>
        <w:tblPrEx>
          <w:tblCellMar>
            <w:top w:w="0" w:type="dxa"/>
            <w:left w:w="108" w:type="dxa"/>
            <w:bottom w:w="0" w:type="dxa"/>
            <w:right w:w="108" w:type="dxa"/>
          </w:tblCellMar>
        </w:tblPrEx>
        <w:trPr>
          <w:trHeight w:val="285" w:hRule="atLeast"/>
        </w:trPr>
        <w:tc>
          <w:tcPr>
            <w:tcW w:w="1960" w:type="dxa"/>
            <w:tcBorders>
              <w:top w:val="nil"/>
              <w:left w:val="single" w:color="auto" w:sz="4" w:space="0"/>
              <w:bottom w:val="single" w:color="auto" w:sz="4" w:space="0"/>
              <w:right w:val="single" w:color="auto" w:sz="4" w:space="0"/>
            </w:tcBorders>
            <w:shd w:val="clear" w:color="000000" w:fill="305496"/>
            <w:noWrap/>
            <w:vAlign w:val="center"/>
          </w:tcPr>
          <w:p>
            <w:pPr>
              <w:widowControl/>
              <w:spacing w:line="400" w:lineRule="exact"/>
              <w:jc w:val="center"/>
              <w:rPr>
                <w:rFonts w:ascii="宋体" w:hAnsi="宋体" w:cs="宋体"/>
                <w:b/>
                <w:bCs/>
                <w:color w:val="FFFFFF"/>
                <w:kern w:val="0"/>
                <w:sz w:val="18"/>
                <w:szCs w:val="18"/>
              </w:rPr>
            </w:pPr>
            <w:r>
              <w:rPr>
                <w:rFonts w:hint="eastAsia" w:ascii="宋体" w:hAnsi="宋体" w:cs="宋体"/>
                <w:b/>
                <w:bCs/>
                <w:color w:val="FFFFFF"/>
                <w:kern w:val="0"/>
                <w:sz w:val="18"/>
                <w:szCs w:val="18"/>
              </w:rPr>
              <w:t>第四类</w:t>
            </w:r>
          </w:p>
        </w:tc>
        <w:tc>
          <w:tcPr>
            <w:tcW w:w="4272" w:type="dxa"/>
            <w:tcBorders>
              <w:top w:val="nil"/>
              <w:left w:val="nil"/>
              <w:bottom w:val="single" w:color="auto" w:sz="4" w:space="0"/>
              <w:right w:val="single" w:color="auto" w:sz="4" w:space="0"/>
            </w:tcBorders>
            <w:shd w:val="clear" w:color="000000" w:fill="305496"/>
            <w:vAlign w:val="center"/>
          </w:tcPr>
          <w:p>
            <w:pPr>
              <w:widowControl/>
              <w:spacing w:line="400" w:lineRule="exact"/>
              <w:jc w:val="center"/>
              <w:rPr>
                <w:rFonts w:ascii="宋体" w:hAnsi="宋体" w:cs="宋体"/>
                <w:b/>
                <w:bCs/>
                <w:color w:val="FFFFFF"/>
                <w:kern w:val="0"/>
                <w:sz w:val="18"/>
                <w:szCs w:val="18"/>
              </w:rPr>
            </w:pPr>
            <w:r>
              <w:rPr>
                <w:rFonts w:hint="eastAsia" w:ascii="宋体" w:hAnsi="宋体" w:cs="宋体"/>
                <w:b/>
                <w:bCs/>
                <w:color w:val="FFFFFF"/>
                <w:kern w:val="0"/>
                <w:sz w:val="18"/>
                <w:szCs w:val="18"/>
              </w:rPr>
              <w:t>功能科项目</w:t>
            </w:r>
          </w:p>
        </w:tc>
        <w:tc>
          <w:tcPr>
            <w:tcW w:w="738" w:type="dxa"/>
            <w:tcBorders>
              <w:top w:val="nil"/>
              <w:left w:val="nil"/>
              <w:bottom w:val="single" w:color="auto" w:sz="4" w:space="0"/>
              <w:right w:val="single" w:color="auto" w:sz="4" w:space="0"/>
            </w:tcBorders>
            <w:shd w:val="clear" w:color="000000" w:fill="305496"/>
            <w:noWrap/>
            <w:vAlign w:val="center"/>
          </w:tcPr>
          <w:p>
            <w:pPr>
              <w:widowControl/>
              <w:spacing w:line="400" w:lineRule="exact"/>
              <w:jc w:val="left"/>
              <w:rPr>
                <w:rFonts w:ascii="宋体" w:hAnsi="宋体" w:cs="宋体"/>
                <w:b/>
                <w:bCs/>
                <w:color w:val="FFFFFF"/>
                <w:kern w:val="0"/>
                <w:sz w:val="18"/>
                <w:szCs w:val="18"/>
              </w:rPr>
            </w:pPr>
            <w:r>
              <w:rPr>
                <w:rFonts w:hint="eastAsia" w:ascii="宋体" w:hAnsi="宋体" w:cs="宋体"/>
                <w:b/>
                <w:bCs/>
                <w:color w:val="FFFFFF"/>
                <w:kern w:val="0"/>
                <w:sz w:val="18"/>
                <w:szCs w:val="18"/>
              </w:rPr>
              <w:t>　</w:t>
            </w:r>
          </w:p>
        </w:tc>
        <w:tc>
          <w:tcPr>
            <w:tcW w:w="850" w:type="dxa"/>
            <w:tcBorders>
              <w:top w:val="nil"/>
              <w:left w:val="nil"/>
              <w:bottom w:val="single" w:color="auto" w:sz="4" w:space="0"/>
              <w:right w:val="single" w:color="auto" w:sz="4" w:space="0"/>
            </w:tcBorders>
            <w:shd w:val="clear" w:color="000000" w:fill="305496"/>
            <w:noWrap/>
            <w:vAlign w:val="center"/>
          </w:tcPr>
          <w:p>
            <w:pPr>
              <w:widowControl/>
              <w:spacing w:line="400" w:lineRule="exact"/>
              <w:jc w:val="left"/>
              <w:rPr>
                <w:rFonts w:ascii="宋体" w:hAnsi="宋体" w:cs="宋体"/>
                <w:b/>
                <w:bCs/>
                <w:color w:val="FFFFFF"/>
                <w:kern w:val="0"/>
                <w:sz w:val="18"/>
                <w:szCs w:val="18"/>
              </w:rPr>
            </w:pPr>
            <w:r>
              <w:rPr>
                <w:rFonts w:hint="eastAsia" w:ascii="宋体" w:hAnsi="宋体" w:cs="宋体"/>
                <w:b/>
                <w:bCs/>
                <w:color w:val="FFFFFF"/>
                <w:kern w:val="0"/>
                <w:sz w:val="18"/>
                <w:szCs w:val="18"/>
              </w:rPr>
              <w:t>　</w:t>
            </w:r>
          </w:p>
        </w:tc>
        <w:tc>
          <w:tcPr>
            <w:tcW w:w="851" w:type="dxa"/>
            <w:tcBorders>
              <w:top w:val="nil"/>
              <w:left w:val="nil"/>
              <w:bottom w:val="single" w:color="auto" w:sz="4" w:space="0"/>
              <w:right w:val="single" w:color="auto" w:sz="4" w:space="0"/>
            </w:tcBorders>
            <w:shd w:val="clear" w:color="000000" w:fill="305496"/>
            <w:noWrap/>
            <w:vAlign w:val="center"/>
          </w:tcPr>
          <w:p>
            <w:pPr>
              <w:widowControl/>
              <w:spacing w:line="400" w:lineRule="exact"/>
              <w:jc w:val="left"/>
              <w:rPr>
                <w:rFonts w:ascii="宋体" w:hAnsi="宋体" w:cs="宋体"/>
                <w:b/>
                <w:bCs/>
                <w:color w:val="FFFFFF"/>
                <w:kern w:val="0"/>
                <w:sz w:val="18"/>
                <w:szCs w:val="18"/>
              </w:rPr>
            </w:pPr>
            <w:r>
              <w:rPr>
                <w:rFonts w:hint="eastAsia" w:ascii="宋体" w:hAnsi="宋体" w:cs="宋体"/>
                <w:b/>
                <w:bCs/>
                <w:color w:val="FFFFFF"/>
                <w:kern w:val="0"/>
                <w:sz w:val="18"/>
                <w:szCs w:val="18"/>
              </w:rPr>
              <w:t>　</w:t>
            </w:r>
          </w:p>
        </w:tc>
      </w:tr>
      <w:tr>
        <w:tblPrEx>
          <w:tblCellMar>
            <w:top w:w="0" w:type="dxa"/>
            <w:left w:w="108" w:type="dxa"/>
            <w:bottom w:w="0" w:type="dxa"/>
            <w:right w:w="108" w:type="dxa"/>
          </w:tblCellMar>
        </w:tblPrEx>
        <w:trPr>
          <w:trHeight w:val="510" w:hRule="atLeast"/>
        </w:trPr>
        <w:tc>
          <w:tcPr>
            <w:tcW w:w="1960"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功能类检测</w:t>
            </w: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kern w:val="0"/>
                <w:sz w:val="20"/>
                <w:szCs w:val="20"/>
              </w:rPr>
            </w:pPr>
            <w:r>
              <w:rPr>
                <w:rFonts w:hint="eastAsia" w:ascii="等线" w:hAnsi="等线" w:eastAsia="等线" w:cs="宋体"/>
                <w:kern w:val="0"/>
                <w:sz w:val="20"/>
                <w:szCs w:val="20"/>
              </w:rPr>
              <w:t>静态心电图检查（12导联同步）</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r>
        <w:tblPrEx>
          <w:tblCellMar>
            <w:top w:w="0" w:type="dxa"/>
            <w:left w:w="108" w:type="dxa"/>
            <w:bottom w:w="0" w:type="dxa"/>
            <w:right w:w="108" w:type="dxa"/>
          </w:tblCellMar>
        </w:tblPrEx>
        <w:trPr>
          <w:trHeight w:val="285" w:hRule="atLeast"/>
        </w:trPr>
        <w:tc>
          <w:tcPr>
            <w:tcW w:w="1960" w:type="dxa"/>
            <w:tcBorders>
              <w:top w:val="nil"/>
              <w:left w:val="single" w:color="auto" w:sz="4" w:space="0"/>
              <w:bottom w:val="single" w:color="auto" w:sz="4" w:space="0"/>
              <w:right w:val="single" w:color="auto" w:sz="4" w:space="0"/>
            </w:tcBorders>
            <w:shd w:val="clear" w:color="000000" w:fill="305496"/>
            <w:noWrap/>
            <w:vAlign w:val="center"/>
          </w:tcPr>
          <w:p>
            <w:pPr>
              <w:widowControl/>
              <w:spacing w:line="400" w:lineRule="exact"/>
              <w:jc w:val="center"/>
              <w:rPr>
                <w:rFonts w:ascii="宋体" w:hAnsi="宋体" w:cs="宋体"/>
                <w:b/>
                <w:bCs/>
                <w:color w:val="FFFFFF"/>
                <w:kern w:val="0"/>
                <w:sz w:val="18"/>
                <w:szCs w:val="18"/>
              </w:rPr>
            </w:pPr>
            <w:r>
              <w:rPr>
                <w:rFonts w:hint="eastAsia" w:ascii="宋体" w:hAnsi="宋体" w:cs="宋体"/>
                <w:b/>
                <w:bCs/>
                <w:color w:val="FFFFFF"/>
                <w:kern w:val="0"/>
                <w:sz w:val="18"/>
                <w:szCs w:val="18"/>
              </w:rPr>
              <w:t>第五类</w:t>
            </w:r>
          </w:p>
        </w:tc>
        <w:tc>
          <w:tcPr>
            <w:tcW w:w="4272" w:type="dxa"/>
            <w:tcBorders>
              <w:top w:val="nil"/>
              <w:left w:val="nil"/>
              <w:bottom w:val="single" w:color="auto" w:sz="4" w:space="0"/>
              <w:right w:val="single" w:color="auto" w:sz="4" w:space="0"/>
            </w:tcBorders>
            <w:shd w:val="clear" w:color="000000" w:fill="305496"/>
            <w:vAlign w:val="center"/>
          </w:tcPr>
          <w:p>
            <w:pPr>
              <w:widowControl/>
              <w:spacing w:line="400" w:lineRule="exact"/>
              <w:jc w:val="center"/>
              <w:rPr>
                <w:rFonts w:ascii="宋体" w:hAnsi="宋体" w:cs="宋体"/>
                <w:b/>
                <w:bCs/>
                <w:color w:val="FFFFFF"/>
                <w:kern w:val="0"/>
                <w:sz w:val="18"/>
                <w:szCs w:val="18"/>
              </w:rPr>
            </w:pPr>
            <w:r>
              <w:rPr>
                <w:rFonts w:hint="eastAsia" w:ascii="宋体" w:hAnsi="宋体" w:cs="宋体"/>
                <w:b/>
                <w:bCs/>
                <w:color w:val="FFFFFF"/>
                <w:kern w:val="0"/>
                <w:sz w:val="18"/>
                <w:szCs w:val="18"/>
              </w:rPr>
              <w:t>妇科项目</w:t>
            </w:r>
          </w:p>
        </w:tc>
        <w:tc>
          <w:tcPr>
            <w:tcW w:w="738" w:type="dxa"/>
            <w:tcBorders>
              <w:top w:val="nil"/>
              <w:left w:val="nil"/>
              <w:bottom w:val="single" w:color="auto" w:sz="4" w:space="0"/>
              <w:right w:val="single" w:color="auto" w:sz="4" w:space="0"/>
            </w:tcBorders>
            <w:shd w:val="clear" w:color="000000" w:fill="305496"/>
            <w:noWrap/>
            <w:vAlign w:val="center"/>
          </w:tcPr>
          <w:p>
            <w:pPr>
              <w:widowControl/>
              <w:spacing w:line="400" w:lineRule="exact"/>
              <w:jc w:val="left"/>
              <w:rPr>
                <w:rFonts w:ascii="宋体" w:hAnsi="宋体" w:cs="宋体"/>
                <w:b/>
                <w:bCs/>
                <w:color w:val="FFFFFF"/>
                <w:kern w:val="0"/>
                <w:sz w:val="18"/>
                <w:szCs w:val="18"/>
              </w:rPr>
            </w:pPr>
            <w:r>
              <w:rPr>
                <w:rFonts w:hint="eastAsia" w:ascii="宋体" w:hAnsi="宋体" w:cs="宋体"/>
                <w:b/>
                <w:bCs/>
                <w:color w:val="FFFFFF"/>
                <w:kern w:val="0"/>
                <w:sz w:val="18"/>
                <w:szCs w:val="18"/>
              </w:rPr>
              <w:t>　</w:t>
            </w:r>
          </w:p>
        </w:tc>
        <w:tc>
          <w:tcPr>
            <w:tcW w:w="850" w:type="dxa"/>
            <w:tcBorders>
              <w:top w:val="nil"/>
              <w:left w:val="nil"/>
              <w:bottom w:val="single" w:color="auto" w:sz="4" w:space="0"/>
              <w:right w:val="single" w:color="auto" w:sz="4" w:space="0"/>
            </w:tcBorders>
            <w:shd w:val="clear" w:color="000000" w:fill="305496"/>
            <w:noWrap/>
            <w:vAlign w:val="center"/>
          </w:tcPr>
          <w:p>
            <w:pPr>
              <w:widowControl/>
              <w:spacing w:line="400" w:lineRule="exact"/>
              <w:jc w:val="left"/>
              <w:rPr>
                <w:rFonts w:ascii="宋体" w:hAnsi="宋体" w:cs="宋体"/>
                <w:b/>
                <w:bCs/>
                <w:color w:val="FFFFFF"/>
                <w:kern w:val="0"/>
                <w:sz w:val="18"/>
                <w:szCs w:val="18"/>
              </w:rPr>
            </w:pPr>
            <w:r>
              <w:rPr>
                <w:rFonts w:hint="eastAsia" w:ascii="宋体" w:hAnsi="宋体" w:cs="宋体"/>
                <w:b/>
                <w:bCs/>
                <w:color w:val="FFFFFF"/>
                <w:kern w:val="0"/>
                <w:sz w:val="18"/>
                <w:szCs w:val="18"/>
              </w:rPr>
              <w:t>　</w:t>
            </w:r>
          </w:p>
        </w:tc>
        <w:tc>
          <w:tcPr>
            <w:tcW w:w="851" w:type="dxa"/>
            <w:tcBorders>
              <w:top w:val="nil"/>
              <w:left w:val="nil"/>
              <w:bottom w:val="single" w:color="auto" w:sz="4" w:space="0"/>
              <w:right w:val="single" w:color="auto" w:sz="4" w:space="0"/>
            </w:tcBorders>
            <w:shd w:val="clear" w:color="000000" w:fill="305496"/>
            <w:noWrap/>
            <w:vAlign w:val="center"/>
          </w:tcPr>
          <w:p>
            <w:pPr>
              <w:widowControl/>
              <w:spacing w:line="400" w:lineRule="exact"/>
              <w:jc w:val="left"/>
              <w:rPr>
                <w:rFonts w:ascii="宋体" w:hAnsi="宋体" w:cs="宋体"/>
                <w:b/>
                <w:bCs/>
                <w:color w:val="FFFFFF"/>
                <w:kern w:val="0"/>
                <w:sz w:val="18"/>
                <w:szCs w:val="18"/>
              </w:rPr>
            </w:pPr>
            <w:r>
              <w:rPr>
                <w:rFonts w:hint="eastAsia" w:ascii="宋体" w:hAnsi="宋体" w:cs="宋体"/>
                <w:b/>
                <w:bCs/>
                <w:color w:val="FFFFFF"/>
                <w:kern w:val="0"/>
                <w:sz w:val="18"/>
                <w:szCs w:val="18"/>
              </w:rPr>
              <w:t>　</w:t>
            </w:r>
          </w:p>
        </w:tc>
      </w:tr>
      <w:tr>
        <w:tblPrEx>
          <w:tblCellMar>
            <w:top w:w="0" w:type="dxa"/>
            <w:left w:w="108" w:type="dxa"/>
            <w:bottom w:w="0" w:type="dxa"/>
            <w:right w:w="108" w:type="dxa"/>
          </w:tblCellMar>
        </w:tblPrEx>
        <w:trPr>
          <w:trHeight w:val="435" w:hRule="atLeast"/>
        </w:trPr>
        <w:tc>
          <w:tcPr>
            <w:tcW w:w="1960"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妇科检查</w:t>
            </w: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妇科检查</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w:t>
            </w:r>
          </w:p>
        </w:tc>
      </w:tr>
      <w:tr>
        <w:tblPrEx>
          <w:tblCellMar>
            <w:top w:w="0" w:type="dxa"/>
            <w:left w:w="108" w:type="dxa"/>
            <w:bottom w:w="0" w:type="dxa"/>
            <w:right w:w="108" w:type="dxa"/>
          </w:tblCellMar>
        </w:tblPrEx>
        <w:trPr>
          <w:trHeight w:val="540" w:hRule="atLeast"/>
        </w:trPr>
        <w:tc>
          <w:tcPr>
            <w:tcW w:w="1960"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妇科检查</w:t>
            </w: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白带常规  </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w:t>
            </w:r>
          </w:p>
        </w:tc>
      </w:tr>
      <w:tr>
        <w:tblPrEx>
          <w:tblCellMar>
            <w:top w:w="0" w:type="dxa"/>
            <w:left w:w="108" w:type="dxa"/>
            <w:bottom w:w="0" w:type="dxa"/>
            <w:right w:w="108" w:type="dxa"/>
          </w:tblCellMar>
        </w:tblPrEx>
        <w:trPr>
          <w:trHeight w:val="510" w:hRule="atLeast"/>
        </w:trPr>
        <w:tc>
          <w:tcPr>
            <w:tcW w:w="1960"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妇科检查</w:t>
            </w: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TCT薄层液基细胞学检测</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w:t>
            </w:r>
          </w:p>
        </w:tc>
      </w:tr>
      <w:tr>
        <w:tblPrEx>
          <w:tblCellMar>
            <w:top w:w="0" w:type="dxa"/>
            <w:left w:w="108" w:type="dxa"/>
            <w:bottom w:w="0" w:type="dxa"/>
            <w:right w:w="108" w:type="dxa"/>
          </w:tblCellMar>
        </w:tblPrEx>
        <w:trPr>
          <w:trHeight w:val="285" w:hRule="atLeast"/>
        </w:trPr>
        <w:tc>
          <w:tcPr>
            <w:tcW w:w="1960" w:type="dxa"/>
            <w:tcBorders>
              <w:top w:val="nil"/>
              <w:left w:val="single" w:color="auto" w:sz="4" w:space="0"/>
              <w:bottom w:val="single" w:color="auto" w:sz="4" w:space="0"/>
              <w:right w:val="single" w:color="auto" w:sz="4" w:space="0"/>
            </w:tcBorders>
            <w:shd w:val="clear" w:color="000000" w:fill="305496"/>
            <w:noWrap/>
            <w:vAlign w:val="center"/>
          </w:tcPr>
          <w:p>
            <w:pPr>
              <w:widowControl/>
              <w:spacing w:line="400" w:lineRule="exact"/>
              <w:jc w:val="center"/>
              <w:rPr>
                <w:rFonts w:ascii="宋体" w:hAnsi="宋体" w:cs="宋体"/>
                <w:b/>
                <w:bCs/>
                <w:color w:val="FFFFFF"/>
                <w:kern w:val="0"/>
                <w:sz w:val="18"/>
                <w:szCs w:val="18"/>
              </w:rPr>
            </w:pPr>
            <w:r>
              <w:rPr>
                <w:rFonts w:hint="eastAsia" w:ascii="宋体" w:hAnsi="宋体" w:cs="宋体"/>
                <w:b/>
                <w:bCs/>
                <w:color w:val="FFFFFF"/>
                <w:kern w:val="0"/>
                <w:sz w:val="18"/>
                <w:szCs w:val="18"/>
              </w:rPr>
              <w:t>第六类</w:t>
            </w:r>
          </w:p>
        </w:tc>
        <w:tc>
          <w:tcPr>
            <w:tcW w:w="4272" w:type="dxa"/>
            <w:tcBorders>
              <w:top w:val="nil"/>
              <w:left w:val="nil"/>
              <w:bottom w:val="single" w:color="auto" w:sz="4" w:space="0"/>
              <w:right w:val="single" w:color="auto" w:sz="4" w:space="0"/>
            </w:tcBorders>
            <w:shd w:val="clear" w:color="000000" w:fill="305496"/>
            <w:vAlign w:val="center"/>
          </w:tcPr>
          <w:p>
            <w:pPr>
              <w:widowControl/>
              <w:spacing w:line="400" w:lineRule="exact"/>
              <w:jc w:val="center"/>
              <w:rPr>
                <w:rFonts w:ascii="宋体" w:hAnsi="宋体" w:cs="宋体"/>
                <w:b/>
                <w:bCs/>
                <w:color w:val="FFFFFF"/>
                <w:kern w:val="0"/>
                <w:sz w:val="18"/>
                <w:szCs w:val="18"/>
              </w:rPr>
            </w:pPr>
            <w:r>
              <w:rPr>
                <w:rFonts w:hint="eastAsia" w:ascii="宋体" w:hAnsi="宋体" w:cs="宋体"/>
                <w:b/>
                <w:bCs/>
                <w:color w:val="FFFFFF"/>
                <w:kern w:val="0"/>
                <w:sz w:val="18"/>
                <w:szCs w:val="18"/>
              </w:rPr>
              <w:t>早餐</w:t>
            </w:r>
          </w:p>
        </w:tc>
        <w:tc>
          <w:tcPr>
            <w:tcW w:w="738" w:type="dxa"/>
            <w:tcBorders>
              <w:top w:val="nil"/>
              <w:left w:val="nil"/>
              <w:bottom w:val="single" w:color="auto" w:sz="4" w:space="0"/>
              <w:right w:val="single" w:color="auto" w:sz="4" w:space="0"/>
            </w:tcBorders>
            <w:shd w:val="clear" w:color="000000" w:fill="305496"/>
            <w:noWrap/>
            <w:vAlign w:val="center"/>
          </w:tcPr>
          <w:p>
            <w:pPr>
              <w:widowControl/>
              <w:spacing w:line="400" w:lineRule="exact"/>
              <w:jc w:val="left"/>
              <w:rPr>
                <w:rFonts w:ascii="宋体" w:hAnsi="宋体" w:cs="宋体"/>
                <w:b/>
                <w:bCs/>
                <w:color w:val="FFFFFF"/>
                <w:kern w:val="0"/>
                <w:sz w:val="18"/>
                <w:szCs w:val="18"/>
              </w:rPr>
            </w:pPr>
            <w:r>
              <w:rPr>
                <w:rFonts w:hint="eastAsia" w:ascii="宋体" w:hAnsi="宋体" w:cs="宋体"/>
                <w:b/>
                <w:bCs/>
                <w:color w:val="FFFFFF"/>
                <w:kern w:val="0"/>
                <w:sz w:val="18"/>
                <w:szCs w:val="18"/>
              </w:rPr>
              <w:t>　</w:t>
            </w:r>
          </w:p>
        </w:tc>
        <w:tc>
          <w:tcPr>
            <w:tcW w:w="850" w:type="dxa"/>
            <w:tcBorders>
              <w:top w:val="nil"/>
              <w:left w:val="nil"/>
              <w:bottom w:val="single" w:color="auto" w:sz="4" w:space="0"/>
              <w:right w:val="single" w:color="auto" w:sz="4" w:space="0"/>
            </w:tcBorders>
            <w:shd w:val="clear" w:color="000000" w:fill="305496"/>
            <w:noWrap/>
            <w:vAlign w:val="center"/>
          </w:tcPr>
          <w:p>
            <w:pPr>
              <w:widowControl/>
              <w:spacing w:line="400" w:lineRule="exact"/>
              <w:jc w:val="left"/>
              <w:rPr>
                <w:rFonts w:ascii="宋体" w:hAnsi="宋体" w:cs="宋体"/>
                <w:b/>
                <w:bCs/>
                <w:color w:val="FFFFFF"/>
                <w:kern w:val="0"/>
                <w:sz w:val="18"/>
                <w:szCs w:val="18"/>
              </w:rPr>
            </w:pPr>
            <w:r>
              <w:rPr>
                <w:rFonts w:hint="eastAsia" w:ascii="宋体" w:hAnsi="宋体" w:cs="宋体"/>
                <w:b/>
                <w:bCs/>
                <w:color w:val="FFFFFF"/>
                <w:kern w:val="0"/>
                <w:sz w:val="18"/>
                <w:szCs w:val="18"/>
              </w:rPr>
              <w:t>　</w:t>
            </w:r>
          </w:p>
        </w:tc>
        <w:tc>
          <w:tcPr>
            <w:tcW w:w="851" w:type="dxa"/>
            <w:tcBorders>
              <w:top w:val="nil"/>
              <w:left w:val="nil"/>
              <w:bottom w:val="single" w:color="auto" w:sz="4" w:space="0"/>
              <w:right w:val="single" w:color="auto" w:sz="4" w:space="0"/>
            </w:tcBorders>
            <w:shd w:val="clear" w:color="000000" w:fill="305496"/>
            <w:noWrap/>
            <w:vAlign w:val="center"/>
          </w:tcPr>
          <w:p>
            <w:pPr>
              <w:widowControl/>
              <w:spacing w:line="400" w:lineRule="exact"/>
              <w:jc w:val="left"/>
              <w:rPr>
                <w:rFonts w:ascii="宋体" w:hAnsi="宋体" w:cs="宋体"/>
                <w:b/>
                <w:bCs/>
                <w:color w:val="FFFFFF"/>
                <w:kern w:val="0"/>
                <w:sz w:val="18"/>
                <w:szCs w:val="18"/>
              </w:rPr>
            </w:pPr>
            <w:r>
              <w:rPr>
                <w:rFonts w:hint="eastAsia" w:ascii="宋体" w:hAnsi="宋体" w:cs="宋体"/>
                <w:b/>
                <w:bCs/>
                <w:color w:val="FFFFFF"/>
                <w:kern w:val="0"/>
                <w:sz w:val="18"/>
                <w:szCs w:val="18"/>
              </w:rPr>
              <w:t>　</w:t>
            </w:r>
          </w:p>
        </w:tc>
      </w:tr>
      <w:tr>
        <w:tblPrEx>
          <w:tblCellMar>
            <w:top w:w="0" w:type="dxa"/>
            <w:left w:w="108" w:type="dxa"/>
            <w:bottom w:w="0" w:type="dxa"/>
            <w:right w:w="108" w:type="dxa"/>
          </w:tblCellMar>
        </w:tblPrEx>
        <w:trPr>
          <w:trHeight w:val="285" w:hRule="atLeast"/>
        </w:trPr>
        <w:tc>
          <w:tcPr>
            <w:tcW w:w="1960"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营养早餐</w:t>
            </w:r>
          </w:p>
        </w:tc>
        <w:tc>
          <w:tcPr>
            <w:tcW w:w="427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等线" w:hAnsi="等线" w:eastAsia="等线" w:cs="宋体"/>
                <w:kern w:val="0"/>
                <w:sz w:val="20"/>
                <w:szCs w:val="20"/>
              </w:rPr>
            </w:pPr>
            <w:r>
              <w:rPr>
                <w:rFonts w:hint="eastAsia" w:ascii="等线" w:hAnsi="等线" w:eastAsia="等线" w:cs="宋体"/>
                <w:kern w:val="0"/>
                <w:sz w:val="20"/>
                <w:szCs w:val="20"/>
              </w:rPr>
              <w:t>早餐</w:t>
            </w:r>
          </w:p>
        </w:tc>
        <w:tc>
          <w:tcPr>
            <w:tcW w:w="738"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等线" w:hAnsi="等线" w:eastAsia="等线" w:cs="宋体"/>
                <w:kern w:val="0"/>
                <w:sz w:val="20"/>
                <w:szCs w:val="20"/>
              </w:rPr>
            </w:pPr>
            <w:r>
              <w:rPr>
                <w:rFonts w:hint="eastAsia" w:ascii="等线" w:hAnsi="等线" w:eastAsia="等线" w:cs="宋体"/>
                <w:kern w:val="0"/>
                <w:sz w:val="20"/>
                <w:szCs w:val="20"/>
              </w:rPr>
              <w:t>★</w:t>
            </w:r>
          </w:p>
        </w:tc>
      </w:tr>
    </w:tbl>
    <w:p>
      <w:pPr>
        <w:spacing w:line="400" w:lineRule="exact"/>
        <w:jc w:val="left"/>
        <w:rPr>
          <w:rFonts w:ascii="黑体" w:hAnsi="黑体" w:eastAsia="黑体"/>
          <w:sz w:val="30"/>
          <w:szCs w:val="30"/>
        </w:rPr>
      </w:pPr>
    </w:p>
    <w:p>
      <w:pPr>
        <w:spacing w:line="400" w:lineRule="exact"/>
        <w:jc w:val="left"/>
        <w:rPr>
          <w:rFonts w:ascii="黑体" w:hAnsi="黑体" w:eastAsia="黑体"/>
          <w:sz w:val="30"/>
          <w:szCs w:val="30"/>
        </w:rPr>
      </w:pPr>
      <w:r>
        <w:rPr>
          <w:rFonts w:hint="eastAsia" w:ascii="黑体" w:hAnsi="黑体" w:eastAsia="黑体"/>
          <w:sz w:val="30"/>
          <w:szCs w:val="30"/>
        </w:rPr>
        <w:t>三、报价</w:t>
      </w:r>
      <w:r>
        <w:rPr>
          <w:rFonts w:ascii="黑体" w:hAnsi="黑体" w:eastAsia="黑体"/>
          <w:sz w:val="30"/>
          <w:szCs w:val="30"/>
        </w:rPr>
        <w:t>要求：</w:t>
      </w:r>
    </w:p>
    <w:p>
      <w:pPr>
        <w:ind w:firstLine="480" w:firstLineChars="200"/>
        <w:rPr>
          <w:rFonts w:ascii="宋体" w:hAnsi="宋体"/>
          <w:bCs/>
          <w:snapToGrid w:val="0"/>
          <w:sz w:val="24"/>
        </w:rPr>
      </w:pPr>
      <w:r>
        <w:rPr>
          <w:rFonts w:hint="eastAsia" w:ascii="宋体" w:hAnsi="宋体"/>
          <w:bCs/>
          <w:snapToGrid w:val="0"/>
          <w:sz w:val="24"/>
        </w:rPr>
        <w:t>按两个分项分别报价：1、在职男性套餐单价；2、在职女性套餐单价；暂定体检人数</w:t>
      </w:r>
      <w:r>
        <w:rPr>
          <w:rFonts w:ascii="宋体" w:hAnsi="宋体"/>
          <w:bCs/>
          <w:snapToGrid w:val="0"/>
          <w:sz w:val="24"/>
        </w:rPr>
        <w:t>220</w:t>
      </w:r>
      <w:r>
        <w:rPr>
          <w:rFonts w:hint="eastAsia" w:ascii="宋体" w:hAnsi="宋体"/>
          <w:bCs/>
          <w:snapToGrid w:val="0"/>
          <w:sz w:val="24"/>
        </w:rPr>
        <w:t>人（男性约7</w:t>
      </w:r>
      <w:r>
        <w:rPr>
          <w:rFonts w:ascii="宋体" w:hAnsi="宋体"/>
          <w:bCs/>
          <w:snapToGrid w:val="0"/>
          <w:sz w:val="24"/>
        </w:rPr>
        <w:t>0人，女性约</w:t>
      </w:r>
      <w:r>
        <w:rPr>
          <w:rFonts w:hint="eastAsia" w:ascii="宋体" w:hAnsi="宋体"/>
          <w:bCs/>
          <w:snapToGrid w:val="0"/>
          <w:sz w:val="24"/>
        </w:rPr>
        <w:t>1</w:t>
      </w:r>
      <w:r>
        <w:rPr>
          <w:rFonts w:ascii="宋体" w:hAnsi="宋体"/>
          <w:bCs/>
          <w:snapToGrid w:val="0"/>
          <w:sz w:val="24"/>
        </w:rPr>
        <w:t>50人）</w:t>
      </w:r>
      <w:r>
        <w:rPr>
          <w:rFonts w:hint="eastAsia" w:ascii="宋体" w:hAnsi="宋体"/>
          <w:bCs/>
          <w:snapToGrid w:val="0"/>
          <w:sz w:val="24"/>
        </w:rPr>
        <w:t>，本次招标总价限为</w:t>
      </w:r>
      <w:r>
        <w:rPr>
          <w:rFonts w:ascii="宋体" w:hAnsi="宋体"/>
          <w:bCs/>
          <w:snapToGrid w:val="0"/>
          <w:sz w:val="24"/>
        </w:rPr>
        <w:t>9</w:t>
      </w:r>
      <w:r>
        <w:rPr>
          <w:rFonts w:hint="eastAsia" w:ascii="宋体" w:hAnsi="宋体"/>
          <w:bCs/>
          <w:snapToGrid w:val="0"/>
          <w:sz w:val="24"/>
        </w:rPr>
        <w:t>万</w:t>
      </w:r>
      <w:r>
        <w:rPr>
          <w:rFonts w:ascii="宋体" w:hAnsi="宋体"/>
          <w:bCs/>
          <w:snapToGrid w:val="0"/>
          <w:sz w:val="24"/>
        </w:rPr>
        <w:t>5</w:t>
      </w:r>
      <w:r>
        <w:rPr>
          <w:rFonts w:hint="eastAsia" w:ascii="宋体" w:hAnsi="宋体"/>
          <w:bCs/>
          <w:snapToGrid w:val="0"/>
          <w:sz w:val="24"/>
        </w:rPr>
        <w:t>千元人民币，总价超</w:t>
      </w:r>
      <w:r>
        <w:rPr>
          <w:rFonts w:ascii="宋体" w:hAnsi="宋体"/>
          <w:bCs/>
          <w:snapToGrid w:val="0"/>
          <w:sz w:val="24"/>
        </w:rPr>
        <w:t>9</w:t>
      </w:r>
      <w:r>
        <w:rPr>
          <w:rFonts w:hint="eastAsia" w:ascii="宋体" w:hAnsi="宋体"/>
          <w:bCs/>
          <w:snapToGrid w:val="0"/>
          <w:sz w:val="24"/>
        </w:rPr>
        <w:t>万</w:t>
      </w:r>
      <w:r>
        <w:rPr>
          <w:rFonts w:ascii="宋体" w:hAnsi="宋体"/>
          <w:bCs/>
          <w:snapToGrid w:val="0"/>
          <w:sz w:val="24"/>
        </w:rPr>
        <w:t>5</w:t>
      </w:r>
      <w:r>
        <w:rPr>
          <w:rFonts w:hint="eastAsia" w:ascii="宋体" w:hAnsi="宋体"/>
          <w:bCs/>
          <w:snapToGrid w:val="0"/>
          <w:sz w:val="24"/>
        </w:rPr>
        <w:t>千元人民币的为无效投标。</w:t>
      </w:r>
    </w:p>
    <w:bookmarkEnd w:id="0"/>
    <w:bookmarkEnd w:id="1"/>
    <w:bookmarkEnd w:id="2"/>
    <w:p>
      <w:pPr>
        <w:spacing w:line="276" w:lineRule="auto"/>
        <w:jc w:val="left"/>
        <w:rPr>
          <w:rFonts w:ascii="黑体" w:hAnsi="黑体" w:eastAsia="黑体"/>
          <w:sz w:val="30"/>
          <w:szCs w:val="30"/>
        </w:rPr>
      </w:pPr>
      <w:r>
        <w:rPr>
          <w:rFonts w:hint="eastAsia" w:ascii="黑体" w:hAnsi="黑体" w:eastAsia="黑体"/>
          <w:sz w:val="30"/>
          <w:szCs w:val="30"/>
        </w:rPr>
        <w:t>四、商务条款</w:t>
      </w:r>
    </w:p>
    <w:p>
      <w:pPr>
        <w:spacing w:line="276" w:lineRule="auto"/>
        <w:rPr>
          <w:rFonts w:ascii="宋体" w:hAnsi="宋体"/>
          <w:bCs/>
          <w:snapToGrid w:val="0"/>
          <w:sz w:val="24"/>
        </w:rPr>
      </w:pPr>
      <w:r>
        <w:rPr>
          <w:rFonts w:ascii="宋体" w:hAnsi="宋体"/>
          <w:bCs/>
          <w:snapToGrid w:val="0"/>
          <w:sz w:val="24"/>
        </w:rPr>
        <w:t>服务地点</w:t>
      </w:r>
      <w:r>
        <w:rPr>
          <w:rFonts w:hint="eastAsia" w:ascii="宋体" w:hAnsi="宋体"/>
          <w:bCs/>
          <w:snapToGrid w:val="0"/>
          <w:sz w:val="24"/>
        </w:rPr>
        <w:t>：扬州</w:t>
      </w:r>
    </w:p>
    <w:p>
      <w:pPr>
        <w:spacing w:line="276" w:lineRule="auto"/>
        <w:rPr>
          <w:rFonts w:ascii="宋体" w:hAnsi="宋体"/>
          <w:bCs/>
          <w:snapToGrid w:val="0"/>
          <w:sz w:val="24"/>
        </w:rPr>
      </w:pPr>
      <w:r>
        <w:rPr>
          <w:rFonts w:hint="eastAsia" w:ascii="宋体" w:hAnsi="宋体"/>
          <w:bCs/>
          <w:snapToGrid w:val="0"/>
          <w:sz w:val="24"/>
        </w:rPr>
        <w:t>服务</w:t>
      </w:r>
      <w:r>
        <w:rPr>
          <w:rFonts w:ascii="宋体" w:hAnsi="宋体"/>
          <w:bCs/>
          <w:snapToGrid w:val="0"/>
          <w:sz w:val="24"/>
        </w:rPr>
        <w:t>时间</w:t>
      </w:r>
      <w:r>
        <w:rPr>
          <w:rFonts w:hint="eastAsia" w:ascii="宋体" w:hAnsi="宋体"/>
          <w:bCs/>
          <w:snapToGrid w:val="0"/>
          <w:sz w:val="24"/>
        </w:rPr>
        <w:t>：按采购人需求</w:t>
      </w:r>
    </w:p>
    <w:p>
      <w:pPr>
        <w:spacing w:line="276" w:lineRule="auto"/>
        <w:rPr>
          <w:rFonts w:ascii="宋体" w:hAnsi="宋体"/>
          <w:bCs/>
          <w:snapToGrid w:val="0"/>
          <w:sz w:val="24"/>
        </w:rPr>
      </w:pPr>
      <w:r>
        <w:rPr>
          <w:rFonts w:ascii="宋体" w:hAnsi="宋体"/>
          <w:bCs/>
          <w:snapToGrid w:val="0"/>
          <w:sz w:val="24"/>
        </w:rPr>
        <w:t>结算</w:t>
      </w:r>
      <w:r>
        <w:rPr>
          <w:rFonts w:hint="eastAsia" w:ascii="宋体" w:hAnsi="宋体"/>
          <w:bCs/>
          <w:snapToGrid w:val="0"/>
          <w:sz w:val="24"/>
        </w:rPr>
        <w:t>方式：甲方体检服务费用最终按实际体检人数和实际体检项目结算。</w:t>
      </w:r>
    </w:p>
    <w:p>
      <w:pPr>
        <w:spacing w:line="276" w:lineRule="auto"/>
        <w:rPr>
          <w:rFonts w:ascii="宋体" w:hAnsi="宋体"/>
          <w:bCs/>
          <w:snapToGrid w:val="0"/>
          <w:sz w:val="24"/>
        </w:rPr>
      </w:pPr>
      <w:r>
        <w:rPr>
          <w:rFonts w:hint="eastAsia" w:ascii="宋体" w:hAnsi="宋体"/>
          <w:bCs/>
          <w:snapToGrid w:val="0"/>
          <w:sz w:val="24"/>
        </w:rPr>
        <w:t xml:space="preserve">结算周期：检后结算（体检时间≤3个月） </w:t>
      </w:r>
    </w:p>
    <w:p>
      <w:pPr>
        <w:spacing w:line="276" w:lineRule="auto"/>
        <w:rPr>
          <w:rFonts w:ascii="宋体" w:hAnsi="宋体"/>
          <w:bCs/>
          <w:snapToGrid w:val="0"/>
          <w:sz w:val="24"/>
        </w:rPr>
      </w:pPr>
      <w:r>
        <w:rPr>
          <w:rFonts w:hint="eastAsia" w:ascii="宋体" w:hAnsi="宋体"/>
          <w:bCs/>
          <w:snapToGrid w:val="0"/>
          <w:sz w:val="24"/>
        </w:rPr>
        <w:t>结算要求：每个结算周期后的五（5）个工作日内对体检服务费用进行结算，采购人收到发票后的十五个工作日内支付服务费。</w:t>
      </w:r>
    </w:p>
    <w:p>
      <w:pPr>
        <w:spacing w:line="276" w:lineRule="auto"/>
        <w:rPr>
          <w:rFonts w:ascii="宋体" w:hAnsi="宋体"/>
          <w:bCs/>
          <w:snapToGrid w:val="0"/>
          <w:sz w:val="24"/>
        </w:rPr>
      </w:pPr>
      <w:r>
        <w:rPr>
          <w:rFonts w:hint="eastAsia" w:ascii="宋体" w:hAnsi="宋体"/>
          <w:bCs/>
          <w:snapToGrid w:val="0"/>
          <w:sz w:val="24"/>
        </w:rPr>
        <w:t>投标货币：</w:t>
      </w:r>
      <w:r>
        <w:rPr>
          <w:rFonts w:ascii="宋体" w:hAnsi="宋体"/>
          <w:bCs/>
          <w:snapToGrid w:val="0"/>
          <w:sz w:val="24"/>
        </w:rPr>
        <w:t>本项目以人民币报价。</w:t>
      </w:r>
    </w:p>
    <w:p>
      <w:pPr>
        <w:spacing w:line="276" w:lineRule="auto"/>
        <w:jc w:val="left"/>
        <w:rPr>
          <w:rFonts w:ascii="黑体" w:hAnsi="黑体" w:eastAsia="黑体"/>
          <w:sz w:val="30"/>
          <w:szCs w:val="30"/>
        </w:rPr>
      </w:pPr>
      <w:r>
        <w:rPr>
          <w:rFonts w:hint="eastAsia" w:ascii="黑体" w:hAnsi="黑体" w:eastAsia="黑体"/>
          <w:sz w:val="30"/>
          <w:szCs w:val="30"/>
        </w:rPr>
        <w:t>五、评标办法及开标一览表</w:t>
      </w:r>
    </w:p>
    <w:p>
      <w:pPr>
        <w:tabs>
          <w:tab w:val="left" w:pos="0"/>
          <w:tab w:val="left" w:pos="993"/>
          <w:tab w:val="left" w:pos="1134"/>
        </w:tabs>
        <w:adjustRightInd w:val="0"/>
        <w:snapToGrid w:val="0"/>
        <w:spacing w:beforeLines="50" w:line="276" w:lineRule="auto"/>
        <w:ind w:firstLine="480" w:firstLineChars="200"/>
        <w:rPr>
          <w:rFonts w:ascii="宋体" w:hAnsi="宋体"/>
          <w:bCs/>
          <w:snapToGrid w:val="0"/>
          <w:sz w:val="24"/>
        </w:rPr>
      </w:pPr>
      <w:r>
        <w:rPr>
          <w:rFonts w:hint="eastAsia" w:ascii="宋体" w:hAnsi="宋体"/>
          <w:bCs/>
          <w:snapToGrid w:val="0"/>
          <w:sz w:val="24"/>
        </w:rPr>
        <w:t>（一）总则</w:t>
      </w:r>
    </w:p>
    <w:p>
      <w:pPr>
        <w:tabs>
          <w:tab w:val="left" w:pos="0"/>
          <w:tab w:val="left" w:pos="993"/>
          <w:tab w:val="left" w:pos="1134"/>
        </w:tabs>
        <w:adjustRightInd w:val="0"/>
        <w:snapToGrid w:val="0"/>
        <w:spacing w:line="400" w:lineRule="exact"/>
        <w:ind w:firstLine="480" w:firstLineChars="200"/>
        <w:rPr>
          <w:rFonts w:ascii="宋体" w:hAnsi="宋体"/>
          <w:bCs/>
          <w:snapToGrid w:val="0"/>
          <w:sz w:val="24"/>
        </w:rPr>
      </w:pPr>
      <w:r>
        <w:rPr>
          <w:rFonts w:hint="eastAsia" w:ascii="宋体" w:hAnsi="宋体"/>
          <w:bCs/>
          <w:snapToGrid w:val="0"/>
          <w:sz w:val="24"/>
        </w:rPr>
        <w:t>本次评标采用综合评分法，即在满足招标文件实质性要求前提下，按照招标文件中规定的评分标准和各项因素进行综合评审后，以评标总得分最高的投标人作为中标候选供应商或中标供应商。本综合评分法采用百分制形式，具体分值详见本细则。</w:t>
      </w:r>
    </w:p>
    <w:p>
      <w:pPr>
        <w:tabs>
          <w:tab w:val="left" w:pos="0"/>
          <w:tab w:val="left" w:pos="600"/>
          <w:tab w:val="left" w:pos="993"/>
          <w:tab w:val="left" w:pos="1134"/>
        </w:tabs>
        <w:adjustRightInd w:val="0"/>
        <w:snapToGrid w:val="0"/>
        <w:spacing w:line="400" w:lineRule="exact"/>
        <w:ind w:firstLine="480" w:firstLineChars="200"/>
        <w:rPr>
          <w:rFonts w:ascii="宋体" w:hAnsi="宋体"/>
          <w:sz w:val="24"/>
        </w:rPr>
      </w:pPr>
      <w:r>
        <w:rPr>
          <w:rFonts w:hint="eastAsia" w:ascii="宋体" w:hAnsi="宋体"/>
          <w:sz w:val="24"/>
        </w:rPr>
        <w:t>（二）评分标准</w:t>
      </w:r>
    </w:p>
    <w:p>
      <w:pPr>
        <w:tabs>
          <w:tab w:val="left" w:pos="0"/>
          <w:tab w:val="left" w:pos="600"/>
          <w:tab w:val="left" w:pos="1134"/>
        </w:tabs>
        <w:adjustRightInd w:val="0"/>
        <w:snapToGrid w:val="0"/>
        <w:spacing w:line="400" w:lineRule="exact"/>
        <w:ind w:left="567"/>
        <w:rPr>
          <w:rFonts w:ascii="黑体" w:eastAsia="黑体"/>
          <w:b/>
          <w:bCs/>
          <w:sz w:val="28"/>
          <w:szCs w:val="28"/>
        </w:rPr>
      </w:pPr>
      <w:r>
        <w:rPr>
          <w:rFonts w:hint="eastAsia" w:ascii="宋体" w:hAnsi="宋体"/>
          <w:b/>
          <w:bCs/>
          <w:sz w:val="24"/>
        </w:rPr>
        <w:t>1.投标报价（40分）</w:t>
      </w:r>
    </w:p>
    <w:p>
      <w:pPr>
        <w:adjustRightInd w:val="0"/>
        <w:snapToGrid w:val="0"/>
        <w:spacing w:line="400" w:lineRule="exact"/>
        <w:ind w:firstLine="480" w:firstLineChars="200"/>
        <w:rPr>
          <w:rFonts w:ascii="宋体" w:hAnsi="宋体"/>
          <w:bCs/>
          <w:color w:val="000000"/>
          <w:sz w:val="24"/>
        </w:rPr>
      </w:pPr>
      <w:r>
        <w:rPr>
          <w:rFonts w:hint="eastAsia" w:ascii="宋体" w:hAnsi="宋体"/>
          <w:bCs/>
          <w:color w:val="000000"/>
          <w:sz w:val="24"/>
        </w:rPr>
        <w:t>按两个分项分别报价：1、男性套餐单价；2、女性套餐单价。</w:t>
      </w:r>
    </w:p>
    <w:p>
      <w:pPr>
        <w:adjustRightInd w:val="0"/>
        <w:snapToGrid w:val="0"/>
        <w:spacing w:line="400" w:lineRule="exact"/>
        <w:ind w:firstLine="480" w:firstLineChars="200"/>
        <w:rPr>
          <w:rFonts w:ascii="宋体" w:hAnsi="宋体" w:cs="宋体"/>
          <w:sz w:val="24"/>
        </w:rPr>
      </w:pPr>
      <w:r>
        <w:rPr>
          <w:rFonts w:hint="eastAsia" w:ascii="宋体" w:hAnsi="宋体"/>
          <w:bCs/>
          <w:color w:val="000000"/>
          <w:sz w:val="24"/>
        </w:rPr>
        <w:t>每个分项各占20分，满足采购文件要求且投标价格最低的分项投标报价为此分项评标基准价，其价格为满分20分。其他投标人的分项价格分统一按下列公式计算：分项得分=（分项评标基准价/投标报价）×20。数值取小数点后一位。将两个分项得分相加即为投标报价总得分。</w:t>
      </w:r>
      <w:bookmarkStart w:id="3" w:name="_GoBack"/>
      <w:bookmarkEnd w:id="3"/>
    </w:p>
    <w:p>
      <w:pPr>
        <w:tabs>
          <w:tab w:val="left" w:pos="0"/>
          <w:tab w:val="left" w:pos="600"/>
          <w:tab w:val="left" w:pos="993"/>
          <w:tab w:val="left" w:pos="1134"/>
        </w:tabs>
        <w:adjustRightInd w:val="0"/>
        <w:snapToGrid w:val="0"/>
        <w:spacing w:line="400" w:lineRule="exact"/>
        <w:rPr>
          <w:rFonts w:ascii="宋体" w:hAnsi="宋体"/>
          <w:b/>
          <w:bCs/>
          <w:sz w:val="24"/>
        </w:rPr>
      </w:pPr>
      <w:r>
        <w:rPr>
          <w:rFonts w:hint="eastAsia" w:ascii="宋体" w:hAnsi="宋体"/>
          <w:b/>
          <w:bCs/>
          <w:sz w:val="24"/>
        </w:rPr>
        <w:t xml:space="preserve">    2.服务质量评价（25分）               </w:t>
      </w:r>
    </w:p>
    <w:p>
      <w:pPr>
        <w:spacing w:line="400" w:lineRule="exact"/>
        <w:ind w:firstLine="240" w:firstLineChars="100"/>
        <w:rPr>
          <w:rFonts w:ascii="宋体" w:hAnsi="宋体" w:cs="宋体"/>
          <w:sz w:val="24"/>
        </w:rPr>
      </w:pPr>
      <w:r>
        <w:rPr>
          <w:rFonts w:hint="eastAsia" w:ascii="宋体" w:hAnsi="宋体" w:cs="宋体"/>
          <w:sz w:val="24"/>
        </w:rPr>
        <w:t xml:space="preserve"> 投标单位对体检预约方式、每日安排体检总人数（不限于我校）、大流量应对方案、应急处理预案、达不到服务承诺的赔偿措施、在体检周期内无法回扬参与教职工体检的解决方案等7项内容作出详细说明，评标委员会根据投标单位提供材料的合理性和可操作性进行评分，7项得分相加为此项总得分。 </w:t>
      </w:r>
    </w:p>
    <w:p>
      <w:pPr>
        <w:spacing w:line="400" w:lineRule="exact"/>
        <w:ind w:firstLine="480" w:firstLineChars="200"/>
        <w:rPr>
          <w:rFonts w:ascii="宋体" w:hAnsi="宋体" w:cs="宋体"/>
          <w:sz w:val="24"/>
        </w:rPr>
      </w:pPr>
      <w:r>
        <w:rPr>
          <w:rFonts w:hint="eastAsia" w:ascii="宋体" w:hAnsi="宋体" w:cs="宋体"/>
          <w:sz w:val="24"/>
        </w:rPr>
        <w:t>（1）其中投标单位对体检预约方式设置合理，便于操作得3分，一般得2分，差得1分，没有不得分。</w:t>
      </w:r>
    </w:p>
    <w:p>
      <w:pPr>
        <w:spacing w:line="400" w:lineRule="exact"/>
        <w:ind w:firstLine="480" w:firstLineChars="200"/>
        <w:rPr>
          <w:rFonts w:ascii="宋体" w:hAnsi="宋体" w:cs="宋体"/>
          <w:sz w:val="24"/>
        </w:rPr>
      </w:pPr>
      <w:r>
        <w:rPr>
          <w:rFonts w:hint="eastAsia" w:ascii="宋体" w:hAnsi="宋体" w:cs="宋体"/>
          <w:sz w:val="24"/>
        </w:rPr>
        <w:t>（2）每日安排体检总人数（不限于我校），能安排人数较多且安排人数合理得3分，一般得2分，差得1分，没有不得分。</w:t>
      </w:r>
    </w:p>
    <w:p>
      <w:pPr>
        <w:spacing w:line="400" w:lineRule="exact"/>
        <w:ind w:firstLine="480" w:firstLineChars="200"/>
        <w:rPr>
          <w:rFonts w:ascii="宋体" w:hAnsi="宋体" w:cs="宋体"/>
          <w:sz w:val="24"/>
        </w:rPr>
      </w:pPr>
      <w:r>
        <w:rPr>
          <w:rFonts w:hint="eastAsia" w:ascii="宋体" w:hAnsi="宋体" w:cs="宋体"/>
          <w:sz w:val="24"/>
        </w:rPr>
        <w:t>（3）大流量应对方案合理，可操作性强得3分，一般得2分，差得1分，没有不得分。</w:t>
      </w:r>
    </w:p>
    <w:p>
      <w:pPr>
        <w:spacing w:line="400" w:lineRule="exact"/>
        <w:ind w:firstLine="480" w:firstLineChars="200"/>
        <w:rPr>
          <w:rFonts w:ascii="宋体" w:hAnsi="宋体" w:cs="宋体"/>
          <w:sz w:val="24"/>
        </w:rPr>
      </w:pPr>
      <w:r>
        <w:rPr>
          <w:rFonts w:hint="eastAsia" w:ascii="宋体" w:hAnsi="宋体" w:cs="宋体"/>
          <w:sz w:val="24"/>
        </w:rPr>
        <w:t>（4）应急处理预案合理，可操作性强得3分，一般得2分，差得1分，没有不得分。</w:t>
      </w:r>
    </w:p>
    <w:p>
      <w:pPr>
        <w:spacing w:line="400" w:lineRule="exact"/>
        <w:ind w:firstLine="480" w:firstLineChars="200"/>
        <w:rPr>
          <w:rFonts w:ascii="宋体" w:hAnsi="宋体" w:cs="宋体"/>
          <w:sz w:val="24"/>
        </w:rPr>
      </w:pPr>
      <w:r>
        <w:rPr>
          <w:rFonts w:hint="eastAsia" w:ascii="宋体" w:hAnsi="宋体" w:cs="宋体"/>
          <w:sz w:val="24"/>
        </w:rPr>
        <w:t>（5）达不到服务承诺的赔偿措施设置合理得3分，一般得2分，差得1分，没有不得分。</w:t>
      </w:r>
    </w:p>
    <w:p>
      <w:pPr>
        <w:spacing w:line="400" w:lineRule="exact"/>
        <w:ind w:firstLine="480" w:firstLineChars="200"/>
        <w:rPr>
          <w:rFonts w:ascii="宋体" w:hAnsi="宋体" w:cs="宋体"/>
          <w:sz w:val="24"/>
        </w:rPr>
      </w:pPr>
      <w:r>
        <w:rPr>
          <w:rFonts w:hint="eastAsia" w:ascii="宋体" w:hAnsi="宋体" w:cs="宋体"/>
          <w:sz w:val="24"/>
        </w:rPr>
        <w:t>（6）部分无法回扬教职工的体检解决方案合理性强，可操作性好得5分，一般得3分，差得1分，没有不得分。</w:t>
      </w:r>
    </w:p>
    <w:p>
      <w:pPr>
        <w:spacing w:line="400" w:lineRule="exact"/>
        <w:ind w:firstLine="480" w:firstLineChars="200"/>
        <w:rPr>
          <w:rFonts w:ascii="宋体" w:hAnsi="宋体" w:cs="宋体"/>
          <w:sz w:val="24"/>
        </w:rPr>
      </w:pPr>
      <w:r>
        <w:rPr>
          <w:rFonts w:hint="eastAsia" w:ascii="宋体" w:hAnsi="宋体" w:cs="宋体"/>
          <w:sz w:val="24"/>
        </w:rPr>
        <w:t>（7）对清单外项目（自费项目）优惠承诺，根据本单位定价标准为基础，优惠方案最优得5分，一般得3分，差得1分，没有不得分。</w:t>
      </w:r>
    </w:p>
    <w:p>
      <w:pPr>
        <w:spacing w:line="400" w:lineRule="exact"/>
        <w:rPr>
          <w:rFonts w:ascii="宋体" w:hAnsi="宋体" w:cs="宋体"/>
          <w:sz w:val="24"/>
        </w:rPr>
      </w:pPr>
      <w:r>
        <w:rPr>
          <w:rFonts w:hint="eastAsia" w:ascii="宋体" w:hAnsi="宋体" w:cs="宋体"/>
          <w:b/>
          <w:bCs/>
          <w:sz w:val="24"/>
        </w:rPr>
        <w:t xml:space="preserve">    3.</w:t>
      </w:r>
      <w:r>
        <w:rPr>
          <w:rFonts w:hint="eastAsia" w:ascii="宋体" w:hAnsi="宋体"/>
          <w:b/>
          <w:bCs/>
          <w:color w:val="000000"/>
          <w:sz w:val="24"/>
        </w:rPr>
        <w:t>可用于本次体检的大型检查设备数量</w:t>
      </w:r>
      <w:r>
        <w:rPr>
          <w:rFonts w:hint="eastAsia" w:ascii="宋体" w:hAnsi="宋体" w:cs="宋体"/>
          <w:b/>
          <w:bCs/>
          <w:sz w:val="24"/>
        </w:rPr>
        <w:t>（2</w:t>
      </w:r>
      <w:r>
        <w:rPr>
          <w:rFonts w:ascii="宋体" w:hAnsi="宋体" w:cs="宋体"/>
          <w:b/>
          <w:bCs/>
          <w:sz w:val="24"/>
        </w:rPr>
        <w:t>0</w:t>
      </w:r>
      <w:r>
        <w:rPr>
          <w:rFonts w:hint="eastAsia" w:ascii="宋体" w:hAnsi="宋体" w:cs="宋体"/>
          <w:b/>
          <w:bCs/>
          <w:sz w:val="24"/>
        </w:rPr>
        <w:t>分）</w:t>
      </w:r>
    </w:p>
    <w:p>
      <w:pPr>
        <w:adjustRightInd w:val="0"/>
        <w:snapToGrid w:val="0"/>
        <w:spacing w:line="400" w:lineRule="exact"/>
        <w:ind w:firstLine="480" w:firstLineChars="200"/>
        <w:rPr>
          <w:rFonts w:ascii="宋体" w:hAnsi="宋体"/>
          <w:bCs/>
          <w:color w:val="000000"/>
          <w:sz w:val="24"/>
        </w:rPr>
      </w:pPr>
      <w:r>
        <w:rPr>
          <w:rFonts w:hint="eastAsia" w:ascii="宋体" w:hAnsi="宋体"/>
          <w:bCs/>
          <w:color w:val="000000"/>
          <w:sz w:val="24"/>
        </w:rPr>
        <w:t>3.1</w:t>
      </w:r>
      <w:r>
        <w:rPr>
          <w:rFonts w:ascii="宋体" w:hAnsi="宋体"/>
          <w:bCs/>
          <w:color w:val="000000"/>
          <w:sz w:val="24"/>
        </w:rPr>
        <w:t>彩色B超</w:t>
      </w:r>
      <w:r>
        <w:rPr>
          <w:rFonts w:hint="eastAsia" w:ascii="宋体" w:hAnsi="宋体"/>
          <w:bCs/>
          <w:color w:val="000000"/>
          <w:sz w:val="24"/>
        </w:rPr>
        <w:t>仪器数（10分）。根据各投标单位承诺的用于本次体检的彩色</w:t>
      </w:r>
      <w:r>
        <w:rPr>
          <w:rFonts w:ascii="宋体" w:hAnsi="宋体"/>
          <w:bCs/>
          <w:color w:val="000000"/>
          <w:sz w:val="24"/>
        </w:rPr>
        <w:t>B超仪器</w:t>
      </w:r>
      <w:r>
        <w:rPr>
          <w:rFonts w:hint="eastAsia" w:ascii="宋体" w:hAnsi="宋体"/>
          <w:bCs/>
          <w:color w:val="000000"/>
          <w:sz w:val="24"/>
        </w:rPr>
        <w:t>的数量进行评分，一台得</w:t>
      </w:r>
      <w:r>
        <w:rPr>
          <w:rFonts w:ascii="宋体" w:hAnsi="宋体"/>
          <w:bCs/>
          <w:color w:val="000000"/>
          <w:sz w:val="24"/>
        </w:rPr>
        <w:t>1</w:t>
      </w:r>
      <w:r>
        <w:rPr>
          <w:rFonts w:hint="eastAsia" w:ascii="宋体" w:hAnsi="宋体"/>
          <w:bCs/>
          <w:color w:val="000000"/>
          <w:sz w:val="24"/>
        </w:rPr>
        <w:t>分，一台以上每多一台加</w:t>
      </w:r>
      <w:r>
        <w:rPr>
          <w:rFonts w:ascii="宋体" w:hAnsi="宋体"/>
          <w:bCs/>
          <w:color w:val="000000"/>
          <w:sz w:val="24"/>
        </w:rPr>
        <w:t>1</w:t>
      </w:r>
      <w:r>
        <w:rPr>
          <w:rFonts w:hint="eastAsia" w:ascii="宋体" w:hAnsi="宋体"/>
          <w:bCs/>
          <w:color w:val="000000"/>
          <w:sz w:val="24"/>
        </w:rPr>
        <w:t>分，本项最高</w:t>
      </w:r>
      <w:r>
        <w:rPr>
          <w:rFonts w:ascii="宋体" w:hAnsi="宋体"/>
          <w:bCs/>
          <w:color w:val="000000"/>
          <w:sz w:val="24"/>
        </w:rPr>
        <w:t>1</w:t>
      </w:r>
      <w:r>
        <w:rPr>
          <w:rFonts w:hint="eastAsia" w:ascii="宋体" w:hAnsi="宋体"/>
          <w:bCs/>
          <w:color w:val="000000"/>
          <w:sz w:val="24"/>
        </w:rPr>
        <w:t>0分。</w:t>
      </w:r>
    </w:p>
    <w:p>
      <w:pPr>
        <w:adjustRightInd w:val="0"/>
        <w:snapToGrid w:val="0"/>
        <w:spacing w:line="400" w:lineRule="exact"/>
        <w:ind w:firstLine="480" w:firstLineChars="200"/>
        <w:rPr>
          <w:rFonts w:ascii="宋体" w:hAnsi="宋体"/>
          <w:bCs/>
          <w:color w:val="000000"/>
          <w:sz w:val="24"/>
        </w:rPr>
      </w:pPr>
      <w:r>
        <w:rPr>
          <w:rFonts w:hint="eastAsia" w:ascii="宋体" w:hAnsi="宋体"/>
          <w:bCs/>
          <w:color w:val="000000"/>
          <w:sz w:val="24"/>
        </w:rPr>
        <w:t>3.2 CT仪器数（10分）。根据各投标单位承诺的用于本次体检的CT的数量进行评分，一台得5分，一台以上每多一台加5分，本项最高</w:t>
      </w:r>
      <w:r>
        <w:rPr>
          <w:rFonts w:ascii="宋体" w:hAnsi="宋体"/>
          <w:bCs/>
          <w:color w:val="000000"/>
          <w:sz w:val="24"/>
        </w:rPr>
        <w:t>1</w:t>
      </w:r>
      <w:r>
        <w:rPr>
          <w:rFonts w:hint="eastAsia" w:ascii="宋体" w:hAnsi="宋体"/>
          <w:bCs/>
          <w:color w:val="000000"/>
          <w:sz w:val="24"/>
        </w:rPr>
        <w:t>0分。</w:t>
      </w:r>
    </w:p>
    <w:p>
      <w:pPr>
        <w:spacing w:line="400" w:lineRule="exact"/>
        <w:ind w:firstLine="482" w:firstLineChars="200"/>
        <w:rPr>
          <w:rFonts w:ascii="宋体" w:hAnsi="宋体"/>
          <w:b/>
          <w:bCs/>
          <w:color w:val="000000"/>
          <w:sz w:val="24"/>
        </w:rPr>
      </w:pPr>
      <w:r>
        <w:rPr>
          <w:rFonts w:hint="eastAsia" w:ascii="宋体" w:hAnsi="宋体" w:cs="宋体"/>
          <w:b/>
          <w:bCs/>
          <w:sz w:val="24"/>
        </w:rPr>
        <w:t>4.</w:t>
      </w:r>
      <w:r>
        <w:rPr>
          <w:rFonts w:hint="eastAsia" w:ascii="宋体" w:hAnsi="宋体"/>
          <w:b/>
          <w:bCs/>
          <w:color w:val="000000"/>
          <w:sz w:val="24"/>
        </w:rPr>
        <w:t>体检场所面积（10分）</w:t>
      </w:r>
    </w:p>
    <w:p>
      <w:pPr>
        <w:adjustRightInd w:val="0"/>
        <w:snapToGrid w:val="0"/>
        <w:spacing w:line="400" w:lineRule="exact"/>
        <w:ind w:firstLine="480" w:firstLineChars="200"/>
        <w:rPr>
          <w:rFonts w:ascii="宋体" w:hAnsi="宋体"/>
          <w:b/>
          <w:bCs/>
          <w:color w:val="000000"/>
          <w:sz w:val="24"/>
        </w:rPr>
      </w:pPr>
      <w:r>
        <w:rPr>
          <w:rFonts w:hint="eastAsia" w:ascii="宋体" w:hAnsi="宋体"/>
          <w:bCs/>
          <w:color w:val="000000"/>
          <w:sz w:val="24"/>
        </w:rPr>
        <w:t>以5000平方米为评标基准面积，投标单位体检中心面积在5000平方米（含）以上的得10分，不足5000平方米的得分统一按下列公式计算：得分=（面积/5000）×10，数值取小数点后一位。</w:t>
      </w:r>
    </w:p>
    <w:p>
      <w:pPr>
        <w:spacing w:line="400" w:lineRule="exact"/>
        <w:rPr>
          <w:rFonts w:ascii="宋体" w:hAnsi="宋体" w:cs="宋体"/>
          <w:sz w:val="24"/>
        </w:rPr>
      </w:pPr>
      <w:r>
        <w:rPr>
          <w:rFonts w:hint="eastAsia" w:ascii="宋体" w:hAnsi="宋体" w:cs="宋体"/>
          <w:b/>
          <w:bCs/>
          <w:sz w:val="24"/>
        </w:rPr>
        <w:t xml:space="preserve">    5.业绩分（5分）</w:t>
      </w:r>
    </w:p>
    <w:p>
      <w:pPr>
        <w:spacing w:line="400" w:lineRule="exact"/>
        <w:ind w:firstLine="480" w:firstLineChars="200"/>
        <w:rPr>
          <w:rFonts w:ascii="宋体" w:hAnsi="宋体"/>
          <w:bCs/>
          <w:color w:val="000000"/>
          <w:sz w:val="24"/>
        </w:rPr>
      </w:pPr>
      <w:r>
        <w:rPr>
          <w:rFonts w:hint="eastAsia" w:ascii="宋体" w:hAnsi="宋体"/>
          <w:bCs/>
          <w:color w:val="000000"/>
          <w:sz w:val="24"/>
        </w:rPr>
        <w:t>从2019年1月1日起，为超过100人以上的</w:t>
      </w:r>
      <w:r>
        <w:rPr>
          <w:rFonts w:hint="eastAsia" w:ascii="宋体" w:hAnsi="宋体" w:cs="宋体"/>
          <w:kern w:val="0"/>
          <w:sz w:val="24"/>
        </w:rPr>
        <w:t>学校或大型企事业单位</w:t>
      </w:r>
      <w:r>
        <w:rPr>
          <w:rFonts w:hint="eastAsia" w:ascii="宋体" w:hAnsi="宋体"/>
          <w:bCs/>
          <w:color w:val="000000"/>
          <w:sz w:val="24"/>
        </w:rPr>
        <w:t>健康体检（不含学生体检），提供合同或结算明细复印件（复印件主要内容清晰，原件现场备查），有1个得1分，最高5分。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zZDI2ZWM4OWIxMjFjNzVjNzFhMDU3MmQ5ODA2NGIifQ=="/>
  </w:docVars>
  <w:rsids>
    <w:rsidRoot w:val="53BE708F"/>
    <w:rsid w:val="53BE7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2022-06-06T03:07:00Z</dcterms:created>
  <dc:creator>Lenovo</dc:creator>
  <cp:lastModifiedBy>Lenovo</cp:lastModifiedBy>
  <dcterms:modified xsi:type="dcterms:W3CDTF">2022-06-06T03:07:55Z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F48D3C663C0A47F993031D765B453F6C</vt:lpwstr>
  </property>
</Properties>
</file>