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before="100" w:beforeAutospacing="1" w:line="400" w:lineRule="exact"/>
        <w:ind w:left="383"/>
        <w:jc w:val="left"/>
        <w:rPr>
          <w:rFonts w:asciiTheme="minorEastAsia" w:hAnsiTheme="minorEastAsia"/>
          <w:sz w:val="24"/>
        </w:rPr>
      </w:pPr>
      <w:r>
        <w:rPr>
          <w:rFonts w:asciiTheme="minorEastAsia" w:hAnsiTheme="minorEastAsia"/>
          <w:sz w:val="24"/>
        </w:rPr>
        <w:t>附件：</w:t>
      </w:r>
    </w:p>
    <w:p>
      <w:pPr>
        <w:shd w:val="clear" w:color="auto" w:fill="FFFFFF"/>
        <w:adjustRightInd w:val="0"/>
        <w:snapToGrid w:val="0"/>
        <w:spacing w:before="100" w:beforeAutospacing="1" w:line="400" w:lineRule="exact"/>
        <w:ind w:left="383"/>
        <w:jc w:val="left"/>
        <w:rPr>
          <w:rFonts w:asciiTheme="minorEastAsia" w:hAnsiTheme="minorEastAsia"/>
          <w:b/>
          <w:sz w:val="24"/>
        </w:rPr>
      </w:pPr>
      <w:r>
        <w:rPr>
          <w:rFonts w:asciiTheme="minorEastAsia" w:hAnsiTheme="minorEastAsia"/>
          <w:b/>
          <w:sz w:val="24"/>
        </w:rPr>
        <w:t>注：如供应商确认前来，请于当日上午</w:t>
      </w:r>
      <w:r>
        <w:rPr>
          <w:rFonts w:hint="eastAsia" w:asciiTheme="minorEastAsia" w:hAnsiTheme="minorEastAsia"/>
          <w:b/>
          <w:sz w:val="24"/>
        </w:rPr>
        <w:t>9点前将姓名、身份证号、联系方式、车牌号、低风险地区行程码截图、苏康码截图、48小时内核酸证明截图发送至</w:t>
      </w:r>
      <w:r>
        <w:rPr>
          <w:rFonts w:asciiTheme="minorEastAsia" w:hAnsiTheme="minorEastAsia"/>
          <w:b/>
          <w:sz w:val="24"/>
        </w:rPr>
        <w:t>wxf_yz@163.com邮箱。一家供应商只可进一人，感谢您的配合。</w:t>
      </w:r>
    </w:p>
    <w:p>
      <w:pPr>
        <w:spacing w:line="400" w:lineRule="exact"/>
        <w:jc w:val="left"/>
        <w:rPr>
          <w:rFonts w:ascii="黑体" w:hAnsi="黑体" w:eastAsia="黑体"/>
          <w:sz w:val="30"/>
          <w:szCs w:val="30"/>
        </w:rPr>
      </w:pPr>
      <w:bookmarkStart w:id="0" w:name="_Toc502231067"/>
      <w:bookmarkStart w:id="1" w:name="_Toc26159"/>
      <w:bookmarkStart w:id="2" w:name="_Toc502231124"/>
      <w:r>
        <w:rPr>
          <w:rFonts w:hint="eastAsia" w:ascii="黑体" w:hAnsi="黑体" w:eastAsia="黑体"/>
          <w:sz w:val="30"/>
          <w:szCs w:val="30"/>
        </w:rPr>
        <w:t>一、服务需求：</w:t>
      </w:r>
    </w:p>
    <w:p>
      <w:pPr>
        <w:snapToGrid w:val="0"/>
        <w:spacing w:line="400" w:lineRule="exact"/>
        <w:ind w:firstLine="600" w:firstLineChars="250"/>
        <w:rPr>
          <w:rFonts w:ascii="宋体" w:hAnsi="宋体"/>
          <w:bCs/>
          <w:sz w:val="24"/>
        </w:rPr>
      </w:pPr>
      <w:r>
        <w:rPr>
          <w:rFonts w:hint="eastAsia" w:ascii="宋体" w:hAnsi="宋体"/>
          <w:bCs/>
          <w:sz w:val="24"/>
        </w:rPr>
        <w:t>1. 乙方为甲方组织经验丰富且有执业资质的医师、检验师及护理工作人员为甲方员工进行健康检查。</w:t>
      </w:r>
    </w:p>
    <w:p>
      <w:pPr>
        <w:snapToGrid w:val="0"/>
        <w:spacing w:line="400" w:lineRule="exact"/>
        <w:ind w:firstLine="600" w:firstLineChars="250"/>
        <w:rPr>
          <w:rFonts w:ascii="宋体" w:hAnsi="宋体"/>
          <w:bCs/>
          <w:sz w:val="24"/>
        </w:rPr>
      </w:pPr>
      <w:r>
        <w:rPr>
          <w:rFonts w:hint="eastAsia" w:ascii="宋体" w:hAnsi="宋体"/>
          <w:bCs/>
          <w:sz w:val="24"/>
        </w:rPr>
        <w:t>2. 乙方向甲方教职工提供书面体检报告壹份（密封）。</w:t>
      </w:r>
    </w:p>
    <w:p>
      <w:pPr>
        <w:snapToGrid w:val="0"/>
        <w:spacing w:line="400" w:lineRule="exact"/>
        <w:ind w:firstLine="600" w:firstLineChars="250"/>
        <w:rPr>
          <w:rFonts w:ascii="宋体" w:hAnsi="宋体"/>
          <w:bCs/>
          <w:sz w:val="24"/>
        </w:rPr>
      </w:pPr>
      <w:r>
        <w:rPr>
          <w:rFonts w:hint="eastAsia" w:ascii="宋体" w:hAnsi="宋体"/>
          <w:bCs/>
          <w:sz w:val="24"/>
        </w:rPr>
        <w:t>3. 体检完成之后，乙方将针对甲方员工的体检结果，根据甲方的通知，在合理时间内为甲方员工安排专家对体检结果进行讲解，并提供健康管理改进方案，如需要，乙方还为甲方提供办理医疗转诊服务。</w:t>
      </w:r>
    </w:p>
    <w:p>
      <w:pPr>
        <w:snapToGrid w:val="0"/>
        <w:spacing w:line="400" w:lineRule="exact"/>
        <w:ind w:firstLine="600" w:firstLineChars="250"/>
        <w:rPr>
          <w:rFonts w:ascii="宋体" w:hAnsi="宋体"/>
          <w:bCs/>
          <w:sz w:val="24"/>
        </w:rPr>
      </w:pPr>
      <w:r>
        <w:rPr>
          <w:rFonts w:hint="eastAsia" w:ascii="宋体" w:hAnsi="宋体"/>
          <w:bCs/>
          <w:sz w:val="24"/>
        </w:rPr>
        <w:t>4. 乙方负责对甲方员工的个人信息和体检结果做好保密工作。</w:t>
      </w:r>
    </w:p>
    <w:p>
      <w:pPr>
        <w:snapToGrid w:val="0"/>
        <w:spacing w:line="400" w:lineRule="exact"/>
        <w:ind w:firstLine="600" w:firstLineChars="250"/>
        <w:rPr>
          <w:rFonts w:ascii="宋体" w:hAnsi="宋体"/>
          <w:bCs/>
          <w:sz w:val="24"/>
        </w:rPr>
      </w:pPr>
      <w:r>
        <w:rPr>
          <w:rFonts w:hint="eastAsia" w:ascii="宋体" w:hAnsi="宋体"/>
          <w:bCs/>
          <w:sz w:val="24"/>
        </w:rPr>
        <w:t>5. 乙方为甲方体检员工建立个人健康档案。</w:t>
      </w:r>
    </w:p>
    <w:p>
      <w:pPr>
        <w:spacing w:line="400" w:lineRule="exact"/>
        <w:jc w:val="left"/>
        <w:rPr>
          <w:rFonts w:ascii="黑体" w:hAnsi="黑体" w:eastAsia="黑体"/>
          <w:sz w:val="30"/>
          <w:szCs w:val="30"/>
        </w:rPr>
      </w:pPr>
      <w:r>
        <w:rPr>
          <w:rFonts w:hint="eastAsia" w:ascii="黑体" w:hAnsi="黑体" w:eastAsia="黑体"/>
          <w:sz w:val="30"/>
          <w:szCs w:val="30"/>
        </w:rPr>
        <w:t>二、体检套餐内容</w:t>
      </w:r>
    </w:p>
    <w:tbl>
      <w:tblPr>
        <w:tblStyle w:val="2"/>
        <w:tblW w:w="8671" w:type="dxa"/>
        <w:tblInd w:w="113" w:type="dxa"/>
        <w:tblLayout w:type="autofit"/>
        <w:tblCellMar>
          <w:top w:w="0" w:type="dxa"/>
          <w:left w:w="108" w:type="dxa"/>
          <w:bottom w:w="0" w:type="dxa"/>
          <w:right w:w="108" w:type="dxa"/>
        </w:tblCellMar>
      </w:tblPr>
      <w:tblGrid>
        <w:gridCol w:w="1960"/>
        <w:gridCol w:w="4272"/>
        <w:gridCol w:w="738"/>
        <w:gridCol w:w="850"/>
        <w:gridCol w:w="851"/>
      </w:tblGrid>
      <w:tr>
        <w:tblPrEx>
          <w:tblCellMar>
            <w:top w:w="0" w:type="dxa"/>
            <w:left w:w="108" w:type="dxa"/>
            <w:bottom w:w="0" w:type="dxa"/>
            <w:right w:w="108" w:type="dxa"/>
          </w:tblCellMar>
        </w:tblPrEx>
        <w:trPr>
          <w:trHeight w:val="285" w:hRule="atLeast"/>
        </w:trPr>
        <w:tc>
          <w:tcPr>
            <w:tcW w:w="1960" w:type="dxa"/>
            <w:tcBorders>
              <w:top w:val="single" w:color="auto" w:sz="4" w:space="0"/>
              <w:left w:val="single" w:color="auto" w:sz="4" w:space="0"/>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第一类</w:t>
            </w:r>
          </w:p>
        </w:tc>
        <w:tc>
          <w:tcPr>
            <w:tcW w:w="4272" w:type="dxa"/>
            <w:tcBorders>
              <w:top w:val="single" w:color="auto" w:sz="4" w:space="0"/>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普查项目</w:t>
            </w:r>
          </w:p>
        </w:tc>
        <w:tc>
          <w:tcPr>
            <w:tcW w:w="738" w:type="dxa"/>
            <w:tcBorders>
              <w:top w:val="single" w:color="auto" w:sz="4" w:space="0"/>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男</w:t>
            </w:r>
          </w:p>
        </w:tc>
        <w:tc>
          <w:tcPr>
            <w:tcW w:w="850" w:type="dxa"/>
            <w:tcBorders>
              <w:top w:val="single" w:color="auto" w:sz="4" w:space="0"/>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女未婚</w:t>
            </w:r>
          </w:p>
        </w:tc>
        <w:tc>
          <w:tcPr>
            <w:tcW w:w="851" w:type="dxa"/>
            <w:tcBorders>
              <w:top w:val="single" w:color="auto" w:sz="4" w:space="0"/>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女已婚</w:t>
            </w:r>
          </w:p>
        </w:tc>
      </w:tr>
      <w:tr>
        <w:tblPrEx>
          <w:tblCellMar>
            <w:top w:w="0" w:type="dxa"/>
            <w:left w:w="108" w:type="dxa"/>
            <w:bottom w:w="0" w:type="dxa"/>
            <w:right w:w="108" w:type="dxa"/>
          </w:tblCellMar>
        </w:tblPrEx>
        <w:trPr>
          <w:trHeight w:val="2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一般检查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身高、体重、血压、体重指数</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3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眼科检查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外眼及视力+眼底检查</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469"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耳鼻咽喉科</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耳鼻咽喉科</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416"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内科</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检查心肺、肝脾、腹部等</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273"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外科</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皮肤、淋巴结、甲状腺、脊柱、关节、乳腺等</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000000" w:fill="305496"/>
            <w:noWrap/>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第二类</w:t>
            </w:r>
          </w:p>
        </w:tc>
        <w:tc>
          <w:tcPr>
            <w:tcW w:w="4272" w:type="dxa"/>
            <w:tcBorders>
              <w:top w:val="nil"/>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检验项目</w:t>
            </w:r>
          </w:p>
        </w:tc>
        <w:tc>
          <w:tcPr>
            <w:tcW w:w="738"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color w:val="FFFFFF"/>
                <w:kern w:val="0"/>
                <w:sz w:val="18"/>
                <w:szCs w:val="18"/>
              </w:rPr>
            </w:pPr>
            <w:r>
              <w:rPr>
                <w:rFonts w:hint="eastAsia" w:ascii="宋体" w:hAnsi="宋体" w:cs="宋体"/>
                <w:color w:val="FFFFFF"/>
                <w:kern w:val="0"/>
                <w:sz w:val="18"/>
                <w:szCs w:val="18"/>
              </w:rPr>
              <w:t>　</w:t>
            </w:r>
          </w:p>
        </w:tc>
        <w:tc>
          <w:tcPr>
            <w:tcW w:w="850"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color w:val="FFFFFF"/>
                <w:kern w:val="0"/>
                <w:sz w:val="18"/>
                <w:szCs w:val="18"/>
              </w:rPr>
            </w:pPr>
            <w:r>
              <w:rPr>
                <w:rFonts w:hint="eastAsia" w:ascii="宋体" w:hAnsi="宋体" w:cs="宋体"/>
                <w:color w:val="FFFFFF"/>
                <w:kern w:val="0"/>
                <w:sz w:val="18"/>
                <w:szCs w:val="18"/>
              </w:rPr>
              <w:t>　</w:t>
            </w:r>
          </w:p>
        </w:tc>
        <w:tc>
          <w:tcPr>
            <w:tcW w:w="851"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color w:val="FFFFFF"/>
                <w:kern w:val="0"/>
                <w:sz w:val="18"/>
                <w:szCs w:val="18"/>
              </w:rPr>
            </w:pPr>
            <w:r>
              <w:rPr>
                <w:rFonts w:hint="eastAsia" w:ascii="宋体" w:hAnsi="宋体" w:cs="宋体"/>
                <w:color w:val="FFFFFF"/>
                <w:kern w:val="0"/>
                <w:sz w:val="18"/>
                <w:szCs w:val="18"/>
              </w:rPr>
              <w:t>　</w:t>
            </w:r>
          </w:p>
        </w:tc>
      </w:tr>
      <w:tr>
        <w:tblPrEx>
          <w:tblCellMar>
            <w:top w:w="0" w:type="dxa"/>
            <w:left w:w="108" w:type="dxa"/>
            <w:bottom w:w="0" w:type="dxa"/>
            <w:right w:w="108" w:type="dxa"/>
          </w:tblCellMar>
        </w:tblPrEx>
        <w:trPr>
          <w:trHeight w:val="285" w:hRule="atLeast"/>
        </w:trPr>
        <w:tc>
          <w:tcPr>
            <w:tcW w:w="19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尿常规</w:t>
            </w: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1、隐血</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2、尿液颜色</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3、尿酸碱度</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4、尿液结晶</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5、尿亚硝酸盐</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6、尿葡萄糖</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7、尿比重</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8、尿液透明度</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9、尿蛋白质</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10、尿胆红素</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11、尿胆原</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12、尿酮体</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13、尿白细胞</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14、尿白细胞镜检</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15、尿红细胞镜检</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16、镜检其它</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ascii="等线" w:hAnsi="等线" w:eastAsia="等线" w:cs="宋体"/>
                <w:color w:val="000000"/>
                <w:kern w:val="0"/>
                <w:sz w:val="22"/>
              </w:rPr>
            </w:pPr>
            <w:r>
              <w:rPr>
                <w:rFonts w:hint="eastAsia" w:ascii="等线" w:hAnsi="等线" w:eastAsia="等线" w:cs="宋体"/>
                <w:color w:val="000000"/>
                <w:kern w:val="0"/>
                <w:sz w:val="22"/>
              </w:rPr>
              <w:t>17、尿液管型</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血常规</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1、血小板</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2、血小板分布宽度</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3、平均血小板体积</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4、PCT</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5、红细胞</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6、血红蛋白</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7、红细胞压积</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8、红细胞平均体积</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9、平均血红蛋白量</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357"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10、平均血红蛋白浓度</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6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11、红细胞分布宽度标准差SD</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12、RDW-CV</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13、白细胞</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14、中性细胞比率</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15、淋巴细胞比率</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371"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16、嗜酸性粒细胞比率</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63"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17、嗜碱性粒细胞比率</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18、单核细胞比率</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19、淋巴细胞数</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20、嗜酸性粒细胞</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21、嗜碱性粒细胞</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22、单核细胞</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23、中性细胞数</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315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肝功五项</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丙氨酸氨基转移酶ALT、天门冬氨酸氨基转移酶AST、γ-谷氨酰转肽酶γ-GT、总胆红素TBIL、AST/ALT）</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615" w:hRule="atLeast"/>
        </w:trPr>
        <w:tc>
          <w:tcPr>
            <w:tcW w:w="1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肾功检测</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1、肌酐CREA</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675"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2、尿素UR</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900" w:hRule="atLeast"/>
        </w:trPr>
        <w:tc>
          <w:tcPr>
            <w:tcW w:w="196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等线" w:hAnsi="等线" w:eastAsia="等线" w:cs="宋体"/>
                <w:kern w:val="0"/>
                <w:sz w:val="20"/>
                <w:szCs w:val="20"/>
              </w:rPr>
            </w:pP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3、尿酸UA</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153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血脂检测</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血脂五项（甘油三脂TG、总胆固醇CHOL、高密度脂蛋白胆固醇HDL-C、低密度脂蛋白胆固醇LDL-C 动脉硬化指数）</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血糖检测</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空腹血糖GLU</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血糖检测</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糖化血红蛋白HbA1c</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肝炎病毒检测</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乙肝两对半（定性）</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甲胎蛋白AFP</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癌胚抗原CEA</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402"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总前列腺特异性抗原PSA</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　</w:t>
            </w:r>
          </w:p>
        </w:tc>
      </w:tr>
      <w:tr>
        <w:tblPrEx>
          <w:tblCellMar>
            <w:top w:w="0" w:type="dxa"/>
            <w:left w:w="108" w:type="dxa"/>
            <w:bottom w:w="0" w:type="dxa"/>
            <w:right w:w="108" w:type="dxa"/>
          </w:tblCellMar>
        </w:tblPrEx>
        <w:trPr>
          <w:trHeight w:val="408"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FPSA游离前列腺特异性抗原F-PSA（男）</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　</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CA724（胃癌标志物）</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CA125（卵巢癌标志物）</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CA153(乳腺癌标志物)</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CA199(消化系统肿瘤标志物）</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44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肿瘤筛查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血清铁蛋白</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000000" w:fill="305496"/>
            <w:noWrap/>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第三类</w:t>
            </w:r>
          </w:p>
        </w:tc>
        <w:tc>
          <w:tcPr>
            <w:tcW w:w="4272" w:type="dxa"/>
            <w:tcBorders>
              <w:top w:val="nil"/>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影像科项目</w:t>
            </w:r>
          </w:p>
        </w:tc>
        <w:tc>
          <w:tcPr>
            <w:tcW w:w="738"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0"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1"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彩超检查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彩超（肝胆胰脾双肾）</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彩超检查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彩超（双侧乳腺）（女）</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彩超检查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彩超（经腹子宫及双侧附件）（女）</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彩超检查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彩超（阴式子宫附件）（女已婚）</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73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彩超检查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彩超（前列腺）</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彩超检查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彩超（甲状腺）</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75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放射检查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CT（胸部）</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000000" w:fill="305496"/>
            <w:noWrap/>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第四类</w:t>
            </w:r>
          </w:p>
        </w:tc>
        <w:tc>
          <w:tcPr>
            <w:tcW w:w="4272" w:type="dxa"/>
            <w:tcBorders>
              <w:top w:val="nil"/>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功能科项目</w:t>
            </w:r>
          </w:p>
        </w:tc>
        <w:tc>
          <w:tcPr>
            <w:tcW w:w="738"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0"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1"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功能类检测</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静态心电图检查（12导联同步）</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000000" w:fill="305496"/>
            <w:noWrap/>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第五类</w:t>
            </w:r>
          </w:p>
        </w:tc>
        <w:tc>
          <w:tcPr>
            <w:tcW w:w="4272" w:type="dxa"/>
            <w:tcBorders>
              <w:top w:val="nil"/>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妇科项目</w:t>
            </w:r>
          </w:p>
        </w:tc>
        <w:tc>
          <w:tcPr>
            <w:tcW w:w="738"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0"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1"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r>
      <w:tr>
        <w:tblPrEx>
          <w:tblCellMar>
            <w:top w:w="0" w:type="dxa"/>
            <w:left w:w="108" w:type="dxa"/>
            <w:bottom w:w="0" w:type="dxa"/>
            <w:right w:w="108" w:type="dxa"/>
          </w:tblCellMar>
        </w:tblPrEx>
        <w:trPr>
          <w:trHeight w:val="43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妇科检查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妇科检查</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54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妇科检查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xml:space="preserve">白带常规  </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51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妇科检查</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TCT薄层液基细胞学检测</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000000" w:fill="305496"/>
            <w:noWrap/>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第六类</w:t>
            </w:r>
          </w:p>
        </w:tc>
        <w:tc>
          <w:tcPr>
            <w:tcW w:w="4272" w:type="dxa"/>
            <w:tcBorders>
              <w:top w:val="nil"/>
              <w:left w:val="nil"/>
              <w:bottom w:val="single" w:color="auto" w:sz="4" w:space="0"/>
              <w:right w:val="single" w:color="auto" w:sz="4" w:space="0"/>
            </w:tcBorders>
            <w:shd w:val="clear" w:color="000000" w:fill="305496"/>
            <w:vAlign w:val="center"/>
          </w:tcPr>
          <w:p>
            <w:pPr>
              <w:widowControl/>
              <w:spacing w:line="400" w:lineRule="exact"/>
              <w:jc w:val="center"/>
              <w:rPr>
                <w:rFonts w:ascii="宋体" w:hAnsi="宋体" w:cs="宋体"/>
                <w:b/>
                <w:bCs/>
                <w:color w:val="FFFFFF"/>
                <w:kern w:val="0"/>
                <w:sz w:val="18"/>
                <w:szCs w:val="18"/>
              </w:rPr>
            </w:pPr>
            <w:r>
              <w:rPr>
                <w:rFonts w:hint="eastAsia" w:ascii="宋体" w:hAnsi="宋体" w:cs="宋体"/>
                <w:b/>
                <w:bCs/>
                <w:color w:val="FFFFFF"/>
                <w:kern w:val="0"/>
                <w:sz w:val="18"/>
                <w:szCs w:val="18"/>
              </w:rPr>
              <w:t>早餐</w:t>
            </w:r>
          </w:p>
        </w:tc>
        <w:tc>
          <w:tcPr>
            <w:tcW w:w="738"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0"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c>
          <w:tcPr>
            <w:tcW w:w="851" w:type="dxa"/>
            <w:tcBorders>
              <w:top w:val="nil"/>
              <w:left w:val="nil"/>
              <w:bottom w:val="single" w:color="auto" w:sz="4" w:space="0"/>
              <w:right w:val="single" w:color="auto" w:sz="4" w:space="0"/>
            </w:tcBorders>
            <w:shd w:val="clear" w:color="000000" w:fill="305496"/>
            <w:noWrap/>
            <w:vAlign w:val="center"/>
          </w:tcPr>
          <w:p>
            <w:pPr>
              <w:widowControl/>
              <w:spacing w:line="400" w:lineRule="exact"/>
              <w:jc w:val="left"/>
              <w:rPr>
                <w:rFonts w:ascii="宋体" w:hAnsi="宋体" w:cs="宋体"/>
                <w:b/>
                <w:bCs/>
                <w:color w:val="FFFFFF"/>
                <w:kern w:val="0"/>
                <w:sz w:val="18"/>
                <w:szCs w:val="18"/>
              </w:rPr>
            </w:pPr>
            <w:r>
              <w:rPr>
                <w:rFonts w:hint="eastAsia" w:ascii="宋体" w:hAnsi="宋体" w:cs="宋体"/>
                <w:b/>
                <w:bCs/>
                <w:color w:val="FFFFFF"/>
                <w:kern w:val="0"/>
                <w:sz w:val="18"/>
                <w:szCs w:val="18"/>
              </w:rPr>
              <w:t>　</w:t>
            </w:r>
          </w:p>
        </w:tc>
      </w:tr>
      <w:tr>
        <w:tblPrEx>
          <w:tblCellMar>
            <w:top w:w="0" w:type="dxa"/>
            <w:left w:w="108" w:type="dxa"/>
            <w:bottom w:w="0" w:type="dxa"/>
            <w:right w:w="108" w:type="dxa"/>
          </w:tblCellMar>
        </w:tblPrEx>
        <w:trPr>
          <w:trHeight w:val="28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营养早餐</w:t>
            </w:r>
          </w:p>
        </w:tc>
        <w:tc>
          <w:tcPr>
            <w:tcW w:w="4272"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等线" w:hAnsi="等线" w:eastAsia="等线" w:cs="宋体"/>
                <w:kern w:val="0"/>
                <w:sz w:val="20"/>
                <w:szCs w:val="20"/>
              </w:rPr>
            </w:pPr>
            <w:r>
              <w:rPr>
                <w:rFonts w:hint="eastAsia" w:ascii="等线" w:hAnsi="等线" w:eastAsia="等线" w:cs="宋体"/>
                <w:kern w:val="0"/>
                <w:sz w:val="20"/>
                <w:szCs w:val="20"/>
              </w:rPr>
              <w:t>早餐</w:t>
            </w:r>
          </w:p>
        </w:tc>
        <w:tc>
          <w:tcPr>
            <w:tcW w:w="73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等线" w:hAnsi="等线" w:eastAsia="等线" w:cs="宋体"/>
                <w:kern w:val="0"/>
                <w:sz w:val="20"/>
                <w:szCs w:val="20"/>
              </w:rPr>
            </w:pPr>
            <w:r>
              <w:rPr>
                <w:rFonts w:hint="eastAsia" w:ascii="等线" w:hAnsi="等线" w:eastAsia="等线" w:cs="宋体"/>
                <w:kern w:val="0"/>
                <w:sz w:val="20"/>
                <w:szCs w:val="20"/>
              </w:rPr>
              <w:t>★</w:t>
            </w:r>
          </w:p>
        </w:tc>
      </w:tr>
    </w:tbl>
    <w:p>
      <w:pPr>
        <w:spacing w:line="400" w:lineRule="exact"/>
        <w:jc w:val="left"/>
        <w:rPr>
          <w:rFonts w:ascii="黑体" w:hAnsi="黑体" w:eastAsia="黑体"/>
          <w:sz w:val="30"/>
          <w:szCs w:val="30"/>
        </w:rPr>
      </w:pPr>
    </w:p>
    <w:p>
      <w:pPr>
        <w:spacing w:line="400" w:lineRule="exact"/>
        <w:jc w:val="left"/>
        <w:rPr>
          <w:rFonts w:ascii="黑体" w:hAnsi="黑体" w:eastAsia="黑体"/>
          <w:sz w:val="30"/>
          <w:szCs w:val="30"/>
        </w:rPr>
      </w:pPr>
      <w:r>
        <w:rPr>
          <w:rFonts w:hint="eastAsia" w:ascii="黑体" w:hAnsi="黑体" w:eastAsia="黑体"/>
          <w:sz w:val="30"/>
          <w:szCs w:val="30"/>
        </w:rPr>
        <w:t>三、报价</w:t>
      </w:r>
      <w:r>
        <w:rPr>
          <w:rFonts w:ascii="黑体" w:hAnsi="黑体" w:eastAsia="黑体"/>
          <w:sz w:val="30"/>
          <w:szCs w:val="30"/>
        </w:rPr>
        <w:t>要求：</w:t>
      </w:r>
    </w:p>
    <w:p>
      <w:pPr>
        <w:ind w:firstLine="480" w:firstLineChars="200"/>
        <w:rPr>
          <w:rFonts w:ascii="宋体" w:hAnsi="宋体"/>
          <w:bCs/>
          <w:snapToGrid w:val="0"/>
          <w:sz w:val="24"/>
        </w:rPr>
      </w:pPr>
      <w:r>
        <w:rPr>
          <w:rFonts w:hint="eastAsia" w:ascii="宋体" w:hAnsi="宋体"/>
          <w:bCs/>
          <w:snapToGrid w:val="0"/>
          <w:sz w:val="24"/>
        </w:rPr>
        <w:t>按两个分项分别报价：1、在职男性套餐单价；2、在职女性套餐单价；暂定体检人数</w:t>
      </w:r>
      <w:r>
        <w:rPr>
          <w:rFonts w:ascii="宋体" w:hAnsi="宋体"/>
          <w:bCs/>
          <w:snapToGrid w:val="0"/>
          <w:sz w:val="24"/>
        </w:rPr>
        <w:t>220</w:t>
      </w:r>
      <w:r>
        <w:rPr>
          <w:rFonts w:hint="eastAsia" w:ascii="宋体" w:hAnsi="宋体"/>
          <w:bCs/>
          <w:snapToGrid w:val="0"/>
          <w:sz w:val="24"/>
        </w:rPr>
        <w:t>人（男性约7</w:t>
      </w:r>
      <w:r>
        <w:rPr>
          <w:rFonts w:ascii="宋体" w:hAnsi="宋体"/>
          <w:bCs/>
          <w:snapToGrid w:val="0"/>
          <w:sz w:val="24"/>
        </w:rPr>
        <w:t>0人，女性约</w:t>
      </w:r>
      <w:r>
        <w:rPr>
          <w:rFonts w:hint="eastAsia" w:ascii="宋体" w:hAnsi="宋体"/>
          <w:bCs/>
          <w:snapToGrid w:val="0"/>
          <w:sz w:val="24"/>
        </w:rPr>
        <w:t>1</w:t>
      </w:r>
      <w:r>
        <w:rPr>
          <w:rFonts w:ascii="宋体" w:hAnsi="宋体"/>
          <w:bCs/>
          <w:snapToGrid w:val="0"/>
          <w:sz w:val="24"/>
        </w:rPr>
        <w:t>50人）</w:t>
      </w:r>
      <w:r>
        <w:rPr>
          <w:rFonts w:hint="eastAsia" w:ascii="宋体" w:hAnsi="宋体"/>
          <w:bCs/>
          <w:snapToGrid w:val="0"/>
          <w:sz w:val="24"/>
        </w:rPr>
        <w:t>，本次招标总价限为</w:t>
      </w:r>
      <w:r>
        <w:rPr>
          <w:rFonts w:ascii="宋体" w:hAnsi="宋体"/>
          <w:bCs/>
          <w:snapToGrid w:val="0"/>
          <w:sz w:val="24"/>
        </w:rPr>
        <w:t>9</w:t>
      </w:r>
      <w:r>
        <w:rPr>
          <w:rFonts w:hint="eastAsia" w:ascii="宋体" w:hAnsi="宋体"/>
          <w:bCs/>
          <w:snapToGrid w:val="0"/>
          <w:sz w:val="24"/>
        </w:rPr>
        <w:t>万</w:t>
      </w:r>
      <w:r>
        <w:rPr>
          <w:rFonts w:ascii="宋体" w:hAnsi="宋体"/>
          <w:bCs/>
          <w:snapToGrid w:val="0"/>
          <w:sz w:val="24"/>
        </w:rPr>
        <w:t>5</w:t>
      </w:r>
      <w:r>
        <w:rPr>
          <w:rFonts w:hint="eastAsia" w:ascii="宋体" w:hAnsi="宋体"/>
          <w:bCs/>
          <w:snapToGrid w:val="0"/>
          <w:sz w:val="24"/>
        </w:rPr>
        <w:t>千元人民币，总价超</w:t>
      </w:r>
      <w:r>
        <w:rPr>
          <w:rFonts w:ascii="宋体" w:hAnsi="宋体"/>
          <w:bCs/>
          <w:snapToGrid w:val="0"/>
          <w:sz w:val="24"/>
        </w:rPr>
        <w:t>9</w:t>
      </w:r>
      <w:r>
        <w:rPr>
          <w:rFonts w:hint="eastAsia" w:ascii="宋体" w:hAnsi="宋体"/>
          <w:bCs/>
          <w:snapToGrid w:val="0"/>
          <w:sz w:val="24"/>
        </w:rPr>
        <w:t>万</w:t>
      </w:r>
      <w:r>
        <w:rPr>
          <w:rFonts w:ascii="宋体" w:hAnsi="宋体"/>
          <w:bCs/>
          <w:snapToGrid w:val="0"/>
          <w:sz w:val="24"/>
        </w:rPr>
        <w:t>5</w:t>
      </w:r>
      <w:r>
        <w:rPr>
          <w:rFonts w:hint="eastAsia" w:ascii="宋体" w:hAnsi="宋体"/>
          <w:bCs/>
          <w:snapToGrid w:val="0"/>
          <w:sz w:val="24"/>
        </w:rPr>
        <w:t>千元人民币的为无效投标。</w:t>
      </w:r>
    </w:p>
    <w:bookmarkEnd w:id="0"/>
    <w:bookmarkEnd w:id="1"/>
    <w:bookmarkEnd w:id="2"/>
    <w:p>
      <w:pPr>
        <w:spacing w:line="276" w:lineRule="auto"/>
        <w:jc w:val="left"/>
        <w:rPr>
          <w:rFonts w:ascii="黑体" w:hAnsi="黑体" w:eastAsia="黑体"/>
          <w:sz w:val="30"/>
          <w:szCs w:val="30"/>
        </w:rPr>
      </w:pPr>
      <w:r>
        <w:rPr>
          <w:rFonts w:hint="eastAsia" w:ascii="黑体" w:hAnsi="黑体" w:eastAsia="黑体"/>
          <w:sz w:val="30"/>
          <w:szCs w:val="30"/>
        </w:rPr>
        <w:t>四、商务条款</w:t>
      </w:r>
    </w:p>
    <w:p>
      <w:pPr>
        <w:spacing w:line="276" w:lineRule="auto"/>
        <w:rPr>
          <w:rFonts w:ascii="宋体" w:hAnsi="宋体"/>
          <w:bCs/>
          <w:snapToGrid w:val="0"/>
          <w:sz w:val="24"/>
        </w:rPr>
      </w:pPr>
      <w:r>
        <w:rPr>
          <w:rFonts w:ascii="宋体" w:hAnsi="宋体"/>
          <w:bCs/>
          <w:snapToGrid w:val="0"/>
          <w:sz w:val="24"/>
        </w:rPr>
        <w:t>服务地点</w:t>
      </w:r>
      <w:r>
        <w:rPr>
          <w:rFonts w:hint="eastAsia" w:ascii="宋体" w:hAnsi="宋体"/>
          <w:bCs/>
          <w:snapToGrid w:val="0"/>
          <w:sz w:val="24"/>
        </w:rPr>
        <w:t>：扬州</w:t>
      </w:r>
    </w:p>
    <w:p>
      <w:pPr>
        <w:spacing w:line="276" w:lineRule="auto"/>
        <w:rPr>
          <w:rFonts w:ascii="宋体" w:hAnsi="宋体"/>
          <w:bCs/>
          <w:snapToGrid w:val="0"/>
          <w:sz w:val="24"/>
        </w:rPr>
      </w:pPr>
      <w:r>
        <w:rPr>
          <w:rFonts w:hint="eastAsia" w:ascii="宋体" w:hAnsi="宋体"/>
          <w:bCs/>
          <w:snapToGrid w:val="0"/>
          <w:sz w:val="24"/>
        </w:rPr>
        <w:t>服务</w:t>
      </w:r>
      <w:r>
        <w:rPr>
          <w:rFonts w:ascii="宋体" w:hAnsi="宋体"/>
          <w:bCs/>
          <w:snapToGrid w:val="0"/>
          <w:sz w:val="24"/>
        </w:rPr>
        <w:t>时间</w:t>
      </w:r>
      <w:r>
        <w:rPr>
          <w:rFonts w:hint="eastAsia" w:ascii="宋体" w:hAnsi="宋体"/>
          <w:bCs/>
          <w:snapToGrid w:val="0"/>
          <w:sz w:val="24"/>
        </w:rPr>
        <w:t>：按采购人需求</w:t>
      </w:r>
    </w:p>
    <w:p>
      <w:pPr>
        <w:spacing w:line="276" w:lineRule="auto"/>
        <w:rPr>
          <w:rFonts w:ascii="宋体" w:hAnsi="宋体"/>
          <w:bCs/>
          <w:snapToGrid w:val="0"/>
          <w:sz w:val="24"/>
        </w:rPr>
      </w:pPr>
      <w:r>
        <w:rPr>
          <w:rFonts w:ascii="宋体" w:hAnsi="宋体"/>
          <w:bCs/>
          <w:snapToGrid w:val="0"/>
          <w:sz w:val="24"/>
        </w:rPr>
        <w:t>结算</w:t>
      </w:r>
      <w:r>
        <w:rPr>
          <w:rFonts w:hint="eastAsia" w:ascii="宋体" w:hAnsi="宋体"/>
          <w:bCs/>
          <w:snapToGrid w:val="0"/>
          <w:sz w:val="24"/>
        </w:rPr>
        <w:t>方式：甲方体检服务费用最终按实际体检人数和实际体检项目结算。</w:t>
      </w:r>
    </w:p>
    <w:p>
      <w:pPr>
        <w:spacing w:line="276" w:lineRule="auto"/>
        <w:rPr>
          <w:rFonts w:ascii="宋体" w:hAnsi="宋体"/>
          <w:bCs/>
          <w:snapToGrid w:val="0"/>
          <w:sz w:val="24"/>
        </w:rPr>
      </w:pPr>
      <w:r>
        <w:rPr>
          <w:rFonts w:hint="eastAsia" w:ascii="宋体" w:hAnsi="宋体"/>
          <w:bCs/>
          <w:snapToGrid w:val="0"/>
          <w:sz w:val="24"/>
        </w:rPr>
        <w:t xml:space="preserve">结算周期：检后结算（体检时间≤3个月） </w:t>
      </w:r>
    </w:p>
    <w:p>
      <w:pPr>
        <w:spacing w:line="276" w:lineRule="auto"/>
        <w:rPr>
          <w:rFonts w:ascii="宋体" w:hAnsi="宋体"/>
          <w:bCs/>
          <w:snapToGrid w:val="0"/>
          <w:sz w:val="24"/>
        </w:rPr>
      </w:pPr>
      <w:r>
        <w:rPr>
          <w:rFonts w:hint="eastAsia" w:ascii="宋体" w:hAnsi="宋体"/>
          <w:bCs/>
          <w:snapToGrid w:val="0"/>
          <w:sz w:val="24"/>
        </w:rPr>
        <w:t>结算要求：每个结算周期后的五（5）个工作日内对体检服务费用进行结算，采购人收到发票后的十五个工作日内支付服务费。</w:t>
      </w:r>
    </w:p>
    <w:p>
      <w:pPr>
        <w:spacing w:line="276" w:lineRule="auto"/>
        <w:rPr>
          <w:rFonts w:ascii="宋体" w:hAnsi="宋体"/>
          <w:bCs/>
          <w:snapToGrid w:val="0"/>
          <w:sz w:val="24"/>
        </w:rPr>
      </w:pPr>
      <w:r>
        <w:rPr>
          <w:rFonts w:hint="eastAsia" w:ascii="宋体" w:hAnsi="宋体"/>
          <w:bCs/>
          <w:snapToGrid w:val="0"/>
          <w:sz w:val="24"/>
        </w:rPr>
        <w:t>投标货币：</w:t>
      </w:r>
      <w:r>
        <w:rPr>
          <w:rFonts w:ascii="宋体" w:hAnsi="宋体"/>
          <w:bCs/>
          <w:snapToGrid w:val="0"/>
          <w:sz w:val="24"/>
        </w:rPr>
        <w:t>本项目以人民币报价。</w:t>
      </w:r>
    </w:p>
    <w:p>
      <w:pPr>
        <w:spacing w:line="276" w:lineRule="auto"/>
        <w:jc w:val="left"/>
        <w:rPr>
          <w:rFonts w:ascii="黑体" w:hAnsi="黑体" w:eastAsia="黑体"/>
          <w:sz w:val="30"/>
          <w:szCs w:val="30"/>
        </w:rPr>
      </w:pPr>
      <w:r>
        <w:rPr>
          <w:rFonts w:hint="eastAsia" w:ascii="黑体" w:hAnsi="黑体" w:eastAsia="黑体"/>
          <w:sz w:val="30"/>
          <w:szCs w:val="30"/>
        </w:rPr>
        <w:t>五、评标办法及开标一览表</w:t>
      </w:r>
    </w:p>
    <w:p>
      <w:pPr>
        <w:tabs>
          <w:tab w:val="left" w:pos="0"/>
          <w:tab w:val="left" w:pos="993"/>
          <w:tab w:val="left" w:pos="1134"/>
        </w:tabs>
        <w:adjustRightInd w:val="0"/>
        <w:snapToGrid w:val="0"/>
        <w:spacing w:beforeLines="50" w:line="276" w:lineRule="auto"/>
        <w:ind w:firstLine="480" w:firstLineChars="200"/>
        <w:rPr>
          <w:rFonts w:ascii="宋体" w:hAnsi="宋体"/>
          <w:bCs/>
          <w:snapToGrid w:val="0"/>
          <w:sz w:val="24"/>
        </w:rPr>
      </w:pPr>
      <w:r>
        <w:rPr>
          <w:rFonts w:hint="eastAsia" w:ascii="宋体" w:hAnsi="宋体"/>
          <w:bCs/>
          <w:snapToGrid w:val="0"/>
          <w:sz w:val="24"/>
        </w:rPr>
        <w:t>（一）总则</w:t>
      </w:r>
    </w:p>
    <w:p>
      <w:pPr>
        <w:tabs>
          <w:tab w:val="left" w:pos="0"/>
          <w:tab w:val="left" w:pos="993"/>
          <w:tab w:val="left" w:pos="1134"/>
        </w:tabs>
        <w:adjustRightInd w:val="0"/>
        <w:snapToGrid w:val="0"/>
        <w:spacing w:line="400" w:lineRule="exact"/>
        <w:ind w:firstLine="480" w:firstLineChars="200"/>
        <w:rPr>
          <w:rFonts w:ascii="宋体" w:hAnsi="宋体"/>
          <w:bCs/>
          <w:snapToGrid w:val="0"/>
          <w:sz w:val="24"/>
        </w:rPr>
      </w:pPr>
      <w:r>
        <w:rPr>
          <w:rFonts w:hint="eastAsia" w:ascii="宋体" w:hAnsi="宋体"/>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本综合评分法采用百分制形式，具体分值详见本细则。</w:t>
      </w:r>
    </w:p>
    <w:p>
      <w:pPr>
        <w:tabs>
          <w:tab w:val="left" w:pos="0"/>
          <w:tab w:val="left" w:pos="600"/>
          <w:tab w:val="left" w:pos="993"/>
          <w:tab w:val="left" w:pos="1134"/>
        </w:tabs>
        <w:adjustRightInd w:val="0"/>
        <w:snapToGrid w:val="0"/>
        <w:spacing w:line="400" w:lineRule="exact"/>
        <w:ind w:firstLine="480" w:firstLineChars="200"/>
        <w:rPr>
          <w:rFonts w:ascii="宋体" w:hAnsi="宋体"/>
          <w:sz w:val="24"/>
        </w:rPr>
      </w:pPr>
      <w:r>
        <w:rPr>
          <w:rFonts w:hint="eastAsia" w:ascii="宋体" w:hAnsi="宋体"/>
          <w:sz w:val="24"/>
        </w:rPr>
        <w:t>（二）评分标准</w:t>
      </w:r>
    </w:p>
    <w:p>
      <w:pPr>
        <w:tabs>
          <w:tab w:val="left" w:pos="0"/>
          <w:tab w:val="left" w:pos="600"/>
          <w:tab w:val="left" w:pos="1134"/>
        </w:tabs>
        <w:adjustRightInd w:val="0"/>
        <w:snapToGrid w:val="0"/>
        <w:spacing w:line="400" w:lineRule="exact"/>
        <w:ind w:left="567"/>
        <w:rPr>
          <w:rFonts w:ascii="黑体" w:eastAsia="黑体"/>
          <w:b/>
          <w:bCs/>
          <w:sz w:val="28"/>
          <w:szCs w:val="28"/>
        </w:rPr>
      </w:pPr>
      <w:r>
        <w:rPr>
          <w:rFonts w:hint="eastAsia" w:ascii="宋体" w:hAnsi="宋体"/>
          <w:b/>
          <w:bCs/>
          <w:sz w:val="24"/>
        </w:rPr>
        <w:t>1.投标报价（40分）</w:t>
      </w:r>
    </w:p>
    <w:p>
      <w:pPr>
        <w:adjustRightInd w:val="0"/>
        <w:snapToGrid w:val="0"/>
        <w:spacing w:line="400" w:lineRule="exact"/>
        <w:ind w:firstLine="480" w:firstLineChars="200"/>
        <w:rPr>
          <w:rFonts w:ascii="宋体" w:hAnsi="宋体"/>
          <w:bCs/>
          <w:color w:val="000000"/>
          <w:sz w:val="24"/>
        </w:rPr>
      </w:pPr>
      <w:r>
        <w:rPr>
          <w:rFonts w:hint="eastAsia" w:ascii="宋体" w:hAnsi="宋体"/>
          <w:bCs/>
          <w:color w:val="000000"/>
          <w:sz w:val="24"/>
        </w:rPr>
        <w:t>按两个分项分别报价：1、男性套餐单价；2、女性套餐单价。</w:t>
      </w:r>
    </w:p>
    <w:p>
      <w:pPr>
        <w:adjustRightInd w:val="0"/>
        <w:snapToGrid w:val="0"/>
        <w:spacing w:line="400" w:lineRule="exact"/>
        <w:ind w:firstLine="480" w:firstLineChars="200"/>
        <w:rPr>
          <w:rFonts w:ascii="宋体" w:hAnsi="宋体" w:cs="宋体"/>
          <w:sz w:val="24"/>
        </w:rPr>
      </w:pPr>
      <w:r>
        <w:rPr>
          <w:rFonts w:hint="eastAsia" w:ascii="宋体" w:hAnsi="宋体"/>
          <w:bCs/>
          <w:color w:val="000000"/>
          <w:sz w:val="24"/>
        </w:rPr>
        <w:t>每个分项各占20分，满足采购文件要求且投标价格最低的分项投标报价为此分项评标基准价，其价格为满分20分。其他投标人的分项价格分统一按下列公式计算：分项得分=（分项评标基准价/投标报价）×20。数值取小数点后一位。将两个分项得分相加即为投标报价总得分。</w:t>
      </w:r>
      <w:bookmarkStart w:id="3" w:name="_GoBack"/>
      <w:bookmarkEnd w:id="3"/>
    </w:p>
    <w:p>
      <w:pPr>
        <w:tabs>
          <w:tab w:val="left" w:pos="0"/>
          <w:tab w:val="left" w:pos="600"/>
          <w:tab w:val="left" w:pos="993"/>
          <w:tab w:val="left" w:pos="1134"/>
        </w:tabs>
        <w:adjustRightInd w:val="0"/>
        <w:snapToGrid w:val="0"/>
        <w:spacing w:line="400" w:lineRule="exact"/>
        <w:rPr>
          <w:rFonts w:ascii="宋体" w:hAnsi="宋体"/>
          <w:b/>
          <w:bCs/>
          <w:sz w:val="24"/>
        </w:rPr>
      </w:pPr>
      <w:r>
        <w:rPr>
          <w:rFonts w:hint="eastAsia" w:ascii="宋体" w:hAnsi="宋体"/>
          <w:b/>
          <w:bCs/>
          <w:sz w:val="24"/>
        </w:rPr>
        <w:t xml:space="preserve">    2.服务质量评价（25分）               </w:t>
      </w:r>
    </w:p>
    <w:p>
      <w:pPr>
        <w:spacing w:line="400" w:lineRule="exact"/>
        <w:ind w:firstLine="240" w:firstLineChars="100"/>
        <w:rPr>
          <w:rFonts w:ascii="宋体" w:hAnsi="宋体" w:cs="宋体"/>
          <w:sz w:val="24"/>
        </w:rPr>
      </w:pPr>
      <w:r>
        <w:rPr>
          <w:rFonts w:hint="eastAsia" w:ascii="宋体" w:hAnsi="宋体" w:cs="宋体"/>
          <w:sz w:val="24"/>
        </w:rPr>
        <w:t xml:space="preserve"> 投标单位对体检预约方式、每日安排体检总人数（不限于我校）、大流量应对方案、应急处理预案、达不到服务承诺的赔偿措施、在体检周期内无法回扬参与教职工体检的解决方案等7项内容作出详细说明，评标委员会根据投标单位提供材料的合理性和可操作性进行评分，7项得分相加为此项总得分。 </w:t>
      </w:r>
    </w:p>
    <w:p>
      <w:pPr>
        <w:spacing w:line="400" w:lineRule="exact"/>
        <w:ind w:firstLine="480" w:firstLineChars="200"/>
        <w:rPr>
          <w:rFonts w:ascii="宋体" w:hAnsi="宋体" w:cs="宋体"/>
          <w:sz w:val="24"/>
        </w:rPr>
      </w:pPr>
      <w:r>
        <w:rPr>
          <w:rFonts w:hint="eastAsia" w:ascii="宋体" w:hAnsi="宋体" w:cs="宋体"/>
          <w:sz w:val="24"/>
        </w:rPr>
        <w:t>（1）其中投标单位对体检预约方式设置合理，便于操作得3分，一般得2分，差得1分，没有不得分。</w:t>
      </w:r>
    </w:p>
    <w:p>
      <w:pPr>
        <w:spacing w:line="400" w:lineRule="exact"/>
        <w:ind w:firstLine="480" w:firstLineChars="200"/>
        <w:rPr>
          <w:rFonts w:ascii="宋体" w:hAnsi="宋体" w:cs="宋体"/>
          <w:sz w:val="24"/>
        </w:rPr>
      </w:pPr>
      <w:r>
        <w:rPr>
          <w:rFonts w:hint="eastAsia" w:ascii="宋体" w:hAnsi="宋体" w:cs="宋体"/>
          <w:sz w:val="24"/>
        </w:rPr>
        <w:t>（2）每日安排体检总人数（不限于我校），能安排人数较多且安排人数合理得3分，一般得2分，差得1分，没有不得分。</w:t>
      </w:r>
    </w:p>
    <w:p>
      <w:pPr>
        <w:spacing w:line="400" w:lineRule="exact"/>
        <w:ind w:firstLine="480" w:firstLineChars="200"/>
        <w:rPr>
          <w:rFonts w:ascii="宋体" w:hAnsi="宋体" w:cs="宋体"/>
          <w:sz w:val="24"/>
        </w:rPr>
      </w:pPr>
      <w:r>
        <w:rPr>
          <w:rFonts w:hint="eastAsia" w:ascii="宋体" w:hAnsi="宋体" w:cs="宋体"/>
          <w:sz w:val="24"/>
        </w:rPr>
        <w:t>（3）大流量应对方案合理，可操作性强得3分，一般得2分，差得1分，没有不得分。</w:t>
      </w:r>
    </w:p>
    <w:p>
      <w:pPr>
        <w:spacing w:line="400" w:lineRule="exact"/>
        <w:ind w:firstLine="480" w:firstLineChars="200"/>
        <w:rPr>
          <w:rFonts w:ascii="宋体" w:hAnsi="宋体" w:cs="宋体"/>
          <w:sz w:val="24"/>
        </w:rPr>
      </w:pPr>
      <w:r>
        <w:rPr>
          <w:rFonts w:hint="eastAsia" w:ascii="宋体" w:hAnsi="宋体" w:cs="宋体"/>
          <w:sz w:val="24"/>
        </w:rPr>
        <w:t>（4）应急处理预案合理，可操作性强得3分，一般得2分，差得1分，没有不得分。</w:t>
      </w:r>
    </w:p>
    <w:p>
      <w:pPr>
        <w:spacing w:line="400" w:lineRule="exact"/>
        <w:ind w:firstLine="480" w:firstLineChars="200"/>
        <w:rPr>
          <w:rFonts w:ascii="宋体" w:hAnsi="宋体" w:cs="宋体"/>
          <w:sz w:val="24"/>
        </w:rPr>
      </w:pPr>
      <w:r>
        <w:rPr>
          <w:rFonts w:hint="eastAsia" w:ascii="宋体" w:hAnsi="宋体" w:cs="宋体"/>
          <w:sz w:val="24"/>
        </w:rPr>
        <w:t>（5）达不到服务承诺的赔偿措施设置合理得3分，一般得2分，差得1分，没有不得分。</w:t>
      </w:r>
    </w:p>
    <w:p>
      <w:pPr>
        <w:spacing w:line="400" w:lineRule="exact"/>
        <w:ind w:firstLine="480" w:firstLineChars="200"/>
        <w:rPr>
          <w:rFonts w:ascii="宋体" w:hAnsi="宋体" w:cs="宋体"/>
          <w:sz w:val="24"/>
        </w:rPr>
      </w:pPr>
      <w:r>
        <w:rPr>
          <w:rFonts w:hint="eastAsia" w:ascii="宋体" w:hAnsi="宋体" w:cs="宋体"/>
          <w:sz w:val="24"/>
        </w:rPr>
        <w:t>（6）部分无法回扬教职工的体检解决方案合理性强，可操作性好得5分，一般得3分，差得1分，没有不得分。</w:t>
      </w:r>
    </w:p>
    <w:p>
      <w:pPr>
        <w:spacing w:line="400" w:lineRule="exact"/>
        <w:ind w:firstLine="480" w:firstLineChars="200"/>
        <w:rPr>
          <w:rFonts w:ascii="宋体" w:hAnsi="宋体" w:cs="宋体"/>
          <w:sz w:val="24"/>
        </w:rPr>
      </w:pPr>
      <w:r>
        <w:rPr>
          <w:rFonts w:hint="eastAsia" w:ascii="宋体" w:hAnsi="宋体" w:cs="宋体"/>
          <w:sz w:val="24"/>
        </w:rPr>
        <w:t>（7）对清单外项目（自费项目）优惠承诺，根据本单位定价标准为基础，优惠方案最优得5分，一般得3分，差得1分，没有不得分。</w:t>
      </w:r>
    </w:p>
    <w:p>
      <w:pPr>
        <w:spacing w:line="400" w:lineRule="exact"/>
        <w:rPr>
          <w:rFonts w:ascii="宋体" w:hAnsi="宋体" w:cs="宋体"/>
          <w:sz w:val="24"/>
        </w:rPr>
      </w:pPr>
      <w:r>
        <w:rPr>
          <w:rFonts w:hint="eastAsia" w:ascii="宋体" w:hAnsi="宋体" w:cs="宋体"/>
          <w:b/>
          <w:bCs/>
          <w:sz w:val="24"/>
        </w:rPr>
        <w:t xml:space="preserve">    3.</w:t>
      </w:r>
      <w:r>
        <w:rPr>
          <w:rFonts w:hint="eastAsia" w:ascii="宋体" w:hAnsi="宋体"/>
          <w:b/>
          <w:bCs/>
          <w:color w:val="000000"/>
          <w:sz w:val="24"/>
        </w:rPr>
        <w:t>可用于本次体检的大型检查设备数量</w:t>
      </w:r>
      <w:r>
        <w:rPr>
          <w:rFonts w:hint="eastAsia" w:ascii="宋体" w:hAnsi="宋体" w:cs="宋体"/>
          <w:b/>
          <w:bCs/>
          <w:sz w:val="24"/>
        </w:rPr>
        <w:t>（2</w:t>
      </w:r>
      <w:r>
        <w:rPr>
          <w:rFonts w:ascii="宋体" w:hAnsi="宋体" w:cs="宋体"/>
          <w:b/>
          <w:bCs/>
          <w:sz w:val="24"/>
        </w:rPr>
        <w:t>0</w:t>
      </w:r>
      <w:r>
        <w:rPr>
          <w:rFonts w:hint="eastAsia" w:ascii="宋体" w:hAnsi="宋体" w:cs="宋体"/>
          <w:b/>
          <w:bCs/>
          <w:sz w:val="24"/>
        </w:rPr>
        <w:t>分）</w:t>
      </w:r>
    </w:p>
    <w:p>
      <w:pPr>
        <w:adjustRightInd w:val="0"/>
        <w:snapToGrid w:val="0"/>
        <w:spacing w:line="400" w:lineRule="exact"/>
        <w:ind w:firstLine="480" w:firstLineChars="200"/>
        <w:rPr>
          <w:rFonts w:ascii="宋体" w:hAnsi="宋体"/>
          <w:bCs/>
          <w:color w:val="000000"/>
          <w:sz w:val="24"/>
        </w:rPr>
      </w:pPr>
      <w:r>
        <w:rPr>
          <w:rFonts w:hint="eastAsia" w:ascii="宋体" w:hAnsi="宋体"/>
          <w:bCs/>
          <w:color w:val="000000"/>
          <w:sz w:val="24"/>
        </w:rPr>
        <w:t>3.1</w:t>
      </w:r>
      <w:r>
        <w:rPr>
          <w:rFonts w:ascii="宋体" w:hAnsi="宋体"/>
          <w:bCs/>
          <w:color w:val="000000"/>
          <w:sz w:val="24"/>
        </w:rPr>
        <w:t>彩色B超</w:t>
      </w:r>
      <w:r>
        <w:rPr>
          <w:rFonts w:hint="eastAsia" w:ascii="宋体" w:hAnsi="宋体"/>
          <w:bCs/>
          <w:color w:val="000000"/>
          <w:sz w:val="24"/>
        </w:rPr>
        <w:t>仪器数（10分）。根据各投标单位承诺的用于本次体检的彩色</w:t>
      </w:r>
      <w:r>
        <w:rPr>
          <w:rFonts w:ascii="宋体" w:hAnsi="宋体"/>
          <w:bCs/>
          <w:color w:val="000000"/>
          <w:sz w:val="24"/>
        </w:rPr>
        <w:t>B超仪器</w:t>
      </w:r>
      <w:r>
        <w:rPr>
          <w:rFonts w:hint="eastAsia" w:ascii="宋体" w:hAnsi="宋体"/>
          <w:bCs/>
          <w:color w:val="000000"/>
          <w:sz w:val="24"/>
        </w:rPr>
        <w:t>的数量进行评分，一台得</w:t>
      </w:r>
      <w:r>
        <w:rPr>
          <w:rFonts w:ascii="宋体" w:hAnsi="宋体"/>
          <w:bCs/>
          <w:color w:val="000000"/>
          <w:sz w:val="24"/>
        </w:rPr>
        <w:t>1</w:t>
      </w:r>
      <w:r>
        <w:rPr>
          <w:rFonts w:hint="eastAsia" w:ascii="宋体" w:hAnsi="宋体"/>
          <w:bCs/>
          <w:color w:val="000000"/>
          <w:sz w:val="24"/>
        </w:rPr>
        <w:t>分，一台以上每多一台加</w:t>
      </w:r>
      <w:r>
        <w:rPr>
          <w:rFonts w:ascii="宋体" w:hAnsi="宋体"/>
          <w:bCs/>
          <w:color w:val="000000"/>
          <w:sz w:val="24"/>
        </w:rPr>
        <w:t>1</w:t>
      </w:r>
      <w:r>
        <w:rPr>
          <w:rFonts w:hint="eastAsia" w:ascii="宋体" w:hAnsi="宋体"/>
          <w:bCs/>
          <w:color w:val="000000"/>
          <w:sz w:val="24"/>
        </w:rPr>
        <w:t>分，本项最高</w:t>
      </w:r>
      <w:r>
        <w:rPr>
          <w:rFonts w:ascii="宋体" w:hAnsi="宋体"/>
          <w:bCs/>
          <w:color w:val="000000"/>
          <w:sz w:val="24"/>
        </w:rPr>
        <w:t>1</w:t>
      </w:r>
      <w:r>
        <w:rPr>
          <w:rFonts w:hint="eastAsia" w:ascii="宋体" w:hAnsi="宋体"/>
          <w:bCs/>
          <w:color w:val="000000"/>
          <w:sz w:val="24"/>
        </w:rPr>
        <w:t>0分。</w:t>
      </w:r>
    </w:p>
    <w:p>
      <w:pPr>
        <w:adjustRightInd w:val="0"/>
        <w:snapToGrid w:val="0"/>
        <w:spacing w:line="400" w:lineRule="exact"/>
        <w:ind w:firstLine="480" w:firstLineChars="200"/>
        <w:rPr>
          <w:rFonts w:ascii="宋体" w:hAnsi="宋体"/>
          <w:bCs/>
          <w:color w:val="000000"/>
          <w:sz w:val="24"/>
        </w:rPr>
      </w:pPr>
      <w:r>
        <w:rPr>
          <w:rFonts w:hint="eastAsia" w:ascii="宋体" w:hAnsi="宋体"/>
          <w:bCs/>
          <w:color w:val="000000"/>
          <w:sz w:val="24"/>
        </w:rPr>
        <w:t>3.2 CT仪器数（10分）。根据各投标单位承诺的用于本次体检的CT的数量进行评分，一台得5分，一台以上每多一台加5分，本项最高</w:t>
      </w:r>
      <w:r>
        <w:rPr>
          <w:rFonts w:ascii="宋体" w:hAnsi="宋体"/>
          <w:bCs/>
          <w:color w:val="000000"/>
          <w:sz w:val="24"/>
        </w:rPr>
        <w:t>1</w:t>
      </w:r>
      <w:r>
        <w:rPr>
          <w:rFonts w:hint="eastAsia" w:ascii="宋体" w:hAnsi="宋体"/>
          <w:bCs/>
          <w:color w:val="000000"/>
          <w:sz w:val="24"/>
        </w:rPr>
        <w:t>0分。</w:t>
      </w:r>
    </w:p>
    <w:p>
      <w:pPr>
        <w:spacing w:line="400" w:lineRule="exact"/>
        <w:ind w:firstLine="482" w:firstLineChars="200"/>
        <w:rPr>
          <w:rFonts w:ascii="宋体" w:hAnsi="宋体"/>
          <w:b/>
          <w:bCs/>
          <w:color w:val="000000"/>
          <w:sz w:val="24"/>
        </w:rPr>
      </w:pPr>
      <w:r>
        <w:rPr>
          <w:rFonts w:hint="eastAsia" w:ascii="宋体" w:hAnsi="宋体" w:cs="宋体"/>
          <w:b/>
          <w:bCs/>
          <w:sz w:val="24"/>
        </w:rPr>
        <w:t>4.</w:t>
      </w:r>
      <w:r>
        <w:rPr>
          <w:rFonts w:hint="eastAsia" w:ascii="宋体" w:hAnsi="宋体"/>
          <w:b/>
          <w:bCs/>
          <w:color w:val="000000"/>
          <w:sz w:val="24"/>
        </w:rPr>
        <w:t>体检场所面积（10分）</w:t>
      </w:r>
    </w:p>
    <w:p>
      <w:pPr>
        <w:adjustRightInd w:val="0"/>
        <w:snapToGrid w:val="0"/>
        <w:spacing w:line="400" w:lineRule="exact"/>
        <w:ind w:firstLine="480" w:firstLineChars="200"/>
        <w:rPr>
          <w:rFonts w:ascii="宋体" w:hAnsi="宋体"/>
          <w:b/>
          <w:bCs/>
          <w:color w:val="000000"/>
          <w:sz w:val="24"/>
        </w:rPr>
      </w:pPr>
      <w:r>
        <w:rPr>
          <w:rFonts w:hint="eastAsia" w:ascii="宋体" w:hAnsi="宋体"/>
          <w:bCs/>
          <w:color w:val="000000"/>
          <w:sz w:val="24"/>
        </w:rPr>
        <w:t>以5000平方米为评标基准面积，投标单位体检中心面积在5000平方米（含）以上的得10分，不足5000平方米的得分统一按下列公式计算：得分=（面积/5000）×10，数值取小数点后一位。</w:t>
      </w:r>
    </w:p>
    <w:p>
      <w:pPr>
        <w:spacing w:line="400" w:lineRule="exact"/>
        <w:rPr>
          <w:rFonts w:ascii="宋体" w:hAnsi="宋体" w:cs="宋体"/>
          <w:sz w:val="24"/>
        </w:rPr>
      </w:pPr>
      <w:r>
        <w:rPr>
          <w:rFonts w:hint="eastAsia" w:ascii="宋体" w:hAnsi="宋体" w:cs="宋体"/>
          <w:b/>
          <w:bCs/>
          <w:sz w:val="24"/>
        </w:rPr>
        <w:t xml:space="preserve">    5.业绩分（5分）</w:t>
      </w:r>
    </w:p>
    <w:p>
      <w:pPr>
        <w:spacing w:line="400" w:lineRule="exact"/>
        <w:ind w:firstLine="480" w:firstLineChars="200"/>
        <w:rPr>
          <w:rFonts w:ascii="宋体" w:hAnsi="宋体"/>
          <w:bCs/>
          <w:color w:val="000000"/>
          <w:sz w:val="24"/>
        </w:rPr>
      </w:pPr>
      <w:r>
        <w:rPr>
          <w:rFonts w:hint="eastAsia" w:ascii="宋体" w:hAnsi="宋体"/>
          <w:bCs/>
          <w:color w:val="000000"/>
          <w:sz w:val="24"/>
        </w:rPr>
        <w:t>从2019年1月1日起，为超过100人以上的</w:t>
      </w:r>
      <w:r>
        <w:rPr>
          <w:rFonts w:hint="eastAsia" w:ascii="宋体" w:hAnsi="宋体" w:cs="宋体"/>
          <w:kern w:val="0"/>
          <w:sz w:val="24"/>
        </w:rPr>
        <w:t>学校或大型企事业单位</w:t>
      </w:r>
      <w:r>
        <w:rPr>
          <w:rFonts w:hint="eastAsia" w:ascii="宋体" w:hAnsi="宋体"/>
          <w:bCs/>
          <w:color w:val="000000"/>
          <w:sz w:val="24"/>
        </w:rPr>
        <w:t>健康体检（不含学生体检），提供合同或结算明细复印件（复印件主要内容清晰，原件现场备查），有1个得1分，最高5分。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DI2ZWM4OWIxMjFjNzVjNzFhMDU3MmQ5ODA2NGIifQ=="/>
  </w:docVars>
  <w:rsids>
    <w:rsidRoot w:val="53BE708F"/>
    <w:rsid w:val="53BE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2022-06-06T03:07:00Z</dcterms:created>
  <dc:creator>Lenovo</dc:creator>
  <cp:lastModifiedBy>Lenovo</cp:lastModifiedBy>
  <dcterms:modified xsi:type="dcterms:W3CDTF">2022-06-06T03:07:55Z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F48D3C663C0A47F993031D765B453F6C</vt:lpwstr>
  </property>
</Properties>
</file>