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30"/>
          <w:szCs w:val="30"/>
        </w:rPr>
      </w:pPr>
      <w:bookmarkStart w:id="1" w:name="_GoBack"/>
      <w:bookmarkEnd w:id="1"/>
      <w:bookmarkStart w:id="0" w:name="_Toc1983573"/>
      <w:r>
        <w:rPr>
          <w:rFonts w:hint="eastAsia" w:ascii="宋体" w:hAnsi="宋体"/>
          <w:color w:val="000000"/>
          <w:sz w:val="30"/>
          <w:szCs w:val="30"/>
        </w:rPr>
        <w:t>评标方法及评标标准</w:t>
      </w:r>
      <w:bookmarkEnd w:id="0"/>
    </w:p>
    <w:p>
      <w:pPr>
        <w:pStyle w:val="10"/>
        <w:pageBreakBefore w:val="0"/>
        <w:widowControl w:val="0"/>
        <w:kinsoku/>
        <w:wordWrap/>
        <w:overflowPunct/>
        <w:topLinePunct w:val="0"/>
        <w:autoSpaceDE/>
        <w:autoSpaceDN/>
        <w:bidi w:val="0"/>
        <w:snapToGrid/>
        <w:spacing w:line="240" w:lineRule="auto"/>
        <w:ind w:firstLine="422" w:firstLineChars="200"/>
        <w:rPr>
          <w:rFonts w:ascii="宋体" w:hAnsi="宋体"/>
          <w:b/>
          <w:kern w:val="2"/>
          <w:sz w:val="21"/>
          <w:szCs w:val="21"/>
        </w:rPr>
      </w:pPr>
      <w:r>
        <w:rPr>
          <w:rFonts w:hint="eastAsia" w:ascii="宋体" w:hAnsi="宋体"/>
          <w:b/>
          <w:kern w:val="2"/>
          <w:sz w:val="21"/>
          <w:szCs w:val="21"/>
        </w:rPr>
        <w:t>一、评标方法</w:t>
      </w:r>
    </w:p>
    <w:p>
      <w:pPr>
        <w:pageBreakBefore w:val="0"/>
        <w:widowControl w:val="0"/>
        <w:kinsoku/>
        <w:wordWrap/>
        <w:overflowPunct/>
        <w:topLinePunct w:val="0"/>
        <w:autoSpaceDE/>
        <w:autoSpaceDN/>
        <w:bidi w:val="0"/>
        <w:snapToGrid/>
        <w:spacing w:line="240" w:lineRule="auto"/>
        <w:ind w:firstLine="420" w:firstLineChars="200"/>
        <w:rPr>
          <w:rFonts w:hint="eastAsia"/>
        </w:rPr>
      </w:pPr>
      <w:r>
        <w:rPr>
          <w:rFonts w:hint="eastAsia"/>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22" w:firstLineChars="200"/>
        <w:rPr>
          <w:rFonts w:hint="eastAsia"/>
          <w:b/>
          <w:bCs/>
        </w:rPr>
      </w:pPr>
      <w:r>
        <w:rPr>
          <w:rFonts w:hint="eastAsia"/>
          <w:b/>
          <w:bCs/>
        </w:rPr>
        <w:t>二、评标标准</w:t>
      </w:r>
    </w:p>
    <w:tbl>
      <w:tblPr>
        <w:tblStyle w:val="7"/>
        <w:tblpPr w:leftFromText="180" w:rightFromText="180" w:vertAnchor="text" w:horzAnchor="page" w:tblpX="1673" w:tblpY="575"/>
        <w:tblOverlap w:val="never"/>
        <w:tblW w:w="9082" w:type="dxa"/>
        <w:tblInd w:w="0" w:type="dxa"/>
        <w:tblLayout w:type="fixed"/>
        <w:tblCellMar>
          <w:top w:w="0" w:type="dxa"/>
          <w:left w:w="0" w:type="dxa"/>
          <w:bottom w:w="0" w:type="dxa"/>
          <w:right w:w="0" w:type="dxa"/>
        </w:tblCellMar>
      </w:tblPr>
      <w:tblGrid>
        <w:gridCol w:w="709"/>
        <w:gridCol w:w="1569"/>
        <w:gridCol w:w="6804"/>
      </w:tblGrid>
      <w:tr>
        <w:tblPrEx>
          <w:tblCellMar>
            <w:top w:w="0" w:type="dxa"/>
            <w:left w:w="0" w:type="dxa"/>
            <w:bottom w:w="0" w:type="dxa"/>
            <w:right w:w="0" w:type="dxa"/>
          </w:tblCellMar>
        </w:tblPrEx>
        <w:trPr>
          <w:trHeight w:val="460"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序号</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评分因素</w:t>
            </w:r>
          </w:p>
        </w:tc>
        <w:tc>
          <w:tcPr>
            <w:tcW w:w="68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评分标准</w:t>
            </w:r>
          </w:p>
        </w:tc>
      </w:tr>
      <w:tr>
        <w:tblPrEx>
          <w:tblCellMar>
            <w:top w:w="0" w:type="dxa"/>
            <w:left w:w="0" w:type="dxa"/>
            <w:bottom w:w="0" w:type="dxa"/>
            <w:right w:w="0"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1</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报价</w:t>
            </w:r>
          </w:p>
          <w:p>
            <w:pPr>
              <w:jc w:val="center"/>
              <w:rPr>
                <w:rFonts w:ascii="宋体" w:hAnsi="宋体"/>
              </w:rPr>
            </w:pPr>
            <w:r>
              <w:rPr>
                <w:rFonts w:hint="eastAsia" w:ascii="宋体" w:hAnsi="宋体"/>
              </w:rPr>
              <w:t>(</w:t>
            </w:r>
            <w:r>
              <w:rPr>
                <w:rFonts w:hint="eastAsia" w:ascii="宋体" w:hAnsi="宋体"/>
                <w:lang w:val="en-US" w:eastAsia="zh-CN"/>
              </w:rPr>
              <w:t>30</w:t>
            </w:r>
            <w:r>
              <w:rPr>
                <w:rFonts w:hint="eastAsia" w:ascii="宋体" w:hAnsi="宋体"/>
              </w:rPr>
              <w:t>分)</w:t>
            </w:r>
          </w:p>
        </w:tc>
        <w:tc>
          <w:tcPr>
            <w:tcW w:w="68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rPr>
            </w:pPr>
            <w:r>
              <w:rPr>
                <w:rFonts w:hint="eastAsia" w:ascii="宋体" w:hAnsi="宋体"/>
              </w:rPr>
              <w:t>以满足招标文件要求的最低报价为评标基准价，得满分</w:t>
            </w:r>
            <w:r>
              <w:rPr>
                <w:rFonts w:hint="eastAsia" w:ascii="宋体" w:hAnsi="宋体"/>
                <w:lang w:val="en-US" w:eastAsia="zh-CN"/>
              </w:rPr>
              <w:t>30</w:t>
            </w:r>
            <w:r>
              <w:rPr>
                <w:rFonts w:hint="eastAsia" w:ascii="宋体" w:hAnsi="宋体"/>
              </w:rPr>
              <w:t>分，其它报价得分=（评标基准价/其他投标报价）×</w:t>
            </w:r>
            <w:r>
              <w:rPr>
                <w:rFonts w:hint="eastAsia" w:ascii="宋体" w:hAnsi="宋体"/>
                <w:lang w:val="en-US" w:eastAsia="zh-CN"/>
              </w:rPr>
              <w:t>30</w:t>
            </w:r>
            <w:r>
              <w:rPr>
                <w:rFonts w:hint="eastAsia" w:ascii="宋体" w:hAnsi="宋体"/>
              </w:rPr>
              <w:t>×100％</w:t>
            </w:r>
          </w:p>
        </w:tc>
      </w:tr>
      <w:tr>
        <w:tblPrEx>
          <w:tblCellMar>
            <w:top w:w="0" w:type="dxa"/>
            <w:left w:w="0" w:type="dxa"/>
            <w:bottom w:w="0" w:type="dxa"/>
            <w:right w:w="0"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2</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团队能力（15分）</w:t>
            </w:r>
          </w:p>
        </w:tc>
        <w:tc>
          <w:tcPr>
            <w:tcW w:w="68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rPr>
            </w:pPr>
            <w:r>
              <w:rPr>
                <w:rFonts w:hint="eastAsia" w:ascii="宋体" w:hAnsi="宋体"/>
              </w:rPr>
              <w:t>（一）参评团队具备专业舞台音视频设计、安装及调试资质</w:t>
            </w:r>
            <w:r>
              <w:rPr>
                <w:rFonts w:hint="eastAsia" w:ascii="宋体" w:hAnsi="宋体"/>
                <w:lang w:eastAsia="zh-CN"/>
              </w:rPr>
              <w:t>（</w:t>
            </w:r>
            <w:r>
              <w:rPr>
                <w:rFonts w:hint="eastAsia" w:ascii="宋体" w:hAnsi="宋体"/>
                <w:lang w:val="en-US" w:eastAsia="zh-CN"/>
              </w:rPr>
              <w:t>乙级以上</w:t>
            </w:r>
            <w:r>
              <w:rPr>
                <w:rFonts w:hint="eastAsia" w:ascii="宋体" w:hAnsi="宋体"/>
                <w:lang w:eastAsia="zh-CN"/>
              </w:rPr>
              <w:t>）</w:t>
            </w:r>
            <w:r>
              <w:rPr>
                <w:rFonts w:hint="eastAsia" w:ascii="宋体" w:hAnsi="宋体"/>
              </w:rPr>
              <w:t>得</w:t>
            </w:r>
            <w:r>
              <w:rPr>
                <w:rFonts w:hint="eastAsia" w:ascii="宋体" w:hAnsi="宋体"/>
                <w:lang w:val="en-US" w:eastAsia="zh-CN"/>
              </w:rPr>
              <w:t>4</w:t>
            </w:r>
            <w:r>
              <w:rPr>
                <w:rFonts w:hint="eastAsia" w:ascii="宋体" w:hAnsi="宋体"/>
              </w:rPr>
              <w:t>分；（提供相关证书）</w:t>
            </w:r>
          </w:p>
          <w:p>
            <w:pPr>
              <w:rPr>
                <w:rFonts w:ascii="宋体" w:hAnsi="宋体"/>
              </w:rPr>
            </w:pPr>
            <w:r>
              <w:rPr>
                <w:rFonts w:hint="eastAsia" w:ascii="宋体" w:hAnsi="宋体"/>
              </w:rPr>
              <w:t>（</w:t>
            </w:r>
            <w:r>
              <w:rPr>
                <w:rFonts w:hint="eastAsia" w:ascii="宋体" w:hAnsi="宋体"/>
                <w:lang w:val="en-US" w:eastAsia="zh-CN"/>
              </w:rPr>
              <w:t>二</w:t>
            </w:r>
            <w:r>
              <w:rPr>
                <w:rFonts w:hint="eastAsia" w:ascii="宋体" w:hAnsi="宋体"/>
              </w:rPr>
              <w:t xml:space="preserve">）项目团队核心成员（如项目经理、技术总监等）具备 5 年以上演出舞台搭建、灯光视频控制相关项目管理经验，每有 1 人得 2 分，最多得 </w:t>
            </w:r>
            <w:r>
              <w:rPr>
                <w:rFonts w:hint="eastAsia" w:ascii="宋体" w:hAnsi="宋体"/>
                <w:lang w:val="en-US" w:eastAsia="zh-CN"/>
              </w:rPr>
              <w:t>6</w:t>
            </w:r>
            <w:r>
              <w:rPr>
                <w:rFonts w:hint="eastAsia" w:ascii="宋体" w:hAnsi="宋体"/>
              </w:rPr>
              <w:t>分；需提供相关工作经历证明。</w:t>
            </w:r>
          </w:p>
          <w:p>
            <w:pPr>
              <w:rPr>
                <w:rFonts w:ascii="宋体" w:hAnsi="宋体"/>
              </w:rPr>
            </w:pPr>
            <w:r>
              <w:rPr>
                <w:rFonts w:hint="eastAsia" w:ascii="宋体" w:hAnsi="宋体"/>
              </w:rPr>
              <w:t>（</w:t>
            </w:r>
            <w:r>
              <w:rPr>
                <w:rFonts w:hint="eastAsia" w:ascii="宋体" w:hAnsi="宋体"/>
                <w:lang w:val="en-US" w:eastAsia="zh-CN"/>
              </w:rPr>
              <w:t>三</w:t>
            </w:r>
            <w:r>
              <w:rPr>
                <w:rFonts w:hint="eastAsia" w:ascii="宋体" w:hAnsi="宋体"/>
              </w:rPr>
              <w:t>）参评团队有创办过类似大型活动且运营3年及以上经历的得5分,运营不满3年的得2分。（提供相应活动照片、视频、合同）</w:t>
            </w:r>
          </w:p>
        </w:tc>
      </w:tr>
      <w:tr>
        <w:tblPrEx>
          <w:tblCellMar>
            <w:top w:w="0" w:type="dxa"/>
            <w:left w:w="0" w:type="dxa"/>
            <w:bottom w:w="0" w:type="dxa"/>
            <w:right w:w="0" w:type="dxa"/>
          </w:tblCellMar>
        </w:tblPrEx>
        <w:trPr>
          <w:trHeight w:val="3117"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3</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实施方案（</w:t>
            </w:r>
            <w:r>
              <w:rPr>
                <w:rFonts w:hint="eastAsia" w:ascii="宋体" w:hAnsi="宋体"/>
                <w:lang w:val="en-US" w:eastAsia="zh-CN"/>
              </w:rPr>
              <w:t>29</w:t>
            </w:r>
            <w:r>
              <w:rPr>
                <w:rFonts w:hint="eastAsia" w:ascii="宋体" w:hAnsi="宋体"/>
              </w:rPr>
              <w:t>分）</w:t>
            </w:r>
          </w:p>
        </w:tc>
        <w:tc>
          <w:tcPr>
            <w:tcW w:w="680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rPr>
            </w:pPr>
            <w:r>
              <w:rPr>
                <w:rFonts w:hint="eastAsia" w:ascii="宋体" w:hAnsi="宋体"/>
              </w:rPr>
              <w:t>（一）舞台效果呈现（</w:t>
            </w:r>
            <w:r>
              <w:rPr>
                <w:rFonts w:hint="eastAsia" w:ascii="宋体" w:hAnsi="宋体"/>
                <w:lang w:val="en-US" w:eastAsia="zh-CN"/>
              </w:rPr>
              <w:t>8</w:t>
            </w:r>
            <w:r>
              <w:rPr>
                <w:rFonts w:hint="eastAsia" w:ascii="宋体" w:hAnsi="宋体"/>
              </w:rPr>
              <w:t xml:space="preserve"> 分）​</w:t>
            </w:r>
          </w:p>
          <w:p>
            <w:pPr>
              <w:rPr>
                <w:rFonts w:hint="eastAsia" w:ascii="宋体" w:hAnsi="宋体"/>
              </w:rPr>
            </w:pPr>
            <w:r>
              <w:rPr>
                <w:rFonts w:hint="eastAsia" w:ascii="宋体" w:hAnsi="宋体"/>
              </w:rPr>
              <w:t>优秀（</w:t>
            </w:r>
            <w:r>
              <w:rPr>
                <w:rFonts w:hint="eastAsia" w:ascii="宋体" w:hAnsi="宋体"/>
                <w:lang w:val="en-US" w:eastAsia="zh-CN"/>
              </w:rPr>
              <w:t>8</w:t>
            </w:r>
            <w:r>
              <w:rPr>
                <w:rFonts w:hint="eastAsia" w:ascii="宋体" w:hAnsi="宋体"/>
              </w:rPr>
              <w:t xml:space="preserve"> 分）：完全符合演出主题和风格，</w:t>
            </w:r>
            <w:r>
              <w:rPr>
                <w:rFonts w:hint="eastAsia"/>
              </w:rPr>
              <w:t>设计新颖独特，极具创意</w:t>
            </w:r>
            <w:r>
              <w:rPr>
                <w:rFonts w:hint="eastAsia" w:ascii="宋体" w:hAnsi="宋体"/>
              </w:rPr>
              <w:t>，</w:t>
            </w:r>
            <w:r>
              <w:rPr>
                <w:rFonts w:hint="eastAsia"/>
              </w:rPr>
              <w:t>色彩搭配和谐统一，造型设计美观大方，整体视觉效果极佳</w:t>
            </w:r>
            <w:r>
              <w:rPr>
                <w:rFonts w:hint="eastAsia" w:ascii="宋体" w:hAnsi="宋体"/>
              </w:rPr>
              <w:t>。​</w:t>
            </w:r>
          </w:p>
          <w:p>
            <w:pPr>
              <w:rPr>
                <w:rFonts w:hint="eastAsia" w:ascii="宋体" w:hAnsi="宋体"/>
              </w:rPr>
            </w:pPr>
            <w:r>
              <w:rPr>
                <w:rFonts w:hint="eastAsia" w:ascii="宋体" w:hAnsi="宋体"/>
              </w:rPr>
              <w:t>良好（</w:t>
            </w:r>
            <w:r>
              <w:rPr>
                <w:rFonts w:hint="eastAsia" w:ascii="宋体" w:hAnsi="宋体"/>
                <w:lang w:val="en-US" w:eastAsia="zh-CN"/>
              </w:rPr>
              <w:t>6</w:t>
            </w:r>
            <w:r>
              <w:rPr>
                <w:rFonts w:hint="eastAsia" w:ascii="宋体" w:hAnsi="宋体"/>
              </w:rPr>
              <w:t>分）：基本符合演出主题和风格，</w:t>
            </w:r>
            <w:r>
              <w:rPr>
                <w:rFonts w:hint="eastAsia"/>
              </w:rPr>
              <w:t>设计有一定创意，能体现演出特色</w:t>
            </w:r>
            <w:r>
              <w:rPr>
                <w:rFonts w:hint="eastAsia" w:ascii="宋体" w:hAnsi="宋体"/>
              </w:rPr>
              <w:t>，</w:t>
            </w:r>
            <w:r>
              <w:rPr>
                <w:rFonts w:hint="eastAsia"/>
              </w:rPr>
              <w:t>色彩搭配基本协调，造型设计较为美观，整体视觉效果较好</w:t>
            </w:r>
            <w:r>
              <w:rPr>
                <w:rFonts w:hint="eastAsia" w:ascii="宋体" w:hAnsi="宋体"/>
              </w:rPr>
              <w:t>。​</w:t>
            </w:r>
          </w:p>
          <w:p>
            <w:pPr>
              <w:rPr>
                <w:rFonts w:hint="eastAsia" w:ascii="宋体" w:hAnsi="宋体"/>
              </w:rPr>
            </w:pPr>
            <w:r>
              <w:rPr>
                <w:rFonts w:hint="eastAsia" w:ascii="宋体" w:hAnsi="宋体"/>
              </w:rPr>
              <w:t>一般（</w:t>
            </w:r>
            <w:r>
              <w:rPr>
                <w:rFonts w:hint="eastAsia" w:ascii="宋体" w:hAnsi="宋体"/>
                <w:lang w:val="en-US" w:eastAsia="zh-CN"/>
              </w:rPr>
              <w:t>4</w:t>
            </w:r>
            <w:r>
              <w:rPr>
                <w:rFonts w:hint="eastAsia" w:ascii="宋体" w:hAnsi="宋体"/>
              </w:rPr>
              <w:t>分）：大致符合演出主题和风格，</w:t>
            </w:r>
            <w:r>
              <w:rPr>
                <w:rFonts w:hint="eastAsia"/>
              </w:rPr>
              <w:t>设计创意不足，较为常规，缺乏独特性</w:t>
            </w:r>
            <w:r>
              <w:rPr>
                <w:rFonts w:hint="eastAsia" w:ascii="宋体" w:hAnsi="宋体"/>
              </w:rPr>
              <w:t>，</w:t>
            </w:r>
            <w:r>
              <w:rPr>
                <w:rFonts w:hint="eastAsia"/>
              </w:rPr>
              <w:t>色彩搭配略有不协调，造型设计普通，整体视觉效果一般</w:t>
            </w:r>
            <w:r>
              <w:rPr>
                <w:rFonts w:hint="eastAsia" w:ascii="宋体" w:hAnsi="宋体"/>
              </w:rPr>
              <w:t>。</w:t>
            </w:r>
          </w:p>
          <w:p>
            <w:pPr>
              <w:rPr>
                <w:rFonts w:hint="eastAsia" w:ascii="宋体" w:hAnsi="宋体"/>
              </w:rPr>
            </w:pPr>
            <w:r>
              <w:rPr>
                <w:rFonts w:hint="eastAsia" w:ascii="宋体" w:hAnsi="宋体"/>
              </w:rPr>
              <w:t>较差（</w:t>
            </w:r>
            <w:r>
              <w:rPr>
                <w:rFonts w:hint="eastAsia" w:ascii="宋体" w:hAnsi="宋体"/>
                <w:lang w:val="en-US" w:eastAsia="zh-CN"/>
              </w:rPr>
              <w:t>2</w:t>
            </w:r>
            <w:r>
              <w:rPr>
                <w:rFonts w:hint="eastAsia" w:ascii="宋体" w:hAnsi="宋体"/>
              </w:rPr>
              <w:t>分）：不符合演出主题和风格，</w:t>
            </w:r>
            <w:r>
              <w:rPr>
                <w:rFonts w:hint="eastAsia"/>
              </w:rPr>
              <w:t>设计无创意，陈旧乏味，没有视觉亮点</w:t>
            </w:r>
            <w:r>
              <w:rPr>
                <w:rFonts w:hint="eastAsia"/>
                <w:lang w:eastAsia="zh-CN"/>
              </w:rPr>
              <w:t>，</w:t>
            </w:r>
            <w:r>
              <w:rPr>
                <w:rFonts w:hint="eastAsia"/>
              </w:rPr>
              <w:t>色彩搭配混乱，造型设计粗糙，整体视觉效果差</w:t>
            </w:r>
            <w:r>
              <w:rPr>
                <w:rFonts w:hint="eastAsia" w:ascii="宋体" w:hAnsi="宋体"/>
              </w:rPr>
              <w:t>。</w:t>
            </w:r>
          </w:p>
          <w:p>
            <w:pPr>
              <w:rPr>
                <w:rFonts w:hint="eastAsia" w:ascii="宋体" w:hAnsi="宋体"/>
              </w:rPr>
            </w:pPr>
            <w:r>
              <w:rPr>
                <w:rFonts w:hint="eastAsia" w:ascii="宋体" w:hAnsi="宋体"/>
                <w:lang w:val="en-US" w:eastAsia="zh-CN"/>
              </w:rPr>
              <w:t>不提供不得分。</w:t>
            </w:r>
          </w:p>
          <w:p>
            <w:pPr>
              <w:rPr>
                <w:rFonts w:hint="eastAsia"/>
              </w:rPr>
            </w:pPr>
            <w:r>
              <w:rPr>
                <w:rFonts w:hint="eastAsia" w:ascii="宋体" w:hAnsi="宋体"/>
              </w:rPr>
              <w:t>（</w:t>
            </w:r>
            <w:r>
              <w:rPr>
                <w:rFonts w:hint="eastAsia" w:ascii="宋体" w:hAnsi="宋体"/>
                <w:lang w:val="en-US" w:eastAsia="zh-CN"/>
              </w:rPr>
              <w:t>二</w:t>
            </w:r>
            <w:r>
              <w:rPr>
                <w:rFonts w:hint="eastAsia" w:ascii="宋体" w:hAnsi="宋体"/>
              </w:rPr>
              <w:t>）</w:t>
            </w:r>
            <w:r>
              <w:rPr>
                <w:rFonts w:hint="eastAsia"/>
              </w:rPr>
              <w:t>灯光控制（</w:t>
            </w:r>
            <w:r>
              <w:rPr>
                <w:rFonts w:hint="eastAsia"/>
                <w:lang w:val="en-US" w:eastAsia="zh-CN"/>
              </w:rPr>
              <w:t>8</w:t>
            </w:r>
            <w:r>
              <w:rPr>
                <w:rFonts w:hint="eastAsia"/>
              </w:rPr>
              <w:t xml:space="preserve"> 分）​</w:t>
            </w:r>
          </w:p>
          <w:p>
            <w:pPr>
              <w:rPr>
                <w:rFonts w:hint="eastAsia"/>
              </w:rPr>
            </w:pPr>
            <w:r>
              <w:rPr>
                <w:rFonts w:hint="eastAsia"/>
              </w:rPr>
              <w:t>优秀</w:t>
            </w:r>
            <w:r>
              <w:rPr>
                <w:rFonts w:hint="eastAsia" w:ascii="宋体" w:hAnsi="宋体"/>
              </w:rPr>
              <w:t>（</w:t>
            </w:r>
            <w:r>
              <w:rPr>
                <w:rFonts w:hint="eastAsia" w:ascii="宋体" w:hAnsi="宋体"/>
                <w:lang w:val="en-US" w:eastAsia="zh-CN"/>
              </w:rPr>
              <w:t>8</w:t>
            </w:r>
            <w:r>
              <w:rPr>
                <w:rFonts w:hint="eastAsia" w:ascii="宋体" w:hAnsi="宋体"/>
              </w:rPr>
              <w:t xml:space="preserve"> 分）</w:t>
            </w:r>
            <w:r>
              <w:rPr>
                <w:rFonts w:hint="eastAsia"/>
              </w:rPr>
              <w:t>：灯光布局科学合理，类型选择精准，能突出重点区域和人物，完美契合演出需求。​</w:t>
            </w:r>
          </w:p>
          <w:p>
            <w:pPr>
              <w:rPr>
                <w:rFonts w:hint="eastAsia"/>
              </w:rPr>
            </w:pPr>
            <w:r>
              <w:rPr>
                <w:rFonts w:hint="eastAsia"/>
              </w:rPr>
              <w:t>良好</w:t>
            </w:r>
            <w:r>
              <w:rPr>
                <w:rFonts w:hint="eastAsia" w:ascii="宋体" w:hAnsi="宋体"/>
              </w:rPr>
              <w:t>（</w:t>
            </w:r>
            <w:r>
              <w:rPr>
                <w:rFonts w:hint="eastAsia" w:ascii="宋体" w:hAnsi="宋体"/>
                <w:lang w:val="en-US" w:eastAsia="zh-CN"/>
              </w:rPr>
              <w:t>6</w:t>
            </w:r>
            <w:r>
              <w:rPr>
                <w:rFonts w:hint="eastAsia" w:ascii="宋体" w:hAnsi="宋体"/>
              </w:rPr>
              <w:t>分）</w:t>
            </w:r>
            <w:r>
              <w:rPr>
                <w:rFonts w:hint="eastAsia"/>
              </w:rPr>
              <w:t>：灯光布局基本合理，类型选择较为恰当，能较好突出重点区域和人物，符合演出基本需求。​</w:t>
            </w:r>
          </w:p>
          <w:p>
            <w:pPr>
              <w:rPr>
                <w:rFonts w:hint="eastAsia"/>
              </w:rPr>
            </w:pPr>
            <w:r>
              <w:rPr>
                <w:rFonts w:hint="eastAsia"/>
              </w:rPr>
              <w:t>一般</w:t>
            </w:r>
            <w:r>
              <w:rPr>
                <w:rFonts w:hint="eastAsia" w:ascii="宋体" w:hAnsi="宋体"/>
              </w:rPr>
              <w:t>（</w:t>
            </w:r>
            <w:r>
              <w:rPr>
                <w:rFonts w:hint="eastAsia" w:ascii="宋体" w:hAnsi="宋体"/>
                <w:lang w:val="en-US" w:eastAsia="zh-CN"/>
              </w:rPr>
              <w:t>4</w:t>
            </w:r>
            <w:r>
              <w:rPr>
                <w:rFonts w:hint="eastAsia" w:ascii="宋体" w:hAnsi="宋体"/>
              </w:rPr>
              <w:t>分）</w:t>
            </w:r>
            <w:r>
              <w:rPr>
                <w:rFonts w:hint="eastAsia"/>
              </w:rPr>
              <w:t>：灯光布局存在一定不合理之处，类型选择不够精准，突出重点区域和人物效果一般，基本满足演出需求。​</w:t>
            </w:r>
          </w:p>
          <w:p>
            <w:pPr>
              <w:rPr>
                <w:rFonts w:hint="eastAsia"/>
              </w:rPr>
            </w:pPr>
            <w:r>
              <w:rPr>
                <w:rFonts w:hint="eastAsia"/>
              </w:rPr>
              <w:t>较差</w:t>
            </w:r>
            <w:r>
              <w:rPr>
                <w:rFonts w:hint="eastAsia" w:ascii="宋体" w:hAnsi="宋体"/>
              </w:rPr>
              <w:t>（</w:t>
            </w:r>
            <w:r>
              <w:rPr>
                <w:rFonts w:hint="eastAsia" w:ascii="宋体" w:hAnsi="宋体"/>
                <w:lang w:val="en-US" w:eastAsia="zh-CN"/>
              </w:rPr>
              <w:t>2</w:t>
            </w:r>
            <w:r>
              <w:rPr>
                <w:rFonts w:hint="eastAsia" w:ascii="宋体" w:hAnsi="宋体"/>
              </w:rPr>
              <w:t>分）</w:t>
            </w:r>
            <w:r>
              <w:rPr>
                <w:rFonts w:hint="eastAsia"/>
              </w:rPr>
              <w:t>：灯光布局混乱，类型选择不当，无法突出重点区域和人物，不能满足演出需求。​</w:t>
            </w:r>
          </w:p>
          <w:p>
            <w:pPr>
              <w:rPr>
                <w:rFonts w:hint="eastAsia" w:ascii="宋体" w:hAnsi="宋体"/>
              </w:rPr>
            </w:pPr>
            <w:r>
              <w:rPr>
                <w:rFonts w:hint="eastAsia" w:ascii="宋体" w:hAnsi="宋体"/>
                <w:lang w:val="en-US" w:eastAsia="zh-CN"/>
              </w:rPr>
              <w:t>不提供不得分。</w:t>
            </w:r>
          </w:p>
          <w:p>
            <w:pPr>
              <w:rPr>
                <w:rFonts w:hint="eastAsia"/>
              </w:rPr>
            </w:pPr>
            <w:r>
              <w:rPr>
                <w:rFonts w:hint="eastAsia" w:ascii="宋体" w:hAnsi="宋体"/>
              </w:rPr>
              <w:t>（</w:t>
            </w:r>
            <w:r>
              <w:rPr>
                <w:rFonts w:hint="eastAsia" w:ascii="宋体" w:hAnsi="宋体"/>
                <w:lang w:val="en-US" w:eastAsia="zh-CN"/>
              </w:rPr>
              <w:t>三</w:t>
            </w:r>
            <w:r>
              <w:rPr>
                <w:rFonts w:hint="eastAsia" w:ascii="宋体" w:hAnsi="宋体"/>
              </w:rPr>
              <w:t>）</w:t>
            </w:r>
            <w:r>
              <w:rPr>
                <w:rFonts w:hint="eastAsia"/>
              </w:rPr>
              <w:t>音响控制（</w:t>
            </w:r>
            <w:r>
              <w:rPr>
                <w:rFonts w:hint="eastAsia"/>
                <w:lang w:val="en-US" w:eastAsia="zh-CN"/>
              </w:rPr>
              <w:t>8</w:t>
            </w:r>
            <w:r>
              <w:rPr>
                <w:rFonts w:hint="eastAsia"/>
              </w:rPr>
              <w:t xml:space="preserve"> 分）​</w:t>
            </w:r>
          </w:p>
          <w:p>
            <w:pPr>
              <w:rPr>
                <w:rFonts w:hint="eastAsia"/>
              </w:rPr>
            </w:pPr>
            <w:r>
              <w:rPr>
                <w:rFonts w:hint="eastAsia"/>
              </w:rPr>
              <w:t>优秀</w:t>
            </w:r>
            <w:r>
              <w:rPr>
                <w:rFonts w:hint="eastAsia" w:ascii="宋体" w:hAnsi="宋体"/>
              </w:rPr>
              <w:t>（</w:t>
            </w:r>
            <w:r>
              <w:rPr>
                <w:rFonts w:hint="eastAsia" w:ascii="宋体" w:hAnsi="宋体"/>
                <w:lang w:val="en-US" w:eastAsia="zh-CN"/>
              </w:rPr>
              <w:t>8</w:t>
            </w:r>
            <w:r>
              <w:rPr>
                <w:rFonts w:hint="eastAsia" w:ascii="宋体" w:hAnsi="宋体"/>
              </w:rPr>
              <w:t>分）</w:t>
            </w:r>
            <w:r>
              <w:rPr>
                <w:rFonts w:hint="eastAsia"/>
              </w:rPr>
              <w:t>：音响设备选型高端且适配，布局科学合理，能保证声音全面覆盖演出场地，音质极佳</w:t>
            </w:r>
            <w:r>
              <w:rPr>
                <w:rFonts w:hint="eastAsia"/>
                <w:lang w:eastAsia="zh-CN"/>
              </w:rPr>
              <w:t>，</w:t>
            </w:r>
            <w:r>
              <w:rPr>
                <w:rFonts w:hint="eastAsia"/>
              </w:rPr>
              <w:t>语言和音乐细节都能准确传递给观众，无任何模糊感。​</w:t>
            </w:r>
          </w:p>
          <w:p>
            <w:pPr>
              <w:rPr>
                <w:rFonts w:hint="eastAsia"/>
              </w:rPr>
            </w:pPr>
            <w:r>
              <w:rPr>
                <w:rFonts w:hint="eastAsia"/>
              </w:rPr>
              <w:t>良好</w:t>
            </w:r>
            <w:r>
              <w:rPr>
                <w:rFonts w:hint="eastAsia" w:ascii="宋体" w:hAnsi="宋体"/>
              </w:rPr>
              <w:t>（</w:t>
            </w:r>
            <w:r>
              <w:rPr>
                <w:rFonts w:hint="eastAsia" w:ascii="宋体" w:hAnsi="宋体"/>
                <w:lang w:val="en-US" w:eastAsia="zh-CN"/>
              </w:rPr>
              <w:t>6</w:t>
            </w:r>
            <w:r>
              <w:rPr>
                <w:rFonts w:hint="eastAsia" w:ascii="宋体" w:hAnsi="宋体"/>
              </w:rPr>
              <w:t>分）</w:t>
            </w:r>
            <w:r>
              <w:rPr>
                <w:rFonts w:hint="eastAsia"/>
              </w:rPr>
              <w:t>：音响设备选型合适，布局基本合理，声音覆盖范围和音质能满足演出基本需求</w:t>
            </w:r>
            <w:r>
              <w:rPr>
                <w:rFonts w:hint="eastAsia"/>
                <w:lang w:eastAsia="zh-CN"/>
              </w:rPr>
              <w:t>，</w:t>
            </w:r>
            <w:r>
              <w:rPr>
                <w:rFonts w:hint="eastAsia"/>
              </w:rPr>
              <w:t>声音基本清晰，语言和音乐主要内容能准确传递，轻微模糊但不影响理解。​</w:t>
            </w:r>
          </w:p>
          <w:p>
            <w:pPr>
              <w:rPr>
                <w:rFonts w:hint="eastAsia"/>
              </w:rPr>
            </w:pPr>
            <w:r>
              <w:rPr>
                <w:rFonts w:hint="eastAsia"/>
              </w:rPr>
              <w:t>一般</w:t>
            </w:r>
            <w:r>
              <w:rPr>
                <w:rFonts w:hint="eastAsia" w:ascii="宋体" w:hAnsi="宋体"/>
              </w:rPr>
              <w:t>（</w:t>
            </w:r>
            <w:r>
              <w:rPr>
                <w:rFonts w:hint="eastAsia" w:ascii="宋体" w:hAnsi="宋体"/>
                <w:lang w:val="en-US" w:eastAsia="zh-CN"/>
              </w:rPr>
              <w:t>4</w:t>
            </w:r>
            <w:r>
              <w:rPr>
                <w:rFonts w:hint="eastAsia" w:ascii="宋体" w:hAnsi="宋体"/>
              </w:rPr>
              <w:t xml:space="preserve"> 分）</w:t>
            </w:r>
            <w:r>
              <w:rPr>
                <w:rFonts w:hint="eastAsia"/>
              </w:rPr>
              <w:t>：音响设备选型存在一定不足，布局有不合理之处，声音覆盖范围和音质一般</w:t>
            </w:r>
            <w:r>
              <w:rPr>
                <w:rFonts w:hint="eastAsia"/>
                <w:lang w:eastAsia="zh-CN"/>
              </w:rPr>
              <w:t>，</w:t>
            </w:r>
            <w:r>
              <w:rPr>
                <w:rFonts w:hint="eastAsia"/>
              </w:rPr>
              <w:t>声音清晰度一般，语言和音乐部分内容传递不够准确，有一定模糊感。​</w:t>
            </w:r>
          </w:p>
          <w:p>
            <w:pPr>
              <w:rPr>
                <w:rFonts w:hint="eastAsia"/>
              </w:rPr>
            </w:pPr>
            <w:r>
              <w:rPr>
                <w:rFonts w:hint="eastAsia"/>
              </w:rPr>
              <w:t>较差</w:t>
            </w:r>
            <w:r>
              <w:rPr>
                <w:rFonts w:hint="eastAsia" w:ascii="宋体" w:hAnsi="宋体"/>
              </w:rPr>
              <w:t>（</w:t>
            </w:r>
            <w:r>
              <w:rPr>
                <w:rFonts w:hint="eastAsia" w:ascii="宋体" w:hAnsi="宋体"/>
                <w:lang w:val="en-US" w:eastAsia="zh-CN"/>
              </w:rPr>
              <w:t>2</w:t>
            </w:r>
            <w:r>
              <w:rPr>
                <w:rFonts w:hint="eastAsia" w:ascii="宋体" w:hAnsi="宋体"/>
              </w:rPr>
              <w:t>分）</w:t>
            </w:r>
            <w:r>
              <w:rPr>
                <w:rFonts w:hint="eastAsia"/>
              </w:rPr>
              <w:t>：音响设备选型不当，布局混乱，声音覆盖范围小且音质差，无法满足演出需求</w:t>
            </w:r>
            <w:r>
              <w:rPr>
                <w:rFonts w:hint="eastAsia"/>
                <w:lang w:eastAsia="zh-CN"/>
              </w:rPr>
              <w:t>，</w:t>
            </w:r>
            <w:r>
              <w:rPr>
                <w:rFonts w:hint="eastAsia"/>
              </w:rPr>
              <w:t>声音模糊不清，语言和音乐内容难以准确传递，严重影响观众理解。​</w:t>
            </w:r>
          </w:p>
          <w:p>
            <w:pPr>
              <w:rPr>
                <w:rFonts w:hint="eastAsia"/>
              </w:rPr>
            </w:pPr>
            <w:r>
              <w:rPr>
                <w:rFonts w:hint="eastAsia" w:ascii="宋体" w:hAnsi="宋体"/>
                <w:lang w:val="en-US" w:eastAsia="zh-CN"/>
              </w:rPr>
              <w:t>不提供不得分。</w:t>
            </w:r>
          </w:p>
          <w:p>
            <w:pPr>
              <w:rPr>
                <w:rFonts w:hint="eastAsia"/>
              </w:rPr>
            </w:pPr>
            <w:r>
              <w:rPr>
                <w:rFonts w:hint="eastAsia"/>
              </w:rPr>
              <w:t>（四）方案创新性（5 分）​</w:t>
            </w:r>
          </w:p>
          <w:p>
            <w:pPr>
              <w:rPr>
                <w:rFonts w:hint="eastAsia"/>
              </w:rPr>
            </w:pPr>
            <w:r>
              <w:rPr>
                <w:rFonts w:hint="eastAsia"/>
              </w:rPr>
              <w:t>优秀（</w:t>
            </w:r>
            <w:r>
              <w:rPr>
                <w:rFonts w:hint="eastAsia"/>
                <w:lang w:val="en-US" w:eastAsia="zh-CN"/>
              </w:rPr>
              <w:t>5</w:t>
            </w:r>
            <w:r>
              <w:rPr>
                <w:rFonts w:hint="eastAsia"/>
              </w:rPr>
              <w:t>分）：方案在舞台效果、灯光音响、视频等方面有诸多新的想法和独特尝试，具有较高的创新性和前瞻性。​</w:t>
            </w:r>
          </w:p>
          <w:p>
            <w:pPr>
              <w:rPr>
                <w:rFonts w:hint="eastAsia"/>
              </w:rPr>
            </w:pPr>
            <w:r>
              <w:rPr>
                <w:rFonts w:hint="eastAsia"/>
              </w:rPr>
              <w:t>良好（3 分）：方案在部分方面有新的想法和尝试，有一定的创新性。​</w:t>
            </w:r>
          </w:p>
          <w:p>
            <w:pPr>
              <w:rPr>
                <w:rFonts w:hint="eastAsia"/>
              </w:rPr>
            </w:pPr>
            <w:r>
              <w:rPr>
                <w:rFonts w:hint="eastAsia"/>
              </w:rPr>
              <w:t>一般（</w:t>
            </w:r>
            <w:r>
              <w:rPr>
                <w:rFonts w:hint="eastAsia"/>
                <w:lang w:val="en-US" w:eastAsia="zh-CN"/>
              </w:rPr>
              <w:t>1</w:t>
            </w:r>
            <w:r>
              <w:rPr>
                <w:rFonts w:hint="eastAsia"/>
              </w:rPr>
              <w:t xml:space="preserve"> 分）：方案创新性不足，基本沿用常规思路，新想法和尝试少。</w:t>
            </w:r>
          </w:p>
          <w:p>
            <w:pPr>
              <w:rPr>
                <w:rFonts w:ascii="宋体" w:hAnsi="宋体"/>
              </w:rPr>
            </w:pPr>
            <w:r>
              <w:rPr>
                <w:rFonts w:hint="eastAsia"/>
              </w:rPr>
              <w:t>较差（</w:t>
            </w:r>
            <w:r>
              <w:rPr>
                <w:rFonts w:hint="eastAsia"/>
                <w:lang w:val="en-US" w:eastAsia="zh-CN"/>
              </w:rPr>
              <w:t>0</w:t>
            </w:r>
            <w:r>
              <w:rPr>
                <w:rFonts w:hint="eastAsia"/>
              </w:rPr>
              <w:t>分）：方案无任何创新，完全照搬传统模式。​</w:t>
            </w:r>
          </w:p>
        </w:tc>
      </w:tr>
      <w:tr>
        <w:tblPrEx>
          <w:tblCellMar>
            <w:top w:w="0" w:type="dxa"/>
            <w:left w:w="0" w:type="dxa"/>
            <w:bottom w:w="0" w:type="dxa"/>
            <w:right w:w="0"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4</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企业业绩（10分）</w:t>
            </w:r>
          </w:p>
        </w:tc>
        <w:tc>
          <w:tcPr>
            <w:tcW w:w="68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rPr>
            </w:pPr>
            <w:r>
              <w:rPr>
                <w:rFonts w:hint="eastAsia" w:ascii="宋体" w:hAnsi="宋体"/>
              </w:rPr>
              <w:t>提供20</w:t>
            </w:r>
            <w:r>
              <w:rPr>
                <w:rFonts w:hint="eastAsia" w:ascii="宋体" w:hAnsi="宋体"/>
                <w:lang w:val="en-US" w:eastAsia="zh-CN"/>
              </w:rPr>
              <w:t>23</w:t>
            </w:r>
            <w:r>
              <w:rPr>
                <w:rFonts w:hint="eastAsia" w:ascii="宋体" w:hAnsi="宋体"/>
              </w:rPr>
              <w:t>年1月1日以来（以合同签订时间或发票为准）供应商签订过的演出服务合同或开具的发票复印件，每有一项得2分（同一单位的多次合作算一个案例），最高10分。</w:t>
            </w:r>
          </w:p>
        </w:tc>
      </w:tr>
      <w:tr>
        <w:tblPrEx>
          <w:tblCellMar>
            <w:top w:w="0" w:type="dxa"/>
            <w:left w:w="0" w:type="dxa"/>
            <w:bottom w:w="0" w:type="dxa"/>
            <w:right w:w="0" w:type="dxa"/>
          </w:tblCellMar>
        </w:tblPrEx>
        <w:trPr>
          <w:trHeight w:val="1708"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5</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hint="eastAsia" w:ascii="宋体" w:hAnsi="宋体"/>
              </w:rPr>
              <w:t>服务保障（</w:t>
            </w:r>
            <w:r>
              <w:rPr>
                <w:rFonts w:hint="eastAsia" w:ascii="宋体" w:hAnsi="宋体"/>
                <w:lang w:val="en-US" w:eastAsia="zh-CN"/>
              </w:rPr>
              <w:t>16</w:t>
            </w:r>
            <w:r>
              <w:rPr>
                <w:rFonts w:hint="eastAsia" w:ascii="宋体" w:hAnsi="宋体"/>
              </w:rPr>
              <w:t>分）</w:t>
            </w:r>
          </w:p>
        </w:tc>
        <w:tc>
          <w:tcPr>
            <w:tcW w:w="6804" w:type="dxa"/>
            <w:tcBorders>
              <w:top w:val="single" w:color="000000" w:sz="4" w:space="0"/>
              <w:left w:val="single" w:color="000000" w:sz="4" w:space="0"/>
              <w:bottom w:val="single" w:color="000000" w:sz="4" w:space="0"/>
              <w:right w:val="single" w:color="000000" w:sz="4" w:space="0"/>
            </w:tcBorders>
          </w:tcPr>
          <w:p>
            <w:pPr>
              <w:rPr>
                <w:rFonts w:hint="default" w:ascii="宋体" w:hAnsi="宋体" w:cs="宋体"/>
                <w:szCs w:val="21"/>
                <w:lang w:val="en-US" w:eastAsia="zh-CN"/>
              </w:rPr>
            </w:pPr>
            <w:r>
              <w:rPr>
                <w:rFonts w:hint="eastAsia" w:ascii="宋体" w:hAnsi="宋体" w:cs="宋体"/>
                <w:szCs w:val="21"/>
                <w:lang w:val="en-US" w:eastAsia="zh-CN"/>
              </w:rPr>
              <w:t>（一）根据</w:t>
            </w:r>
            <w:r>
              <w:rPr>
                <w:rFonts w:hint="eastAsia" w:ascii="宋体" w:hAnsi="宋体" w:cs="宋体"/>
                <w:szCs w:val="21"/>
              </w:rPr>
              <w:t>投标人</w:t>
            </w:r>
            <w:r>
              <w:rPr>
                <w:rFonts w:hint="eastAsia" w:ascii="宋体" w:hAnsi="宋体" w:cs="宋体"/>
                <w:szCs w:val="21"/>
                <w:lang w:val="en-US" w:eastAsia="zh-CN"/>
              </w:rPr>
              <w:t>提供过往服务保障案例评分。</w:t>
            </w:r>
          </w:p>
          <w:p>
            <w:pPr>
              <w:widowControl/>
              <w:spacing w:after="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案例内容</w:t>
            </w:r>
            <w:r>
              <w:rPr>
                <w:rFonts w:hint="eastAsia" w:ascii="宋体" w:hAnsi="宋体" w:eastAsia="宋体" w:cs="宋体"/>
                <w:kern w:val="0"/>
                <w:sz w:val="21"/>
                <w:szCs w:val="21"/>
              </w:rPr>
              <w:t>完整，科学合理、操作性强的，</w:t>
            </w:r>
            <w:r>
              <w:rPr>
                <w:rFonts w:hint="eastAsia" w:ascii="宋体" w:hAnsi="宋体" w:eastAsia="宋体" w:cs="宋体"/>
                <w:kern w:val="0"/>
                <w:sz w:val="21"/>
                <w:szCs w:val="21"/>
                <w:lang w:eastAsia="zh-CN"/>
              </w:rPr>
              <w:t>得</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分；</w:t>
            </w:r>
          </w:p>
          <w:p>
            <w:pPr>
              <w:widowControl/>
              <w:spacing w:after="0"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案例内容</w:t>
            </w:r>
            <w:r>
              <w:rPr>
                <w:rFonts w:hint="eastAsia" w:ascii="宋体" w:hAnsi="宋体" w:eastAsia="宋体" w:cs="宋体"/>
                <w:kern w:val="0"/>
                <w:sz w:val="21"/>
                <w:szCs w:val="21"/>
              </w:rPr>
              <w:t>较完整，较科学合理，有可操作性的，得</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pPr>
              <w:rPr>
                <w:rFonts w:hint="eastAsia" w:ascii="宋体" w:hAnsi="宋体" w:cs="宋体"/>
                <w:color w:val="auto"/>
                <w:szCs w:val="21"/>
                <w:highlight w:val="none"/>
              </w:rPr>
            </w:pPr>
            <w:r>
              <w:rPr>
                <w:rFonts w:hint="eastAsia" w:ascii="宋体" w:hAnsi="宋体" w:eastAsia="宋体" w:cs="宋体"/>
                <w:kern w:val="0"/>
                <w:sz w:val="21"/>
                <w:szCs w:val="21"/>
                <w:lang w:val="en-US" w:eastAsia="zh-CN"/>
              </w:rPr>
              <w:t>案例</w:t>
            </w:r>
            <w:r>
              <w:rPr>
                <w:rFonts w:hint="eastAsia" w:ascii="宋体" w:hAnsi="宋体" w:cs="宋体"/>
                <w:color w:val="auto"/>
                <w:szCs w:val="21"/>
                <w:highlight w:val="none"/>
              </w:rPr>
              <w:t>内容基本完整，</w:t>
            </w:r>
            <w:r>
              <w:rPr>
                <w:rFonts w:hint="eastAsia" w:ascii="宋体" w:hAnsi="宋体" w:cs="宋体"/>
                <w:color w:val="auto"/>
                <w:szCs w:val="21"/>
                <w:highlight w:val="none"/>
                <w:lang w:val="en-US" w:eastAsia="zh-CN"/>
              </w:rPr>
              <w:t>操作性一般</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ascii="宋体" w:hAnsi="宋体" w:eastAsia="宋体" w:cs="宋体"/>
                <w:kern w:val="0"/>
                <w:sz w:val="21"/>
                <w:szCs w:val="21"/>
                <w:lang w:val="en-US" w:eastAsia="zh-CN"/>
              </w:rPr>
              <w:t>案例</w:t>
            </w:r>
            <w:r>
              <w:rPr>
                <w:rFonts w:hint="eastAsia" w:ascii="宋体" w:hAnsi="宋体" w:cs="宋体"/>
                <w:color w:val="auto"/>
                <w:szCs w:val="21"/>
                <w:highlight w:val="none"/>
              </w:rPr>
              <w:t>内容有缺失，</w:t>
            </w:r>
            <w:r>
              <w:rPr>
                <w:rFonts w:hint="eastAsia" w:ascii="宋体" w:hAnsi="宋体" w:cs="宋体"/>
                <w:color w:val="auto"/>
                <w:szCs w:val="21"/>
                <w:highlight w:val="none"/>
                <w:lang w:val="en-US" w:eastAsia="zh-CN"/>
              </w:rPr>
              <w:t>操作性较差</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rPr>
                <w:rFonts w:hint="eastAsia" w:ascii="宋体" w:hAnsi="宋体" w:cs="宋体"/>
                <w:szCs w:val="21"/>
                <w:lang w:val="en-US" w:eastAsia="zh-CN"/>
              </w:rPr>
            </w:pPr>
            <w:r>
              <w:rPr>
                <w:rFonts w:hint="eastAsia" w:ascii="宋体" w:hAnsi="宋体" w:cs="宋体"/>
                <w:color w:val="auto"/>
                <w:szCs w:val="21"/>
                <w:highlight w:val="none"/>
              </w:rPr>
              <w:t>未提供不得分。</w:t>
            </w:r>
          </w:p>
          <w:p>
            <w:pPr>
              <w:rPr>
                <w:rFonts w:hint="eastAsia" w:ascii="宋体" w:hAnsi="宋体" w:cs="宋体"/>
                <w:szCs w:val="21"/>
                <w:lang w:val="en-US" w:eastAsia="zh-CN"/>
              </w:rPr>
            </w:pPr>
            <w:r>
              <w:rPr>
                <w:rFonts w:hint="eastAsia" w:ascii="宋体" w:hAnsi="宋体" w:cs="宋体"/>
                <w:szCs w:val="21"/>
                <w:lang w:val="en-US" w:eastAsia="zh-CN"/>
              </w:rPr>
              <w:t>（二）根据投标人提供应急事件处理方案评分。</w:t>
            </w:r>
          </w:p>
          <w:p>
            <w:pPr>
              <w:rPr>
                <w:rFonts w:hint="eastAsia" w:ascii="宋体" w:hAnsi="宋体" w:cs="宋体"/>
                <w:color w:val="auto"/>
                <w:szCs w:val="21"/>
                <w:highlight w:val="none"/>
              </w:rPr>
            </w:pPr>
            <w:r>
              <w:rPr>
                <w:rFonts w:hint="eastAsia" w:ascii="宋体" w:hAnsi="宋体" w:cs="宋体"/>
                <w:color w:val="auto"/>
                <w:szCs w:val="21"/>
                <w:highlight w:val="none"/>
              </w:rPr>
              <w:t>方案内容完整、详细，进度控制合理，可行性强且完全满足项目实际需求，得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方案内容完整，进度控制较合理，可行性较强且满足项目实际需求，得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方案内容基本完整，有进度控制但略有瑕疵，基本满足项目实际需求，得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ascii="宋体" w:hAnsi="宋体" w:cs="宋体"/>
                <w:color w:val="auto"/>
                <w:szCs w:val="21"/>
                <w:highlight w:val="none"/>
              </w:rPr>
              <w:t>方案内容有缺失，进度控制不明确，</w:t>
            </w:r>
            <w:r>
              <w:rPr>
                <w:rFonts w:hint="eastAsia" w:ascii="宋体" w:hAnsi="宋体" w:cs="宋体"/>
                <w:color w:val="auto"/>
                <w:szCs w:val="21"/>
                <w:highlight w:val="none"/>
                <w:lang w:val="en-US" w:eastAsia="zh-CN"/>
              </w:rPr>
              <w:t>不太</w:t>
            </w:r>
            <w:r>
              <w:rPr>
                <w:rFonts w:hint="eastAsia" w:ascii="宋体" w:hAnsi="宋体" w:cs="宋体"/>
                <w:color w:val="auto"/>
                <w:szCs w:val="21"/>
                <w:highlight w:val="none"/>
              </w:rPr>
              <w:t>满足项目实际需求，得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rPr>
                <w:rFonts w:ascii="宋体" w:hAnsi="宋体"/>
              </w:rPr>
            </w:pPr>
            <w:r>
              <w:rPr>
                <w:rFonts w:hint="eastAsia" w:ascii="宋体" w:hAnsi="宋体" w:cs="宋体"/>
                <w:color w:val="auto"/>
                <w:szCs w:val="21"/>
                <w:highlight w:val="none"/>
              </w:rPr>
              <w:t>未提供不得分。</w:t>
            </w:r>
          </w:p>
        </w:tc>
      </w:tr>
    </w:tbl>
    <w:p>
      <w:pPr>
        <w:spacing w:line="360" w:lineRule="auto"/>
        <w:ind w:firstLine="420" w:firstLineChars="200"/>
        <w:rPr>
          <w:rFonts w:hint="eastAsia"/>
        </w:rPr>
      </w:pPr>
      <w:r>
        <w:rPr>
          <w:rFonts w:hint="eastAsia"/>
        </w:rPr>
        <w:t xml:space="preserve">注：1、评分细则中要求提供的证明文件及资料等在投标文件中提供复印件，要求“原件备查”的须在投标截止前将相关原件或公证件带至开评标现场并按要求提交评委会审查。 </w:t>
      </w:r>
    </w:p>
    <w:p>
      <w:pPr>
        <w:spacing w:line="360" w:lineRule="auto"/>
        <w:ind w:firstLine="420" w:firstLineChars="200"/>
        <w:rPr>
          <w:rFonts w:hint="eastAsia"/>
        </w:rPr>
      </w:pPr>
      <w:r>
        <w:rPr>
          <w:rFonts w:hint="eastAsia"/>
        </w:rPr>
        <w:t xml:space="preserve">2、评标时，未能按以上要求提供相应证明（复印件和原件、公证件）的，不作为评标 </w:t>
      </w:r>
    </w:p>
    <w:p>
      <w:pPr>
        <w:spacing w:line="360" w:lineRule="auto"/>
        <w:ind w:firstLine="0" w:firstLineChars="0"/>
        <w:rPr>
          <w:rFonts w:hint="eastAsia" w:eastAsia="宋体"/>
          <w:lang w:val="en-US" w:eastAsia="zh-CN"/>
        </w:rPr>
        <w:sectPr>
          <w:pgSz w:w="11907" w:h="16839"/>
          <w:pgMar w:top="1440" w:right="1800" w:bottom="1440" w:left="1800" w:header="851" w:footer="992" w:gutter="0"/>
          <w:cols w:space="720" w:num="1"/>
          <w:docGrid w:type="lines" w:linePitch="312" w:charSpace="0"/>
        </w:sectPr>
      </w:pPr>
      <w:r>
        <w:rPr>
          <w:rFonts w:hint="eastAsia"/>
        </w:rPr>
        <w:t>依据，不得分</w:t>
      </w:r>
      <w:r>
        <w:rPr>
          <w:rFonts w:hint="eastAsia"/>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MDZlM2M4NDdjYWZkN2NkNjk3MjM2MGEyYmQ1YzcifQ=="/>
  </w:docVars>
  <w:rsids>
    <w:rsidRoot w:val="7AF329D8"/>
    <w:rsid w:val="00094F5D"/>
    <w:rsid w:val="0012430F"/>
    <w:rsid w:val="09920ABC"/>
    <w:rsid w:val="0FBC5924"/>
    <w:rsid w:val="12385992"/>
    <w:rsid w:val="26684A80"/>
    <w:rsid w:val="34597343"/>
    <w:rsid w:val="367B12A2"/>
    <w:rsid w:val="4F1A3991"/>
    <w:rsid w:val="5F3A10ED"/>
    <w:rsid w:val="72A240D8"/>
    <w:rsid w:val="75F33D5B"/>
    <w:rsid w:val="76A2010B"/>
    <w:rsid w:val="7AF329D8"/>
    <w:rsid w:val="7BB47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autoRedefine/>
    <w:qFormat/>
    <w:uiPriority w:val="0"/>
    <w:pPr>
      <w:jc w:val="left"/>
    </w:pPr>
  </w:style>
  <w:style w:type="paragraph" w:styleId="4">
    <w:name w:val="Balloon Text"/>
    <w:basedOn w:val="1"/>
    <w:link w:val="13"/>
    <w:autoRedefine/>
    <w:qFormat/>
    <w:uiPriority w:val="0"/>
    <w:rPr>
      <w:sz w:val="18"/>
      <w:szCs w:val="18"/>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annotation subject"/>
    <w:basedOn w:val="3"/>
    <w:next w:val="3"/>
    <w:link w:val="12"/>
    <w:autoRedefine/>
    <w:qFormat/>
    <w:uiPriority w:val="0"/>
    <w:rPr>
      <w:b/>
      <w:bCs/>
    </w:rPr>
  </w:style>
  <w:style w:type="character" w:styleId="9">
    <w:name w:val="annotation reference"/>
    <w:basedOn w:val="8"/>
    <w:autoRedefine/>
    <w:qFormat/>
    <w:uiPriority w:val="0"/>
    <w:rPr>
      <w:sz w:val="21"/>
      <w:szCs w:val="21"/>
    </w:rPr>
  </w:style>
  <w:style w:type="paragraph" w:customStyle="1" w:styleId="1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11">
    <w:name w:val="批注文字 字符"/>
    <w:basedOn w:val="8"/>
    <w:link w:val="3"/>
    <w:autoRedefine/>
    <w:qFormat/>
    <w:uiPriority w:val="0"/>
    <w:rPr>
      <w:rFonts w:ascii="Calibri" w:hAnsi="Calibri"/>
      <w:kern w:val="2"/>
      <w:sz w:val="21"/>
      <w:szCs w:val="22"/>
    </w:rPr>
  </w:style>
  <w:style w:type="character" w:customStyle="1" w:styleId="12">
    <w:name w:val="批注主题 字符"/>
    <w:basedOn w:val="11"/>
    <w:link w:val="6"/>
    <w:qFormat/>
    <w:uiPriority w:val="0"/>
    <w:rPr>
      <w:rFonts w:ascii="Calibri" w:hAnsi="Calibri"/>
      <w:b/>
      <w:bCs/>
      <w:kern w:val="2"/>
      <w:sz w:val="21"/>
      <w:szCs w:val="22"/>
    </w:rPr>
  </w:style>
  <w:style w:type="character" w:customStyle="1" w:styleId="13">
    <w:name w:val="批注框文本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2075</Words>
  <Characters>2094</Characters>
  <Lines>7</Lines>
  <Paragraphs>2</Paragraphs>
  <TotalTime>1</TotalTime>
  <ScaleCrop>false</ScaleCrop>
  <LinksUpToDate>false</LinksUpToDate>
  <CharactersWithSpaces>2116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2025-07-27T15:19:00Z</dcterms:created>
  <dc:creator>Channel</dc:creator>
  <cp:lastModifiedBy>季海燕</cp:lastModifiedBy>
  <dcterms:modified xsi:type="dcterms:W3CDTF">2026-05-15T06:51:43Z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CE25AF68B00A4C0AA54A6F13E5C96F4A_13</vt:lpwstr>
  </property>
  <property fmtid="{D5CDD505-2E9C-101B-9397-08002B2CF9AE}" pid="4" name="KSOTemplateDocerSaveRecord">
    <vt:lpwstr>eyJoZGlkIjoiNmU3NTE3N2M3YjA0ZTlhODAyODM5OTJjNzQzYjAwNmQiLCJ1c2VySWQiOiI2OTcyODQ3NzAifQ==</vt:lpwstr>
  </property>
</Properties>
</file>