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BC98B">
      <w:pPr>
        <w:pStyle w:val="48"/>
        <w:spacing w:before="0" w:after="0"/>
        <w:ind w:firstLine="0"/>
        <w:rPr>
          <w:rFonts w:ascii="宋体" w:hAnsi="宋体" w:cs="宋体"/>
        </w:rPr>
      </w:pPr>
    </w:p>
    <w:p w14:paraId="043A2EC8">
      <w:pPr>
        <w:pStyle w:val="48"/>
        <w:spacing w:before="0" w:after="0"/>
        <w:ind w:firstLine="0"/>
        <w:rPr>
          <w:rFonts w:ascii="宋体" w:hAnsi="宋体" w:cs="宋体"/>
        </w:rPr>
      </w:pPr>
    </w:p>
    <w:p w14:paraId="6B7E74C4">
      <w:pPr>
        <w:pStyle w:val="48"/>
        <w:spacing w:before="0" w:after="0"/>
        <w:ind w:firstLine="0"/>
        <w:rPr>
          <w:rFonts w:ascii="宋体" w:hAnsi="宋体" w:cs="宋体"/>
        </w:rPr>
      </w:pPr>
    </w:p>
    <w:p w14:paraId="7C97758D">
      <w:pPr>
        <w:pStyle w:val="48"/>
        <w:spacing w:before="0" w:after="0"/>
        <w:ind w:firstLine="0"/>
        <w:rPr>
          <w:rFonts w:ascii="宋体" w:hAnsi="宋体" w:cs="宋体"/>
        </w:rPr>
      </w:pPr>
    </w:p>
    <w:p w14:paraId="67C4CE88">
      <w:pPr>
        <w:pStyle w:val="48"/>
        <w:spacing w:before="0" w:after="0"/>
        <w:ind w:firstLine="0"/>
        <w:rPr>
          <w:rFonts w:ascii="宋体" w:hAnsi="宋体" w:cs="宋体"/>
        </w:rPr>
      </w:pPr>
    </w:p>
    <w:p w14:paraId="74E732DE">
      <w:pPr>
        <w:pStyle w:val="48"/>
        <w:spacing w:before="0" w:after="0"/>
        <w:ind w:firstLine="0"/>
        <w:rPr>
          <w:rFonts w:ascii="宋体" w:hAnsi="宋体" w:cs="宋体"/>
        </w:rPr>
      </w:pPr>
    </w:p>
    <w:p w14:paraId="71F58A04">
      <w:pPr>
        <w:pStyle w:val="48"/>
        <w:ind w:left="-199" w:leftChars="-95" w:right="-218" w:rightChars="-104" w:firstLine="0"/>
        <w:jc w:val="center"/>
        <w:rPr>
          <w:rFonts w:ascii="黑体" w:hAnsi="黑体" w:eastAsia="黑体" w:cs="黑体"/>
          <w:sz w:val="40"/>
          <w:szCs w:val="36"/>
        </w:rPr>
      </w:pPr>
      <w:r>
        <w:rPr>
          <w:rFonts w:hint="eastAsia" w:ascii="黑体" w:hAnsi="黑体" w:eastAsia="黑体" w:cs="黑体"/>
          <w:sz w:val="40"/>
          <w:szCs w:val="36"/>
        </w:rPr>
        <w:t>南京邮电大学通达学院</w:t>
      </w:r>
    </w:p>
    <w:p w14:paraId="22D633E9">
      <w:pPr>
        <w:pStyle w:val="48"/>
        <w:ind w:left="-199" w:leftChars="-95" w:right="-218" w:rightChars="-104" w:firstLine="0"/>
        <w:jc w:val="center"/>
        <w:rPr>
          <w:rFonts w:ascii="黑体" w:hAnsi="黑体" w:eastAsia="黑体" w:cs="黑体"/>
          <w:sz w:val="40"/>
          <w:szCs w:val="36"/>
        </w:rPr>
      </w:pPr>
      <w:bookmarkStart w:id="48" w:name="_GoBack"/>
      <w:r>
        <w:rPr>
          <w:rFonts w:hint="eastAsia" w:ascii="黑体" w:hAnsi="黑体" w:eastAsia="黑体" w:cs="黑体"/>
          <w:sz w:val="40"/>
          <w:szCs w:val="36"/>
          <w:lang w:eastAsia="zh-CN"/>
        </w:rPr>
        <w:t>2025年5月-2027年5月电梯维保服务采购</w:t>
      </w:r>
      <w:r>
        <w:rPr>
          <w:rFonts w:hint="eastAsia" w:ascii="黑体" w:hAnsi="黑体" w:eastAsia="黑体" w:cs="黑体"/>
          <w:sz w:val="40"/>
          <w:szCs w:val="36"/>
        </w:rPr>
        <w:t>项目</w:t>
      </w:r>
      <w:bookmarkEnd w:id="48"/>
    </w:p>
    <w:p w14:paraId="646AC8C8">
      <w:pPr>
        <w:pStyle w:val="48"/>
        <w:ind w:firstLine="0"/>
        <w:jc w:val="center"/>
        <w:rPr>
          <w:rFonts w:hint="eastAsia" w:ascii="黑体" w:hAnsi="黑体" w:eastAsia="黑体" w:cs="黑体"/>
          <w:sz w:val="36"/>
          <w:szCs w:val="36"/>
          <w:lang w:eastAsia="zh-CN"/>
        </w:rPr>
      </w:pPr>
      <w:r>
        <w:rPr>
          <w:rFonts w:hint="eastAsia" w:ascii="黑体" w:hAnsi="黑体" w:eastAsia="黑体" w:cs="黑体"/>
          <w:sz w:val="36"/>
          <w:szCs w:val="36"/>
        </w:rPr>
        <w:t>项目编号：</w:t>
      </w:r>
      <w:r>
        <w:rPr>
          <w:rFonts w:hint="eastAsia" w:ascii="黑体" w:hAnsi="黑体" w:eastAsia="黑体" w:cs="黑体"/>
          <w:sz w:val="36"/>
          <w:szCs w:val="36"/>
          <w:lang w:eastAsia="zh-CN"/>
        </w:rPr>
        <w:t>TDCG2025007</w:t>
      </w:r>
    </w:p>
    <w:p w14:paraId="74FA23DA">
      <w:pPr>
        <w:pStyle w:val="48"/>
        <w:ind w:firstLine="0"/>
        <w:jc w:val="center"/>
        <w:rPr>
          <w:rFonts w:ascii="黑体" w:hAnsi="黑体" w:eastAsia="黑体" w:cs="黑体"/>
          <w:sz w:val="36"/>
          <w:szCs w:val="36"/>
        </w:rPr>
      </w:pPr>
    </w:p>
    <w:p w14:paraId="22F0BEE4">
      <w:pPr>
        <w:pStyle w:val="48"/>
        <w:ind w:firstLine="0"/>
        <w:jc w:val="center"/>
        <w:rPr>
          <w:rFonts w:ascii="黑体" w:hAnsi="黑体" w:eastAsia="黑体" w:cs="黑体"/>
          <w:sz w:val="36"/>
          <w:szCs w:val="36"/>
        </w:rPr>
      </w:pPr>
    </w:p>
    <w:p w14:paraId="6959A7BB">
      <w:pPr>
        <w:pStyle w:val="48"/>
        <w:ind w:firstLine="0"/>
        <w:jc w:val="center"/>
        <w:rPr>
          <w:rFonts w:ascii="黑体" w:hAnsi="黑体" w:eastAsia="黑体" w:cs="黑体"/>
          <w:bCs/>
          <w:sz w:val="52"/>
          <w:highlight w:val="none"/>
        </w:rPr>
      </w:pPr>
      <w:r>
        <w:rPr>
          <w:rFonts w:hint="eastAsia" w:ascii="黑体" w:hAnsi="黑体" w:eastAsia="黑体" w:cs="黑体"/>
          <w:bCs/>
          <w:sz w:val="52"/>
          <w:highlight w:val="none"/>
          <w:lang w:val="en-US" w:eastAsia="zh-CN"/>
        </w:rPr>
        <w:t>采 购</w:t>
      </w:r>
      <w:r>
        <w:rPr>
          <w:rFonts w:hint="eastAsia" w:ascii="黑体" w:hAnsi="黑体" w:eastAsia="黑体" w:cs="黑体"/>
          <w:bCs/>
          <w:sz w:val="52"/>
          <w:highlight w:val="none"/>
        </w:rPr>
        <w:t xml:space="preserve"> 文 件</w:t>
      </w:r>
    </w:p>
    <w:p w14:paraId="61BD6978">
      <w:pPr>
        <w:pStyle w:val="48"/>
        <w:ind w:firstLine="0"/>
        <w:jc w:val="center"/>
        <w:rPr>
          <w:rFonts w:ascii="黑体" w:hAnsi="黑体" w:eastAsia="黑体" w:cs="黑体"/>
          <w:b/>
          <w:bCs/>
          <w:sz w:val="32"/>
        </w:rPr>
      </w:pPr>
    </w:p>
    <w:p w14:paraId="7F8AEA98">
      <w:pPr>
        <w:pStyle w:val="48"/>
        <w:spacing w:before="0" w:after="0"/>
        <w:ind w:firstLine="0"/>
        <w:rPr>
          <w:rFonts w:ascii="黑体" w:hAnsi="黑体" w:eastAsia="黑体" w:cs="黑体"/>
        </w:rPr>
      </w:pPr>
    </w:p>
    <w:p w14:paraId="4483C0A3">
      <w:pPr>
        <w:pStyle w:val="48"/>
        <w:spacing w:before="0" w:after="0"/>
        <w:ind w:firstLine="0"/>
        <w:rPr>
          <w:rFonts w:ascii="黑体" w:hAnsi="黑体" w:eastAsia="黑体" w:cs="黑体"/>
        </w:rPr>
      </w:pPr>
    </w:p>
    <w:p w14:paraId="684E754C">
      <w:pPr>
        <w:pStyle w:val="48"/>
        <w:spacing w:before="0" w:after="0"/>
        <w:ind w:firstLine="0"/>
        <w:rPr>
          <w:rFonts w:ascii="黑体" w:hAnsi="黑体" w:eastAsia="黑体" w:cs="黑体"/>
        </w:rPr>
      </w:pPr>
    </w:p>
    <w:p w14:paraId="33F1022D">
      <w:pPr>
        <w:pStyle w:val="48"/>
        <w:spacing w:before="0" w:after="0"/>
        <w:ind w:firstLine="0"/>
        <w:rPr>
          <w:rFonts w:ascii="黑体" w:hAnsi="黑体" w:eastAsia="黑体" w:cs="黑体"/>
        </w:rPr>
      </w:pPr>
    </w:p>
    <w:p w14:paraId="28EC879F">
      <w:pPr>
        <w:pStyle w:val="48"/>
        <w:spacing w:before="0" w:after="0"/>
        <w:ind w:firstLine="0"/>
        <w:rPr>
          <w:rFonts w:ascii="黑体" w:hAnsi="黑体" w:eastAsia="黑体" w:cs="黑体"/>
        </w:rPr>
      </w:pPr>
    </w:p>
    <w:p w14:paraId="51670517">
      <w:pPr>
        <w:pStyle w:val="48"/>
        <w:spacing w:before="0" w:after="0"/>
        <w:ind w:firstLine="0"/>
        <w:rPr>
          <w:rFonts w:ascii="黑体" w:hAnsi="黑体" w:eastAsia="黑体" w:cs="黑体"/>
        </w:rPr>
      </w:pPr>
    </w:p>
    <w:p w14:paraId="7B046947">
      <w:pPr>
        <w:pStyle w:val="48"/>
        <w:spacing w:before="0" w:after="0"/>
        <w:ind w:firstLine="0"/>
        <w:rPr>
          <w:rFonts w:ascii="黑体" w:hAnsi="黑体" w:eastAsia="黑体" w:cs="黑体"/>
        </w:rPr>
      </w:pPr>
    </w:p>
    <w:p w14:paraId="459D7F95">
      <w:pPr>
        <w:pStyle w:val="48"/>
        <w:spacing w:before="0" w:after="0"/>
        <w:ind w:firstLine="0"/>
        <w:jc w:val="center"/>
        <w:rPr>
          <w:rFonts w:ascii="黑体" w:hAnsi="黑体" w:eastAsia="黑体" w:cs="黑体"/>
          <w:sz w:val="30"/>
          <w:szCs w:val="30"/>
        </w:rPr>
      </w:pPr>
      <w:r>
        <w:rPr>
          <w:rFonts w:hint="eastAsia" w:ascii="黑体" w:hAnsi="黑体" w:eastAsia="黑体" w:cs="黑体"/>
          <w:sz w:val="30"/>
          <w:szCs w:val="30"/>
        </w:rPr>
        <w:t>招标人：南京邮电大学通达学院</w:t>
      </w:r>
    </w:p>
    <w:p w14:paraId="73D657DE">
      <w:pPr>
        <w:pStyle w:val="48"/>
        <w:spacing w:before="0" w:after="0"/>
        <w:ind w:firstLine="0"/>
        <w:jc w:val="center"/>
        <w:rPr>
          <w:rFonts w:ascii="黑体" w:hAnsi="黑体" w:eastAsia="黑体" w:cs="黑体"/>
          <w:sz w:val="30"/>
          <w:szCs w:val="30"/>
        </w:rPr>
      </w:pPr>
      <w:r>
        <w:rPr>
          <w:rFonts w:hint="eastAsia" w:ascii="黑体" w:hAnsi="黑体" w:eastAsia="黑体" w:cs="黑体"/>
          <w:sz w:val="30"/>
          <w:szCs w:val="30"/>
        </w:rPr>
        <w:t>招标代理机构：中通服咨询设计研究院有限公司</w:t>
      </w:r>
    </w:p>
    <w:p w14:paraId="123DD09B">
      <w:pPr>
        <w:spacing w:line="360" w:lineRule="auto"/>
        <w:jc w:val="center"/>
        <w:rPr>
          <w:rFonts w:ascii="黑体" w:hAnsi="黑体" w:eastAsia="黑体" w:cs="黑体"/>
          <w:sz w:val="28"/>
          <w:szCs w:val="28"/>
          <w:u w:color="000000"/>
        </w:rPr>
      </w:pPr>
      <w:r>
        <w:rPr>
          <w:rFonts w:hint="eastAsia" w:ascii="黑体" w:hAnsi="黑体" w:eastAsia="黑体" w:cs="黑体"/>
          <w:sz w:val="30"/>
          <w:szCs w:val="30"/>
          <w:lang w:eastAsia="zh-CN"/>
        </w:rPr>
        <w:t>2025</w:t>
      </w:r>
      <w:r>
        <w:rPr>
          <w:rFonts w:hint="eastAsia" w:ascii="黑体" w:hAnsi="黑体" w:eastAsia="黑体" w:cs="黑体"/>
          <w:sz w:val="30"/>
          <w:szCs w:val="30"/>
        </w:rPr>
        <w:t>年</w:t>
      </w:r>
      <w:r>
        <w:rPr>
          <w:rFonts w:hint="eastAsia" w:ascii="黑体" w:hAnsi="黑体" w:eastAsia="黑体" w:cs="黑体"/>
          <w:sz w:val="30"/>
          <w:szCs w:val="30"/>
          <w:lang w:val="en-US" w:eastAsia="zh-CN"/>
        </w:rPr>
        <w:t>4月</w:t>
      </w:r>
    </w:p>
    <w:p w14:paraId="77B0BD80">
      <w:pPr>
        <w:rPr>
          <w:rFonts w:ascii="黑体" w:hAnsi="黑体" w:eastAsia="黑体" w:cs="黑体"/>
        </w:rPr>
      </w:pPr>
    </w:p>
    <w:p w14:paraId="58B4C665">
      <w:pPr>
        <w:widowControl/>
        <w:jc w:val="left"/>
        <w:rPr>
          <w:rFonts w:ascii="黑体" w:hAnsi="黑体" w:eastAsia="黑体" w:cs="黑体"/>
        </w:rPr>
        <w:sectPr>
          <w:pgSz w:w="11906" w:h="16838"/>
          <w:pgMar w:top="1418" w:right="1385" w:bottom="1418" w:left="1701" w:header="851" w:footer="992" w:gutter="0"/>
          <w:cols w:space="425" w:num="1"/>
          <w:docGrid w:type="lines" w:linePitch="312" w:charSpace="0"/>
        </w:sectPr>
      </w:pPr>
    </w:p>
    <w:p w14:paraId="74D490B1">
      <w:pPr>
        <w:widowControl/>
        <w:spacing w:line="360" w:lineRule="auto"/>
        <w:jc w:val="center"/>
        <w:rPr>
          <w:rFonts w:ascii="黑体" w:hAnsi="黑体" w:eastAsia="黑体" w:cs="黑体"/>
          <w:sz w:val="36"/>
          <w:szCs w:val="36"/>
        </w:rPr>
      </w:pPr>
      <w:r>
        <w:rPr>
          <w:rFonts w:hint="eastAsia" w:ascii="黑体" w:hAnsi="黑体" w:eastAsia="黑体" w:cs="黑体"/>
          <w:sz w:val="36"/>
          <w:szCs w:val="36"/>
        </w:rPr>
        <w:t>目  录</w:t>
      </w:r>
    </w:p>
    <w:sdt>
      <w:sdtPr>
        <w:rPr>
          <w:rFonts w:hint="eastAsia" w:ascii="黑体" w:hAnsi="黑体" w:cs="黑体"/>
          <w:sz w:val="32"/>
          <w:szCs w:val="32"/>
          <w:lang w:val="zh-CN"/>
        </w:rPr>
        <w:id w:val="-1199246136"/>
        <w:docPartObj>
          <w:docPartGallery w:val="Table of Contents"/>
          <w:docPartUnique/>
        </w:docPartObj>
      </w:sdtPr>
      <w:sdtEndPr>
        <w:rPr>
          <w:rFonts w:hint="eastAsia" w:ascii="宋体" w:hAnsi="宋体" w:eastAsia="宋体" w:cs="宋体"/>
          <w:b/>
          <w:bCs/>
          <w:sz w:val="24"/>
          <w:szCs w:val="22"/>
          <w:lang w:val="zh-CN"/>
        </w:rPr>
      </w:sdtEndPr>
      <w:sdtContent>
        <w:p w14:paraId="24F9F0D1">
          <w:pPr>
            <w:pStyle w:val="19"/>
            <w:rPr>
              <w:rFonts w:ascii="黑体" w:hAnsi="黑体" w:cs="黑体"/>
            </w:rPr>
          </w:pPr>
          <w:r>
            <w:rPr>
              <w:rFonts w:hint="eastAsia" w:ascii="黑体" w:hAnsi="黑体" w:cs="黑体"/>
            </w:rPr>
            <w:fldChar w:fldCharType="begin"/>
          </w:r>
          <w:r>
            <w:rPr>
              <w:rFonts w:hint="eastAsia" w:ascii="黑体" w:hAnsi="黑体" w:cs="黑体"/>
            </w:rPr>
            <w:instrText xml:space="preserve"> TOC \o "1-3" \h \z \u </w:instrText>
          </w:r>
          <w:r>
            <w:rPr>
              <w:rFonts w:hint="eastAsia" w:ascii="黑体" w:hAnsi="黑体" w:cs="黑体"/>
            </w:rPr>
            <w:fldChar w:fldCharType="separate"/>
          </w:r>
        </w:p>
        <w:p w14:paraId="1422A2A6">
          <w:pPr>
            <w:pStyle w:val="19"/>
            <w:tabs>
              <w:tab w:val="right" w:leader="dot" w:pos="8787"/>
              <w:tab w:val="clear" w:pos="8777"/>
            </w:tabs>
          </w:pPr>
          <w:r>
            <w:fldChar w:fldCharType="begin"/>
          </w:r>
          <w:r>
            <w:instrText xml:space="preserve"> HYPERLINK \l "_Toc31277" </w:instrText>
          </w:r>
          <w:r>
            <w:fldChar w:fldCharType="separate"/>
          </w:r>
          <w:r>
            <w:rPr>
              <w:rFonts w:hint="eastAsia" w:ascii="宋体" w:hAnsi="宋体" w:eastAsia="宋体" w:cs="宋体"/>
              <w:kern w:val="44"/>
              <w:szCs w:val="36"/>
              <w:lang w:val="zh-TW" w:eastAsia="zh-TW"/>
            </w:rPr>
            <w:t xml:space="preserve">第一章  </w:t>
          </w:r>
          <w:r>
            <w:rPr>
              <w:rFonts w:hint="eastAsia" w:ascii="宋体" w:hAnsi="宋体" w:eastAsia="宋体" w:cs="宋体"/>
              <w:kern w:val="44"/>
              <w:szCs w:val="36"/>
              <w:lang w:val="en-US" w:eastAsia="zh-CN"/>
            </w:rPr>
            <w:t>采购</w:t>
          </w:r>
          <w:r>
            <w:rPr>
              <w:rFonts w:hint="eastAsia" w:ascii="宋体" w:hAnsi="宋体" w:eastAsia="宋体" w:cs="宋体"/>
              <w:kern w:val="44"/>
              <w:szCs w:val="36"/>
              <w:lang w:val="zh-TW" w:eastAsia="zh-TW"/>
            </w:rPr>
            <w:t>公告</w:t>
          </w:r>
          <w:r>
            <w:tab/>
          </w:r>
          <w:r>
            <w:fldChar w:fldCharType="begin"/>
          </w:r>
          <w:r>
            <w:instrText xml:space="preserve"> PAGEREF _Toc31277 \h </w:instrText>
          </w:r>
          <w:r>
            <w:fldChar w:fldCharType="separate"/>
          </w:r>
          <w:r>
            <w:t>1</w:t>
          </w:r>
          <w:r>
            <w:fldChar w:fldCharType="end"/>
          </w:r>
          <w:r>
            <w:fldChar w:fldCharType="end"/>
          </w:r>
        </w:p>
        <w:p w14:paraId="6351DB6D">
          <w:pPr>
            <w:pStyle w:val="19"/>
            <w:tabs>
              <w:tab w:val="right" w:leader="dot" w:pos="8787"/>
              <w:tab w:val="clear" w:pos="8777"/>
            </w:tabs>
          </w:pPr>
          <w:r>
            <w:fldChar w:fldCharType="begin"/>
          </w:r>
          <w:r>
            <w:instrText xml:space="preserve"> HYPERLINK \l "_Toc30510" </w:instrText>
          </w:r>
          <w:r>
            <w:fldChar w:fldCharType="separate"/>
          </w:r>
          <w:r>
            <w:rPr>
              <w:rFonts w:hint="eastAsia" w:ascii="宋体" w:hAnsi="宋体" w:eastAsia="宋体" w:cs="宋体"/>
              <w:kern w:val="44"/>
              <w:szCs w:val="36"/>
              <w:lang w:val="zh-TW" w:eastAsia="zh-TW"/>
            </w:rPr>
            <w:t xml:space="preserve">第二章  </w:t>
          </w:r>
          <w:r>
            <w:rPr>
              <w:rFonts w:hint="eastAsia" w:ascii="宋体" w:hAnsi="宋体" w:eastAsia="宋体" w:cs="宋体"/>
              <w:kern w:val="44"/>
              <w:szCs w:val="36"/>
              <w:lang w:val="zh-TW"/>
            </w:rPr>
            <w:t>投标人</w:t>
          </w:r>
          <w:r>
            <w:rPr>
              <w:rFonts w:hint="eastAsia" w:ascii="宋体" w:hAnsi="宋体" w:eastAsia="宋体" w:cs="宋体"/>
              <w:kern w:val="44"/>
              <w:szCs w:val="36"/>
              <w:lang w:val="zh-TW" w:eastAsia="zh-TW"/>
            </w:rPr>
            <w:t>须知</w:t>
          </w:r>
          <w:r>
            <w:tab/>
          </w:r>
          <w:r>
            <w:fldChar w:fldCharType="begin"/>
          </w:r>
          <w:r>
            <w:instrText xml:space="preserve"> PAGEREF _Toc30510 \h </w:instrText>
          </w:r>
          <w:r>
            <w:fldChar w:fldCharType="separate"/>
          </w:r>
          <w:r>
            <w:t>4</w:t>
          </w:r>
          <w:r>
            <w:fldChar w:fldCharType="end"/>
          </w:r>
          <w:r>
            <w:fldChar w:fldCharType="end"/>
          </w:r>
        </w:p>
        <w:p w14:paraId="30AF0C80">
          <w:pPr>
            <w:pStyle w:val="19"/>
            <w:tabs>
              <w:tab w:val="right" w:leader="dot" w:pos="8787"/>
              <w:tab w:val="clear" w:pos="8777"/>
            </w:tabs>
          </w:pPr>
          <w:r>
            <w:fldChar w:fldCharType="begin"/>
          </w:r>
          <w:r>
            <w:instrText xml:space="preserve"> HYPERLINK \l "_Toc10510" </w:instrText>
          </w:r>
          <w:r>
            <w:fldChar w:fldCharType="separate"/>
          </w:r>
          <w:r>
            <w:rPr>
              <w:rFonts w:hint="eastAsia" w:ascii="宋体" w:hAnsi="宋体" w:eastAsia="宋体" w:cs="宋体"/>
              <w:kern w:val="44"/>
              <w:szCs w:val="36"/>
              <w:lang w:val="zh-TW" w:eastAsia="zh-TW"/>
            </w:rPr>
            <w:t>第</w:t>
          </w:r>
          <w:r>
            <w:rPr>
              <w:rFonts w:hint="eastAsia" w:ascii="宋体" w:hAnsi="宋体" w:eastAsia="宋体" w:cs="宋体"/>
              <w:kern w:val="44"/>
              <w:szCs w:val="36"/>
              <w:lang w:val="zh-TW"/>
            </w:rPr>
            <w:t>三</w:t>
          </w:r>
          <w:r>
            <w:rPr>
              <w:rFonts w:hint="eastAsia" w:ascii="宋体" w:hAnsi="宋体" w:eastAsia="宋体" w:cs="宋体"/>
              <w:kern w:val="44"/>
              <w:szCs w:val="36"/>
              <w:lang w:val="zh-TW" w:eastAsia="zh-TW"/>
            </w:rPr>
            <w:t>章  合同条款及格式</w:t>
          </w:r>
          <w:r>
            <w:tab/>
          </w:r>
          <w:r>
            <w:fldChar w:fldCharType="begin"/>
          </w:r>
          <w:r>
            <w:instrText xml:space="preserve"> PAGEREF _Toc10510 \h </w:instrText>
          </w:r>
          <w:r>
            <w:fldChar w:fldCharType="separate"/>
          </w:r>
          <w:r>
            <w:t>14</w:t>
          </w:r>
          <w:r>
            <w:fldChar w:fldCharType="end"/>
          </w:r>
          <w:r>
            <w:fldChar w:fldCharType="end"/>
          </w:r>
        </w:p>
        <w:p w14:paraId="5C8A1FB9">
          <w:pPr>
            <w:pStyle w:val="19"/>
            <w:tabs>
              <w:tab w:val="right" w:leader="dot" w:pos="8787"/>
              <w:tab w:val="clear" w:pos="8777"/>
            </w:tabs>
          </w:pPr>
          <w:r>
            <w:fldChar w:fldCharType="begin"/>
          </w:r>
          <w:r>
            <w:instrText xml:space="preserve"> HYPERLINK \l "_Toc16438" </w:instrText>
          </w:r>
          <w:r>
            <w:fldChar w:fldCharType="separate"/>
          </w:r>
          <w:r>
            <w:rPr>
              <w:rFonts w:hint="eastAsia" w:ascii="宋体" w:hAnsi="宋体" w:eastAsia="宋体" w:cs="宋体"/>
              <w:kern w:val="44"/>
              <w:szCs w:val="36"/>
              <w:lang w:val="zh-TW" w:eastAsia="zh-TW"/>
            </w:rPr>
            <w:t>第</w:t>
          </w:r>
          <w:r>
            <w:rPr>
              <w:rFonts w:hint="eastAsia" w:ascii="宋体" w:hAnsi="宋体" w:eastAsia="宋体" w:cs="宋体"/>
              <w:kern w:val="44"/>
              <w:szCs w:val="36"/>
              <w:lang w:val="zh-TW"/>
            </w:rPr>
            <w:t>四</w:t>
          </w:r>
          <w:r>
            <w:rPr>
              <w:rFonts w:hint="eastAsia" w:ascii="宋体" w:hAnsi="宋体" w:eastAsia="宋体" w:cs="宋体"/>
              <w:kern w:val="44"/>
              <w:szCs w:val="36"/>
              <w:lang w:val="zh-TW" w:eastAsia="zh-TW"/>
            </w:rPr>
            <w:t xml:space="preserve">章  </w:t>
          </w:r>
          <w:r>
            <w:rPr>
              <w:rFonts w:hint="eastAsia" w:ascii="宋体" w:hAnsi="宋体" w:eastAsia="宋体" w:cs="宋体"/>
              <w:kern w:val="44"/>
              <w:szCs w:val="36"/>
              <w:lang w:val="zh-TW"/>
            </w:rPr>
            <w:t>项目需求</w:t>
          </w:r>
          <w:r>
            <w:tab/>
          </w:r>
          <w:r>
            <w:fldChar w:fldCharType="begin"/>
          </w:r>
          <w:r>
            <w:instrText xml:space="preserve"> PAGEREF _Toc16438 \h </w:instrText>
          </w:r>
          <w:r>
            <w:fldChar w:fldCharType="separate"/>
          </w:r>
          <w:r>
            <w:t>14</w:t>
          </w:r>
          <w:r>
            <w:fldChar w:fldCharType="end"/>
          </w:r>
          <w:r>
            <w:fldChar w:fldCharType="end"/>
          </w:r>
        </w:p>
        <w:p w14:paraId="07413A8E">
          <w:pPr>
            <w:pStyle w:val="19"/>
            <w:tabs>
              <w:tab w:val="right" w:leader="dot" w:pos="8787"/>
              <w:tab w:val="clear" w:pos="8777"/>
            </w:tabs>
          </w:pPr>
          <w:r>
            <w:fldChar w:fldCharType="begin"/>
          </w:r>
          <w:r>
            <w:instrText xml:space="preserve"> HYPERLINK \l "_Toc15896" </w:instrText>
          </w:r>
          <w:r>
            <w:fldChar w:fldCharType="separate"/>
          </w:r>
          <w:r>
            <w:rPr>
              <w:rFonts w:hint="eastAsia" w:ascii="宋体" w:hAnsi="宋体" w:eastAsia="宋体" w:cs="宋体"/>
              <w:kern w:val="44"/>
              <w:szCs w:val="36"/>
              <w:lang w:val="zh-TW" w:eastAsia="zh-TW"/>
            </w:rPr>
            <w:t>第</w:t>
          </w:r>
          <w:r>
            <w:rPr>
              <w:rFonts w:hint="eastAsia" w:ascii="宋体" w:hAnsi="宋体" w:eastAsia="宋体" w:cs="宋体"/>
              <w:kern w:val="44"/>
              <w:szCs w:val="36"/>
              <w:lang w:val="zh-TW"/>
            </w:rPr>
            <w:t>五</w:t>
          </w:r>
          <w:r>
            <w:rPr>
              <w:rFonts w:hint="eastAsia" w:ascii="宋体" w:hAnsi="宋体" w:eastAsia="宋体" w:cs="宋体"/>
              <w:kern w:val="44"/>
              <w:szCs w:val="36"/>
              <w:lang w:val="zh-TW" w:eastAsia="zh-TW"/>
            </w:rPr>
            <w:t>章  评标方法与评标标准</w:t>
          </w:r>
          <w:r>
            <w:tab/>
          </w:r>
          <w:r>
            <w:fldChar w:fldCharType="begin"/>
          </w:r>
          <w:r>
            <w:instrText xml:space="preserve"> PAGEREF _Toc15896 \h </w:instrText>
          </w:r>
          <w:r>
            <w:fldChar w:fldCharType="separate"/>
          </w:r>
          <w:r>
            <w:t>18</w:t>
          </w:r>
          <w:r>
            <w:fldChar w:fldCharType="end"/>
          </w:r>
          <w:r>
            <w:fldChar w:fldCharType="end"/>
          </w:r>
        </w:p>
        <w:p w14:paraId="45CC6627">
          <w:pPr>
            <w:pStyle w:val="19"/>
            <w:tabs>
              <w:tab w:val="right" w:leader="dot" w:pos="8787"/>
              <w:tab w:val="clear" w:pos="8777"/>
            </w:tabs>
          </w:pPr>
          <w:r>
            <w:fldChar w:fldCharType="begin"/>
          </w:r>
          <w:r>
            <w:instrText xml:space="preserve"> HYPERLINK \l "_Toc5120" </w:instrText>
          </w:r>
          <w:r>
            <w:fldChar w:fldCharType="separate"/>
          </w:r>
          <w:r>
            <w:rPr>
              <w:rFonts w:hint="eastAsia" w:ascii="宋体" w:hAnsi="宋体" w:eastAsia="宋体" w:cs="宋体"/>
              <w:kern w:val="44"/>
              <w:szCs w:val="36"/>
              <w:lang w:val="zh-TW" w:eastAsia="zh-TW"/>
            </w:rPr>
            <w:t>第</w:t>
          </w:r>
          <w:r>
            <w:rPr>
              <w:rFonts w:hint="eastAsia" w:ascii="宋体" w:hAnsi="宋体" w:eastAsia="宋体" w:cs="宋体"/>
              <w:kern w:val="44"/>
              <w:szCs w:val="36"/>
              <w:lang w:val="zh-TW"/>
            </w:rPr>
            <w:t>六</w:t>
          </w:r>
          <w:r>
            <w:rPr>
              <w:rFonts w:hint="eastAsia" w:ascii="宋体" w:hAnsi="宋体" w:eastAsia="宋体" w:cs="宋体"/>
              <w:kern w:val="44"/>
              <w:szCs w:val="36"/>
              <w:lang w:val="zh-TW" w:eastAsia="zh-TW"/>
            </w:rPr>
            <w:t>章  投标文件格式</w:t>
          </w:r>
          <w:r>
            <w:tab/>
          </w:r>
          <w:r>
            <w:fldChar w:fldCharType="begin"/>
          </w:r>
          <w:r>
            <w:instrText xml:space="preserve"> PAGEREF _Toc5120 \h </w:instrText>
          </w:r>
          <w:r>
            <w:fldChar w:fldCharType="separate"/>
          </w:r>
          <w:r>
            <w:t>24</w:t>
          </w:r>
          <w:r>
            <w:fldChar w:fldCharType="end"/>
          </w:r>
          <w:r>
            <w:fldChar w:fldCharType="end"/>
          </w:r>
        </w:p>
        <w:p w14:paraId="688F7EA7">
          <w:pPr>
            <w:pStyle w:val="19"/>
            <w:rPr>
              <w:rFonts w:ascii="宋体" w:hAnsi="宋体" w:eastAsia="宋体" w:cs="宋体"/>
            </w:rPr>
          </w:pPr>
          <w:r>
            <w:rPr>
              <w:rFonts w:hint="eastAsia" w:ascii="黑体" w:hAnsi="黑体" w:cs="黑体"/>
            </w:rPr>
            <w:fldChar w:fldCharType="end"/>
          </w:r>
        </w:p>
      </w:sdtContent>
    </w:sdt>
    <w:p w14:paraId="67DDAA78">
      <w:pPr>
        <w:widowControl/>
        <w:jc w:val="left"/>
        <w:rPr>
          <w:rFonts w:ascii="宋体" w:hAnsi="宋体" w:eastAsia="宋体" w:cs="宋体"/>
        </w:rPr>
        <w:sectPr>
          <w:headerReference r:id="rId3" w:type="default"/>
          <w:footerReference r:id="rId4" w:type="default"/>
          <w:pgSz w:w="11906" w:h="16838"/>
          <w:pgMar w:top="1418" w:right="1418" w:bottom="1418" w:left="1701" w:header="851" w:footer="992" w:gutter="0"/>
          <w:pgNumType w:fmt="upperRoman" w:start="1"/>
          <w:cols w:space="425" w:num="1"/>
          <w:docGrid w:type="lines" w:linePitch="312" w:charSpace="0"/>
        </w:sectPr>
      </w:pPr>
    </w:p>
    <w:p w14:paraId="1FAAAF7B">
      <w:pPr>
        <w:keepNext/>
        <w:keepLines/>
        <w:spacing w:before="312" w:beforeLines="100" w:after="312" w:afterLines="100" w:line="360" w:lineRule="auto"/>
        <w:jc w:val="center"/>
        <w:outlineLvl w:val="0"/>
        <w:rPr>
          <w:rFonts w:ascii="宋体" w:hAnsi="宋体" w:eastAsia="宋体" w:cs="宋体"/>
          <w:kern w:val="44"/>
          <w:sz w:val="36"/>
          <w:szCs w:val="36"/>
          <w:u w:color="000000"/>
          <w:lang w:val="zh-TW" w:eastAsia="zh-TW"/>
        </w:rPr>
      </w:pPr>
      <w:bookmarkStart w:id="0" w:name="_Toc"/>
      <w:bookmarkStart w:id="1" w:name="_Toc415494523"/>
      <w:bookmarkStart w:id="2" w:name="_Toc31277"/>
      <w:bookmarkStart w:id="3" w:name="_Toc448069940"/>
      <w:r>
        <w:rPr>
          <w:rFonts w:hint="eastAsia" w:ascii="宋体" w:hAnsi="宋体" w:eastAsia="宋体" w:cs="宋体"/>
          <w:kern w:val="44"/>
          <w:sz w:val="36"/>
          <w:szCs w:val="36"/>
          <w:u w:color="000000"/>
          <w:lang w:val="zh-TW" w:eastAsia="zh-TW"/>
        </w:rPr>
        <w:t xml:space="preserve">第一章  </w:t>
      </w:r>
      <w:r>
        <w:rPr>
          <w:rFonts w:hint="eastAsia" w:ascii="宋体" w:hAnsi="宋体" w:eastAsia="宋体" w:cs="宋体"/>
          <w:kern w:val="44"/>
          <w:sz w:val="36"/>
          <w:szCs w:val="36"/>
          <w:u w:color="000000"/>
          <w:lang w:val="en-US" w:eastAsia="zh-CN"/>
        </w:rPr>
        <w:t>采购</w:t>
      </w:r>
      <w:r>
        <w:rPr>
          <w:rFonts w:hint="eastAsia" w:ascii="宋体" w:hAnsi="宋体" w:eastAsia="宋体" w:cs="宋体"/>
          <w:kern w:val="44"/>
          <w:sz w:val="36"/>
          <w:szCs w:val="36"/>
          <w:u w:color="000000"/>
          <w:lang w:val="zh-TW" w:eastAsia="zh-TW"/>
        </w:rPr>
        <w:t>公告</w:t>
      </w:r>
      <w:bookmarkEnd w:id="0"/>
      <w:bookmarkEnd w:id="1"/>
      <w:bookmarkEnd w:id="2"/>
      <w:bookmarkEnd w:id="3"/>
    </w:p>
    <w:p w14:paraId="594DE8CA">
      <w:pPr>
        <w:spacing w:line="360" w:lineRule="auto"/>
        <w:ind w:firstLine="482" w:firstLineChars="200"/>
        <w:rPr>
          <w:rFonts w:ascii="宋体" w:hAnsi="宋体" w:eastAsia="宋体" w:cs="宋体"/>
          <w:b/>
          <w:sz w:val="24"/>
          <w:szCs w:val="24"/>
        </w:rPr>
      </w:pPr>
      <w:bookmarkStart w:id="4" w:name="_Toc415494524"/>
      <w:bookmarkStart w:id="5" w:name="_Toc1"/>
      <w:bookmarkStart w:id="6" w:name="_Toc448069941"/>
      <w:r>
        <w:rPr>
          <w:rFonts w:hint="eastAsia" w:ascii="宋体" w:hAnsi="宋体" w:eastAsia="宋体" w:cs="宋体"/>
          <w:b/>
          <w:sz w:val="24"/>
          <w:szCs w:val="24"/>
        </w:rPr>
        <w:t>项目概况</w:t>
      </w:r>
    </w:p>
    <w:p w14:paraId="36F9E8A9">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lang w:eastAsia="zh-CN"/>
        </w:rPr>
        <w:t>南京邮电大学通达学院2025年5月-2027年5月电梯维保服务采购</w:t>
      </w:r>
      <w:r>
        <w:rPr>
          <w:rFonts w:hint="eastAsia" w:ascii="宋体" w:hAnsi="宋体" w:eastAsia="宋体" w:cs="宋体"/>
          <w:b/>
          <w:sz w:val="24"/>
          <w:szCs w:val="24"/>
        </w:rPr>
        <w:t>项目</w:t>
      </w:r>
      <w:r>
        <w:rPr>
          <w:rFonts w:hint="eastAsia" w:ascii="宋体" w:hAnsi="宋体" w:eastAsia="宋体" w:cs="宋体"/>
          <w:sz w:val="24"/>
          <w:szCs w:val="24"/>
        </w:rPr>
        <w:t>的潜在投标人应在</w:t>
      </w:r>
      <w:r>
        <w:rPr>
          <w:rFonts w:hint="eastAsia" w:ascii="宋体" w:hAnsi="宋体" w:eastAsia="宋体" w:cs="宋体"/>
          <w:b/>
          <w:sz w:val="24"/>
          <w:szCs w:val="24"/>
        </w:rPr>
        <w:t>中通服咨询设计研究院有限公司</w:t>
      </w:r>
      <w:r>
        <w:rPr>
          <w:rFonts w:hint="eastAsia" w:ascii="宋体" w:hAnsi="宋体" w:eastAsia="宋体" w:cs="宋体"/>
          <w:sz w:val="24"/>
          <w:szCs w:val="24"/>
        </w:rPr>
        <w:t>获取招标文件，并于</w:t>
      </w:r>
      <w:r>
        <w:rPr>
          <w:rFonts w:hint="eastAsia" w:ascii="宋体" w:hAnsi="宋体" w:eastAsia="宋体" w:cs="宋体"/>
          <w:b/>
          <w:sz w:val="24"/>
          <w:szCs w:val="24"/>
          <w:lang w:eastAsia="zh-CN"/>
        </w:rPr>
        <w:t>2025</w:t>
      </w:r>
      <w:r>
        <w:rPr>
          <w:rFonts w:hint="eastAsia" w:ascii="宋体" w:hAnsi="宋体" w:eastAsia="宋体" w:cs="宋体"/>
          <w:b/>
          <w:sz w:val="24"/>
          <w:szCs w:val="24"/>
        </w:rPr>
        <w:t>年</w:t>
      </w:r>
      <w:r>
        <w:rPr>
          <w:rFonts w:hint="eastAsia" w:ascii="宋体" w:hAnsi="宋体" w:eastAsia="宋体" w:cs="宋体"/>
          <w:b/>
          <w:sz w:val="24"/>
          <w:szCs w:val="24"/>
          <w:lang w:val="en-US" w:eastAsia="zh-CN"/>
        </w:rPr>
        <w:t>5月9</w:t>
      </w:r>
      <w:r>
        <w:rPr>
          <w:rFonts w:hint="eastAsia" w:ascii="宋体" w:hAnsi="宋体" w:eastAsia="宋体" w:cs="宋体"/>
          <w:b/>
          <w:sz w:val="24"/>
          <w:szCs w:val="24"/>
        </w:rPr>
        <w:t>日14时30分</w:t>
      </w:r>
      <w:r>
        <w:rPr>
          <w:rFonts w:hint="eastAsia" w:ascii="宋体" w:hAnsi="宋体" w:eastAsia="宋体" w:cs="宋体"/>
          <w:sz w:val="24"/>
          <w:szCs w:val="24"/>
        </w:rPr>
        <w:t>（北京时间）前递交投标文件。</w:t>
      </w:r>
    </w:p>
    <w:p w14:paraId="503F7EC9">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一、项目基本情况</w:t>
      </w:r>
    </w:p>
    <w:p w14:paraId="5C17E1FD">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1.1项目编号：</w:t>
      </w:r>
      <w:r>
        <w:rPr>
          <w:rFonts w:hint="eastAsia" w:ascii="宋体" w:hAnsi="宋体" w:eastAsia="宋体" w:cs="宋体"/>
          <w:sz w:val="24"/>
          <w:szCs w:val="24"/>
          <w:highlight w:val="none"/>
          <w:lang w:eastAsia="zh-CN"/>
        </w:rPr>
        <w:t>TDCG2025007</w:t>
      </w:r>
    </w:p>
    <w:p w14:paraId="396F360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1.2项目名称：</w:t>
      </w:r>
      <w:r>
        <w:rPr>
          <w:rFonts w:hint="eastAsia" w:ascii="宋体" w:hAnsi="宋体" w:eastAsia="宋体" w:cs="宋体"/>
          <w:sz w:val="24"/>
          <w:szCs w:val="24"/>
          <w:lang w:eastAsia="zh-CN"/>
        </w:rPr>
        <w:t>南京邮电大学通达学院2025年5月-2027年5月电梯维保服务采购</w:t>
      </w:r>
      <w:r>
        <w:rPr>
          <w:rFonts w:hint="eastAsia" w:ascii="宋体" w:hAnsi="宋体" w:eastAsia="宋体" w:cs="宋体"/>
          <w:sz w:val="24"/>
          <w:szCs w:val="24"/>
        </w:rPr>
        <w:t>项目</w:t>
      </w:r>
    </w:p>
    <w:p w14:paraId="2EAFA51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1.3采购内容：</w:t>
      </w:r>
      <w:r>
        <w:rPr>
          <w:rFonts w:hint="eastAsia" w:ascii="宋体" w:hAnsi="宋体" w:eastAsia="宋体" w:cs="宋体"/>
          <w:sz w:val="24"/>
          <w:szCs w:val="24"/>
          <w:lang w:val="en-US" w:eastAsia="zh-CN"/>
        </w:rPr>
        <w:t>电梯维保服务，详见“第四章 项目需求”</w:t>
      </w:r>
      <w:r>
        <w:rPr>
          <w:rFonts w:hint="eastAsia" w:ascii="宋体" w:hAnsi="宋体" w:eastAsia="宋体" w:cs="宋体"/>
          <w:sz w:val="24"/>
          <w:szCs w:val="24"/>
        </w:rPr>
        <w:t>。</w:t>
      </w:r>
    </w:p>
    <w:p w14:paraId="6FE1B54B">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1.4预算及最高限价：</w:t>
      </w:r>
      <w:r>
        <w:rPr>
          <w:rFonts w:hint="eastAsia" w:ascii="宋体" w:hAnsi="宋体" w:eastAsia="宋体" w:cs="宋体"/>
          <w:sz w:val="24"/>
          <w:szCs w:val="24"/>
          <w:lang w:val="en-US" w:eastAsia="zh-CN"/>
        </w:rPr>
        <w:t>10万/年</w:t>
      </w:r>
      <w:r>
        <w:rPr>
          <w:rFonts w:hint="eastAsia" w:ascii="宋体" w:hAnsi="宋体" w:eastAsia="宋体" w:cs="宋体"/>
          <w:sz w:val="24"/>
          <w:szCs w:val="24"/>
          <w:lang w:eastAsia="zh-CN"/>
        </w:rPr>
        <w:t>。</w:t>
      </w:r>
    </w:p>
    <w:p w14:paraId="1E8C3EC0">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1.5</w:t>
      </w:r>
      <w:r>
        <w:rPr>
          <w:rFonts w:hint="eastAsia" w:ascii="宋体" w:hAnsi="宋体" w:eastAsia="宋体" w:cs="宋体"/>
          <w:sz w:val="24"/>
          <w:szCs w:val="24"/>
          <w:highlight w:val="none"/>
          <w:lang w:val="en-US" w:eastAsia="zh-CN"/>
        </w:rPr>
        <w:t>服务期</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025年5月-2027年5月</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共两年</w:t>
      </w:r>
      <w:r>
        <w:rPr>
          <w:rFonts w:hint="eastAsia" w:ascii="宋体" w:hAnsi="宋体" w:eastAsia="宋体" w:cs="宋体"/>
          <w:sz w:val="24"/>
          <w:szCs w:val="24"/>
          <w:highlight w:val="none"/>
        </w:rPr>
        <w:t>。</w:t>
      </w:r>
    </w:p>
    <w:p w14:paraId="7D3EFEC4">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二、申请人的资格要求：</w:t>
      </w:r>
    </w:p>
    <w:p w14:paraId="66D09762">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487BA85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（1）供应商必须是经国家有关部门批准，具有独立承担民事责任能力的独立法人或其他组织；</w:t>
      </w:r>
    </w:p>
    <w:p w14:paraId="3286D36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（2）供应商须具有良好的商业信誉和健全的财务会计制度（提供经审计的2023年度或最新一年度的财务报告，成立不满一年不需提供）；</w:t>
      </w:r>
    </w:p>
    <w:p w14:paraId="46F2E55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（3）供应商需提供依法缴纳税收和社会保障资金的相关材料；</w:t>
      </w:r>
    </w:p>
    <w:p w14:paraId="56CB668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（4）供应商具有履行合同所必需的设备和专业技术能力的书面声明；</w:t>
      </w:r>
    </w:p>
    <w:p w14:paraId="7B09D21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（5）供应商在经营活动中没有违法违规记录，近三年内没有被司法部门或行业主管部门处罚，提供书面声明；</w:t>
      </w:r>
    </w:p>
    <w:p w14:paraId="53C5F77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（6）供应商须提供在“信用中国”（www.creditchina.gov.cn）或“诚信江苏”（www.jscredit.gov.cn）或中国政府采购网（www.ccgp.gov.cn）查询的、自本招标公告发布之日至投标截止前的信用记录的截图（截图须加盖公章）；</w:t>
      </w:r>
    </w:p>
    <w:p w14:paraId="53181DA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2.落实政府采购政策需满足的资格要求：无</w:t>
      </w:r>
    </w:p>
    <w:p w14:paraId="40AB0400">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rPr>
        <w:t>3.本项目的特定资格要求：</w:t>
      </w:r>
      <w:r>
        <w:rPr>
          <w:rFonts w:hint="eastAsia" w:ascii="宋体" w:hAnsi="宋体" w:eastAsia="宋体" w:cs="宋体"/>
          <w:sz w:val="24"/>
          <w:szCs w:val="24"/>
          <w:highlight w:val="none"/>
          <w:lang w:val="en-US" w:eastAsia="zh-CN"/>
        </w:rPr>
        <w:t>供应商必须具有《中华人民共和国特种设备安装改造维修许可证（电梯）》（电梯C级或以上资质）或《中华人民共和国特种设备生产许可证（电梯）》（含电梯安装、修理）（需提供有效证书复印件加盖投标单位公章）</w:t>
      </w:r>
    </w:p>
    <w:p w14:paraId="3737B66F">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4.本项目拒绝下述投标人参加投标：</w:t>
      </w:r>
    </w:p>
    <w:p w14:paraId="586A069A">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4.1投标人单位负责人为同一人或者存在直接控股、管理关系的不同投标人，不得参加同一合同项下的政府采购活动。</w:t>
      </w:r>
    </w:p>
    <w:p w14:paraId="0ED091F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4.2凡为采购项目提供整体设计、规范编制或者项目管理、监理、检测等服务的投标人，不得再参加本项目的采购活动。</w:t>
      </w:r>
    </w:p>
    <w:p w14:paraId="33650344">
      <w:pPr>
        <w:spacing w:line="360" w:lineRule="auto"/>
        <w:ind w:firstLine="480" w:firstLineChars="200"/>
      </w:pPr>
      <w:r>
        <w:rPr>
          <w:rFonts w:hint="eastAsia" w:ascii="宋体" w:hAnsi="宋体" w:eastAsia="宋体" w:cs="宋体"/>
          <w:sz w:val="24"/>
          <w:szCs w:val="24"/>
        </w:rPr>
        <w:t>4.3投标人被“信用中国”网站（www.creditchina.gov.cn）、“中国政府采购网”(www.ccgp.gov.cn)列入失信被执行人、重大税收违法案件当事人名单、政府采购严重违法失信行为记录名单。</w:t>
      </w:r>
    </w:p>
    <w:p w14:paraId="60822C1A">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三、获取招标文件</w:t>
      </w:r>
    </w:p>
    <w:p w14:paraId="54E0325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lang w:eastAsia="zh-CN"/>
        </w:rPr>
        <w:t>2025</w:t>
      </w:r>
      <w:r>
        <w:rPr>
          <w:rFonts w:hint="eastAsia" w:ascii="宋体" w:hAnsi="宋体" w:eastAsia="宋体" w:cs="宋体"/>
          <w:sz w:val="24"/>
          <w:szCs w:val="24"/>
        </w:rPr>
        <w:t>年</w:t>
      </w:r>
      <w:r>
        <w:rPr>
          <w:rFonts w:hint="eastAsia" w:ascii="宋体" w:hAnsi="宋体" w:eastAsia="宋体" w:cs="宋体"/>
          <w:sz w:val="24"/>
          <w:szCs w:val="24"/>
          <w:lang w:val="en-US" w:eastAsia="zh-CN"/>
        </w:rPr>
        <w:t>4月27</w:t>
      </w:r>
      <w:r>
        <w:rPr>
          <w:rFonts w:hint="eastAsia" w:ascii="宋体" w:hAnsi="宋体" w:eastAsia="宋体" w:cs="宋体"/>
          <w:sz w:val="24"/>
          <w:szCs w:val="24"/>
        </w:rPr>
        <w:t>日至</w:t>
      </w:r>
      <w:r>
        <w:rPr>
          <w:rFonts w:hint="eastAsia" w:ascii="宋体" w:hAnsi="宋体" w:eastAsia="宋体" w:cs="宋体"/>
          <w:sz w:val="24"/>
          <w:szCs w:val="24"/>
          <w:lang w:eastAsia="zh-CN"/>
        </w:rPr>
        <w:t>2025</w:t>
      </w:r>
      <w:r>
        <w:rPr>
          <w:rFonts w:hint="eastAsia" w:ascii="宋体" w:hAnsi="宋体" w:eastAsia="宋体" w:cs="宋体"/>
          <w:sz w:val="24"/>
          <w:szCs w:val="24"/>
        </w:rPr>
        <w:t>年</w:t>
      </w:r>
      <w:r>
        <w:rPr>
          <w:rFonts w:hint="eastAsia" w:ascii="宋体" w:hAnsi="宋体" w:eastAsia="宋体" w:cs="宋体"/>
          <w:sz w:val="24"/>
          <w:szCs w:val="24"/>
          <w:lang w:val="en-US" w:eastAsia="zh-CN"/>
        </w:rPr>
        <w:t>5月6</w:t>
      </w:r>
      <w:r>
        <w:rPr>
          <w:rFonts w:hint="eastAsia" w:ascii="宋体" w:hAnsi="宋体" w:eastAsia="宋体" w:cs="宋体"/>
          <w:sz w:val="24"/>
          <w:szCs w:val="24"/>
        </w:rPr>
        <w:t>日</w:t>
      </w:r>
    </w:p>
    <w:p w14:paraId="5AF8F75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方式：</w:t>
      </w:r>
    </w:p>
    <w:p w14:paraId="7190678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报名需将下述资料盖章扫描件（1份）发邮件至</w:t>
      </w:r>
      <w:r>
        <w:rPr>
          <w:rFonts w:hint="eastAsia" w:ascii="宋体" w:hAnsi="宋体" w:eastAsia="宋体" w:cs="宋体"/>
          <w:sz w:val="24"/>
          <w:szCs w:val="24"/>
          <w:lang w:eastAsia="zh-CN"/>
        </w:rPr>
        <w:t>zhuxiaoqi_xm@cicdi.cn</w:t>
      </w:r>
      <w:r>
        <w:rPr>
          <w:rFonts w:hint="eastAsia" w:ascii="宋体" w:hAnsi="宋体" w:eastAsia="宋体" w:cs="宋体"/>
          <w:sz w:val="24"/>
          <w:szCs w:val="24"/>
        </w:rPr>
        <w:t>，进行线上报名：</w:t>
      </w:r>
    </w:p>
    <w:p w14:paraId="0C20841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（1）营业执照副本；</w:t>
      </w:r>
    </w:p>
    <w:p w14:paraId="53468004">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（2）法人授权委托书和被授权人身份证；</w:t>
      </w:r>
    </w:p>
    <w:p w14:paraId="15A2C99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（3）标书费付款凭证。</w:t>
      </w:r>
    </w:p>
    <w:p w14:paraId="092EF26A">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售价：300元人民币</w:t>
      </w:r>
    </w:p>
    <w:p w14:paraId="2207592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汇款账号信息如下：</w:t>
      </w:r>
    </w:p>
    <w:p w14:paraId="2865B75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收款单位：中通服咨询设计研究院有限公司</w:t>
      </w:r>
    </w:p>
    <w:p w14:paraId="32B5AB9F">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开户银行：招商银行股份有限公司南京城北支行</w:t>
      </w:r>
    </w:p>
    <w:p w14:paraId="6D18B63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帐    号：12590209571000100000259</w:t>
      </w:r>
    </w:p>
    <w:p w14:paraId="5DE9739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转帐事由：项目名称（可简写）+ 标书费</w:t>
      </w:r>
    </w:p>
    <w:p w14:paraId="6AB42C35">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四、提交投标文件截止时间、开标时间和地点</w:t>
      </w:r>
    </w:p>
    <w:p w14:paraId="0157152A">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提交投标文件截止时间及开标时间：</w:t>
      </w:r>
      <w:r>
        <w:rPr>
          <w:rFonts w:hint="eastAsia" w:ascii="宋体" w:hAnsi="宋体" w:eastAsia="宋体" w:cs="宋体"/>
          <w:sz w:val="24"/>
          <w:szCs w:val="24"/>
          <w:lang w:eastAsia="zh-CN"/>
        </w:rPr>
        <w:t>2025</w:t>
      </w:r>
      <w:r>
        <w:rPr>
          <w:rFonts w:hint="eastAsia" w:ascii="宋体" w:hAnsi="宋体" w:eastAsia="宋体" w:cs="宋体"/>
          <w:sz w:val="24"/>
          <w:szCs w:val="24"/>
        </w:rPr>
        <w:t>年</w:t>
      </w:r>
      <w:r>
        <w:rPr>
          <w:rFonts w:hint="eastAsia" w:ascii="宋体" w:hAnsi="宋体" w:eastAsia="宋体" w:cs="宋体"/>
          <w:sz w:val="24"/>
          <w:szCs w:val="24"/>
          <w:lang w:val="en-US" w:eastAsia="zh-CN"/>
        </w:rPr>
        <w:t>5月9</w:t>
      </w:r>
      <w:r>
        <w:rPr>
          <w:rFonts w:hint="eastAsia" w:ascii="宋体" w:hAnsi="宋体" w:eastAsia="宋体" w:cs="宋体"/>
          <w:sz w:val="24"/>
          <w:szCs w:val="24"/>
        </w:rPr>
        <w:t>日14时30分（北京时间）</w:t>
      </w:r>
    </w:p>
    <w:p w14:paraId="1D89337D">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提交投标文件及开标地点：江苏省扬州市邗江区江阳中路万象汇利大厦6楼会议室</w:t>
      </w:r>
      <w:r>
        <w:rPr>
          <w:rFonts w:hint="eastAsia" w:ascii="宋体" w:hAnsi="宋体" w:eastAsia="宋体" w:cs="宋体"/>
          <w:sz w:val="24"/>
          <w:szCs w:val="24"/>
          <w:lang w:eastAsia="zh-CN"/>
        </w:rPr>
        <w:t>。</w:t>
      </w:r>
    </w:p>
    <w:p w14:paraId="495BA179">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五、公告期限</w:t>
      </w:r>
    </w:p>
    <w:p w14:paraId="75161F44">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自本公告发布之日起5个工作日。</w:t>
      </w:r>
    </w:p>
    <w:p w14:paraId="7810643B">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六、其他补充事宜</w:t>
      </w:r>
    </w:p>
    <w:p w14:paraId="49652832">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拒绝下述供应商参加本次采购活动：</w:t>
      </w:r>
    </w:p>
    <w:p w14:paraId="45B72ED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.1</w:t>
      </w:r>
      <w:r>
        <w:rPr>
          <w:rFonts w:hint="eastAsia" w:ascii="宋体" w:hAnsi="宋体" w:eastAsia="宋体" w:cs="宋体"/>
          <w:sz w:val="24"/>
          <w:szCs w:val="24"/>
        </w:rPr>
        <w:t>投标人</w:t>
      </w:r>
      <w:r>
        <w:rPr>
          <w:rFonts w:ascii="宋体" w:hAnsi="宋体" w:eastAsia="宋体" w:cs="宋体"/>
          <w:sz w:val="24"/>
          <w:szCs w:val="24"/>
        </w:rPr>
        <w:t>单位负责人为同一人或者存在直接控股、管理关系的不同</w:t>
      </w:r>
      <w:r>
        <w:rPr>
          <w:rFonts w:hint="eastAsia" w:ascii="宋体" w:hAnsi="宋体" w:eastAsia="宋体" w:cs="宋体"/>
          <w:sz w:val="24"/>
          <w:szCs w:val="24"/>
        </w:rPr>
        <w:t>投标人</w:t>
      </w:r>
      <w:r>
        <w:rPr>
          <w:rFonts w:ascii="宋体" w:hAnsi="宋体" w:eastAsia="宋体" w:cs="宋体"/>
          <w:sz w:val="24"/>
          <w:szCs w:val="24"/>
        </w:rPr>
        <w:t>，不得参加同一合同项下的政府采购活动。</w:t>
      </w:r>
    </w:p>
    <w:p w14:paraId="0F8ACEB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.2凡为采购项目提供整体设计、规范编制或者项目管理、监理、检测等服务的</w:t>
      </w:r>
      <w:r>
        <w:rPr>
          <w:rFonts w:hint="eastAsia" w:ascii="宋体" w:hAnsi="宋体" w:eastAsia="宋体" w:cs="宋体"/>
          <w:sz w:val="24"/>
          <w:szCs w:val="24"/>
        </w:rPr>
        <w:t>投标人</w:t>
      </w:r>
      <w:r>
        <w:rPr>
          <w:rFonts w:ascii="宋体" w:hAnsi="宋体" w:eastAsia="宋体" w:cs="宋体"/>
          <w:sz w:val="24"/>
          <w:szCs w:val="24"/>
        </w:rPr>
        <w:t>，不得再参加该项目的其他采购活动。</w:t>
      </w:r>
    </w:p>
    <w:p w14:paraId="1F8ECF27">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七、对本次招标提出询问，请按以下方式联系。</w:t>
      </w:r>
    </w:p>
    <w:p w14:paraId="1C80310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1.招标人信息</w:t>
      </w:r>
    </w:p>
    <w:p w14:paraId="3F27777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名 称：南京邮电大学通达学院</w:t>
      </w:r>
    </w:p>
    <w:p w14:paraId="30E1185F">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地 址：扬州市邗江区润扬南路33号</w:t>
      </w:r>
    </w:p>
    <w:p w14:paraId="715884B0">
      <w:pPr>
        <w:pStyle w:val="19"/>
      </w:pPr>
      <w:r>
        <w:rPr>
          <w:rFonts w:hint="eastAsia" w:ascii="宋体" w:hAnsi="宋体" w:eastAsia="宋体" w:cs="宋体"/>
          <w:szCs w:val="24"/>
        </w:rPr>
        <w:t xml:space="preserve">    联系人：</w:t>
      </w:r>
      <w:r>
        <w:rPr>
          <w:rFonts w:hint="eastAsia" w:ascii="宋体" w:hAnsi="宋体" w:eastAsia="宋体" w:cs="宋体"/>
          <w:szCs w:val="24"/>
          <w:lang w:val="en-US" w:eastAsia="zh-CN"/>
        </w:rPr>
        <w:t>季</w:t>
      </w:r>
      <w:r>
        <w:rPr>
          <w:rFonts w:hint="eastAsia" w:ascii="宋体" w:hAnsi="宋体" w:eastAsia="宋体" w:cs="宋体"/>
          <w:szCs w:val="24"/>
        </w:rPr>
        <w:t>老师</w:t>
      </w:r>
    </w:p>
    <w:p w14:paraId="3C33C5A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2.采购代理机构信息</w:t>
      </w:r>
    </w:p>
    <w:p w14:paraId="1C8E4AC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名 称：中通服咨询设计研究院有限公司</w:t>
      </w:r>
    </w:p>
    <w:p w14:paraId="7A5605E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地　址：南京市建邺区楠溪江东街58号</w:t>
      </w:r>
    </w:p>
    <w:p w14:paraId="4B76CEFA">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朱晓琦</w:t>
      </w:r>
      <w:r>
        <w:rPr>
          <w:rFonts w:hint="eastAsia" w:ascii="宋体" w:hAnsi="宋体" w:eastAsia="宋体" w:cs="宋体"/>
          <w:sz w:val="24"/>
          <w:szCs w:val="24"/>
        </w:rPr>
        <w:t>（报名）、郑春雅、胡洋、徐敏</w:t>
      </w:r>
    </w:p>
    <w:p w14:paraId="63647C18">
      <w:pPr>
        <w:spacing w:line="360" w:lineRule="auto"/>
        <w:ind w:firstLine="480" w:firstLineChars="200"/>
        <w:rPr>
          <w:rFonts w:ascii="宋体" w:hAnsi="宋体" w:eastAsia="宋体" w:cs="宋体"/>
          <w:kern w:val="44"/>
          <w:sz w:val="36"/>
          <w:szCs w:val="36"/>
          <w:u w:color="000000"/>
          <w:lang w:val="zh-TW" w:eastAsia="zh-TW"/>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13216757132</w:t>
      </w:r>
      <w:r>
        <w:rPr>
          <w:rFonts w:hint="eastAsia" w:ascii="宋体" w:hAnsi="宋体" w:eastAsia="宋体" w:cs="宋体"/>
          <w:kern w:val="44"/>
          <w:sz w:val="36"/>
          <w:szCs w:val="36"/>
          <w:u w:color="000000"/>
          <w:lang w:val="zh-TW" w:eastAsia="zh-TW"/>
        </w:rPr>
        <w:br w:type="page"/>
      </w:r>
    </w:p>
    <w:p w14:paraId="6568AAB6">
      <w:pPr>
        <w:keepNext/>
        <w:keepLines/>
        <w:spacing w:before="312" w:beforeLines="100" w:after="312" w:afterLines="100" w:line="360" w:lineRule="auto"/>
        <w:jc w:val="center"/>
        <w:outlineLvl w:val="0"/>
        <w:rPr>
          <w:rFonts w:ascii="宋体" w:hAnsi="宋体" w:eastAsia="宋体" w:cs="宋体"/>
          <w:kern w:val="44"/>
          <w:sz w:val="36"/>
          <w:szCs w:val="36"/>
          <w:u w:color="000000"/>
          <w:lang w:val="zh-TW" w:eastAsia="zh-TW"/>
        </w:rPr>
      </w:pPr>
      <w:bookmarkStart w:id="7" w:name="_Toc30510"/>
      <w:r>
        <w:rPr>
          <w:rFonts w:hint="eastAsia" w:ascii="宋体" w:hAnsi="宋体" w:eastAsia="宋体" w:cs="宋体"/>
          <w:kern w:val="44"/>
          <w:sz w:val="36"/>
          <w:szCs w:val="36"/>
          <w:u w:color="000000"/>
          <w:lang w:val="zh-TW" w:eastAsia="zh-TW"/>
        </w:rPr>
        <w:t xml:space="preserve">第二章  </w:t>
      </w:r>
      <w:r>
        <w:rPr>
          <w:rFonts w:hint="eastAsia" w:ascii="宋体" w:hAnsi="宋体" w:eastAsia="宋体" w:cs="宋体"/>
          <w:kern w:val="44"/>
          <w:sz w:val="36"/>
          <w:szCs w:val="36"/>
          <w:u w:color="000000"/>
          <w:lang w:val="zh-TW"/>
        </w:rPr>
        <w:t>投标人</w:t>
      </w:r>
      <w:r>
        <w:rPr>
          <w:rFonts w:hint="eastAsia" w:ascii="宋体" w:hAnsi="宋体" w:eastAsia="宋体" w:cs="宋体"/>
          <w:kern w:val="44"/>
          <w:sz w:val="36"/>
          <w:szCs w:val="36"/>
          <w:u w:color="000000"/>
          <w:lang w:val="zh-TW" w:eastAsia="zh-TW"/>
        </w:rPr>
        <w:t>须知</w:t>
      </w:r>
      <w:bookmarkEnd w:id="4"/>
      <w:bookmarkEnd w:id="5"/>
      <w:bookmarkEnd w:id="6"/>
      <w:bookmarkEnd w:id="7"/>
    </w:p>
    <w:p w14:paraId="37FE6B46">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一、总则</w:t>
      </w:r>
    </w:p>
    <w:p w14:paraId="3B342367">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l、采购方式</w:t>
      </w:r>
    </w:p>
    <w:p w14:paraId="2426F3DD">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1.1本次采购采用公开招标方式，本招标文件仅适用于招标公告中所述项目。</w:t>
      </w:r>
    </w:p>
    <w:p w14:paraId="3FB31471">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2、合格的投标人</w:t>
      </w:r>
    </w:p>
    <w:p w14:paraId="075145BC">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2.1满足招标公告中投标人资质要求的规定。</w:t>
      </w:r>
    </w:p>
    <w:p w14:paraId="4E481420">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2.2 满足本文件实质性条款的规定。</w:t>
      </w:r>
    </w:p>
    <w:p w14:paraId="33CCDE31">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3、适用法律</w:t>
      </w:r>
    </w:p>
    <w:p w14:paraId="3E1098E0">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3.1本次采购及由本次采购产生的合同受中华人民共和国有关法律法规制约和保护。</w:t>
      </w:r>
    </w:p>
    <w:p w14:paraId="2246673D">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4、投标费用</w:t>
      </w:r>
    </w:p>
    <w:p w14:paraId="69C6DD02">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4.1投标人应自行承担所有参与投标有关费用，无论投标过程中的做法和结果如何，招标人在任何情况下均无义务和责任承担这些费用。</w:t>
      </w:r>
    </w:p>
    <w:p w14:paraId="0DEC3FE8">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4.2本项目收取投标人标书费见公告，招标代理服务费由中标人支付，按照国家发展和改革委员会下发的《关于降低部分建设项目收费标准规范收费行为等有关问题的通知》（发改价格[2011]534号）所列招标代理服务费收费标准的65%收取，最低收费金额为1000元。</w:t>
      </w:r>
    </w:p>
    <w:p w14:paraId="257F8EB3">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 4.3本项目的专家论证费、专家评审费暂按4500元向中标人收取。具体按实际发生结算。</w:t>
      </w:r>
    </w:p>
    <w:p w14:paraId="6DC76590">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5、招标文件的约束力</w:t>
      </w:r>
    </w:p>
    <w:p w14:paraId="6B0038AA">
      <w:pPr>
        <w:snapToGrid w:val="0"/>
        <w:spacing w:line="360" w:lineRule="auto"/>
        <w:ind w:firstLine="480" w:firstLineChars="200"/>
        <w:rPr>
          <w:rFonts w:ascii="宋体" w:hAnsi="宋体" w:eastAsia="宋体" w:cs="宋体"/>
        </w:rPr>
      </w:pPr>
      <w:r>
        <w:rPr>
          <w:rFonts w:hint="eastAsia" w:ascii="宋体" w:hAnsi="宋体" w:eastAsia="宋体" w:cs="宋体"/>
          <w:sz w:val="24"/>
          <w:szCs w:val="24"/>
        </w:rPr>
        <w:t>5.1投标人一旦下载了本招标文件并参与投标，即被认为接受了本招标文件中的所有条件和规定。</w:t>
      </w:r>
    </w:p>
    <w:p w14:paraId="79CB8085">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二、招标文件</w:t>
      </w:r>
    </w:p>
    <w:p w14:paraId="7F2EE52E">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6、招标文件的构成</w:t>
      </w:r>
    </w:p>
    <w:p w14:paraId="7ADABCD6">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6.1招标文件由以下部分组成：</w:t>
      </w:r>
    </w:p>
    <w:p w14:paraId="2FF6F685">
      <w:pPr>
        <w:snapToGrid w:val="0"/>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（1）招标公告</w:t>
      </w:r>
    </w:p>
    <w:p w14:paraId="44CF7045">
      <w:pPr>
        <w:snapToGrid w:val="0"/>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（2）投标人须知</w:t>
      </w:r>
    </w:p>
    <w:p w14:paraId="556C8352">
      <w:pPr>
        <w:snapToGrid w:val="0"/>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（3）合同条款及格式</w:t>
      </w:r>
    </w:p>
    <w:p w14:paraId="5596714F">
      <w:pPr>
        <w:snapToGrid w:val="0"/>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（4）项目需求</w:t>
      </w:r>
    </w:p>
    <w:p w14:paraId="5FB79AEE">
      <w:pPr>
        <w:snapToGrid w:val="0"/>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（5）评标方法与评标标准</w:t>
      </w:r>
    </w:p>
    <w:p w14:paraId="4B8A57CD">
      <w:pPr>
        <w:snapToGrid w:val="0"/>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（6）投标文件格式</w:t>
      </w:r>
    </w:p>
    <w:p w14:paraId="763EDC3B">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请仔细检查招标文件是否齐全，如有缺漏请立即与招标代理机构联系解决。</w:t>
      </w:r>
    </w:p>
    <w:p w14:paraId="1C72527A">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6.2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2CFA361A">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7、招标文件的澄清</w:t>
      </w:r>
    </w:p>
    <w:p w14:paraId="2B678C96">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任何要求对招标文件进行澄清的投标人，均应在投标截止期前十日前以书面形式通知招标人。</w:t>
      </w:r>
    </w:p>
    <w:p w14:paraId="3E7913E6">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8、招标文件的修改</w:t>
      </w:r>
    </w:p>
    <w:p w14:paraId="49260B6C">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8.l在投标截止日期前，无论何种原因，招标人均可主动或在解答投标人提出的澄清问题时对招标文件进行修改。</w:t>
      </w:r>
    </w:p>
    <w:p w14:paraId="3B803ED0">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8.2招标文件的修改将在“南京邮电大学采购招标管理办公室网站及南京邮电大学通达学院采购招标信息网”网站上公布，并对所有投标人具有约束力。</w:t>
      </w:r>
    </w:p>
    <w:p w14:paraId="47CEA665">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8.3为使投标人编写标书有充分时间对标书文件的修改部分进行分析、研究，招标人有权推迟投标截止日期和开标日期，并将此变更书面通知所有购买招标文件的投标人。</w:t>
      </w:r>
    </w:p>
    <w:p w14:paraId="25BFBC07">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三、投标文件的编制</w:t>
      </w:r>
    </w:p>
    <w:p w14:paraId="1CBA9C0C">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9、投标语言及度量衡单位</w:t>
      </w:r>
    </w:p>
    <w:p w14:paraId="49EF79C3">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9.1投标人提供的投标文件以及投标人与招标人就有关投标的所有来往通知、函件和文件均使用</w:t>
      </w:r>
      <w:r>
        <w:rPr>
          <w:rFonts w:hint="eastAsia" w:ascii="宋体" w:hAnsi="宋体" w:eastAsia="宋体" w:cs="宋体"/>
          <w:b/>
          <w:sz w:val="24"/>
          <w:szCs w:val="24"/>
        </w:rPr>
        <w:t>简体中文</w:t>
      </w:r>
      <w:r>
        <w:rPr>
          <w:rFonts w:hint="eastAsia" w:ascii="宋体" w:hAnsi="宋体" w:eastAsia="宋体" w:cs="宋体"/>
          <w:sz w:val="24"/>
          <w:szCs w:val="24"/>
        </w:rPr>
        <w:t>。</w:t>
      </w:r>
    </w:p>
    <w:p w14:paraId="102A40CE">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9.2除技术性能另有规定外，投标文件所使用的度量衡单位，均采用国家法定计量单位。</w:t>
      </w:r>
    </w:p>
    <w:p w14:paraId="61288C8B">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10、投标文件的构成</w:t>
      </w:r>
    </w:p>
    <w:p w14:paraId="60C280F1">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投标人编写的投标文件应包括下列部分：</w:t>
      </w:r>
    </w:p>
    <w:p w14:paraId="064F9E7B">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10.1投标文件目录；</w:t>
      </w:r>
    </w:p>
    <w:p w14:paraId="5A5A0981">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10.2投标函：须含投标人的开户名称、开户银行、账号、电话、传真、E-mail等联系方式；</w:t>
      </w:r>
    </w:p>
    <w:p w14:paraId="4E324838">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10.3投标人资格证明材料；</w:t>
      </w:r>
    </w:p>
    <w:p w14:paraId="0B43B95F">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（1）法人或者其他组织的营业执照等证明文件（复印件）；</w:t>
      </w:r>
    </w:p>
    <w:p w14:paraId="30A98FEA">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（2）相关资质证明材料（复印件）；</w:t>
      </w:r>
    </w:p>
    <w:p w14:paraId="4031A359">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（3）法人授权委托书（复印件）；</w:t>
      </w:r>
    </w:p>
    <w:p w14:paraId="18A7D8A0">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（4）法定代表人的身份证复印件；</w:t>
      </w:r>
    </w:p>
    <w:p w14:paraId="12F58C15">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（5）授权代表的身份证复印件（开标现场查验原件）；</w:t>
      </w:r>
    </w:p>
    <w:p w14:paraId="4796C308">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（6）具有项目必须的技术条件或经营能力的书面声明；</w:t>
      </w:r>
    </w:p>
    <w:p w14:paraId="60A40A69">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（7）无违法违规记录声明；</w:t>
      </w:r>
    </w:p>
    <w:p w14:paraId="0708CBD0">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（8）招标文件中的其他资格性要求（详见招标公告第二条投标人资格要求）。</w:t>
      </w:r>
    </w:p>
    <w:p w14:paraId="52EC2643">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上述文件均应加盖公章。</w:t>
      </w:r>
    </w:p>
    <w:p w14:paraId="568167E3">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10.4开标一览表：</w:t>
      </w:r>
    </w:p>
    <w:p w14:paraId="256884DE">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（1）投标人应按照招标文件中提供的格式完整、正确地填写开标一览表。</w:t>
      </w:r>
    </w:p>
    <w:p w14:paraId="60E7CA6A">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投标人应采用分项报价最终汇总的方式进行，按照招标文件要求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14:paraId="64F818FB">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（3）报价采取总承包方式，包括所投产品、安装调试、服务、运输、税金及其它有关的为完成本项目发生的所有费用，招标文件中另有规定的除外。国产设备以人民币报价。</w:t>
      </w:r>
    </w:p>
    <w:p w14:paraId="1560E367">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开标一览表中的价格应与投标文件中的报价表中价格一致，如不一致，评标时一律按开标一览表中价格为准。开标一览表必须盖章，加盖公章后的“开标一览表”除应装订在投标文件中，还必须单独（此份不放在投标文件内）装在小信封内于投标截止时间前与投标文件一起递交。</w:t>
      </w:r>
    </w:p>
    <w:p w14:paraId="4411FF2B">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（5）报价必须充分考虑所有可能影响到报价的价格因素，一旦投标结束最终成交，总价将包定，合同期内不予调整。如发生漏、缺、少项，都将被认为是中标人的报价让利行为。</w:t>
      </w:r>
    </w:p>
    <w:p w14:paraId="35E27DE0">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10.5投标人参照投标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投标文件相一致的带有技术参数的产品说明书；</w:t>
      </w:r>
    </w:p>
    <w:p w14:paraId="1235C22B">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10.6投标人按照投标文件中商务条款提供交货安装、工期保证等方案以及产品售后服务和质量承诺，并附《商务条款响应及偏离表》；</w:t>
      </w:r>
    </w:p>
    <w:p w14:paraId="0BA8CA28">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10.7投标人的业绩情况；</w:t>
      </w:r>
    </w:p>
    <w:p w14:paraId="47EF648A">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10.8投标人认为有必要提供的文件材料；</w:t>
      </w:r>
    </w:p>
    <w:p w14:paraId="2AFDA94D">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10.9投标人应将投标文件按上述顺序分别装订成册。</w:t>
      </w:r>
    </w:p>
    <w:p w14:paraId="08F1D6D4">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11、其它费用处理</w:t>
      </w:r>
    </w:p>
    <w:p w14:paraId="2D889F00">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招标文件未列明，而投标单位认为必需的费用也需列入报价。</w:t>
      </w:r>
    </w:p>
    <w:p w14:paraId="6AAEB5D8">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12、投标保证金</w:t>
      </w:r>
    </w:p>
    <w:p w14:paraId="4E4509B9">
      <w:pPr>
        <w:snapToGrid w:val="0"/>
        <w:spacing w:line="360" w:lineRule="auto"/>
        <w:ind w:firstLine="482" w:firstLineChars="200"/>
        <w:rPr>
          <w:rFonts w:ascii="宋体" w:hAnsi="宋体" w:eastAsia="宋体" w:cs="宋体"/>
          <w:sz w:val="24"/>
          <w:szCs w:val="24"/>
        </w:rPr>
      </w:pPr>
      <w:r>
        <w:rPr>
          <w:rFonts w:hint="eastAsia" w:ascii="宋体" w:hAnsi="宋体" w:eastAsia="宋体" w:cs="宋体"/>
          <w:b/>
          <w:sz w:val="24"/>
          <w:szCs w:val="24"/>
        </w:rPr>
        <w:t>本次招标不收取投标保证金。</w:t>
      </w:r>
    </w:p>
    <w:p w14:paraId="1B73CB3D">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12.1在开标时，对于未按要求提交投标保证金的投标无效。</w:t>
      </w:r>
    </w:p>
    <w:p w14:paraId="4C15EB59">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12.2投标保证金是为了保护招标人免遭因投标人的不良行为而蒙受的损失，招标人在因投标人的行为遭受损失时，可根据第12.4条的规定没收投标人的投标保证金。</w:t>
      </w:r>
    </w:p>
    <w:p w14:paraId="42E8B97E">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12.3未中标的投标人的投标保证金，将在中标通知书发出之日起5个工作日内退还，但不计利息。</w:t>
      </w:r>
    </w:p>
    <w:p w14:paraId="03E0DD5A">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12.4下列任何情况发生时，投标保证金将被没收：</w:t>
      </w:r>
    </w:p>
    <w:p w14:paraId="7E9C4A88">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(1)投标人在投标有效期内撤回其投标；</w:t>
      </w:r>
    </w:p>
    <w:p w14:paraId="5998970A">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(2)投标人提供的有关资料、资格证明文件被确认是不真实的；</w:t>
      </w:r>
    </w:p>
    <w:p w14:paraId="5C0E7FCD">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(3)投标人之间被证实有串通（统一哄抬价格）、欺诈行为；</w:t>
      </w:r>
    </w:p>
    <w:p w14:paraId="7E02502D">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(4)投标人被证明有妨碍其他人公平竞争、损害招标人或者其他投标人合法权益的；</w:t>
      </w:r>
    </w:p>
    <w:p w14:paraId="0D4065F2">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(5)中标人在规定期限内未能按本规定签订合同；</w:t>
      </w:r>
    </w:p>
    <w:p w14:paraId="3D0E8517">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(6)中标人在规定期限内不同意交纳履约保证金。</w:t>
      </w:r>
    </w:p>
    <w:p w14:paraId="79D76EF6">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13、投标有效期</w:t>
      </w:r>
    </w:p>
    <w:p w14:paraId="6C87AF19">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投标有效期为招标人规定的开标之日后九十（90）天内有效。如果招标人在有效期之内，可向投标人提出延长投标有效期的要求。要求与答复均应采用书面形式。</w:t>
      </w:r>
      <w:r>
        <w:rPr>
          <w:rFonts w:hint="eastAsia" w:ascii="宋体" w:hAnsi="宋体" w:eastAsia="宋体" w:cs="宋体"/>
          <w:bCs/>
          <w:snapToGrid w:val="0"/>
          <w:kern w:val="21"/>
          <w:sz w:val="24"/>
          <w:szCs w:val="24"/>
        </w:rPr>
        <w:t>投标人可以拒绝招标人的这一要求而放弃投标，</w:t>
      </w:r>
      <w:r>
        <w:rPr>
          <w:rFonts w:hint="eastAsia" w:ascii="宋体" w:hAnsi="宋体" w:eastAsia="宋体" w:cs="宋体"/>
          <w:snapToGrid w:val="0"/>
          <w:kern w:val="21"/>
          <w:sz w:val="24"/>
          <w:szCs w:val="24"/>
        </w:rPr>
        <w:t>招标人在接到投标人书面答复后，将在原投标有效期满后五日内</w:t>
      </w:r>
      <w:r>
        <w:rPr>
          <w:rFonts w:hint="eastAsia" w:ascii="宋体" w:hAnsi="宋体" w:eastAsia="宋体" w:cs="宋体"/>
          <w:bCs/>
          <w:snapToGrid w:val="0"/>
          <w:kern w:val="21"/>
          <w:sz w:val="24"/>
          <w:szCs w:val="24"/>
        </w:rPr>
        <w:t>无息退还其投标保证金</w:t>
      </w:r>
      <w:r>
        <w:rPr>
          <w:rFonts w:hint="eastAsia" w:ascii="宋体" w:hAnsi="宋体" w:eastAsia="宋体" w:cs="宋体"/>
          <w:snapToGrid w:val="0"/>
          <w:kern w:val="21"/>
          <w:sz w:val="24"/>
          <w:szCs w:val="24"/>
        </w:rPr>
        <w:t>。</w:t>
      </w:r>
      <w:r>
        <w:rPr>
          <w:rFonts w:hint="eastAsia" w:ascii="宋体" w:hAnsi="宋体" w:eastAsia="宋体" w:cs="宋体"/>
          <w:bCs/>
          <w:snapToGrid w:val="0"/>
          <w:kern w:val="21"/>
          <w:sz w:val="24"/>
          <w:szCs w:val="24"/>
        </w:rPr>
        <w:t>同意延</w:t>
      </w:r>
      <w:r>
        <w:rPr>
          <w:rFonts w:hint="eastAsia" w:ascii="宋体" w:hAnsi="宋体" w:eastAsia="宋体" w:cs="宋体"/>
          <w:sz w:val="24"/>
          <w:szCs w:val="24"/>
        </w:rPr>
        <w:t>长投标有效期的投标人既不能要求也不允许修改其投标文件。第12条有关投标保证金的没收和退还的规定在延长期内继续有效，同时受投标有效期约束的所有权利与义务均延长至新的有效期。</w:t>
      </w:r>
    </w:p>
    <w:p w14:paraId="30F41420">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14、投标文件份数和签署</w:t>
      </w:r>
    </w:p>
    <w:p w14:paraId="5131B1BD">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14.l投标文件一式五份(正本一份，副本四份)。一旦正本和副本不符，以正本为准。另外提供投标文件电子版一份（PDF格式，可将完成盖章和签字的纸质版投标文件进行彩色扫描，拷贝到U盘中，跟投标文件一起密封提交）。</w:t>
      </w:r>
    </w:p>
    <w:p w14:paraId="3F30FD8A">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14.2投标文件中法定代表人或其授权代表签字。授权代表须将法人代表人以书面形式出具法人代表授权书（原件）附在投标文件中。</w:t>
      </w:r>
    </w:p>
    <w:p w14:paraId="28884F2B">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14.3除投标人对错处做必要修改时，投标文件不得行间插字、涂改或增删。如有修改错漏处，必须由投标文件签署人签字并加盖公章。</w:t>
      </w:r>
    </w:p>
    <w:p w14:paraId="68FE93E5">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四、投标文件的递交</w:t>
      </w:r>
    </w:p>
    <w:p w14:paraId="4C97941B">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15、投标文件的密封和标记</w:t>
      </w:r>
    </w:p>
    <w:p w14:paraId="73F9D047">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15.1</w:t>
      </w:r>
      <w:r>
        <w:rPr>
          <w:rFonts w:hint="eastAsia" w:ascii="宋体" w:hAnsi="宋体" w:eastAsia="宋体" w:cs="宋体"/>
          <w:b/>
          <w:sz w:val="24"/>
          <w:szCs w:val="24"/>
        </w:rPr>
        <w:t>投标人应将投标文件密封，封口处要贴封签并加盖投标单位公章。</w:t>
      </w:r>
      <w:r>
        <w:rPr>
          <w:rFonts w:hint="eastAsia" w:ascii="宋体" w:hAnsi="宋体" w:eastAsia="宋体" w:cs="宋体"/>
          <w:sz w:val="24"/>
          <w:szCs w:val="24"/>
        </w:rPr>
        <w:t>不论投标人中标与否，投标文件均不退回。</w:t>
      </w:r>
    </w:p>
    <w:p w14:paraId="34BDC2F8">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15.2文件袋上应注明投标项目名称、正、副本、投标单位、授权代表姓名及联系方式。如因标注不清而产生的后果由投标人自负。</w:t>
      </w:r>
    </w:p>
    <w:p w14:paraId="2BBD235D">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15.3</w:t>
      </w:r>
      <w:r>
        <w:rPr>
          <w:rFonts w:hint="eastAsia" w:ascii="宋体" w:hAnsi="宋体" w:eastAsia="宋体" w:cs="宋体"/>
          <w:bCs/>
          <w:sz w:val="24"/>
          <w:szCs w:val="24"/>
        </w:rPr>
        <w:t>未按要求密封和加写标记，招标人对误投或过早启封概不负责。对由此造成提前开封的投标文件，招标人将予以拒绝，作无效投标处理。</w:t>
      </w:r>
    </w:p>
    <w:p w14:paraId="2FEC03C9">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16、投标截止日期</w:t>
      </w:r>
    </w:p>
    <w:p w14:paraId="2C7D778B">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sz w:val="24"/>
          <w:szCs w:val="24"/>
        </w:rPr>
        <w:t>16.1</w:t>
      </w:r>
      <w:r>
        <w:rPr>
          <w:rFonts w:hint="eastAsia" w:ascii="宋体" w:hAnsi="宋体" w:eastAsia="宋体" w:cs="宋体"/>
          <w:bCs/>
          <w:sz w:val="24"/>
          <w:szCs w:val="24"/>
        </w:rPr>
        <w:t xml:space="preserve"> 招标人收到投标文件的时间不得迟于招标公告中规定的截止时间。</w:t>
      </w:r>
    </w:p>
    <w:p w14:paraId="3DA67877">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sz w:val="24"/>
          <w:szCs w:val="24"/>
        </w:rPr>
        <w:t>16.2</w:t>
      </w:r>
      <w:r>
        <w:rPr>
          <w:rFonts w:hint="eastAsia" w:ascii="宋体" w:hAnsi="宋体" w:eastAsia="宋体" w:cs="宋体"/>
          <w:bCs/>
          <w:sz w:val="24"/>
          <w:szCs w:val="24"/>
        </w:rPr>
        <w:t xml:space="preserve"> 招标人可以按照规定，通过修改招标文件有权酌情延长投标截止日期，在此情况下，投标人的所有权利和义务以及投标人受制的截止日期均应以延长后新的截止日期为准。</w:t>
      </w:r>
    </w:p>
    <w:p w14:paraId="0B6E0F47">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17、迟交的投标文件</w:t>
      </w:r>
    </w:p>
    <w:p w14:paraId="46838393">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迟交的投标文件将被拒收并原封退回。</w:t>
      </w:r>
    </w:p>
    <w:p w14:paraId="250D3D5A">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18、投标文件的修改和撤回</w:t>
      </w:r>
    </w:p>
    <w:p w14:paraId="699A89FA">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18.1投标人在递交投标书后，在规定的投标截止日期前可以修改或撤回其投标文件。修改文件必须在投标截止时间前送达。</w:t>
      </w:r>
    </w:p>
    <w:p w14:paraId="5D25F280">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18.2投标截止日期后不可对其投标文件作任何修改或撤回，否则其投标保证金将被没收。</w:t>
      </w:r>
    </w:p>
    <w:p w14:paraId="273F1085">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五、开标与评标</w:t>
      </w:r>
    </w:p>
    <w:p w14:paraId="6FBCDAE4">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19、开标</w:t>
      </w:r>
    </w:p>
    <w:p w14:paraId="05F1F03C">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19.l招标人将在招标文件中规定的时间和地址组织公开开标。投标人法人代表或授权代表须携本人身份证原件参加，如有必要可以让投标人有一定时间的陈述，或接收评标工作组成员的提问后退场。</w:t>
      </w:r>
    </w:p>
    <w:p w14:paraId="123C930B">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19.2开标时请投标人授权代表查验投标文件密封情况，确认无误后，招标人当众拆封宣读每份投标文件中“开标一览表”的各项内容，未列入开标一览表的内容一律不在开标时宣读。开标时未宣读的投标报价信息，不得在评标时采用。招标人将指定专人负责开标记录并存档备查，各投标人需仔细核对开标记录相关内容并签字确认。</w:t>
      </w:r>
    </w:p>
    <w:p w14:paraId="216D89AC">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20、评标过程的保密与公正</w:t>
      </w:r>
    </w:p>
    <w:p w14:paraId="3E1E743E">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20.l公开开标后，直至通知投标人中标为止，凡是与审查、澄清、评价和比较投标的有关资料，均不得向投标人或与评标无关的人员透露。</w:t>
      </w:r>
    </w:p>
    <w:p w14:paraId="64D67A6D">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20.2投标人试图影响评标或授予合同方面的任何尝试，可能导致该投标人的标被废弃。</w:t>
      </w:r>
    </w:p>
    <w:p w14:paraId="3A747A7A">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21、投标的澄清</w:t>
      </w:r>
    </w:p>
    <w:p w14:paraId="3CFEE6FD">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21.1评标期间，为有助于对投标文件的审查、评价和比较，评标工作组有权要求投标人对其投标文件进行澄清，但并非对每个投标人都作澄清要求。</w:t>
      </w:r>
    </w:p>
    <w:p w14:paraId="7E3B79D0">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14:paraId="0B37A483">
      <w:pPr>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21.3接到澄清要求的投标人如未按规定做出澄清，其风险由投标人自行承担。</w:t>
      </w:r>
    </w:p>
    <w:p w14:paraId="05992A8A">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22、对投标文件的初审</w:t>
      </w:r>
    </w:p>
    <w:p w14:paraId="4B5E00C2">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22.1投标文件初审分为资格性检查和符合性检查。</w:t>
      </w:r>
    </w:p>
    <w:p w14:paraId="36FC53D8">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资格性检查：依据法律法规和招标文件的规定，由招标人对投标文件中的资格证明文件进行审查。资格审查的结论，招标人以书面形式向评标工作组进行反馈。</w:t>
      </w:r>
    </w:p>
    <w:p w14:paraId="59A293BE">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符合性检查：依据招标文件的规定，由评标工作组从投标文件的有效性、完整性和对招标文件的响应程度进行审查，以确定是否对招标文件的实质性要求作出响应。</w:t>
      </w:r>
    </w:p>
    <w:p w14:paraId="2D9C34D4">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22.2在详细评标之前，评标工作组将首先审查每份投标文件是否实质性响应了招标文件的要求。实质性响应的投标应该是与招标文件要求的全部条款、条件和规格相符，没有重大偏离或保留的投标。</w:t>
      </w:r>
    </w:p>
    <w:p w14:paraId="2213B5DD">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标工作组三分二及以上成员的认定。评委决定投标文件的响应性只根据投标文件本身的内容，而不寻求外部的证据。</w:t>
      </w:r>
    </w:p>
    <w:p w14:paraId="1B478588">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22.3如果投标文件实质上没有响应招标文件的要求，评标工作组将予以拒绝，投标人不得通过修改或撤销不合要求的偏离或保留而使其投标成为实质性响应的投标。</w:t>
      </w:r>
    </w:p>
    <w:p w14:paraId="5C33109E">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22.4评标工作组将对确定为实质性响应的投标进行进一步审核，看其是否有计算上或累加上的算术错误，修正错误的原则如下：</w:t>
      </w:r>
    </w:p>
    <w:p w14:paraId="63B82156">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（1）如果用数字表示的金额和用文字表示的金额不一致时，应以文字表示的金额为准进行修正；</w:t>
      </w:r>
    </w:p>
    <w:p w14:paraId="2EF87817">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（2）当单价与数量的乘积和总价不一致时，以单价为准进行修正。只有在评标工作组认为单价有明显的小数点错误时，才能以标出的总价为准，并修改单价。</w:t>
      </w:r>
    </w:p>
    <w:p w14:paraId="6583EC39">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22.5评标工作组将按上述修正错误的方法调整投标文件中的投标报价，调整后的价格应对投标人具有约束力。如果投标人不接受修正后的价格，则其投标将被拒绝，其投标保证金不予退还。</w:t>
      </w:r>
    </w:p>
    <w:p w14:paraId="17F81093">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22.6评标工作组将允许修正投标文件中不构成重大偏离的、微小的、非正规的、不一致的或不规则的地方，但这些修改不能影响任何投标人相应的名次排列。</w:t>
      </w:r>
    </w:p>
    <w:p w14:paraId="15533EFE">
      <w:pPr>
        <w:shd w:val="clear" w:color="auto" w:fill="FFFFFF"/>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23、无效投标条款和废标条款</w:t>
      </w:r>
    </w:p>
    <w:p w14:paraId="303EAC0E">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23.1无效投标条款：</w:t>
      </w:r>
    </w:p>
    <w:p w14:paraId="3DD2BF6E">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（1）未按要求交纳投标保证金的；</w:t>
      </w:r>
    </w:p>
    <w:p w14:paraId="1641E5E3">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（2）未按照招标文件规定要求密封、签署、盖章的；</w:t>
      </w:r>
    </w:p>
    <w:p w14:paraId="1B0A9B3D">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（3）投标人在报价时采用选择性报价的；</w:t>
      </w:r>
    </w:p>
    <w:p w14:paraId="61C69DA7">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（4）投标人不具备招标文件中规定资格要求的；</w:t>
      </w:r>
    </w:p>
    <w:p w14:paraId="58C8BCBD">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（5）投标人的报价超过了采购预算或最高限价的；</w:t>
      </w:r>
    </w:p>
    <w:p w14:paraId="4BF939AE">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（6）未通过符合性检查的；</w:t>
      </w:r>
    </w:p>
    <w:p w14:paraId="6AB2B4B8">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（7）不符合招标文件中规定的其他实质性要求和条件的；</w:t>
      </w:r>
    </w:p>
    <w:p w14:paraId="1F62152A">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（8）投标文件含有招标人不能接受的附加条件的；</w:t>
      </w:r>
    </w:p>
    <w:p w14:paraId="49F85D79">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评标工作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工作组应当将其作为无效投标处理。</w:t>
      </w:r>
    </w:p>
    <w:p w14:paraId="416C80E0">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bCs/>
          <w:sz w:val="24"/>
          <w:szCs w:val="24"/>
        </w:rPr>
        <w:t>其他法律、法规及本招标文件规定的属无效投标的情形。</w:t>
      </w:r>
    </w:p>
    <w:p w14:paraId="5AAC21F4">
      <w:pPr>
        <w:snapToGrid w:val="0"/>
        <w:spacing w:line="360" w:lineRule="auto"/>
        <w:ind w:left="479" w:leftChars="228"/>
        <w:rPr>
          <w:rFonts w:ascii="宋体" w:hAnsi="宋体" w:eastAsia="宋体" w:cs="宋体"/>
          <w:bCs/>
          <w:sz w:val="24"/>
          <w:szCs w:val="24"/>
        </w:rPr>
      </w:pPr>
      <w:r>
        <w:rPr>
          <w:rFonts w:hint="eastAsia" w:ascii="宋体" w:hAnsi="宋体" w:eastAsia="宋体" w:cs="宋体"/>
          <w:sz w:val="24"/>
          <w:szCs w:val="24"/>
        </w:rPr>
        <w:t>23.2</w:t>
      </w:r>
      <w:r>
        <w:rPr>
          <w:rFonts w:hint="eastAsia" w:ascii="宋体" w:hAnsi="宋体" w:eastAsia="宋体" w:cs="宋体"/>
          <w:bCs/>
          <w:sz w:val="24"/>
          <w:szCs w:val="24"/>
        </w:rPr>
        <w:t>废标条款：</w:t>
      </w:r>
    </w:p>
    <w:p w14:paraId="22951151">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（1）符合专业条件的供应商或者对招标文件作实质响应的投标人不足三家的；</w:t>
      </w:r>
    </w:p>
    <w:p w14:paraId="4234369C">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（2）出现影响采购公正的违法、违规行为的；</w:t>
      </w:r>
    </w:p>
    <w:p w14:paraId="04FF4EA2">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（3）因重大变故，采购任务取消的；</w:t>
      </w:r>
    </w:p>
    <w:p w14:paraId="100772C4">
      <w:pPr>
        <w:snapToGrid w:val="0"/>
        <w:spacing w:line="360" w:lineRule="auto"/>
        <w:ind w:left="479" w:leftChars="228"/>
        <w:rPr>
          <w:rFonts w:ascii="宋体" w:hAnsi="宋体" w:eastAsia="宋体" w:cs="宋体"/>
          <w:bCs/>
          <w:sz w:val="24"/>
          <w:szCs w:val="24"/>
        </w:rPr>
      </w:pPr>
      <w:r>
        <w:rPr>
          <w:rFonts w:hint="eastAsia" w:ascii="宋体" w:hAnsi="宋体" w:eastAsia="宋体" w:cs="宋体"/>
          <w:bCs/>
          <w:sz w:val="24"/>
          <w:szCs w:val="24"/>
        </w:rPr>
        <w:t>（4）</w:t>
      </w:r>
      <w:r>
        <w:rPr>
          <w:rFonts w:hint="eastAsia" w:ascii="宋体" w:hAnsi="宋体" w:eastAsia="宋体" w:cs="宋体"/>
          <w:sz w:val="24"/>
          <w:szCs w:val="24"/>
        </w:rPr>
        <w:t>评标工作组</w:t>
      </w:r>
      <w:r>
        <w:rPr>
          <w:rFonts w:hint="eastAsia" w:ascii="宋体" w:hAnsi="宋体" w:eastAsia="宋体" w:cs="宋体"/>
          <w:bCs/>
          <w:sz w:val="24"/>
          <w:szCs w:val="24"/>
        </w:rPr>
        <w:t>会认定招标文件存在歧义、重大缺陷导致评审工作无法进行。</w:t>
      </w:r>
    </w:p>
    <w:p w14:paraId="45F0D6A3">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六、定标</w:t>
      </w:r>
    </w:p>
    <w:p w14:paraId="59CBF6F3">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24、确定中标单位</w:t>
      </w:r>
    </w:p>
    <w:p w14:paraId="5371D865">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24.1评标工作组首先对所有合格投标人按评标办法进行打分，根据综合得分，由高到低排列，向招标人推荐中标候选人。</w:t>
      </w:r>
      <w:r>
        <w:rPr>
          <w:rFonts w:hint="eastAsia" w:ascii="宋体" w:hAnsi="宋体" w:eastAsia="宋体" w:cs="宋体"/>
          <w:bCs/>
          <w:snapToGrid w:val="0"/>
          <w:kern w:val="21"/>
          <w:sz w:val="24"/>
          <w:szCs w:val="24"/>
        </w:rPr>
        <w:t>招标人应根据</w:t>
      </w:r>
      <w:r>
        <w:rPr>
          <w:rFonts w:hint="eastAsia" w:ascii="宋体" w:hAnsi="宋体" w:eastAsia="宋体" w:cs="宋体"/>
          <w:sz w:val="24"/>
          <w:szCs w:val="24"/>
        </w:rPr>
        <w:t>评标工作组</w:t>
      </w:r>
      <w:r>
        <w:rPr>
          <w:rFonts w:hint="eastAsia" w:ascii="宋体" w:hAnsi="宋体" w:eastAsia="宋体" w:cs="宋体"/>
          <w:bCs/>
          <w:snapToGrid w:val="0"/>
          <w:kern w:val="21"/>
          <w:sz w:val="24"/>
          <w:szCs w:val="24"/>
        </w:rPr>
        <w:t>推荐的中标候选人确定中标人</w:t>
      </w:r>
      <w:r>
        <w:rPr>
          <w:rFonts w:hint="eastAsia" w:ascii="宋体" w:hAnsi="宋体" w:eastAsia="宋体" w:cs="宋体"/>
          <w:sz w:val="24"/>
          <w:szCs w:val="24"/>
        </w:rPr>
        <w:t>。</w:t>
      </w:r>
    </w:p>
    <w:p w14:paraId="59C2C397">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24.2中标人名单将在“江苏政府采购网”上进行公示。</w:t>
      </w:r>
    </w:p>
    <w:p w14:paraId="2CEDD0BA">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24.3若有充分证据证明，中标人出现下列情况之一的，一经查实，将被取消中标资格：</w:t>
      </w:r>
    </w:p>
    <w:p w14:paraId="5CBA739D">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（1）提供虚假材料谋取中标的；</w:t>
      </w:r>
    </w:p>
    <w:p w14:paraId="627F9364">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（2）与评审专家、招标人或者其他供应商恶意串通的；</w:t>
      </w:r>
    </w:p>
    <w:p w14:paraId="400D185F">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（3）向评审专家、招标人行贿或者提供其它不正当利益的；</w:t>
      </w:r>
    </w:p>
    <w:p w14:paraId="52E650E9">
      <w:pPr>
        <w:snapToGrid w:val="0"/>
        <w:spacing w:line="360" w:lineRule="auto"/>
        <w:ind w:left="480"/>
        <w:rPr>
          <w:rFonts w:ascii="宋体" w:hAnsi="宋体" w:eastAsia="宋体" w:cs="宋体"/>
          <w:sz w:val="24"/>
          <w:szCs w:val="24"/>
        </w:rPr>
      </w:pPr>
      <w:r>
        <w:rPr>
          <w:rFonts w:hint="eastAsia" w:ascii="宋体" w:hAnsi="宋体" w:eastAsia="宋体" w:cs="宋体"/>
          <w:sz w:val="24"/>
          <w:szCs w:val="24"/>
        </w:rPr>
        <w:t>（4）恶意竞争，投标总报价明显低于其自身合理成本且又无法提供证明的；</w:t>
      </w:r>
    </w:p>
    <w:p w14:paraId="3773C70D">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（5）不满足本招标文件规定的实质性要求，但在评标过程中又未被评标工作组发现的；</w:t>
      </w:r>
    </w:p>
    <w:p w14:paraId="62397D09">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（6）不符合法律、法规的规定的其它情形。</w:t>
      </w:r>
    </w:p>
    <w:p w14:paraId="111CD834">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24.4有下列情形之一的，视为投标人串通投标，投标无效：</w:t>
      </w:r>
    </w:p>
    <w:p w14:paraId="3B8E37E2">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（1）不同投标人的投标文件由同一单位或者个人编制。</w:t>
      </w:r>
    </w:p>
    <w:p w14:paraId="63D535BA">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（2）不同投标人委托同一单位或者个人办理投标事宜。</w:t>
      </w:r>
    </w:p>
    <w:p w14:paraId="3C79456F">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（3）不同投标人的投标文件载明的项目管理成员或者联系人员为同一人。</w:t>
      </w:r>
    </w:p>
    <w:p w14:paraId="3E84ECA8">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（4）不同投标人的投标文件异常一致或者投标报价呈规律性差异。</w:t>
      </w:r>
    </w:p>
    <w:p w14:paraId="33D85D05">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（5）不同投标人的投标文件相互混装。</w:t>
      </w:r>
    </w:p>
    <w:p w14:paraId="415002D3">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（6）不同投标人的投标保证金从同一单位或者个人的账户转出。</w:t>
      </w:r>
    </w:p>
    <w:p w14:paraId="34E93C60">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25、质疑处理</w:t>
      </w:r>
    </w:p>
    <w:p w14:paraId="57260693">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25.1参加投标供应商认为招标文件、采购过程和采购结果使自己的权益受到损害的，可以在知道或应知其权益受到损害之日起7个工作日内，以书面形式向招标人提出质疑。</w:t>
      </w:r>
    </w:p>
    <w:p w14:paraId="72AD4E50">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（1）对可以质疑的招标文件提出质疑的，为收到招标文件之日或者招标文件公告期限届满之日；</w:t>
      </w:r>
    </w:p>
    <w:p w14:paraId="1BA97FF9">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（2）对采购过程提出质疑的，为各采购程序环节结束之日；</w:t>
      </w:r>
    </w:p>
    <w:p w14:paraId="287534E8">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（3）对中标或者成交结果提出质疑的，为中标或者成交结果公告期限届满之日。</w:t>
      </w:r>
    </w:p>
    <w:p w14:paraId="28A59D2B">
      <w:pPr>
        <w:snapToGrid w:val="0"/>
        <w:spacing w:line="360" w:lineRule="auto"/>
        <w:ind w:firstLine="472" w:firstLineChars="197"/>
        <w:rPr>
          <w:rFonts w:ascii="宋体" w:hAnsi="宋体" w:eastAsia="宋体" w:cs="宋体"/>
          <w:sz w:val="24"/>
          <w:szCs w:val="24"/>
        </w:rPr>
      </w:pPr>
      <w:r>
        <w:rPr>
          <w:rFonts w:hint="eastAsia" w:ascii="宋体" w:hAnsi="宋体" w:eastAsia="宋体" w:cs="宋体"/>
          <w:sz w:val="24"/>
          <w:szCs w:val="24"/>
        </w:rPr>
        <w:t>25.2质疑必须以参加投标供应商法人代表或授权代表（投标文件中所确定的）送达的方式提交，未按上述要求提交的质疑函（含传真、电子邮件等）招标人有权不予受理。</w:t>
      </w:r>
    </w:p>
    <w:p w14:paraId="10C4BE8C">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25.3未参加投标的供应商或在投标活动中本身权益未受到损害或从投标活动中受益的供应商所提出的质疑也不予受理。</w:t>
      </w:r>
    </w:p>
    <w:p w14:paraId="4248222A">
      <w:pPr>
        <w:snapToGrid w:val="0"/>
        <w:spacing w:line="360" w:lineRule="auto"/>
        <w:ind w:firstLine="468" w:firstLineChars="195"/>
        <w:rPr>
          <w:rFonts w:ascii="宋体" w:hAnsi="宋体" w:eastAsia="宋体" w:cs="宋体"/>
          <w:sz w:val="24"/>
          <w:szCs w:val="24"/>
        </w:rPr>
      </w:pPr>
      <w:r>
        <w:rPr>
          <w:rFonts w:hint="eastAsia" w:ascii="宋体" w:hAnsi="宋体" w:eastAsia="宋体" w:cs="宋体"/>
          <w:sz w:val="24"/>
          <w:szCs w:val="24"/>
        </w:rPr>
        <w:t>25.4投标人提出书面质疑必须有理、有据，不得恶意质疑或提交虚假质疑。否则，招标人将不予受理。</w:t>
      </w:r>
    </w:p>
    <w:p w14:paraId="473623D4">
      <w:pPr>
        <w:snapToGrid w:val="0"/>
        <w:spacing w:line="360" w:lineRule="auto"/>
        <w:ind w:firstLine="468" w:firstLineChars="195"/>
        <w:rPr>
          <w:rFonts w:ascii="宋体" w:hAnsi="宋体" w:eastAsia="宋体" w:cs="宋体"/>
          <w:sz w:val="24"/>
          <w:szCs w:val="24"/>
        </w:rPr>
      </w:pPr>
      <w:r>
        <w:rPr>
          <w:rFonts w:hint="eastAsia" w:ascii="宋体" w:hAnsi="宋体" w:eastAsia="宋体" w:cs="宋体"/>
          <w:sz w:val="24"/>
          <w:szCs w:val="24"/>
        </w:rPr>
        <w:t>25.5招标人将在收到投标供应商的书面质疑后在规定时间内作出答复，但答复的内容不得涉及商业秘密。</w:t>
      </w:r>
    </w:p>
    <w:p w14:paraId="5E93EB9E">
      <w:pPr>
        <w:snapToGrid w:val="0"/>
        <w:spacing w:line="360" w:lineRule="auto"/>
        <w:ind w:firstLine="470" w:firstLineChars="195"/>
        <w:rPr>
          <w:rFonts w:ascii="宋体" w:hAnsi="宋体" w:eastAsia="宋体" w:cs="宋体"/>
          <w:sz w:val="24"/>
          <w:szCs w:val="24"/>
        </w:rPr>
      </w:pPr>
      <w:r>
        <w:rPr>
          <w:rFonts w:hint="eastAsia" w:ascii="宋体" w:hAnsi="宋体" w:eastAsia="宋体" w:cs="宋体"/>
          <w:b/>
          <w:sz w:val="24"/>
          <w:szCs w:val="24"/>
        </w:rPr>
        <w:t>26、中标通知书</w:t>
      </w:r>
    </w:p>
    <w:p w14:paraId="08326882">
      <w:pPr>
        <w:snapToGrid w:val="0"/>
        <w:spacing w:line="360" w:lineRule="auto"/>
        <w:ind w:firstLine="468" w:firstLineChars="195"/>
        <w:rPr>
          <w:rFonts w:ascii="宋体" w:hAnsi="宋体" w:eastAsia="宋体" w:cs="宋体"/>
          <w:sz w:val="24"/>
          <w:szCs w:val="24"/>
        </w:rPr>
      </w:pPr>
      <w:r>
        <w:rPr>
          <w:rFonts w:hint="eastAsia" w:ascii="宋体" w:hAnsi="宋体" w:eastAsia="宋体" w:cs="宋体"/>
          <w:sz w:val="24"/>
          <w:szCs w:val="24"/>
        </w:rPr>
        <w:t>26.l中标结果质疑期满后，招标人将向中标供应商发出中标通知书。</w:t>
      </w:r>
    </w:p>
    <w:p w14:paraId="3502968F">
      <w:pPr>
        <w:snapToGrid w:val="0"/>
        <w:spacing w:line="360" w:lineRule="auto"/>
        <w:ind w:firstLine="468" w:firstLineChars="195"/>
        <w:rPr>
          <w:rFonts w:ascii="宋体" w:hAnsi="宋体" w:eastAsia="宋体" w:cs="宋体"/>
          <w:sz w:val="24"/>
          <w:szCs w:val="24"/>
        </w:rPr>
      </w:pPr>
      <w:r>
        <w:rPr>
          <w:rFonts w:hint="eastAsia" w:ascii="宋体" w:hAnsi="宋体" w:eastAsia="宋体" w:cs="宋体"/>
          <w:sz w:val="24"/>
          <w:szCs w:val="24"/>
        </w:rPr>
        <w:t>26.2中标人收到中标通知书后，须立即以书面形式回复招标人，确认中标通知书已收到。若无书面回复，则公告后视同中标人已经知悉并同意接受。</w:t>
      </w:r>
    </w:p>
    <w:p w14:paraId="5AC49CF1">
      <w:pPr>
        <w:snapToGrid w:val="0"/>
        <w:spacing w:line="360" w:lineRule="auto"/>
        <w:ind w:firstLine="468" w:firstLineChars="195"/>
        <w:rPr>
          <w:rFonts w:ascii="宋体" w:hAnsi="宋体" w:eastAsia="宋体" w:cs="宋体"/>
          <w:sz w:val="24"/>
          <w:szCs w:val="24"/>
        </w:rPr>
      </w:pPr>
      <w:r>
        <w:rPr>
          <w:rFonts w:hint="eastAsia" w:ascii="宋体" w:hAnsi="宋体" w:eastAsia="宋体" w:cs="宋体"/>
          <w:sz w:val="24"/>
          <w:szCs w:val="24"/>
        </w:rPr>
        <w:t>26.3中标通知书将是合同的一个组成部分。对招标人和中标供应商均具有法律效力。中标通知书发出后，招标人改变中标结果的，或者中标供应商放弃中标项目的，应当依法承担法律责任。</w:t>
      </w:r>
    </w:p>
    <w:p w14:paraId="3532049B">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七、授予合同</w:t>
      </w:r>
    </w:p>
    <w:p w14:paraId="53CBFFC0">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27、签订合同</w:t>
      </w:r>
    </w:p>
    <w:p w14:paraId="2EE61491">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27.1中标人在</w:t>
      </w:r>
      <w:r>
        <w:rPr>
          <w:rFonts w:hint="eastAsia" w:ascii="宋体" w:hAnsi="宋体" w:eastAsia="宋体" w:cs="宋体"/>
          <w:snapToGrid w:val="0"/>
          <w:kern w:val="21"/>
          <w:sz w:val="24"/>
          <w:szCs w:val="24"/>
        </w:rPr>
        <w:t>中标通知书发出之日</w:t>
      </w:r>
      <w:r>
        <w:rPr>
          <w:rFonts w:hint="eastAsia" w:ascii="宋体" w:hAnsi="宋体" w:eastAsia="宋体" w:cs="宋体"/>
          <w:sz w:val="24"/>
          <w:szCs w:val="24"/>
        </w:rPr>
        <w:t>起30日内派代表前来与招标人具体商谈签订合同，若因中标人延误签订合同并由此给招标人造成损失的，中标人应承担赔偿责任。</w:t>
      </w:r>
    </w:p>
    <w:p w14:paraId="376EB334">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27.2招标文件、中标人的投标文件及澄清文件等，均为签订合同的依据。</w:t>
      </w:r>
    </w:p>
    <w:p w14:paraId="3AF7E2F7">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27.3签订合同后，</w:t>
      </w:r>
      <w:r>
        <w:rPr>
          <w:rFonts w:hint="eastAsia" w:ascii="宋体" w:hAnsi="宋体" w:eastAsia="宋体" w:cs="宋体"/>
          <w:b/>
          <w:sz w:val="24"/>
          <w:szCs w:val="24"/>
        </w:rPr>
        <w:t>中标人不得将相关服务进行全部或部分转包。</w:t>
      </w:r>
      <w:r>
        <w:rPr>
          <w:rFonts w:hint="eastAsia" w:ascii="宋体" w:hAnsi="宋体" w:eastAsia="宋体" w:cs="宋体"/>
          <w:sz w:val="24"/>
          <w:szCs w:val="24"/>
        </w:rPr>
        <w:t>未经招标人同意，中标人也不得采用分包的形式履行合同，否则招标人有权终止合同，中标人的履约保证金将不予退还。转包或分包造成招标人损失的，中标人应承担相应赔偿责任。</w:t>
      </w:r>
    </w:p>
    <w:p w14:paraId="232C875E">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28、服务的追加和减少</w:t>
      </w:r>
    </w:p>
    <w:p w14:paraId="277A3E16">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28.1采购合同履行中，需追加与合同标的相同的服务的，在不改变价格水平、合同及其它条款的前提下，招标人可以与中标人协商签订补充合同，追加量不得超过合同总额的10%。</w:t>
      </w:r>
    </w:p>
    <w:p w14:paraId="393A196E">
      <w:pPr>
        <w:spacing w:line="360" w:lineRule="exact"/>
        <w:ind w:firstLine="480" w:firstLineChars="200"/>
        <w:rPr>
          <w:rFonts w:ascii="宋体" w:hAnsi="宋体" w:eastAsia="宋体" w:cs="宋体"/>
        </w:rPr>
      </w:pPr>
      <w:r>
        <w:rPr>
          <w:rFonts w:hint="eastAsia" w:ascii="宋体" w:hAnsi="宋体" w:eastAsia="宋体" w:cs="宋体"/>
          <w:sz w:val="24"/>
          <w:szCs w:val="24"/>
        </w:rPr>
        <w:t>28.2采购结束后，招标人若由于各种客观原因，必须对采购项目所牵涉的服务进行适当的减少时，在双方协商一致的前提下，可以按照中标时价格水平做相应的调减，并据此签订补充合同。</w:t>
      </w:r>
    </w:p>
    <w:p w14:paraId="78F52523">
      <w:pPr>
        <w:rPr>
          <w:rFonts w:ascii="宋体" w:hAnsi="宋体" w:eastAsia="宋体" w:cs="宋体"/>
          <w:kern w:val="44"/>
          <w:sz w:val="36"/>
          <w:szCs w:val="36"/>
          <w:u w:color="000000"/>
          <w:lang w:val="zh-TW" w:eastAsia="zh-TW"/>
        </w:rPr>
      </w:pPr>
      <w:r>
        <w:rPr>
          <w:rFonts w:hint="eastAsia" w:ascii="宋体" w:hAnsi="宋体" w:eastAsia="宋体" w:cs="宋体"/>
          <w:kern w:val="44"/>
          <w:sz w:val="36"/>
          <w:szCs w:val="36"/>
          <w:u w:color="000000"/>
          <w:lang w:val="zh-TW" w:eastAsia="zh-TW"/>
        </w:rPr>
        <w:br w:type="page"/>
      </w:r>
    </w:p>
    <w:p w14:paraId="516791F9">
      <w:pPr>
        <w:keepNext/>
        <w:keepLines/>
        <w:spacing w:before="312" w:beforeLines="100" w:after="312" w:afterLines="100" w:line="360" w:lineRule="auto"/>
        <w:jc w:val="center"/>
        <w:outlineLvl w:val="0"/>
        <w:rPr>
          <w:rFonts w:ascii="宋体" w:hAnsi="宋体" w:eastAsia="宋体" w:cs="宋体"/>
          <w:kern w:val="44"/>
          <w:sz w:val="36"/>
          <w:szCs w:val="36"/>
          <w:u w:color="000000"/>
          <w:lang w:val="zh-TW" w:eastAsia="zh-TW"/>
        </w:rPr>
      </w:pPr>
      <w:bookmarkStart w:id="8" w:name="_Toc10510"/>
      <w:r>
        <w:rPr>
          <w:rFonts w:hint="eastAsia" w:ascii="宋体" w:hAnsi="宋体" w:eastAsia="宋体" w:cs="宋体"/>
          <w:kern w:val="44"/>
          <w:sz w:val="36"/>
          <w:szCs w:val="36"/>
          <w:u w:color="000000"/>
          <w:lang w:val="zh-TW" w:eastAsia="zh-TW"/>
        </w:rPr>
        <w:t>第</w:t>
      </w:r>
      <w:r>
        <w:rPr>
          <w:rFonts w:hint="eastAsia" w:ascii="宋体" w:hAnsi="宋体" w:eastAsia="宋体" w:cs="宋体"/>
          <w:kern w:val="44"/>
          <w:sz w:val="36"/>
          <w:szCs w:val="36"/>
          <w:u w:color="000000"/>
          <w:lang w:val="zh-TW"/>
        </w:rPr>
        <w:t>三</w:t>
      </w:r>
      <w:r>
        <w:rPr>
          <w:rFonts w:hint="eastAsia" w:ascii="宋体" w:hAnsi="宋体" w:eastAsia="宋体" w:cs="宋体"/>
          <w:kern w:val="44"/>
          <w:sz w:val="36"/>
          <w:szCs w:val="36"/>
          <w:u w:color="000000"/>
          <w:lang w:val="zh-TW" w:eastAsia="zh-TW"/>
        </w:rPr>
        <w:t>章  合同条款及格式</w:t>
      </w:r>
      <w:bookmarkEnd w:id="8"/>
    </w:p>
    <w:p w14:paraId="354A19FC">
      <w:pPr>
        <w:spacing w:before="40" w:after="40" w:line="360" w:lineRule="auto"/>
        <w:ind w:firstLine="468" w:firstLineChars="195"/>
        <w:rPr>
          <w:rFonts w:hint="eastAsia" w:ascii="宋体" w:hAnsi="宋体" w:eastAsia="宋体" w:cs="宋体"/>
          <w:sz w:val="24"/>
          <w:szCs w:val="24"/>
        </w:rPr>
      </w:pPr>
      <w:bookmarkStart w:id="9" w:name="_Toc513029243"/>
      <w:bookmarkStart w:id="10" w:name="_Toc16938559"/>
      <w:bookmarkStart w:id="11" w:name="_Toc20823315"/>
      <w:r>
        <w:rPr>
          <w:rFonts w:hint="eastAsia" w:ascii="宋体" w:hAnsi="宋体" w:eastAsia="宋体" w:cs="宋体"/>
          <w:sz w:val="24"/>
          <w:szCs w:val="24"/>
        </w:rPr>
        <w:t>以下为中标后签定本项目合同的通用条款，中标人不得提出实质性的修改，关于专用条款将由项目使用单位与中标人结合本项目具体情况协商后签订。</w:t>
      </w:r>
      <w:bookmarkEnd w:id="9"/>
      <w:bookmarkEnd w:id="10"/>
      <w:bookmarkEnd w:id="11"/>
      <w:bookmarkStart w:id="12" w:name="_Toc16438"/>
    </w:p>
    <w:p w14:paraId="45B84DD7">
      <w:pPr>
        <w:pStyle w:val="13"/>
        <w:snapToGrid w:val="0"/>
        <w:spacing w:before="120" w:after="120" w:line="360" w:lineRule="auto"/>
        <w:ind w:firstLine="301" w:firstLineChars="100"/>
        <w:jc w:val="center"/>
        <w:rPr>
          <w:rFonts w:ascii="宋体" w:hAnsi="宋体" w:eastAsia="宋体" w:cs="宋体"/>
          <w:b/>
          <w:sz w:val="30"/>
          <w:szCs w:val="30"/>
        </w:rPr>
      </w:pPr>
      <w:r>
        <w:rPr>
          <w:rFonts w:hint="eastAsia" w:ascii="宋体" w:hAnsi="宋体" w:eastAsia="宋体" w:cs="宋体"/>
          <w:b/>
          <w:sz w:val="30"/>
          <w:szCs w:val="30"/>
          <w:lang w:val="zh-CN"/>
        </w:rPr>
        <w:t xml:space="preserve"> 南京邮电大学通达学院</w:t>
      </w:r>
      <w:r>
        <w:rPr>
          <w:rFonts w:hint="eastAsia" w:ascii="宋体" w:hAnsi="宋体" w:eastAsia="宋体" w:cs="宋体"/>
          <w:b/>
          <w:sz w:val="30"/>
          <w:szCs w:val="30"/>
        </w:rPr>
        <w:t>2025年5月-2027年5月电梯维保服务采购项目合同</w:t>
      </w:r>
    </w:p>
    <w:p w14:paraId="766C317F">
      <w:pPr>
        <w:widowControl w:val="0"/>
        <w:snapToGrid w:val="0"/>
        <w:spacing w:before="120" w:after="120" w:line="360" w:lineRule="auto"/>
        <w:ind w:firstLine="210" w:firstLineChars="100"/>
        <w:jc w:val="both"/>
        <w:rPr>
          <w:rFonts w:ascii="宋体" w:hAnsi="宋体" w:eastAsia="宋体" w:cs="宋体"/>
          <w:bCs/>
          <w:kern w:val="2"/>
          <w:sz w:val="21"/>
          <w:szCs w:val="20"/>
          <w:lang w:val="en-US" w:eastAsia="zh-CN" w:bidi="ar-SA"/>
        </w:rPr>
      </w:pPr>
      <w:r>
        <w:rPr>
          <w:rFonts w:hint="eastAsia" w:ascii="宋体" w:hAnsi="宋体" w:eastAsia="宋体" w:cs="宋体"/>
          <w:bCs/>
          <w:kern w:val="2"/>
          <w:sz w:val="21"/>
          <w:szCs w:val="20"/>
          <w:lang w:val="en-US" w:eastAsia="zh-CN" w:bidi="ar-SA"/>
        </w:rPr>
        <w:t xml:space="preserve">甲方：南京邮电大学通达学院                          项目编号：TDCG2025007号 </w:t>
      </w:r>
    </w:p>
    <w:p w14:paraId="2B63F303">
      <w:pPr>
        <w:tabs>
          <w:tab w:val="left" w:pos="1005"/>
        </w:tabs>
        <w:adjustRightInd w:val="0"/>
        <w:snapToGrid w:val="0"/>
        <w:spacing w:line="276" w:lineRule="auto"/>
        <w:ind w:firstLine="210" w:firstLineChars="100"/>
        <w:rPr>
          <w:rFonts w:ascii="宋体" w:hAnsi="宋体"/>
          <w:sz w:val="24"/>
        </w:rPr>
      </w:pPr>
      <w:r>
        <w:rPr>
          <w:rFonts w:hint="eastAsia" w:hAnsi="宋体" w:cs="宋体"/>
          <w:bCs/>
        </w:rPr>
        <w:t>乙方：</w:t>
      </w:r>
      <w:r>
        <w:rPr>
          <w:rFonts w:ascii="宋体" w:hAnsi="宋体"/>
          <w:sz w:val="24"/>
          <w:u w:val="single"/>
        </w:rPr>
        <w:t xml:space="preserve">                    </w:t>
      </w:r>
    </w:p>
    <w:p w14:paraId="6D4BB59B">
      <w:pPr>
        <w:widowControl w:val="0"/>
        <w:snapToGrid w:val="0"/>
        <w:spacing w:before="120" w:after="120" w:line="360" w:lineRule="auto"/>
        <w:ind w:firstLine="210" w:firstLineChars="100"/>
        <w:jc w:val="both"/>
        <w:rPr>
          <w:rFonts w:ascii="宋体" w:hAnsi="宋体" w:eastAsia="宋体" w:cs="宋体"/>
          <w:bCs/>
          <w:kern w:val="2"/>
          <w:sz w:val="21"/>
          <w:szCs w:val="20"/>
          <w:lang w:val="en-US" w:eastAsia="zh-CN" w:bidi="ar-SA"/>
        </w:rPr>
      </w:pPr>
      <w:r>
        <w:rPr>
          <w:rFonts w:hint="eastAsia" w:ascii="宋体" w:hAnsi="宋体" w:eastAsia="宋体" w:cs="宋体"/>
          <w:bCs/>
          <w:kern w:val="2"/>
          <w:sz w:val="21"/>
          <w:szCs w:val="20"/>
          <w:lang w:val="en-US" w:eastAsia="zh-CN" w:bidi="ar-SA"/>
        </w:rPr>
        <w:t>甲乙双方根据电梯维修及保养服务采购项目采购结果,依据《中华人民共和国民法典》及相关法律规定，签订本合同:</w:t>
      </w:r>
    </w:p>
    <w:p w14:paraId="18CD4808">
      <w:pPr>
        <w:widowControl w:val="0"/>
        <w:snapToGrid w:val="0"/>
        <w:spacing w:before="120" w:after="120" w:line="360" w:lineRule="auto"/>
        <w:ind w:firstLine="211" w:firstLineChars="100"/>
        <w:jc w:val="both"/>
        <w:rPr>
          <w:rFonts w:ascii="宋体" w:hAnsi="宋体" w:eastAsia="宋体" w:cs="宋体"/>
          <w:b/>
          <w:kern w:val="2"/>
          <w:sz w:val="21"/>
          <w:szCs w:val="20"/>
          <w:lang w:val="en-US" w:eastAsia="zh-CN" w:bidi="ar-SA"/>
        </w:rPr>
      </w:pPr>
      <w:r>
        <w:rPr>
          <w:rFonts w:hint="eastAsia" w:ascii="宋体" w:hAnsi="宋体" w:eastAsia="宋体" w:cs="宋体"/>
          <w:b/>
          <w:kern w:val="2"/>
          <w:sz w:val="21"/>
          <w:szCs w:val="20"/>
          <w:lang w:val="en-US" w:eastAsia="zh-CN" w:bidi="ar-SA"/>
        </w:rPr>
        <w:t>1、合同标的</w:t>
      </w:r>
    </w:p>
    <w:p w14:paraId="29749A2C">
      <w:pPr>
        <w:widowControl w:val="0"/>
        <w:snapToGrid w:val="0"/>
        <w:spacing w:before="120" w:after="120" w:line="360" w:lineRule="auto"/>
        <w:ind w:firstLine="210" w:firstLineChars="100"/>
        <w:jc w:val="both"/>
        <w:rPr>
          <w:rFonts w:ascii="宋体" w:hAnsi="宋体" w:eastAsia="宋体" w:cs="宋体"/>
          <w:bCs/>
          <w:kern w:val="2"/>
          <w:sz w:val="21"/>
          <w:szCs w:val="20"/>
          <w:lang w:val="en-US" w:eastAsia="zh-CN" w:bidi="ar-SA"/>
        </w:rPr>
      </w:pPr>
      <w:r>
        <w:rPr>
          <w:rFonts w:hint="eastAsia" w:ascii="宋体" w:hAnsi="宋体" w:eastAsia="宋体" w:cs="宋体"/>
          <w:bCs/>
          <w:kern w:val="2"/>
          <w:sz w:val="21"/>
          <w:szCs w:val="20"/>
          <w:lang w:val="en-US" w:eastAsia="zh-CN" w:bidi="ar-SA"/>
        </w:rPr>
        <w:t>乙方根据甲方需求，提供下列服务：</w:t>
      </w:r>
      <w:r>
        <w:rPr>
          <w:rFonts w:hint="eastAsia" w:ascii="宋体" w:hAnsi="宋体" w:eastAsia="宋体" w:cs="Times New Roman"/>
          <w:kern w:val="2"/>
          <w:sz w:val="21"/>
          <w:szCs w:val="20"/>
          <w:u w:val="single"/>
          <w:lang w:val="en-US" w:eastAsia="zh-CN" w:bidi="ar-SA"/>
        </w:rPr>
        <w:t xml:space="preserve">                      </w:t>
      </w:r>
      <w:r>
        <w:rPr>
          <w:rFonts w:hint="eastAsia" w:ascii="宋体" w:hAnsi="宋体" w:eastAsia="宋体" w:cs="Times New Roman"/>
          <w:kern w:val="2"/>
          <w:sz w:val="21"/>
          <w:szCs w:val="20"/>
          <w:lang w:val="en-US" w:eastAsia="zh-CN" w:bidi="ar-SA"/>
        </w:rPr>
        <w:t>。</w:t>
      </w:r>
    </w:p>
    <w:p w14:paraId="719C4ACE">
      <w:pPr>
        <w:widowControl w:val="0"/>
        <w:snapToGrid w:val="0"/>
        <w:spacing w:before="120" w:after="120" w:line="360" w:lineRule="auto"/>
        <w:ind w:firstLine="210" w:firstLineChars="100"/>
        <w:jc w:val="both"/>
        <w:rPr>
          <w:rFonts w:ascii="宋体" w:hAnsi="宋体" w:eastAsia="宋体" w:cs="宋体"/>
          <w:bCs/>
          <w:kern w:val="2"/>
          <w:sz w:val="21"/>
          <w:szCs w:val="20"/>
          <w:lang w:val="en-US" w:eastAsia="zh-CN" w:bidi="ar-SA"/>
        </w:rPr>
      </w:pPr>
      <w:r>
        <w:rPr>
          <w:rFonts w:hint="eastAsia" w:ascii="宋体" w:hAnsi="宋体" w:eastAsia="宋体" w:cs="宋体"/>
          <w:bCs/>
          <w:kern w:val="2"/>
          <w:sz w:val="21"/>
          <w:szCs w:val="20"/>
          <w:lang w:val="en-US" w:eastAsia="zh-CN" w:bidi="ar-SA"/>
        </w:rPr>
        <w:t>服务内容等要求详见招标文件及响应文件。</w:t>
      </w:r>
    </w:p>
    <w:p w14:paraId="754EA5BD">
      <w:pPr>
        <w:widowControl w:val="0"/>
        <w:snapToGrid w:val="0"/>
        <w:spacing w:before="120" w:after="120" w:line="360" w:lineRule="auto"/>
        <w:ind w:firstLine="211" w:firstLineChars="100"/>
        <w:jc w:val="both"/>
        <w:rPr>
          <w:rFonts w:ascii="宋体" w:hAnsi="宋体" w:eastAsia="宋体" w:cs="宋体"/>
          <w:b/>
          <w:kern w:val="2"/>
          <w:sz w:val="21"/>
          <w:szCs w:val="20"/>
          <w:lang w:val="en-US" w:eastAsia="zh-CN" w:bidi="ar-SA"/>
        </w:rPr>
      </w:pPr>
      <w:r>
        <w:rPr>
          <w:rFonts w:hint="eastAsia" w:ascii="宋体" w:hAnsi="宋体" w:eastAsia="宋体" w:cs="宋体"/>
          <w:b/>
          <w:kern w:val="2"/>
          <w:sz w:val="21"/>
          <w:szCs w:val="20"/>
          <w:lang w:val="en-US" w:eastAsia="zh-CN" w:bidi="ar-SA"/>
        </w:rPr>
        <w:t>2、合同总金额</w:t>
      </w:r>
    </w:p>
    <w:p w14:paraId="24437893">
      <w:pPr>
        <w:widowControl w:val="0"/>
        <w:snapToGrid w:val="0"/>
        <w:spacing w:before="120" w:after="120" w:line="360" w:lineRule="auto"/>
        <w:ind w:firstLine="210" w:firstLineChars="100"/>
        <w:jc w:val="both"/>
        <w:rPr>
          <w:rFonts w:ascii="宋体" w:hAnsi="宋体" w:eastAsia="宋体" w:cs="宋体"/>
          <w:bCs/>
          <w:kern w:val="2"/>
          <w:sz w:val="21"/>
          <w:szCs w:val="20"/>
          <w:lang w:val="en-US" w:eastAsia="zh-CN" w:bidi="ar-SA"/>
        </w:rPr>
      </w:pPr>
      <w:r>
        <w:rPr>
          <w:rFonts w:hint="eastAsia" w:ascii="宋体" w:hAnsi="宋体" w:eastAsia="宋体" w:cs="宋体"/>
          <w:bCs/>
          <w:kern w:val="2"/>
          <w:sz w:val="21"/>
          <w:szCs w:val="20"/>
          <w:lang w:val="en-US" w:eastAsia="zh-CN" w:bidi="ar-SA"/>
        </w:rPr>
        <w:t>2.1 本合同总金额包括乙方提供的服务及其他有关的为完成本项目发生的所有费用，招标文件中另有规定的除外。</w:t>
      </w:r>
    </w:p>
    <w:p w14:paraId="5DCC8A66">
      <w:pPr>
        <w:widowControl w:val="0"/>
        <w:snapToGrid w:val="0"/>
        <w:spacing w:before="120" w:after="120" w:line="360" w:lineRule="auto"/>
        <w:ind w:firstLine="210" w:firstLineChars="100"/>
        <w:jc w:val="both"/>
        <w:rPr>
          <w:rFonts w:ascii="宋体" w:hAnsi="宋体" w:eastAsia="宋体" w:cs="宋体"/>
          <w:bCs/>
          <w:kern w:val="2"/>
          <w:sz w:val="21"/>
          <w:szCs w:val="20"/>
          <w:lang w:val="en-US" w:eastAsia="zh-CN" w:bidi="ar-SA"/>
        </w:rPr>
      </w:pPr>
      <w:r>
        <w:rPr>
          <w:rFonts w:hint="eastAsia" w:ascii="宋体" w:hAnsi="宋体" w:eastAsia="宋体" w:cs="宋体"/>
          <w:bCs/>
          <w:kern w:val="2"/>
          <w:sz w:val="21"/>
          <w:szCs w:val="20"/>
          <w:lang w:val="en-US" w:eastAsia="zh-CN" w:bidi="ar-SA"/>
        </w:rPr>
        <w:t>2.2 在招标文件未列明，而乙方认为履行本合同必需的费用也包含在合同总金额中。</w:t>
      </w:r>
    </w:p>
    <w:p w14:paraId="66F71F2D">
      <w:pPr>
        <w:widowControl w:val="0"/>
        <w:snapToGrid w:val="0"/>
        <w:spacing w:before="120" w:after="120" w:line="360" w:lineRule="auto"/>
        <w:ind w:firstLine="210" w:firstLineChars="100"/>
        <w:jc w:val="both"/>
        <w:rPr>
          <w:rFonts w:ascii="宋体" w:hAnsi="宋体" w:eastAsia="宋体" w:cs="宋体"/>
          <w:bCs/>
          <w:kern w:val="2"/>
          <w:sz w:val="21"/>
          <w:szCs w:val="20"/>
          <w:lang w:val="en-US" w:eastAsia="zh-CN" w:bidi="ar-SA"/>
        </w:rPr>
      </w:pPr>
      <w:r>
        <w:rPr>
          <w:rFonts w:hint="eastAsia" w:ascii="宋体" w:hAnsi="宋体" w:eastAsia="宋体" w:cs="宋体"/>
          <w:bCs/>
          <w:kern w:val="2"/>
          <w:sz w:val="21"/>
          <w:szCs w:val="20"/>
          <w:lang w:val="en-US" w:eastAsia="zh-CN" w:bidi="ar-SA"/>
        </w:rPr>
        <w:t>2.3 本合同总金额还包含乙方提供的伴随服务/售后服务费用。</w:t>
      </w:r>
    </w:p>
    <w:p w14:paraId="47295DDF">
      <w:pPr>
        <w:widowControl w:val="0"/>
        <w:snapToGrid w:val="0"/>
        <w:spacing w:before="120" w:after="120" w:line="360" w:lineRule="auto"/>
        <w:ind w:firstLine="211" w:firstLineChars="100"/>
        <w:jc w:val="both"/>
        <w:rPr>
          <w:rFonts w:ascii="宋体" w:hAnsi="宋体" w:eastAsia="宋体" w:cs="宋体"/>
          <w:b/>
          <w:kern w:val="2"/>
          <w:sz w:val="21"/>
          <w:szCs w:val="20"/>
          <w:lang w:val="en-US" w:eastAsia="zh-CN" w:bidi="ar-SA"/>
        </w:rPr>
      </w:pPr>
      <w:r>
        <w:rPr>
          <w:rFonts w:hint="eastAsia" w:ascii="宋体" w:hAnsi="宋体" w:eastAsia="宋体" w:cs="宋体"/>
          <w:b/>
          <w:kern w:val="2"/>
          <w:sz w:val="21"/>
          <w:szCs w:val="20"/>
          <w:lang w:val="en-US" w:eastAsia="zh-CN" w:bidi="ar-SA"/>
        </w:rPr>
        <w:t>3、组成本合同的有关文件</w:t>
      </w:r>
    </w:p>
    <w:p w14:paraId="40E622F6">
      <w:pPr>
        <w:widowControl w:val="0"/>
        <w:snapToGrid w:val="0"/>
        <w:spacing w:before="120" w:after="120" w:line="360" w:lineRule="auto"/>
        <w:ind w:firstLine="210" w:firstLineChars="100"/>
        <w:jc w:val="both"/>
        <w:rPr>
          <w:rFonts w:ascii="宋体" w:hAnsi="宋体" w:eastAsia="宋体" w:cs="宋体"/>
          <w:bCs/>
          <w:kern w:val="2"/>
          <w:sz w:val="21"/>
          <w:szCs w:val="20"/>
          <w:lang w:val="en-US" w:eastAsia="zh-CN" w:bidi="ar-SA"/>
        </w:rPr>
      </w:pPr>
      <w:r>
        <w:rPr>
          <w:rFonts w:hint="eastAsia" w:ascii="宋体" w:hAnsi="宋体" w:eastAsia="宋体" w:cs="宋体"/>
          <w:bCs/>
          <w:kern w:val="2"/>
          <w:sz w:val="21"/>
          <w:szCs w:val="20"/>
          <w:lang w:val="en-US" w:eastAsia="zh-CN" w:bidi="ar-SA"/>
        </w:rPr>
        <w:t>3.1乙方应按招标文件规定的时间向甲方提供服务的有关技术资料。</w:t>
      </w:r>
    </w:p>
    <w:p w14:paraId="4776E58D">
      <w:pPr>
        <w:widowControl w:val="0"/>
        <w:snapToGrid w:val="0"/>
        <w:spacing w:before="120" w:after="120" w:line="360" w:lineRule="auto"/>
        <w:ind w:firstLine="210" w:firstLineChars="100"/>
        <w:jc w:val="both"/>
        <w:rPr>
          <w:rFonts w:ascii="宋体" w:hAnsi="宋体" w:eastAsia="宋体" w:cs="宋体"/>
          <w:bCs/>
          <w:kern w:val="2"/>
          <w:sz w:val="21"/>
          <w:szCs w:val="20"/>
          <w:lang w:val="en-US" w:eastAsia="zh-CN" w:bidi="ar-SA"/>
        </w:rPr>
      </w:pPr>
      <w:r>
        <w:rPr>
          <w:rFonts w:hint="eastAsia" w:ascii="宋体" w:hAnsi="宋体" w:eastAsia="宋体" w:cs="宋体"/>
          <w:bCs/>
          <w:kern w:val="2"/>
          <w:sz w:val="21"/>
          <w:szCs w:val="20"/>
          <w:lang w:val="en-US" w:eastAsia="zh-CN" w:bidi="ar-SA"/>
        </w:rPr>
        <w:t>3.2 没有甲方事先书面同意，乙方不得将由甲方提供的有关合同或任何合同条文或资料提供给任何其他人。即使向履行本合同有关的人员提供，也应注意保密并限于履行合同的必需范围。</w:t>
      </w:r>
    </w:p>
    <w:p w14:paraId="1B7F9BFA">
      <w:pPr>
        <w:widowControl w:val="0"/>
        <w:snapToGrid w:val="0"/>
        <w:spacing w:before="120" w:after="120" w:line="360" w:lineRule="auto"/>
        <w:ind w:firstLine="210" w:firstLineChars="100"/>
        <w:jc w:val="both"/>
        <w:rPr>
          <w:rFonts w:ascii="宋体" w:hAnsi="宋体" w:eastAsia="宋体" w:cs="宋体"/>
          <w:bCs/>
          <w:kern w:val="2"/>
          <w:sz w:val="21"/>
          <w:szCs w:val="20"/>
          <w:lang w:val="en-US" w:eastAsia="zh-CN" w:bidi="ar-SA"/>
        </w:rPr>
      </w:pPr>
      <w:r>
        <w:rPr>
          <w:rFonts w:hint="eastAsia" w:ascii="宋体" w:hAnsi="宋体" w:eastAsia="宋体" w:cs="宋体"/>
          <w:bCs/>
          <w:kern w:val="2"/>
          <w:sz w:val="21"/>
          <w:szCs w:val="20"/>
          <w:lang w:val="en-US" w:eastAsia="zh-CN" w:bidi="ar-SA"/>
        </w:rPr>
        <w:t>3.3 关于本项目政府采购的招标文件、响应文件以及与本次采购活动方式相适应的文件及有关附件是本合同不可分割的组成部分，这些文件包括但不限于：</w:t>
      </w:r>
    </w:p>
    <w:p w14:paraId="164F6391">
      <w:pPr>
        <w:widowControl w:val="0"/>
        <w:snapToGrid w:val="0"/>
        <w:spacing w:before="120" w:after="120" w:line="360" w:lineRule="auto"/>
        <w:ind w:firstLine="210" w:firstLineChars="100"/>
        <w:jc w:val="both"/>
        <w:rPr>
          <w:rFonts w:ascii="宋体" w:hAnsi="宋体" w:eastAsia="宋体" w:cs="宋体"/>
          <w:bCs/>
          <w:kern w:val="2"/>
          <w:sz w:val="21"/>
          <w:szCs w:val="20"/>
          <w:lang w:val="en-US" w:eastAsia="zh-CN" w:bidi="ar-SA"/>
        </w:rPr>
      </w:pPr>
      <w:r>
        <w:rPr>
          <w:rFonts w:hint="eastAsia" w:ascii="宋体" w:hAnsi="宋体" w:eastAsia="宋体" w:cs="宋体"/>
          <w:bCs/>
          <w:kern w:val="2"/>
          <w:sz w:val="21"/>
          <w:szCs w:val="20"/>
          <w:lang w:val="en-US" w:eastAsia="zh-CN" w:bidi="ar-SA"/>
        </w:rPr>
        <w:t xml:space="preserve">   （1）磋商响应文件；               （2）磋商报价文件；</w:t>
      </w:r>
    </w:p>
    <w:p w14:paraId="4815910F">
      <w:pPr>
        <w:widowControl w:val="0"/>
        <w:snapToGrid w:val="0"/>
        <w:spacing w:before="120" w:after="120" w:line="360" w:lineRule="auto"/>
        <w:ind w:firstLine="210" w:firstLineChars="100"/>
        <w:jc w:val="both"/>
        <w:rPr>
          <w:rFonts w:ascii="宋体" w:hAnsi="宋体" w:eastAsia="宋体" w:cs="宋体"/>
          <w:bCs/>
          <w:kern w:val="2"/>
          <w:sz w:val="21"/>
          <w:szCs w:val="20"/>
          <w:lang w:val="en-US" w:eastAsia="zh-CN" w:bidi="ar-SA"/>
        </w:rPr>
      </w:pPr>
      <w:r>
        <w:rPr>
          <w:rFonts w:hint="eastAsia" w:ascii="宋体" w:hAnsi="宋体" w:eastAsia="宋体" w:cs="宋体"/>
          <w:bCs/>
          <w:kern w:val="2"/>
          <w:sz w:val="21"/>
          <w:szCs w:val="20"/>
          <w:lang w:val="en-US" w:eastAsia="zh-CN" w:bidi="ar-SA"/>
        </w:rPr>
        <w:t xml:space="preserve">   （3）项目组人员表                 （4）技术参数、商务条款响应及偏离表；</w:t>
      </w:r>
    </w:p>
    <w:p w14:paraId="442C5DE1">
      <w:pPr>
        <w:widowControl w:val="0"/>
        <w:snapToGrid w:val="0"/>
        <w:spacing w:before="120" w:after="120" w:line="360" w:lineRule="auto"/>
        <w:ind w:firstLine="210" w:firstLineChars="100"/>
        <w:jc w:val="both"/>
        <w:rPr>
          <w:rFonts w:ascii="宋体" w:hAnsi="宋体" w:eastAsia="宋体" w:cs="宋体"/>
          <w:bCs/>
          <w:kern w:val="2"/>
          <w:sz w:val="21"/>
          <w:szCs w:val="20"/>
          <w:lang w:val="en-US" w:eastAsia="zh-CN" w:bidi="ar-SA"/>
        </w:rPr>
      </w:pPr>
      <w:r>
        <w:rPr>
          <w:rFonts w:hint="eastAsia" w:ascii="宋体" w:hAnsi="宋体" w:eastAsia="宋体" w:cs="宋体"/>
          <w:bCs/>
          <w:kern w:val="2"/>
          <w:sz w:val="21"/>
          <w:szCs w:val="20"/>
          <w:lang w:val="en-US" w:eastAsia="zh-CN" w:bidi="ar-SA"/>
        </w:rPr>
        <w:t xml:space="preserve">   （5）服务承诺；                   （6）成交通知书；</w:t>
      </w:r>
    </w:p>
    <w:p w14:paraId="7F24A2BA">
      <w:pPr>
        <w:widowControl w:val="0"/>
        <w:snapToGrid w:val="0"/>
        <w:spacing w:before="120" w:after="120" w:line="360" w:lineRule="auto"/>
        <w:ind w:firstLine="210" w:firstLineChars="100"/>
        <w:jc w:val="both"/>
        <w:rPr>
          <w:rFonts w:ascii="宋体" w:hAnsi="宋体" w:eastAsia="宋体" w:cs="宋体"/>
          <w:bCs/>
          <w:kern w:val="2"/>
          <w:sz w:val="21"/>
          <w:szCs w:val="20"/>
          <w:lang w:val="en-US" w:eastAsia="zh-CN" w:bidi="ar-SA"/>
        </w:rPr>
      </w:pPr>
      <w:r>
        <w:rPr>
          <w:rFonts w:hint="eastAsia" w:ascii="宋体" w:hAnsi="宋体" w:eastAsia="宋体" w:cs="宋体"/>
          <w:bCs/>
          <w:kern w:val="2"/>
          <w:sz w:val="21"/>
          <w:szCs w:val="20"/>
          <w:lang w:val="en-US" w:eastAsia="zh-CN" w:bidi="ar-SA"/>
        </w:rPr>
        <w:t xml:space="preserve">   （7）甲乙双方补充协议；           （8）乙方参加磋商时提供的响应文件。</w:t>
      </w:r>
    </w:p>
    <w:p w14:paraId="715B065F">
      <w:pPr>
        <w:widowControl w:val="0"/>
        <w:snapToGrid w:val="0"/>
        <w:spacing w:before="120" w:after="120" w:line="360" w:lineRule="auto"/>
        <w:ind w:firstLine="211" w:firstLineChars="100"/>
        <w:jc w:val="both"/>
        <w:rPr>
          <w:rFonts w:ascii="宋体" w:hAnsi="宋体" w:eastAsia="宋体" w:cs="宋体"/>
          <w:b/>
          <w:kern w:val="2"/>
          <w:sz w:val="21"/>
          <w:szCs w:val="20"/>
          <w:lang w:val="en-US" w:eastAsia="zh-CN" w:bidi="ar-SA"/>
        </w:rPr>
      </w:pPr>
      <w:r>
        <w:rPr>
          <w:rFonts w:hint="eastAsia" w:ascii="宋体" w:hAnsi="宋体" w:eastAsia="宋体" w:cs="宋体"/>
          <w:b/>
          <w:kern w:val="2"/>
          <w:sz w:val="21"/>
          <w:szCs w:val="20"/>
          <w:lang w:val="en-US" w:eastAsia="zh-CN" w:bidi="ar-SA"/>
        </w:rPr>
        <w:t>4、知识产权保证</w:t>
      </w:r>
    </w:p>
    <w:p w14:paraId="14F53A25">
      <w:pPr>
        <w:widowControl w:val="0"/>
        <w:snapToGrid w:val="0"/>
        <w:spacing w:before="120" w:after="120" w:line="360" w:lineRule="auto"/>
        <w:ind w:firstLine="210" w:firstLineChars="100"/>
        <w:jc w:val="both"/>
        <w:rPr>
          <w:rFonts w:ascii="宋体" w:hAnsi="宋体" w:eastAsia="宋体" w:cs="宋体"/>
          <w:bCs/>
          <w:kern w:val="2"/>
          <w:sz w:val="21"/>
          <w:szCs w:val="20"/>
          <w:lang w:val="en-US" w:eastAsia="zh-CN" w:bidi="ar-SA"/>
        </w:rPr>
      </w:pPr>
      <w:r>
        <w:rPr>
          <w:rFonts w:hint="eastAsia" w:ascii="宋体" w:hAnsi="宋体" w:eastAsia="宋体" w:cs="宋体"/>
          <w:bCs/>
          <w:kern w:val="2"/>
          <w:sz w:val="21"/>
          <w:szCs w:val="20"/>
          <w:lang w:val="en-US" w:eastAsia="zh-CN" w:bidi="ar-SA"/>
        </w:rPr>
        <w:t>乙方保证甲方在使用、接受本合同服务或其任何一部分时，不受第三方提出侵犯其专利权、版权、商标权和工业设计权等知识产权的起诉。一旦出现侵权，由乙方负全部责任。</w:t>
      </w:r>
    </w:p>
    <w:p w14:paraId="6991E232">
      <w:pPr>
        <w:widowControl w:val="0"/>
        <w:snapToGrid w:val="0"/>
        <w:spacing w:before="120" w:after="120" w:line="360" w:lineRule="auto"/>
        <w:ind w:firstLine="211" w:firstLineChars="100"/>
        <w:jc w:val="both"/>
        <w:rPr>
          <w:rFonts w:ascii="宋体" w:hAnsi="宋体" w:eastAsia="宋体" w:cs="宋体"/>
          <w:b/>
          <w:kern w:val="2"/>
          <w:sz w:val="21"/>
          <w:szCs w:val="20"/>
          <w:lang w:val="en-US" w:eastAsia="zh-CN" w:bidi="ar-SA"/>
        </w:rPr>
      </w:pPr>
      <w:r>
        <w:rPr>
          <w:rFonts w:hint="eastAsia" w:ascii="宋体" w:hAnsi="宋体" w:eastAsia="宋体" w:cs="宋体"/>
          <w:b/>
          <w:kern w:val="2"/>
          <w:sz w:val="21"/>
          <w:szCs w:val="20"/>
          <w:lang w:val="en-US" w:eastAsia="zh-CN" w:bidi="ar-SA"/>
        </w:rPr>
        <w:t>5、产权保证</w:t>
      </w:r>
    </w:p>
    <w:p w14:paraId="0DC46A23">
      <w:pPr>
        <w:widowControl w:val="0"/>
        <w:snapToGrid w:val="0"/>
        <w:spacing w:before="120" w:after="120" w:line="360" w:lineRule="auto"/>
        <w:ind w:firstLine="210" w:firstLineChars="100"/>
        <w:jc w:val="both"/>
        <w:rPr>
          <w:rFonts w:ascii="宋体" w:hAnsi="宋体" w:eastAsia="宋体" w:cs="宋体"/>
          <w:bCs/>
          <w:kern w:val="2"/>
          <w:sz w:val="21"/>
          <w:szCs w:val="20"/>
          <w:lang w:val="en-US" w:eastAsia="zh-CN" w:bidi="ar-SA"/>
        </w:rPr>
      </w:pPr>
      <w:r>
        <w:rPr>
          <w:rFonts w:hint="eastAsia" w:ascii="宋体" w:hAnsi="宋体" w:eastAsia="宋体" w:cs="宋体"/>
          <w:bCs/>
          <w:kern w:val="2"/>
          <w:sz w:val="21"/>
          <w:szCs w:val="20"/>
          <w:lang w:val="en-US" w:eastAsia="zh-CN" w:bidi="ar-SA"/>
        </w:rPr>
        <w:t>乙方保证所交付的服务和服务所涉及的物品所有权无任何抵押、查封等权利瑕疵。</w:t>
      </w:r>
    </w:p>
    <w:p w14:paraId="7337754B">
      <w:pPr>
        <w:widowControl w:val="0"/>
        <w:snapToGrid w:val="0"/>
        <w:spacing w:before="120" w:after="120" w:line="360" w:lineRule="auto"/>
        <w:ind w:firstLine="211" w:firstLineChars="100"/>
        <w:jc w:val="both"/>
        <w:rPr>
          <w:rFonts w:ascii="宋体" w:hAnsi="宋体" w:eastAsia="宋体" w:cs="宋体"/>
          <w:b/>
          <w:kern w:val="2"/>
          <w:sz w:val="21"/>
          <w:szCs w:val="20"/>
          <w:lang w:val="en-US" w:eastAsia="zh-CN" w:bidi="ar-SA"/>
        </w:rPr>
      </w:pPr>
      <w:r>
        <w:rPr>
          <w:rFonts w:hint="eastAsia" w:ascii="宋体" w:hAnsi="宋体" w:eastAsia="宋体" w:cs="宋体"/>
          <w:b/>
          <w:kern w:val="2"/>
          <w:sz w:val="21"/>
          <w:szCs w:val="20"/>
          <w:lang w:val="en-US" w:eastAsia="zh-CN" w:bidi="ar-SA"/>
        </w:rPr>
        <w:t>6、转包或分包</w:t>
      </w:r>
    </w:p>
    <w:p w14:paraId="3F499F21">
      <w:pPr>
        <w:widowControl w:val="0"/>
        <w:snapToGrid w:val="0"/>
        <w:spacing w:before="120" w:after="120" w:line="360" w:lineRule="auto"/>
        <w:ind w:firstLine="210" w:firstLineChars="100"/>
        <w:jc w:val="both"/>
        <w:rPr>
          <w:rFonts w:ascii="宋体" w:hAnsi="宋体" w:eastAsia="宋体" w:cs="宋体"/>
          <w:bCs/>
          <w:kern w:val="2"/>
          <w:sz w:val="21"/>
          <w:szCs w:val="20"/>
          <w:lang w:val="en-US" w:eastAsia="zh-CN" w:bidi="ar-SA"/>
        </w:rPr>
      </w:pPr>
      <w:r>
        <w:rPr>
          <w:rFonts w:hint="eastAsia" w:ascii="宋体" w:hAnsi="宋体" w:eastAsia="宋体" w:cs="宋体"/>
          <w:bCs/>
          <w:kern w:val="2"/>
          <w:sz w:val="21"/>
          <w:szCs w:val="20"/>
          <w:lang w:val="en-US" w:eastAsia="zh-CN" w:bidi="ar-SA"/>
        </w:rPr>
        <w:t>6.1 本合同禁止转包，本合同范围的服务，应由乙方直接提供的，不得转让他人提供。</w:t>
      </w:r>
    </w:p>
    <w:p w14:paraId="15CE8032">
      <w:pPr>
        <w:widowControl w:val="0"/>
        <w:snapToGrid w:val="0"/>
        <w:spacing w:before="120" w:after="120" w:line="360" w:lineRule="auto"/>
        <w:ind w:firstLine="210" w:firstLineChars="100"/>
        <w:jc w:val="both"/>
        <w:rPr>
          <w:rFonts w:ascii="宋体" w:hAnsi="宋体" w:eastAsia="宋体" w:cs="宋体"/>
          <w:bCs/>
          <w:kern w:val="2"/>
          <w:sz w:val="21"/>
          <w:szCs w:val="20"/>
          <w:lang w:val="en-US" w:eastAsia="zh-CN" w:bidi="ar-SA"/>
        </w:rPr>
      </w:pPr>
      <w:r>
        <w:rPr>
          <w:rFonts w:hint="eastAsia" w:ascii="宋体" w:hAnsi="宋体" w:eastAsia="宋体" w:cs="宋体"/>
          <w:bCs/>
          <w:kern w:val="2"/>
          <w:sz w:val="21"/>
          <w:szCs w:val="20"/>
          <w:lang w:val="en-US" w:eastAsia="zh-CN" w:bidi="ar-SA"/>
        </w:rPr>
        <w:t>6.2 经甲方同意，乙方可以依法采取分包方式履行合同，但是分包方式履行的，乙方应就采购项目向甲方负全责。</w:t>
      </w:r>
    </w:p>
    <w:p w14:paraId="2AC0BC3E">
      <w:pPr>
        <w:widowControl w:val="0"/>
        <w:snapToGrid w:val="0"/>
        <w:spacing w:before="120" w:after="120" w:line="360" w:lineRule="auto"/>
        <w:ind w:firstLine="211" w:firstLineChars="100"/>
        <w:jc w:val="both"/>
        <w:rPr>
          <w:rFonts w:ascii="宋体" w:hAnsi="宋体" w:eastAsia="宋体" w:cs="宋体"/>
          <w:b/>
          <w:kern w:val="2"/>
          <w:sz w:val="21"/>
          <w:szCs w:val="20"/>
          <w:lang w:val="en-US" w:eastAsia="zh-CN" w:bidi="ar-SA"/>
        </w:rPr>
      </w:pPr>
      <w:r>
        <w:rPr>
          <w:rFonts w:hint="eastAsia" w:ascii="宋体" w:hAnsi="宋体" w:eastAsia="宋体" w:cs="宋体"/>
          <w:b/>
          <w:kern w:val="2"/>
          <w:sz w:val="21"/>
          <w:szCs w:val="20"/>
          <w:lang w:val="en-US" w:eastAsia="zh-CN" w:bidi="ar-SA"/>
        </w:rPr>
        <w:t>7、维保期</w:t>
      </w:r>
    </w:p>
    <w:p w14:paraId="5A8A2DE9">
      <w:pPr>
        <w:widowControl w:val="0"/>
        <w:snapToGrid w:val="0"/>
        <w:spacing w:before="120" w:after="120" w:line="360" w:lineRule="auto"/>
        <w:ind w:firstLine="210" w:firstLineChars="100"/>
        <w:jc w:val="both"/>
        <w:rPr>
          <w:rFonts w:ascii="宋体" w:hAnsi="宋体" w:eastAsia="宋体" w:cs="宋体"/>
          <w:bCs/>
          <w:kern w:val="2"/>
          <w:sz w:val="21"/>
          <w:szCs w:val="20"/>
          <w:highlight w:val="none"/>
          <w:lang w:val="en-US" w:eastAsia="zh-CN" w:bidi="ar-SA"/>
        </w:rPr>
      </w:pPr>
      <w:r>
        <w:rPr>
          <w:rFonts w:hint="eastAsia" w:ascii="宋体" w:hAnsi="宋体" w:eastAsia="宋体" w:cs="宋体"/>
          <w:bCs/>
          <w:kern w:val="2"/>
          <w:sz w:val="21"/>
          <w:szCs w:val="20"/>
          <w:highlight w:val="none"/>
          <w:lang w:val="en-US" w:eastAsia="zh-CN" w:bidi="ar-SA"/>
        </w:rPr>
        <w:t>7.1 维保期</w:t>
      </w:r>
      <w:r>
        <w:rPr>
          <w:rFonts w:hint="eastAsia" w:ascii="宋体" w:hAnsi="宋体" w:eastAsia="宋体" w:cs="宋体"/>
          <w:bCs/>
          <w:kern w:val="2"/>
          <w:sz w:val="21"/>
          <w:szCs w:val="20"/>
          <w:highlight w:val="none"/>
          <w:u w:val="single"/>
          <w:lang w:val="en-US" w:eastAsia="zh-CN" w:bidi="ar-SA"/>
        </w:rPr>
        <w:t xml:space="preserve">  2  </w:t>
      </w:r>
      <w:r>
        <w:rPr>
          <w:rFonts w:hint="eastAsia" w:ascii="宋体" w:hAnsi="宋体" w:eastAsia="宋体" w:cs="宋体"/>
          <w:bCs/>
          <w:kern w:val="2"/>
          <w:sz w:val="21"/>
          <w:szCs w:val="20"/>
          <w:highlight w:val="none"/>
          <w:lang w:val="en-US" w:eastAsia="zh-CN" w:bidi="ar-SA"/>
        </w:rPr>
        <w:t>年，自2025年5月15日-2027年5月14日止，合同一年一签。</w:t>
      </w:r>
    </w:p>
    <w:p w14:paraId="5E32185E">
      <w:pPr>
        <w:widowControl w:val="0"/>
        <w:snapToGrid w:val="0"/>
        <w:spacing w:before="120" w:after="120" w:line="360" w:lineRule="auto"/>
        <w:ind w:firstLine="211" w:firstLineChars="100"/>
        <w:jc w:val="both"/>
        <w:rPr>
          <w:rFonts w:ascii="宋体" w:hAnsi="宋体" w:eastAsia="宋体" w:cs="宋体"/>
          <w:b/>
          <w:kern w:val="2"/>
          <w:sz w:val="21"/>
          <w:szCs w:val="20"/>
          <w:highlight w:val="none"/>
          <w:lang w:val="en-US" w:eastAsia="zh-CN" w:bidi="ar-SA"/>
        </w:rPr>
      </w:pPr>
      <w:r>
        <w:rPr>
          <w:rFonts w:hint="eastAsia" w:ascii="宋体" w:hAnsi="宋体" w:eastAsia="宋体" w:cs="宋体"/>
          <w:b/>
          <w:kern w:val="2"/>
          <w:sz w:val="21"/>
          <w:szCs w:val="20"/>
          <w:highlight w:val="none"/>
          <w:lang w:val="en-US" w:eastAsia="zh-CN" w:bidi="ar-SA"/>
        </w:rPr>
        <w:t>8、货款支付</w:t>
      </w:r>
    </w:p>
    <w:p w14:paraId="0C2E6B51">
      <w:pPr>
        <w:widowControl w:val="0"/>
        <w:snapToGrid w:val="0"/>
        <w:spacing w:before="120" w:after="120" w:line="360" w:lineRule="auto"/>
        <w:ind w:firstLine="210" w:firstLineChars="100"/>
        <w:jc w:val="both"/>
        <w:rPr>
          <w:rFonts w:ascii="宋体" w:hAnsi="宋体" w:eastAsia="宋体" w:cs="宋体"/>
          <w:bCs/>
          <w:kern w:val="2"/>
          <w:sz w:val="21"/>
          <w:szCs w:val="20"/>
          <w:highlight w:val="none"/>
          <w:lang w:val="en-US" w:eastAsia="zh-CN" w:bidi="ar-SA"/>
        </w:rPr>
      </w:pPr>
      <w:r>
        <w:rPr>
          <w:rFonts w:hint="eastAsia" w:ascii="宋体" w:hAnsi="宋体" w:eastAsia="宋体" w:cs="宋体"/>
          <w:bCs/>
          <w:kern w:val="2"/>
          <w:sz w:val="21"/>
          <w:szCs w:val="20"/>
          <w:highlight w:val="none"/>
          <w:lang w:val="en-US" w:eastAsia="zh-CN" w:bidi="ar-SA"/>
        </w:rPr>
        <w:t xml:space="preserve">8.1 本合同项下所有款项均以人民币支付。 </w:t>
      </w:r>
    </w:p>
    <w:p w14:paraId="42F4F210">
      <w:pPr>
        <w:widowControl w:val="0"/>
        <w:snapToGrid w:val="0"/>
        <w:spacing w:before="120" w:after="120" w:line="360" w:lineRule="auto"/>
        <w:ind w:firstLine="210" w:firstLineChars="100"/>
        <w:jc w:val="both"/>
        <w:rPr>
          <w:rFonts w:ascii="宋体" w:hAnsi="宋体" w:eastAsia="宋体" w:cs="宋体"/>
          <w:bCs/>
          <w:kern w:val="2"/>
          <w:sz w:val="21"/>
          <w:szCs w:val="20"/>
          <w:highlight w:val="none"/>
          <w:lang w:val="en-US" w:eastAsia="zh-CN" w:bidi="ar-SA"/>
        </w:rPr>
      </w:pPr>
      <w:r>
        <w:rPr>
          <w:rFonts w:hint="eastAsia" w:ascii="宋体" w:hAnsi="宋体" w:eastAsia="宋体" w:cs="宋体"/>
          <w:bCs/>
          <w:kern w:val="2"/>
          <w:sz w:val="21"/>
          <w:szCs w:val="20"/>
          <w:highlight w:val="none"/>
          <w:lang w:val="en-US" w:eastAsia="zh-CN" w:bidi="ar-SA"/>
        </w:rPr>
        <w:t>8.2 本合同项下的采购资金由甲方支付，付款前乙方向甲方开具发票。</w:t>
      </w:r>
    </w:p>
    <w:p w14:paraId="34FABDE7">
      <w:pPr>
        <w:widowControl w:val="0"/>
        <w:snapToGrid w:val="0"/>
        <w:spacing w:before="120" w:after="120" w:line="360" w:lineRule="auto"/>
        <w:ind w:firstLine="210" w:firstLineChars="100"/>
        <w:jc w:val="both"/>
        <w:rPr>
          <w:rFonts w:ascii="宋体" w:hAnsi="宋体" w:eastAsia="宋体" w:cs="宋体"/>
          <w:bCs/>
          <w:kern w:val="2"/>
          <w:sz w:val="21"/>
          <w:szCs w:val="20"/>
          <w:highlight w:val="none"/>
          <w:lang w:val="en-US" w:eastAsia="zh-CN" w:bidi="ar-SA"/>
        </w:rPr>
      </w:pPr>
      <w:r>
        <w:rPr>
          <w:rFonts w:hint="eastAsia" w:ascii="宋体" w:hAnsi="宋体" w:eastAsia="宋体" w:cs="宋体"/>
          <w:bCs/>
          <w:kern w:val="2"/>
          <w:sz w:val="21"/>
          <w:szCs w:val="20"/>
          <w:highlight w:val="none"/>
          <w:lang w:val="en-US" w:eastAsia="zh-CN" w:bidi="ar-SA"/>
        </w:rPr>
        <w:t>8.3 甲方付款方式：</w:t>
      </w:r>
    </w:p>
    <w:p w14:paraId="4FCFB970">
      <w:pPr>
        <w:widowControl w:val="0"/>
        <w:snapToGrid w:val="0"/>
        <w:spacing w:before="120" w:after="120" w:line="360" w:lineRule="auto"/>
        <w:ind w:firstLine="210" w:firstLineChars="100"/>
        <w:jc w:val="both"/>
        <w:rPr>
          <w:rFonts w:ascii="宋体" w:hAnsi="宋体" w:eastAsia="宋体" w:cs="宋体"/>
          <w:bCs/>
          <w:kern w:val="2"/>
          <w:sz w:val="21"/>
          <w:szCs w:val="20"/>
          <w:highlight w:val="none"/>
          <w:lang w:val="en-US" w:eastAsia="zh-CN" w:bidi="ar-SA"/>
        </w:rPr>
      </w:pPr>
      <w:bookmarkStart w:id="13" w:name="OLE_LINK1"/>
      <w:r>
        <w:rPr>
          <w:rFonts w:hint="eastAsia" w:ascii="宋体" w:hAnsi="宋体" w:eastAsia="宋体" w:cs="宋体"/>
          <w:bCs/>
          <w:kern w:val="2"/>
          <w:sz w:val="21"/>
          <w:szCs w:val="20"/>
          <w:highlight w:val="none"/>
          <w:lang w:val="en-US" w:eastAsia="zh-CN" w:bidi="ar-SA"/>
        </w:rPr>
        <w:t>本采购项目无预付款，合同期内，甲方每半年对乙方进行综合考核，考核合格后，次月的第一周内甲方向乙方支付年服务费的50%，每次付款前乙方须提供正规发票，付款不计利息。</w:t>
      </w:r>
      <w:bookmarkEnd w:id="13"/>
    </w:p>
    <w:p w14:paraId="35439A2A">
      <w:pPr>
        <w:widowControl w:val="0"/>
        <w:snapToGrid w:val="0"/>
        <w:spacing w:before="120" w:after="120" w:line="360" w:lineRule="auto"/>
        <w:ind w:firstLine="211" w:firstLineChars="100"/>
        <w:jc w:val="both"/>
        <w:rPr>
          <w:rFonts w:ascii="宋体" w:hAnsi="宋体" w:eastAsia="宋体" w:cs="宋体"/>
          <w:b/>
          <w:kern w:val="2"/>
          <w:sz w:val="21"/>
          <w:szCs w:val="20"/>
          <w:lang w:val="en-US" w:eastAsia="zh-CN" w:bidi="ar-SA"/>
        </w:rPr>
      </w:pPr>
      <w:r>
        <w:rPr>
          <w:rFonts w:hint="eastAsia" w:ascii="宋体" w:hAnsi="宋体" w:eastAsia="宋体" w:cs="宋体"/>
          <w:b/>
          <w:kern w:val="2"/>
          <w:sz w:val="21"/>
          <w:szCs w:val="20"/>
          <w:lang w:val="en-US" w:eastAsia="zh-CN" w:bidi="ar-SA"/>
        </w:rPr>
        <w:t>9、税费</w:t>
      </w:r>
    </w:p>
    <w:p w14:paraId="23CA7781">
      <w:pPr>
        <w:widowControl w:val="0"/>
        <w:snapToGrid w:val="0"/>
        <w:spacing w:before="120" w:after="120" w:line="360" w:lineRule="auto"/>
        <w:ind w:firstLine="210" w:firstLineChars="100"/>
        <w:jc w:val="both"/>
        <w:rPr>
          <w:rFonts w:ascii="宋体" w:hAnsi="宋体" w:eastAsia="宋体" w:cs="宋体"/>
          <w:bCs/>
          <w:kern w:val="2"/>
          <w:sz w:val="21"/>
          <w:szCs w:val="20"/>
          <w:lang w:val="en-US" w:eastAsia="zh-CN" w:bidi="ar-SA"/>
        </w:rPr>
      </w:pPr>
      <w:r>
        <w:rPr>
          <w:rFonts w:hint="eastAsia" w:ascii="宋体" w:hAnsi="宋体" w:eastAsia="宋体" w:cs="宋体"/>
          <w:bCs/>
          <w:kern w:val="2"/>
          <w:sz w:val="21"/>
          <w:szCs w:val="20"/>
          <w:lang w:val="en-US" w:eastAsia="zh-CN" w:bidi="ar-SA"/>
        </w:rPr>
        <w:t>本合同执行中相关的一切税费均由乙方负担。</w:t>
      </w:r>
    </w:p>
    <w:p w14:paraId="23341B7C">
      <w:pPr>
        <w:widowControl w:val="0"/>
        <w:snapToGrid w:val="0"/>
        <w:spacing w:before="120" w:after="120" w:line="360" w:lineRule="auto"/>
        <w:ind w:firstLine="211" w:firstLineChars="100"/>
        <w:jc w:val="both"/>
        <w:rPr>
          <w:rFonts w:ascii="宋体" w:hAnsi="宋体" w:eastAsia="宋体" w:cs="宋体"/>
          <w:b/>
          <w:kern w:val="2"/>
          <w:sz w:val="21"/>
          <w:szCs w:val="20"/>
          <w:lang w:val="en-US" w:eastAsia="zh-CN" w:bidi="ar-SA"/>
        </w:rPr>
      </w:pPr>
      <w:r>
        <w:rPr>
          <w:rFonts w:hint="eastAsia" w:ascii="宋体" w:hAnsi="宋体" w:eastAsia="宋体" w:cs="宋体"/>
          <w:b/>
          <w:kern w:val="2"/>
          <w:sz w:val="21"/>
          <w:szCs w:val="20"/>
          <w:lang w:val="en-US" w:eastAsia="zh-CN" w:bidi="ar-SA"/>
        </w:rPr>
        <w:t>10、质量保证及售后服务</w:t>
      </w:r>
    </w:p>
    <w:p w14:paraId="600ABE38">
      <w:pPr>
        <w:widowControl w:val="0"/>
        <w:snapToGrid w:val="0"/>
        <w:spacing w:before="120" w:after="120" w:line="360" w:lineRule="auto"/>
        <w:ind w:firstLine="210" w:firstLineChars="100"/>
        <w:jc w:val="both"/>
        <w:rPr>
          <w:rFonts w:ascii="宋体" w:hAnsi="宋体" w:eastAsia="宋体" w:cs="宋体"/>
          <w:bCs/>
          <w:kern w:val="2"/>
          <w:sz w:val="21"/>
          <w:szCs w:val="20"/>
          <w:lang w:val="en-US" w:eastAsia="zh-CN" w:bidi="ar-SA"/>
        </w:rPr>
      </w:pPr>
      <w:r>
        <w:rPr>
          <w:rFonts w:hint="eastAsia" w:ascii="宋体" w:hAnsi="宋体" w:eastAsia="宋体" w:cs="宋体"/>
          <w:bCs/>
          <w:kern w:val="2"/>
          <w:sz w:val="21"/>
          <w:szCs w:val="20"/>
          <w:lang w:val="en-US" w:eastAsia="zh-CN" w:bidi="ar-SA"/>
        </w:rPr>
        <w:t>10.1 乙方应按招标文件规定及响应文件承诺的技术性能、技术要求、质量标准向甲方提供服务；若无特殊说明，则按国家有关部门最新颁布的标准及规范为准。</w:t>
      </w:r>
    </w:p>
    <w:p w14:paraId="7D4E31E6">
      <w:pPr>
        <w:widowControl w:val="0"/>
        <w:snapToGrid w:val="0"/>
        <w:spacing w:before="120" w:after="120" w:line="360" w:lineRule="auto"/>
        <w:ind w:firstLine="210" w:firstLineChars="100"/>
        <w:jc w:val="both"/>
        <w:rPr>
          <w:rFonts w:ascii="宋体" w:hAnsi="宋体" w:eastAsia="宋体" w:cs="宋体"/>
          <w:bCs/>
          <w:kern w:val="2"/>
          <w:sz w:val="21"/>
          <w:szCs w:val="20"/>
          <w:lang w:val="en-US" w:eastAsia="zh-CN" w:bidi="ar-SA"/>
        </w:rPr>
      </w:pPr>
      <w:r>
        <w:rPr>
          <w:rFonts w:hint="eastAsia" w:ascii="宋体" w:hAnsi="宋体" w:eastAsia="宋体" w:cs="宋体"/>
          <w:bCs/>
          <w:kern w:val="2"/>
          <w:sz w:val="21"/>
          <w:szCs w:val="20"/>
          <w:lang w:val="en-US" w:eastAsia="zh-CN" w:bidi="ar-SA"/>
        </w:rPr>
        <w:t>10.2乙方应保证其提供的服务是全面和规范的，并完全符合招标文件及响应文件。如因乙方提供的服务有瑕疵造成甲方损失的，所需费用由乙方承担。</w:t>
      </w:r>
    </w:p>
    <w:p w14:paraId="2F727E8A">
      <w:pPr>
        <w:widowControl w:val="0"/>
        <w:snapToGrid w:val="0"/>
        <w:spacing w:before="120" w:after="120" w:line="360" w:lineRule="auto"/>
        <w:ind w:firstLine="210" w:firstLineChars="100"/>
        <w:jc w:val="both"/>
        <w:rPr>
          <w:rFonts w:ascii="宋体" w:hAnsi="宋体" w:eastAsia="宋体" w:cs="宋体"/>
          <w:bCs/>
          <w:kern w:val="2"/>
          <w:sz w:val="21"/>
          <w:szCs w:val="20"/>
          <w:lang w:val="en-US" w:eastAsia="zh-CN" w:bidi="ar-SA"/>
        </w:rPr>
      </w:pPr>
      <w:r>
        <w:rPr>
          <w:rFonts w:hint="eastAsia" w:ascii="宋体" w:hAnsi="宋体" w:eastAsia="宋体" w:cs="宋体"/>
          <w:bCs/>
          <w:kern w:val="2"/>
          <w:sz w:val="21"/>
          <w:szCs w:val="20"/>
          <w:lang w:val="en-US" w:eastAsia="zh-CN" w:bidi="ar-SA"/>
        </w:rPr>
        <w:t>10.3 如在使用过程中发生质量问题，乙方在接到甲方通知后在_________小时内到达甲方现场。</w:t>
      </w:r>
    </w:p>
    <w:p w14:paraId="6C9B92E4">
      <w:pPr>
        <w:widowControl w:val="0"/>
        <w:snapToGrid w:val="0"/>
        <w:spacing w:before="120" w:after="120" w:line="360" w:lineRule="auto"/>
        <w:ind w:firstLine="210" w:firstLineChars="100"/>
        <w:jc w:val="both"/>
        <w:rPr>
          <w:rFonts w:ascii="宋体" w:hAnsi="宋体" w:eastAsia="宋体" w:cs="宋体"/>
          <w:bCs/>
          <w:kern w:val="2"/>
          <w:sz w:val="21"/>
          <w:szCs w:val="20"/>
          <w:lang w:val="en-US" w:eastAsia="zh-CN" w:bidi="ar-SA"/>
        </w:rPr>
      </w:pPr>
      <w:r>
        <w:rPr>
          <w:rFonts w:hint="eastAsia" w:ascii="宋体" w:hAnsi="宋体" w:eastAsia="宋体" w:cs="宋体"/>
          <w:bCs/>
          <w:kern w:val="2"/>
          <w:sz w:val="21"/>
          <w:szCs w:val="20"/>
          <w:lang w:val="en-US" w:eastAsia="zh-CN" w:bidi="ar-SA"/>
        </w:rPr>
        <w:t>10.4 免费维修期内，乙方应对所提供服务出现的质量及安全问题负责处理解决并承担一切费用。</w:t>
      </w:r>
    </w:p>
    <w:p w14:paraId="48B52651">
      <w:pPr>
        <w:widowControl w:val="0"/>
        <w:snapToGrid w:val="0"/>
        <w:spacing w:before="120" w:after="120" w:line="360" w:lineRule="auto"/>
        <w:ind w:firstLine="211" w:firstLineChars="100"/>
        <w:jc w:val="both"/>
        <w:rPr>
          <w:rFonts w:ascii="宋体" w:hAnsi="宋体" w:eastAsia="宋体" w:cs="宋体"/>
          <w:b/>
          <w:kern w:val="2"/>
          <w:sz w:val="21"/>
          <w:szCs w:val="20"/>
          <w:lang w:val="en-US" w:eastAsia="zh-CN" w:bidi="ar-SA"/>
        </w:rPr>
      </w:pPr>
      <w:r>
        <w:rPr>
          <w:rFonts w:hint="eastAsia" w:ascii="宋体" w:hAnsi="宋体" w:eastAsia="宋体" w:cs="宋体"/>
          <w:b/>
          <w:kern w:val="2"/>
          <w:sz w:val="21"/>
          <w:szCs w:val="20"/>
          <w:lang w:val="en-US" w:eastAsia="zh-CN" w:bidi="ar-SA"/>
        </w:rPr>
        <w:t>11、违约责任</w:t>
      </w:r>
    </w:p>
    <w:p w14:paraId="110E198A">
      <w:pPr>
        <w:widowControl w:val="0"/>
        <w:snapToGrid w:val="0"/>
        <w:spacing w:before="120" w:after="120" w:line="360" w:lineRule="auto"/>
        <w:ind w:firstLine="210" w:firstLineChars="100"/>
        <w:jc w:val="both"/>
        <w:rPr>
          <w:rFonts w:ascii="宋体" w:hAnsi="宋体" w:eastAsia="宋体" w:cs="宋体"/>
          <w:bCs/>
          <w:kern w:val="2"/>
          <w:sz w:val="21"/>
          <w:szCs w:val="20"/>
          <w:lang w:val="en-US" w:eastAsia="zh-CN" w:bidi="ar-SA"/>
        </w:rPr>
      </w:pPr>
      <w:r>
        <w:rPr>
          <w:rFonts w:hint="eastAsia" w:ascii="宋体" w:hAnsi="宋体" w:eastAsia="宋体" w:cs="宋体"/>
          <w:bCs/>
          <w:kern w:val="2"/>
          <w:sz w:val="21"/>
          <w:szCs w:val="20"/>
          <w:lang w:val="en-US" w:eastAsia="zh-CN" w:bidi="ar-SA"/>
        </w:rPr>
        <w:t>11.1 甲方无故逾期办理款项支付手续的,甲方应按逾期付款金额每日万分之五向乙方支付违约金。</w:t>
      </w:r>
    </w:p>
    <w:p w14:paraId="3C48AC33">
      <w:pPr>
        <w:widowControl w:val="0"/>
        <w:snapToGrid w:val="0"/>
        <w:spacing w:before="120" w:after="120" w:line="360" w:lineRule="auto"/>
        <w:ind w:firstLine="210" w:firstLineChars="100"/>
        <w:jc w:val="both"/>
        <w:rPr>
          <w:rFonts w:ascii="宋体" w:hAnsi="宋体" w:eastAsia="宋体" w:cs="宋体"/>
          <w:bCs/>
          <w:kern w:val="2"/>
          <w:sz w:val="21"/>
          <w:szCs w:val="20"/>
          <w:lang w:val="en-US" w:eastAsia="zh-CN" w:bidi="ar-SA"/>
        </w:rPr>
      </w:pPr>
      <w:r>
        <w:rPr>
          <w:rFonts w:hint="eastAsia" w:ascii="宋体" w:hAnsi="宋体" w:eastAsia="宋体" w:cs="宋体"/>
          <w:bCs/>
          <w:kern w:val="2"/>
          <w:sz w:val="21"/>
          <w:szCs w:val="20"/>
          <w:lang w:val="en-US" w:eastAsia="zh-CN" w:bidi="ar-SA"/>
        </w:rPr>
        <w:t>11.2乙方违约，在消除违约情形前，应按本合同项目总额每日万分之五向甲方支付违约金，甲方可以从待付款项中扣除。</w:t>
      </w:r>
    </w:p>
    <w:p w14:paraId="5354BB1E">
      <w:pPr>
        <w:widowControl w:val="0"/>
        <w:snapToGrid w:val="0"/>
        <w:spacing w:before="120" w:after="120" w:line="360" w:lineRule="auto"/>
        <w:ind w:firstLine="210" w:firstLineChars="100"/>
        <w:jc w:val="both"/>
        <w:rPr>
          <w:rFonts w:ascii="宋体" w:hAnsi="宋体" w:eastAsia="宋体" w:cs="宋体"/>
          <w:bCs/>
          <w:kern w:val="2"/>
          <w:sz w:val="21"/>
          <w:szCs w:val="20"/>
          <w:lang w:val="en-US" w:eastAsia="zh-CN" w:bidi="ar-SA"/>
        </w:rPr>
      </w:pPr>
      <w:r>
        <w:rPr>
          <w:rFonts w:hint="eastAsia" w:ascii="宋体" w:hAnsi="宋体" w:eastAsia="宋体" w:cs="宋体"/>
          <w:bCs/>
          <w:kern w:val="2"/>
          <w:sz w:val="21"/>
          <w:szCs w:val="20"/>
          <w:lang w:val="en-US" w:eastAsia="zh-CN" w:bidi="ar-SA"/>
        </w:rPr>
        <w:t>11.3乙方因逾期交付服务项目或因其他违约行为，导致甲方解除合同的，乙方应向甲方支付合同总值5%的违约金，如造成甲方损失超过违约金的，超出部分由乙方继续承担赔偿责任。</w:t>
      </w:r>
    </w:p>
    <w:p w14:paraId="5E6FE24D">
      <w:pPr>
        <w:widowControl w:val="0"/>
        <w:snapToGrid w:val="0"/>
        <w:spacing w:before="120" w:after="120" w:line="360" w:lineRule="auto"/>
        <w:ind w:firstLine="210" w:firstLineChars="100"/>
        <w:jc w:val="both"/>
        <w:rPr>
          <w:rFonts w:ascii="宋体" w:hAnsi="宋体" w:eastAsia="宋体" w:cs="宋体"/>
          <w:bCs/>
          <w:kern w:val="2"/>
          <w:sz w:val="21"/>
          <w:szCs w:val="20"/>
          <w:lang w:val="en-US" w:eastAsia="zh-CN" w:bidi="ar-SA"/>
        </w:rPr>
      </w:pPr>
      <w:r>
        <w:rPr>
          <w:rFonts w:hint="eastAsia" w:ascii="宋体" w:hAnsi="宋体" w:eastAsia="宋体" w:cs="宋体"/>
          <w:bCs/>
          <w:kern w:val="2"/>
          <w:sz w:val="21"/>
          <w:szCs w:val="20"/>
          <w:lang w:val="en-US" w:eastAsia="zh-CN" w:bidi="ar-SA"/>
        </w:rPr>
        <w:t>11.4合同生效后，发现乙方投标属虚假承诺，或经权威部门监测提供的服务不能满足招标文件要求，造成合同无法继续履行的，乙方履约保证金不予退还。</w:t>
      </w:r>
    </w:p>
    <w:p w14:paraId="19FFDC5F">
      <w:pPr>
        <w:widowControl w:val="0"/>
        <w:snapToGrid w:val="0"/>
        <w:spacing w:before="120" w:after="120" w:line="360" w:lineRule="auto"/>
        <w:ind w:firstLine="210" w:firstLineChars="100"/>
        <w:jc w:val="both"/>
        <w:rPr>
          <w:rFonts w:ascii="宋体" w:hAnsi="宋体" w:eastAsia="宋体" w:cs="宋体"/>
          <w:bCs/>
          <w:kern w:val="2"/>
          <w:sz w:val="21"/>
          <w:szCs w:val="20"/>
          <w:lang w:val="en-US" w:eastAsia="zh-CN" w:bidi="ar-SA"/>
        </w:rPr>
      </w:pPr>
      <w:r>
        <w:rPr>
          <w:rFonts w:hint="eastAsia" w:ascii="宋体" w:hAnsi="宋体" w:eastAsia="宋体" w:cs="宋体"/>
          <w:bCs/>
          <w:kern w:val="2"/>
          <w:sz w:val="21"/>
          <w:szCs w:val="20"/>
          <w:lang w:val="en-US" w:eastAsia="zh-CN" w:bidi="ar-SA"/>
        </w:rPr>
        <w:t>11.5电梯发生困人故障，乙方未能在规定时间内到达现场，每次扣除总维保费1%；</w:t>
      </w:r>
    </w:p>
    <w:p w14:paraId="3763E983">
      <w:pPr>
        <w:widowControl w:val="0"/>
        <w:snapToGrid w:val="0"/>
        <w:spacing w:before="120" w:after="120" w:line="360" w:lineRule="auto"/>
        <w:ind w:firstLine="210" w:firstLineChars="100"/>
        <w:jc w:val="both"/>
        <w:rPr>
          <w:rFonts w:ascii="宋体" w:hAnsi="宋体" w:eastAsia="宋体" w:cs="宋体"/>
          <w:bCs/>
          <w:kern w:val="2"/>
          <w:sz w:val="21"/>
          <w:szCs w:val="20"/>
          <w:lang w:val="en-US" w:eastAsia="zh-CN" w:bidi="ar-SA"/>
        </w:rPr>
      </w:pPr>
      <w:r>
        <w:rPr>
          <w:rFonts w:hint="eastAsia" w:ascii="宋体" w:hAnsi="宋体" w:eastAsia="宋体" w:cs="宋体"/>
          <w:bCs/>
          <w:kern w:val="2"/>
          <w:sz w:val="21"/>
          <w:szCs w:val="20"/>
          <w:lang w:val="en-US" w:eastAsia="zh-CN" w:bidi="ar-SA"/>
        </w:rPr>
        <w:t>11.6电梯发生一般故障，乙方未能在规定时间内到达现场，每次扣除总维保费0.5%；</w:t>
      </w:r>
    </w:p>
    <w:p w14:paraId="6D5071C8">
      <w:pPr>
        <w:widowControl w:val="0"/>
        <w:snapToGrid w:val="0"/>
        <w:spacing w:before="120" w:after="120" w:line="360" w:lineRule="auto"/>
        <w:ind w:firstLine="210" w:firstLineChars="100"/>
        <w:jc w:val="both"/>
        <w:rPr>
          <w:rFonts w:ascii="宋体" w:hAnsi="宋体" w:eastAsia="宋体" w:cs="宋体"/>
          <w:bCs/>
          <w:kern w:val="2"/>
          <w:sz w:val="21"/>
          <w:szCs w:val="20"/>
          <w:lang w:val="en-US" w:eastAsia="zh-CN" w:bidi="ar-SA"/>
        </w:rPr>
      </w:pPr>
      <w:r>
        <w:rPr>
          <w:rFonts w:hint="eastAsia" w:ascii="宋体" w:hAnsi="宋体" w:eastAsia="宋体" w:cs="宋体"/>
          <w:bCs/>
          <w:kern w:val="2"/>
          <w:sz w:val="21"/>
          <w:szCs w:val="20"/>
          <w:lang w:val="en-US" w:eastAsia="zh-CN" w:bidi="ar-SA"/>
        </w:rPr>
        <w:t>11.7乙方应保证所维保电梯设施及标识的完好，如照明、通风、选梯或呼梯按钮等及检验合格证。如经招标人发现未能及时排除故障或完善标识，每次罚款500元，情况严重将扣除总维保费1%。</w:t>
      </w:r>
    </w:p>
    <w:p w14:paraId="16901189">
      <w:pPr>
        <w:widowControl w:val="0"/>
        <w:snapToGrid w:val="0"/>
        <w:spacing w:before="120" w:after="120" w:line="360" w:lineRule="auto"/>
        <w:ind w:firstLine="211" w:firstLineChars="100"/>
        <w:jc w:val="both"/>
        <w:rPr>
          <w:rFonts w:ascii="宋体" w:hAnsi="宋体" w:eastAsia="宋体" w:cs="宋体"/>
          <w:b/>
          <w:kern w:val="2"/>
          <w:sz w:val="21"/>
          <w:szCs w:val="20"/>
          <w:lang w:val="en-US" w:eastAsia="zh-CN" w:bidi="ar-SA"/>
        </w:rPr>
      </w:pPr>
      <w:r>
        <w:rPr>
          <w:rFonts w:hint="eastAsia" w:ascii="宋体" w:hAnsi="宋体" w:eastAsia="宋体" w:cs="宋体"/>
          <w:b/>
          <w:kern w:val="2"/>
          <w:sz w:val="21"/>
          <w:szCs w:val="20"/>
          <w:lang w:val="en-US" w:eastAsia="zh-CN" w:bidi="ar-SA"/>
        </w:rPr>
        <w:t>12、不可抗力事件处理</w:t>
      </w:r>
    </w:p>
    <w:p w14:paraId="32850126">
      <w:pPr>
        <w:widowControl w:val="0"/>
        <w:snapToGrid w:val="0"/>
        <w:spacing w:before="120" w:after="120" w:line="360" w:lineRule="auto"/>
        <w:ind w:firstLine="210" w:firstLineChars="100"/>
        <w:jc w:val="both"/>
        <w:rPr>
          <w:rFonts w:ascii="宋体" w:hAnsi="宋体" w:eastAsia="宋体" w:cs="宋体"/>
          <w:bCs/>
          <w:kern w:val="2"/>
          <w:sz w:val="21"/>
          <w:szCs w:val="20"/>
          <w:lang w:val="en-US" w:eastAsia="zh-CN" w:bidi="ar-SA"/>
        </w:rPr>
      </w:pPr>
      <w:r>
        <w:rPr>
          <w:rFonts w:hint="eastAsia" w:ascii="宋体" w:hAnsi="宋体" w:eastAsia="宋体" w:cs="宋体"/>
          <w:bCs/>
          <w:kern w:val="2"/>
          <w:sz w:val="21"/>
          <w:szCs w:val="20"/>
          <w:lang w:val="en-US" w:eastAsia="zh-CN" w:bidi="ar-SA"/>
        </w:rPr>
        <w:t>12.1 在合同有效期内，甲乙双方因不可抗力事件导致不能履行合同，则合同履行期可延长，其延长期与不可抗力影响期相同。不可抗力，是指不能预见、不能避免且不能克服的客观情况，例如战争、严重的地震、洪水等，但一方违约或疏忽导致合同不能履行的不属于不可抗力因素。</w:t>
      </w:r>
    </w:p>
    <w:p w14:paraId="1791B55B">
      <w:pPr>
        <w:widowControl w:val="0"/>
        <w:snapToGrid w:val="0"/>
        <w:spacing w:before="120" w:after="120" w:line="360" w:lineRule="auto"/>
        <w:ind w:firstLine="210" w:firstLineChars="100"/>
        <w:jc w:val="both"/>
        <w:rPr>
          <w:rFonts w:ascii="宋体" w:hAnsi="宋体" w:eastAsia="宋体" w:cs="宋体"/>
          <w:bCs/>
          <w:kern w:val="2"/>
          <w:sz w:val="21"/>
          <w:szCs w:val="20"/>
          <w:lang w:val="en-US" w:eastAsia="zh-CN" w:bidi="ar-SA"/>
        </w:rPr>
      </w:pPr>
      <w:r>
        <w:rPr>
          <w:rFonts w:hint="eastAsia" w:ascii="宋体" w:hAnsi="宋体" w:eastAsia="宋体" w:cs="宋体"/>
          <w:bCs/>
          <w:kern w:val="2"/>
          <w:sz w:val="21"/>
          <w:szCs w:val="20"/>
          <w:lang w:val="en-US" w:eastAsia="zh-CN" w:bidi="ar-SA"/>
        </w:rPr>
        <w:t>12.2不可抗力事件发生后，应立即通知对方，并寄送有关权威机构出具的证明。除甲方书面另行要求外，乙方应尽实际可能继续履行合同义务，以及寻求采取合理的方案履行不受不可抗力影响的其他事项。若不可抗力事件延续120天以上，双方应通过友好协商，确定是否继续履行合同。</w:t>
      </w:r>
    </w:p>
    <w:p w14:paraId="44102B6B">
      <w:pPr>
        <w:widowControl w:val="0"/>
        <w:snapToGrid w:val="0"/>
        <w:spacing w:before="120" w:after="120" w:line="360" w:lineRule="auto"/>
        <w:ind w:firstLine="211" w:firstLineChars="100"/>
        <w:jc w:val="both"/>
        <w:rPr>
          <w:rFonts w:ascii="宋体" w:hAnsi="宋体" w:eastAsia="宋体" w:cs="宋体"/>
          <w:b/>
          <w:kern w:val="2"/>
          <w:sz w:val="21"/>
          <w:szCs w:val="20"/>
          <w:lang w:val="en-US" w:eastAsia="zh-CN" w:bidi="ar-SA"/>
        </w:rPr>
      </w:pPr>
      <w:r>
        <w:rPr>
          <w:rFonts w:hint="eastAsia" w:ascii="宋体" w:hAnsi="宋体" w:eastAsia="宋体" w:cs="宋体"/>
          <w:b/>
          <w:kern w:val="2"/>
          <w:sz w:val="21"/>
          <w:szCs w:val="20"/>
          <w:lang w:val="en-US" w:eastAsia="zh-CN" w:bidi="ar-SA"/>
        </w:rPr>
        <w:t>13、争议解决</w:t>
      </w:r>
    </w:p>
    <w:p w14:paraId="70A17B8C">
      <w:pPr>
        <w:widowControl w:val="0"/>
        <w:snapToGrid w:val="0"/>
        <w:spacing w:before="120" w:after="120" w:line="360" w:lineRule="auto"/>
        <w:ind w:firstLine="210" w:firstLineChars="100"/>
        <w:jc w:val="both"/>
        <w:rPr>
          <w:rFonts w:ascii="宋体" w:hAnsi="宋体" w:eastAsia="宋体" w:cs="宋体"/>
          <w:bCs/>
          <w:kern w:val="2"/>
          <w:sz w:val="21"/>
          <w:szCs w:val="20"/>
          <w:lang w:val="en-US" w:eastAsia="zh-CN" w:bidi="ar-SA"/>
        </w:rPr>
      </w:pPr>
      <w:r>
        <w:rPr>
          <w:rFonts w:hint="eastAsia" w:ascii="宋体" w:hAnsi="宋体" w:eastAsia="宋体" w:cs="宋体"/>
          <w:bCs/>
          <w:kern w:val="2"/>
          <w:sz w:val="21"/>
          <w:szCs w:val="20"/>
          <w:lang w:val="en-US" w:eastAsia="zh-CN" w:bidi="ar-SA"/>
        </w:rPr>
        <w:t>13.1 因服务的品质质量问题发生争议的，可在国家认可的质量检测机构对服务内容质量进行鉴定。服务符合标准的，鉴定费由甲方承担；服务项目不符合质量标准的，鉴定费由乙方承担。</w:t>
      </w:r>
    </w:p>
    <w:p w14:paraId="27A985CC">
      <w:pPr>
        <w:widowControl w:val="0"/>
        <w:snapToGrid w:val="0"/>
        <w:spacing w:before="120" w:after="120" w:line="360" w:lineRule="auto"/>
        <w:ind w:firstLine="210" w:firstLineChars="100"/>
        <w:jc w:val="both"/>
        <w:rPr>
          <w:rFonts w:ascii="宋体" w:hAnsi="宋体" w:eastAsia="宋体" w:cs="宋体"/>
          <w:bCs/>
          <w:kern w:val="2"/>
          <w:sz w:val="21"/>
          <w:szCs w:val="20"/>
          <w:lang w:val="en-US" w:eastAsia="zh-CN" w:bidi="ar-SA"/>
        </w:rPr>
      </w:pPr>
      <w:r>
        <w:rPr>
          <w:rFonts w:hint="eastAsia" w:ascii="宋体" w:hAnsi="宋体" w:eastAsia="宋体" w:cs="宋体"/>
          <w:bCs/>
          <w:kern w:val="2"/>
          <w:sz w:val="21"/>
          <w:szCs w:val="20"/>
          <w:lang w:val="en-US" w:eastAsia="zh-CN" w:bidi="ar-SA"/>
        </w:rPr>
        <w:t>13.2 因履行本合同引起的或与本合同有关的争议，甲、乙双方应首先通过友好协商解决；如果协商不能解决争议，甲乙双方同意采取下列两种方式的第</w:t>
      </w:r>
      <w:r>
        <w:rPr>
          <w:rFonts w:hint="eastAsia" w:ascii="宋体" w:hAnsi="宋体" w:eastAsia="宋体" w:cs="宋体"/>
          <w:bCs/>
          <w:kern w:val="2"/>
          <w:sz w:val="21"/>
          <w:szCs w:val="20"/>
          <w:u w:val="single"/>
          <w:lang w:val="en-US" w:eastAsia="zh-CN" w:bidi="ar-SA"/>
        </w:rPr>
        <w:t>（1 ）</w:t>
      </w:r>
      <w:r>
        <w:rPr>
          <w:rFonts w:hint="eastAsia" w:ascii="宋体" w:hAnsi="宋体" w:eastAsia="宋体" w:cs="宋体"/>
          <w:bCs/>
          <w:kern w:val="2"/>
          <w:sz w:val="21"/>
          <w:szCs w:val="20"/>
          <w:lang w:val="en-US" w:eastAsia="zh-CN" w:bidi="ar-SA"/>
        </w:rPr>
        <w:t>种方式解决争议：</w:t>
      </w:r>
    </w:p>
    <w:p w14:paraId="4E7B8D4A">
      <w:pPr>
        <w:widowControl w:val="0"/>
        <w:snapToGrid w:val="0"/>
        <w:spacing w:before="120" w:after="120" w:line="360" w:lineRule="auto"/>
        <w:ind w:firstLine="210" w:firstLineChars="100"/>
        <w:jc w:val="both"/>
        <w:rPr>
          <w:rFonts w:ascii="宋体" w:hAnsi="宋体" w:eastAsia="宋体" w:cs="宋体"/>
          <w:bCs/>
          <w:kern w:val="2"/>
          <w:sz w:val="21"/>
          <w:szCs w:val="20"/>
          <w:lang w:val="en-US" w:eastAsia="zh-CN" w:bidi="ar-SA"/>
        </w:rPr>
      </w:pPr>
      <w:r>
        <w:rPr>
          <w:rFonts w:hint="eastAsia" w:ascii="宋体" w:hAnsi="宋体" w:eastAsia="宋体" w:cs="宋体"/>
          <w:bCs/>
          <w:kern w:val="2"/>
          <w:sz w:val="21"/>
          <w:szCs w:val="20"/>
          <w:lang w:val="en-US" w:eastAsia="zh-CN" w:bidi="ar-SA"/>
        </w:rPr>
        <w:t>（1）向甲方所在地有管辖权的人民法院提起诉讼，适用中华人民共和国法律；</w:t>
      </w:r>
    </w:p>
    <w:p w14:paraId="26E53164">
      <w:pPr>
        <w:widowControl w:val="0"/>
        <w:snapToGrid w:val="0"/>
        <w:spacing w:before="120" w:after="120" w:line="360" w:lineRule="auto"/>
        <w:ind w:firstLine="210" w:firstLineChars="100"/>
        <w:jc w:val="both"/>
        <w:rPr>
          <w:rFonts w:ascii="宋体" w:hAnsi="宋体" w:eastAsia="宋体" w:cs="宋体"/>
          <w:bCs/>
          <w:kern w:val="2"/>
          <w:sz w:val="21"/>
          <w:szCs w:val="20"/>
          <w:lang w:val="en-US" w:eastAsia="zh-CN" w:bidi="ar-SA"/>
        </w:rPr>
      </w:pPr>
      <w:r>
        <w:rPr>
          <w:rFonts w:hint="eastAsia" w:ascii="宋体" w:hAnsi="宋体" w:eastAsia="宋体" w:cs="宋体"/>
          <w:bCs/>
          <w:kern w:val="2"/>
          <w:sz w:val="21"/>
          <w:szCs w:val="20"/>
          <w:lang w:val="en-US" w:eastAsia="zh-CN" w:bidi="ar-SA"/>
        </w:rPr>
        <w:t>（2）向扬州仲裁委员会按其仲裁规则申请仲裁。</w:t>
      </w:r>
    </w:p>
    <w:p w14:paraId="5D672A9E">
      <w:pPr>
        <w:widowControl w:val="0"/>
        <w:snapToGrid w:val="0"/>
        <w:spacing w:before="120" w:after="120" w:line="360" w:lineRule="auto"/>
        <w:ind w:firstLine="210" w:firstLineChars="100"/>
        <w:jc w:val="both"/>
        <w:rPr>
          <w:rFonts w:ascii="宋体" w:hAnsi="宋体" w:eastAsia="宋体" w:cs="宋体"/>
          <w:bCs/>
          <w:kern w:val="2"/>
          <w:sz w:val="21"/>
          <w:szCs w:val="20"/>
          <w:lang w:val="en-US" w:eastAsia="zh-CN" w:bidi="ar-SA"/>
        </w:rPr>
      </w:pPr>
      <w:r>
        <w:rPr>
          <w:rFonts w:hint="eastAsia" w:ascii="宋体" w:hAnsi="宋体" w:eastAsia="宋体" w:cs="宋体"/>
          <w:bCs/>
          <w:kern w:val="2"/>
          <w:sz w:val="21"/>
          <w:szCs w:val="20"/>
          <w:lang w:val="en-US" w:eastAsia="zh-CN" w:bidi="ar-SA"/>
        </w:rPr>
        <w:t>13.3 若甲乙双方任何一方都没有选择解除合同的，为避免扩大损失，在诉讼或仲裁期间，双方应继续履行。</w:t>
      </w:r>
    </w:p>
    <w:p w14:paraId="12BBEF09">
      <w:pPr>
        <w:widowControl w:val="0"/>
        <w:snapToGrid w:val="0"/>
        <w:spacing w:before="120" w:after="120" w:line="360" w:lineRule="auto"/>
        <w:ind w:firstLine="211" w:firstLineChars="100"/>
        <w:jc w:val="both"/>
        <w:rPr>
          <w:rFonts w:ascii="宋体" w:hAnsi="宋体" w:eastAsia="宋体" w:cs="宋体"/>
          <w:b/>
          <w:kern w:val="2"/>
          <w:sz w:val="21"/>
          <w:szCs w:val="20"/>
          <w:lang w:val="en-US" w:eastAsia="zh-CN" w:bidi="ar-SA"/>
        </w:rPr>
      </w:pPr>
      <w:r>
        <w:rPr>
          <w:rFonts w:hint="eastAsia" w:ascii="宋体" w:hAnsi="宋体" w:eastAsia="宋体" w:cs="宋体"/>
          <w:b/>
          <w:kern w:val="2"/>
          <w:sz w:val="21"/>
          <w:szCs w:val="20"/>
          <w:lang w:val="en-US" w:eastAsia="zh-CN" w:bidi="ar-SA"/>
        </w:rPr>
        <w:t>14、合同其它</w:t>
      </w:r>
    </w:p>
    <w:p w14:paraId="61E33484">
      <w:pPr>
        <w:widowControl w:val="0"/>
        <w:snapToGrid w:val="0"/>
        <w:spacing w:before="120" w:after="120" w:line="360" w:lineRule="auto"/>
        <w:ind w:firstLine="210" w:firstLineChars="100"/>
        <w:jc w:val="both"/>
        <w:rPr>
          <w:rFonts w:ascii="宋体" w:hAnsi="宋体" w:eastAsia="宋体" w:cs="宋体"/>
          <w:bCs/>
          <w:kern w:val="2"/>
          <w:sz w:val="21"/>
          <w:szCs w:val="20"/>
          <w:lang w:val="en-US" w:eastAsia="zh-CN" w:bidi="ar-SA"/>
        </w:rPr>
      </w:pPr>
      <w:r>
        <w:rPr>
          <w:rFonts w:hint="eastAsia" w:ascii="宋体" w:hAnsi="宋体" w:eastAsia="宋体" w:cs="宋体"/>
          <w:bCs/>
          <w:kern w:val="2"/>
          <w:sz w:val="21"/>
          <w:szCs w:val="20"/>
          <w:lang w:val="en-US" w:eastAsia="zh-CN" w:bidi="ar-SA"/>
        </w:rPr>
        <w:t>14.1 乙方应诚实信用，严格按照招标文件要求和投标承诺履行合同，不向甲方进行商业贿赂或者提供不正当利益。</w:t>
      </w:r>
    </w:p>
    <w:p w14:paraId="30827B9A">
      <w:pPr>
        <w:widowControl w:val="0"/>
        <w:snapToGrid w:val="0"/>
        <w:spacing w:before="120" w:after="120" w:line="360" w:lineRule="auto"/>
        <w:ind w:firstLine="210" w:firstLineChars="100"/>
        <w:jc w:val="both"/>
        <w:rPr>
          <w:rFonts w:ascii="宋体" w:hAnsi="宋体" w:eastAsia="宋体" w:cs="宋体"/>
          <w:bCs/>
          <w:kern w:val="2"/>
          <w:sz w:val="21"/>
          <w:szCs w:val="20"/>
          <w:lang w:val="en-US" w:eastAsia="zh-CN" w:bidi="ar-SA"/>
        </w:rPr>
      </w:pPr>
      <w:r>
        <w:rPr>
          <w:rFonts w:hint="eastAsia" w:ascii="宋体" w:hAnsi="宋体" w:eastAsia="宋体" w:cs="宋体"/>
          <w:bCs/>
          <w:kern w:val="2"/>
          <w:sz w:val="21"/>
          <w:szCs w:val="20"/>
          <w:lang w:val="en-US" w:eastAsia="zh-CN" w:bidi="ar-SA"/>
        </w:rPr>
        <w:t>14.2本合同未尽事宜，遵照《民法典》有关条文执行。</w:t>
      </w:r>
    </w:p>
    <w:p w14:paraId="24D86154">
      <w:pPr>
        <w:widowControl w:val="0"/>
        <w:snapToGrid w:val="0"/>
        <w:spacing w:before="120" w:after="120" w:line="360" w:lineRule="auto"/>
        <w:ind w:firstLine="210" w:firstLineChars="100"/>
        <w:jc w:val="both"/>
        <w:rPr>
          <w:rFonts w:ascii="宋体" w:hAnsi="宋体" w:eastAsia="宋体" w:cs="宋体"/>
          <w:bCs/>
          <w:kern w:val="2"/>
          <w:sz w:val="21"/>
          <w:szCs w:val="20"/>
          <w:lang w:val="en-US" w:eastAsia="zh-CN" w:bidi="ar-SA"/>
        </w:rPr>
      </w:pPr>
      <w:r>
        <w:rPr>
          <w:rFonts w:hint="eastAsia" w:ascii="宋体" w:hAnsi="宋体" w:eastAsia="宋体" w:cs="宋体"/>
          <w:bCs/>
          <w:kern w:val="2"/>
          <w:sz w:val="21"/>
          <w:szCs w:val="20"/>
          <w:lang w:val="en-US" w:eastAsia="zh-CN" w:bidi="ar-SA"/>
        </w:rPr>
        <w:t>14.3本合同一式陆份，甲方执伍份，乙方执壹份，双方签字盖章后生效。</w:t>
      </w:r>
    </w:p>
    <w:p w14:paraId="632E17B3">
      <w:pPr>
        <w:widowControl w:val="0"/>
        <w:snapToGrid w:val="0"/>
        <w:spacing w:before="120" w:after="120" w:line="360" w:lineRule="auto"/>
        <w:ind w:firstLine="210" w:firstLineChars="100"/>
        <w:jc w:val="both"/>
        <w:rPr>
          <w:rFonts w:ascii="宋体" w:hAnsi="宋体" w:eastAsia="宋体" w:cs="宋体"/>
          <w:bCs/>
          <w:kern w:val="2"/>
          <w:sz w:val="21"/>
          <w:szCs w:val="20"/>
          <w:lang w:val="en-US" w:eastAsia="zh-CN" w:bidi="ar-SA"/>
        </w:rPr>
      </w:pPr>
    </w:p>
    <w:p w14:paraId="5C9ED2F1">
      <w:pPr>
        <w:widowControl w:val="0"/>
        <w:snapToGrid w:val="0"/>
        <w:spacing w:before="120" w:after="120" w:line="360" w:lineRule="auto"/>
        <w:ind w:firstLine="210" w:firstLineChars="100"/>
        <w:jc w:val="both"/>
        <w:rPr>
          <w:rFonts w:ascii="宋体" w:hAnsi="宋体" w:eastAsia="宋体" w:cs="宋体"/>
          <w:bCs/>
          <w:kern w:val="2"/>
          <w:sz w:val="21"/>
          <w:szCs w:val="20"/>
          <w:lang w:val="en-US" w:eastAsia="zh-CN" w:bidi="ar-SA"/>
        </w:rPr>
      </w:pPr>
    </w:p>
    <w:p w14:paraId="2CBB99A6">
      <w:pPr>
        <w:widowControl w:val="0"/>
        <w:snapToGrid w:val="0"/>
        <w:spacing w:before="120" w:after="120" w:line="360" w:lineRule="auto"/>
        <w:ind w:firstLine="210" w:firstLineChars="100"/>
        <w:jc w:val="both"/>
        <w:rPr>
          <w:rFonts w:ascii="宋体" w:hAnsi="宋体" w:eastAsia="宋体" w:cs="宋体"/>
          <w:bCs/>
          <w:kern w:val="2"/>
          <w:sz w:val="21"/>
          <w:szCs w:val="20"/>
          <w:lang w:val="en-US" w:eastAsia="zh-CN" w:bidi="ar-SA"/>
        </w:rPr>
      </w:pPr>
      <w:r>
        <w:rPr>
          <w:rFonts w:hint="eastAsia" w:ascii="宋体" w:hAnsi="宋体" w:eastAsia="宋体" w:cs="宋体"/>
          <w:bCs/>
          <w:kern w:val="2"/>
          <w:sz w:val="21"/>
          <w:szCs w:val="20"/>
          <w:lang w:val="en-US" w:eastAsia="zh-CN" w:bidi="ar-SA"/>
        </w:rPr>
        <w:t>甲方                                               乙方</w:t>
      </w:r>
    </w:p>
    <w:p w14:paraId="47E442F0">
      <w:pPr>
        <w:widowControl w:val="0"/>
        <w:snapToGrid w:val="0"/>
        <w:spacing w:before="120" w:after="120" w:line="360" w:lineRule="auto"/>
        <w:ind w:firstLine="210" w:firstLineChars="100"/>
        <w:jc w:val="both"/>
        <w:rPr>
          <w:rFonts w:ascii="宋体" w:hAnsi="宋体" w:eastAsia="宋体" w:cs="宋体"/>
          <w:bCs/>
          <w:kern w:val="2"/>
          <w:sz w:val="21"/>
          <w:szCs w:val="20"/>
          <w:lang w:val="en-US" w:eastAsia="zh-CN" w:bidi="ar-SA"/>
        </w:rPr>
      </w:pPr>
      <w:r>
        <w:rPr>
          <w:rFonts w:hint="eastAsia" w:ascii="宋体" w:hAnsi="宋体" w:eastAsia="宋体" w:cs="宋体"/>
          <w:bCs/>
          <w:kern w:val="2"/>
          <w:sz w:val="21"/>
          <w:szCs w:val="20"/>
          <w:lang w:val="en-US" w:eastAsia="zh-CN" w:bidi="ar-SA"/>
        </w:rPr>
        <w:t>单位名称：南京邮电大学通达学院                     单位名称：</w:t>
      </w:r>
    </w:p>
    <w:p w14:paraId="1794B7B0">
      <w:pPr>
        <w:widowControl w:val="0"/>
        <w:snapToGrid w:val="0"/>
        <w:spacing w:before="120" w:after="120" w:line="360" w:lineRule="auto"/>
        <w:ind w:firstLine="210" w:firstLineChars="100"/>
        <w:jc w:val="both"/>
        <w:rPr>
          <w:rFonts w:ascii="宋体" w:hAnsi="宋体" w:eastAsia="宋体" w:cs="宋体"/>
          <w:bCs/>
          <w:kern w:val="2"/>
          <w:sz w:val="21"/>
          <w:szCs w:val="20"/>
          <w:lang w:val="en-US" w:eastAsia="zh-CN" w:bidi="ar-SA"/>
        </w:rPr>
      </w:pPr>
      <w:r>
        <w:rPr>
          <w:rFonts w:hint="eastAsia" w:ascii="宋体" w:hAnsi="宋体" w:eastAsia="宋体" w:cs="宋体"/>
          <w:bCs/>
          <w:kern w:val="2"/>
          <w:sz w:val="21"/>
          <w:szCs w:val="20"/>
          <w:lang w:val="en-US" w:eastAsia="zh-CN" w:bidi="ar-SA"/>
        </w:rPr>
        <w:t>单位地址：扬州市润扬南路33号                      单位地址：</w:t>
      </w:r>
    </w:p>
    <w:p w14:paraId="63C2F5BA">
      <w:pPr>
        <w:widowControl w:val="0"/>
        <w:snapToGrid w:val="0"/>
        <w:spacing w:before="120" w:after="120" w:line="360" w:lineRule="auto"/>
        <w:ind w:firstLine="210" w:firstLineChars="100"/>
        <w:jc w:val="both"/>
        <w:rPr>
          <w:rFonts w:ascii="宋体" w:hAnsi="宋体" w:eastAsia="宋体" w:cs="宋体"/>
          <w:bCs/>
          <w:kern w:val="2"/>
          <w:sz w:val="21"/>
          <w:szCs w:val="20"/>
          <w:lang w:val="en-US" w:eastAsia="zh-CN" w:bidi="ar-SA"/>
        </w:rPr>
      </w:pPr>
      <w:r>
        <w:rPr>
          <w:rFonts w:hint="eastAsia" w:ascii="宋体" w:hAnsi="宋体" w:eastAsia="宋体" w:cs="宋体"/>
          <w:bCs/>
          <w:kern w:val="2"/>
          <w:sz w:val="21"/>
          <w:szCs w:val="20"/>
          <w:lang w:val="en-US" w:eastAsia="zh-CN" w:bidi="ar-SA"/>
        </w:rPr>
        <w:t>法定代表人：                                       法定代表人：</w:t>
      </w:r>
    </w:p>
    <w:p w14:paraId="648DB923">
      <w:pPr>
        <w:widowControl w:val="0"/>
        <w:snapToGrid w:val="0"/>
        <w:spacing w:before="120" w:after="120" w:line="360" w:lineRule="auto"/>
        <w:ind w:firstLine="210" w:firstLineChars="100"/>
        <w:jc w:val="both"/>
        <w:rPr>
          <w:rFonts w:ascii="宋体" w:hAnsi="宋体" w:eastAsia="宋体" w:cs="宋体"/>
          <w:bCs/>
          <w:kern w:val="2"/>
          <w:sz w:val="21"/>
          <w:szCs w:val="20"/>
          <w:lang w:val="en-US" w:eastAsia="zh-CN" w:bidi="ar-SA"/>
        </w:rPr>
      </w:pPr>
      <w:r>
        <w:rPr>
          <w:rFonts w:hint="eastAsia" w:ascii="宋体" w:hAnsi="宋体" w:eastAsia="宋体" w:cs="宋体"/>
          <w:bCs/>
          <w:kern w:val="2"/>
          <w:sz w:val="21"/>
          <w:szCs w:val="20"/>
          <w:lang w:val="en-US" w:eastAsia="zh-CN" w:bidi="ar-SA"/>
        </w:rPr>
        <w:t>委托代理人（签字）：                                委托代理人（签字）：</w:t>
      </w:r>
    </w:p>
    <w:p w14:paraId="4205EBCB">
      <w:pPr>
        <w:widowControl w:val="0"/>
        <w:snapToGrid w:val="0"/>
        <w:spacing w:before="120" w:after="120" w:line="360" w:lineRule="auto"/>
        <w:ind w:firstLine="210" w:firstLineChars="100"/>
        <w:jc w:val="both"/>
        <w:rPr>
          <w:rFonts w:ascii="宋体" w:hAnsi="宋体" w:eastAsia="宋体" w:cs="宋体"/>
          <w:bCs/>
          <w:kern w:val="2"/>
          <w:sz w:val="21"/>
          <w:szCs w:val="20"/>
          <w:lang w:val="en-US" w:eastAsia="zh-CN" w:bidi="ar-SA"/>
        </w:rPr>
      </w:pPr>
      <w:r>
        <w:rPr>
          <w:rFonts w:hint="eastAsia" w:ascii="宋体" w:hAnsi="宋体" w:eastAsia="宋体" w:cs="宋体"/>
          <w:bCs/>
          <w:kern w:val="2"/>
          <w:sz w:val="21"/>
          <w:szCs w:val="20"/>
          <w:lang w:val="en-US" w:eastAsia="zh-CN" w:bidi="ar-SA"/>
        </w:rPr>
        <w:t xml:space="preserve">联系电话：                                         联系电话：                                            </w:t>
      </w:r>
    </w:p>
    <w:p w14:paraId="04C9D0BD">
      <w:pPr>
        <w:widowControl w:val="0"/>
        <w:snapToGrid w:val="0"/>
        <w:spacing w:before="120" w:after="120" w:line="360" w:lineRule="auto"/>
        <w:ind w:firstLine="210" w:firstLineChars="100"/>
        <w:jc w:val="both"/>
        <w:rPr>
          <w:rFonts w:ascii="宋体" w:hAnsi="宋体" w:eastAsia="宋体" w:cs="宋体"/>
          <w:bCs/>
          <w:kern w:val="2"/>
          <w:sz w:val="21"/>
          <w:szCs w:val="20"/>
          <w:lang w:val="en-US" w:eastAsia="zh-CN" w:bidi="ar-SA"/>
        </w:rPr>
      </w:pPr>
      <w:r>
        <w:rPr>
          <w:rFonts w:hint="eastAsia" w:ascii="宋体" w:hAnsi="宋体" w:eastAsia="宋体" w:cs="宋体"/>
          <w:bCs/>
          <w:kern w:val="2"/>
          <w:sz w:val="21"/>
          <w:szCs w:val="20"/>
          <w:lang w:val="en-US" w:eastAsia="zh-CN" w:bidi="ar-SA"/>
        </w:rPr>
        <w:t xml:space="preserve">开户银行：                                         开户银行： </w:t>
      </w:r>
    </w:p>
    <w:p w14:paraId="42E4A303">
      <w:pPr>
        <w:widowControl w:val="0"/>
        <w:snapToGrid w:val="0"/>
        <w:spacing w:before="120" w:after="120" w:line="360" w:lineRule="auto"/>
        <w:ind w:firstLine="210" w:firstLineChars="100"/>
        <w:jc w:val="both"/>
        <w:rPr>
          <w:rFonts w:ascii="宋体" w:hAnsi="宋体" w:eastAsia="宋体" w:cs="宋体"/>
          <w:bCs/>
          <w:kern w:val="2"/>
          <w:sz w:val="21"/>
          <w:szCs w:val="20"/>
          <w:lang w:val="en-US" w:eastAsia="zh-CN" w:bidi="ar-SA"/>
        </w:rPr>
      </w:pPr>
      <w:r>
        <w:rPr>
          <w:rFonts w:hint="eastAsia" w:ascii="宋体" w:hAnsi="宋体" w:eastAsia="宋体" w:cs="宋体"/>
          <w:bCs/>
          <w:kern w:val="2"/>
          <w:sz w:val="21"/>
          <w:szCs w:val="20"/>
          <w:lang w:val="en-US" w:eastAsia="zh-CN" w:bidi="ar-SA"/>
        </w:rPr>
        <w:t xml:space="preserve">户名：南京邮电大学通达学院                         户名： </w:t>
      </w:r>
    </w:p>
    <w:p w14:paraId="1116CFA9">
      <w:pPr>
        <w:widowControl w:val="0"/>
        <w:snapToGrid w:val="0"/>
        <w:spacing w:before="120" w:after="120" w:line="360" w:lineRule="auto"/>
        <w:ind w:firstLine="210" w:firstLineChars="100"/>
        <w:jc w:val="both"/>
        <w:rPr>
          <w:rFonts w:ascii="宋体" w:hAnsi="宋体" w:eastAsia="宋体" w:cs="宋体"/>
          <w:bCs/>
          <w:kern w:val="2"/>
          <w:sz w:val="21"/>
          <w:szCs w:val="20"/>
          <w:lang w:val="en-US" w:eastAsia="zh-CN" w:bidi="ar-SA"/>
        </w:rPr>
      </w:pPr>
      <w:r>
        <w:rPr>
          <w:rFonts w:hint="eastAsia" w:ascii="宋体" w:hAnsi="宋体" w:eastAsia="宋体" w:cs="宋体"/>
          <w:bCs/>
          <w:kern w:val="2"/>
          <w:sz w:val="21"/>
          <w:szCs w:val="20"/>
          <w:lang w:val="en-US" w:eastAsia="zh-CN" w:bidi="ar-SA"/>
        </w:rPr>
        <w:t xml:space="preserve">账号：                                             账号： </w:t>
      </w:r>
    </w:p>
    <w:p w14:paraId="03FE972B">
      <w:pPr>
        <w:widowControl w:val="0"/>
        <w:snapToGrid w:val="0"/>
        <w:spacing w:before="120" w:after="120" w:line="360" w:lineRule="auto"/>
        <w:ind w:firstLine="210" w:firstLineChars="100"/>
        <w:jc w:val="both"/>
        <w:rPr>
          <w:rFonts w:ascii="宋体" w:hAnsi="宋体" w:eastAsia="宋体" w:cs="宋体"/>
          <w:bCs/>
          <w:kern w:val="2"/>
          <w:sz w:val="21"/>
          <w:szCs w:val="20"/>
          <w:lang w:val="en-US" w:eastAsia="zh-CN" w:bidi="ar-SA"/>
        </w:rPr>
      </w:pPr>
      <w:r>
        <w:rPr>
          <w:rFonts w:hint="eastAsia" w:ascii="宋体" w:hAnsi="宋体" w:eastAsia="宋体" w:cs="宋体"/>
          <w:bCs/>
          <w:kern w:val="2"/>
          <w:sz w:val="21"/>
          <w:szCs w:val="20"/>
          <w:lang w:val="en-US" w:eastAsia="zh-CN" w:bidi="ar-SA"/>
        </w:rPr>
        <w:t xml:space="preserve">税号：52320000509200179F                           行号：  </w:t>
      </w:r>
    </w:p>
    <w:p w14:paraId="55D4F44B">
      <w:pPr>
        <w:widowControl w:val="0"/>
        <w:snapToGrid w:val="0"/>
        <w:spacing w:before="120" w:after="120" w:line="360" w:lineRule="auto"/>
        <w:ind w:firstLine="210" w:firstLineChars="100"/>
        <w:jc w:val="both"/>
        <w:rPr>
          <w:rFonts w:ascii="宋体" w:hAnsi="宋体" w:eastAsia="宋体" w:cs="宋体"/>
          <w:bCs/>
          <w:kern w:val="2"/>
          <w:sz w:val="21"/>
          <w:szCs w:val="20"/>
          <w:lang w:val="en-US" w:eastAsia="zh-CN" w:bidi="ar-SA"/>
        </w:rPr>
      </w:pPr>
      <w:r>
        <w:rPr>
          <w:rFonts w:hint="eastAsia" w:ascii="宋体" w:hAnsi="宋体" w:eastAsia="宋体" w:cs="宋体"/>
          <w:bCs/>
          <w:kern w:val="2"/>
          <w:sz w:val="21"/>
          <w:szCs w:val="20"/>
          <w:lang w:val="en-US" w:eastAsia="zh-CN" w:bidi="ar-SA"/>
        </w:rPr>
        <w:t>电话：0514-89716081                                项目联系人：</w:t>
      </w:r>
    </w:p>
    <w:p w14:paraId="037585DD">
      <w:pPr>
        <w:spacing w:before="240" w:line="360" w:lineRule="auto"/>
        <w:rPr>
          <w:rFonts w:ascii="宋体" w:hAnsi="宋体"/>
          <w:color w:val="000000"/>
          <w:sz w:val="24"/>
          <w:szCs w:val="21"/>
        </w:rPr>
      </w:pPr>
      <w:r>
        <w:rPr>
          <w:rFonts w:hint="eastAsia" w:hAnsi="宋体" w:cs="宋体"/>
          <w:bCs/>
        </w:rPr>
        <w:t>签约日期（即合同生效日期）：    年   月    日       联系电话：</w:t>
      </w:r>
      <w:r>
        <w:rPr>
          <w:rFonts w:hint="eastAsia" w:hAnsi="宋体" w:cs="宋体"/>
          <w:sz w:val="21"/>
          <w:highlight w:val="none"/>
        </w:rPr>
        <w:t xml:space="preserve">  </w:t>
      </w:r>
    </w:p>
    <w:p w14:paraId="107549B9">
      <w:pPr>
        <w:widowControl/>
        <w:snapToGrid w:val="0"/>
        <w:spacing w:line="360" w:lineRule="auto"/>
        <w:jc w:val="left"/>
        <w:rPr>
          <w:rFonts w:ascii="宋体" w:hAnsi="宋体" w:cs="宋体"/>
          <w:color w:val="000000"/>
        </w:rPr>
      </w:pPr>
    </w:p>
    <w:p w14:paraId="3D9FD886">
      <w:pPr>
        <w:pStyle w:val="2"/>
        <w:rPr>
          <w:rFonts w:ascii="宋体" w:hAnsi="宋体" w:cs="宋体"/>
          <w:color w:val="000000"/>
        </w:rPr>
      </w:pPr>
    </w:p>
    <w:p w14:paraId="2AC0F80B">
      <w:pPr>
        <w:pStyle w:val="2"/>
        <w:rPr>
          <w:rFonts w:ascii="宋体" w:hAnsi="宋体" w:cs="宋体"/>
          <w:color w:val="000000"/>
        </w:rPr>
      </w:pPr>
    </w:p>
    <w:p w14:paraId="08477026">
      <w:pPr>
        <w:wordWrap/>
        <w:autoSpaceDE w:val="0"/>
        <w:autoSpaceDN w:val="0"/>
        <w:spacing w:before="0" w:after="0" w:line="400" w:lineRule="atLeast"/>
        <w:ind w:right="0"/>
        <w:jc w:val="center"/>
        <w:textAlignment w:val="auto"/>
        <w:rPr>
          <w:sz w:val="36"/>
          <w:szCs w:val="36"/>
        </w:rPr>
      </w:pPr>
      <w:r>
        <w:rPr>
          <w:rFonts w:hint="eastAsia" w:ascii="宋体" w:hAnsi="宋体" w:eastAsia="宋体" w:cs="宋体"/>
          <w:b/>
          <w:i w:val="0"/>
          <w:strike w:val="0"/>
          <w:color w:val="000000"/>
          <w:sz w:val="36"/>
          <w:szCs w:val="36"/>
          <w:lang w:val="en-US" w:eastAsia="zh-CN"/>
        </w:rPr>
        <w:t>南京邮电大学通达学院</w:t>
      </w:r>
      <w:r>
        <w:rPr>
          <w:rFonts w:ascii="宋体" w:hAnsi="宋体" w:eastAsia="宋体" w:cs="宋体"/>
          <w:b/>
          <w:i w:val="0"/>
          <w:strike w:val="0"/>
          <w:color w:val="000000"/>
          <w:sz w:val="36"/>
          <w:szCs w:val="36"/>
        </w:rPr>
        <w:t>电梯维保服务考核表</w:t>
      </w:r>
    </w:p>
    <w:p w14:paraId="1BE6E973">
      <w:pPr>
        <w:wordWrap/>
        <w:autoSpaceDE w:val="0"/>
        <w:autoSpaceDN w:val="0"/>
        <w:spacing w:before="140" w:after="0" w:line="260" w:lineRule="atLeast"/>
        <w:ind w:right="0" w:firstLine="241" w:firstLineChars="100"/>
        <w:jc w:val="both"/>
        <w:textAlignment w:val="auto"/>
        <w:rPr>
          <w:rFonts w:hint="default" w:eastAsia="宋体"/>
          <w:sz w:val="24"/>
          <w:szCs w:val="24"/>
          <w:lang w:val="en-US" w:eastAsia="zh-CN"/>
        </w:rPr>
      </w:pPr>
      <w:r>
        <w:rPr>
          <w:rFonts w:ascii="宋体" w:hAnsi="宋体" w:eastAsia="宋体" w:cs="宋体"/>
          <w:b/>
          <w:i w:val="0"/>
          <w:strike w:val="0"/>
          <w:color w:val="000000"/>
          <w:sz w:val="24"/>
          <w:szCs w:val="24"/>
        </w:rPr>
        <w:t>日期：</w:t>
      </w:r>
      <w:r>
        <w:rPr>
          <w:rFonts w:ascii="宋体" w:hAnsi="宋体" w:eastAsia="宋体" w:cs="宋体"/>
          <w:strike w:val="0"/>
          <w:sz w:val="24"/>
          <w:szCs w:val="24"/>
        </w:rPr>
        <w:t xml:space="preserve">        </w:t>
      </w:r>
      <w:r>
        <w:rPr>
          <w:rFonts w:ascii="宋体" w:hAnsi="宋体" w:eastAsia="宋体" w:cs="宋体"/>
          <w:b/>
          <w:i w:val="0"/>
          <w:strike w:val="0"/>
          <w:color w:val="000000"/>
          <w:sz w:val="24"/>
          <w:szCs w:val="24"/>
        </w:rPr>
        <w:t>年</w:t>
      </w:r>
      <w:r>
        <w:rPr>
          <w:rFonts w:ascii="宋体" w:hAnsi="宋体" w:eastAsia="宋体" w:cs="宋体"/>
          <w:strike w:val="0"/>
          <w:sz w:val="24"/>
          <w:szCs w:val="24"/>
        </w:rPr>
        <w:t xml:space="preserve">      </w:t>
      </w:r>
      <w:r>
        <w:rPr>
          <w:rFonts w:ascii="宋体" w:hAnsi="宋体" w:eastAsia="宋体" w:cs="宋体"/>
          <w:b/>
          <w:i w:val="0"/>
          <w:strike w:val="0"/>
          <w:color w:val="000000"/>
          <w:sz w:val="24"/>
          <w:szCs w:val="24"/>
        </w:rPr>
        <w:t>月</w:t>
      </w:r>
      <w:r>
        <w:rPr>
          <w:rFonts w:hint="eastAsia" w:ascii="宋体" w:hAnsi="宋体" w:eastAsia="宋体" w:cs="宋体"/>
          <w:b/>
          <w:i w:val="0"/>
          <w:strike w:val="0"/>
          <w:color w:val="000000"/>
          <w:sz w:val="24"/>
          <w:szCs w:val="24"/>
          <w:lang w:val="en-US" w:eastAsia="zh-CN"/>
        </w:rPr>
        <w:t xml:space="preserve">      日</w:t>
      </w:r>
    </w:p>
    <w:p w14:paraId="266A32FA">
      <w:pPr>
        <w:wordWrap/>
        <w:spacing w:before="0" w:after="0" w:line="80" w:lineRule="exact"/>
        <w:ind w:left="0" w:right="0"/>
        <w:textAlignment w:val="auto"/>
      </w:pPr>
    </w:p>
    <w:tbl>
      <w:tblPr>
        <w:tblStyle w:val="26"/>
        <w:tblW w:w="984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35"/>
        <w:gridCol w:w="1545"/>
        <w:gridCol w:w="2305"/>
        <w:gridCol w:w="1290"/>
        <w:gridCol w:w="915"/>
        <w:gridCol w:w="2290"/>
        <w:gridCol w:w="860"/>
      </w:tblGrid>
      <w:tr w14:paraId="4098D0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635" w:type="dxa"/>
            <w:vMerge w:val="restart"/>
            <w:vAlign w:val="center"/>
          </w:tcPr>
          <w:p w14:paraId="18684091">
            <w:pPr>
              <w:wordWrap/>
              <w:autoSpaceDE w:val="0"/>
              <w:autoSpaceDN w:val="0"/>
              <w:spacing w:before="0" w:after="0" w:line="260" w:lineRule="atLeast"/>
              <w:ind w:left="0" w:right="0"/>
              <w:jc w:val="center"/>
              <w:textAlignment w:val="auto"/>
              <w:rPr>
                <w:sz w:val="21"/>
                <w:szCs w:val="21"/>
              </w:rPr>
            </w:pPr>
            <w:r>
              <w:rPr>
                <w:rFonts w:ascii="宋体" w:hAnsi="宋体" w:eastAsia="宋体" w:cs="宋体"/>
                <w:b w:val="0"/>
                <w:i w:val="0"/>
                <w:strike w:val="0"/>
                <w:color w:val="000000"/>
                <w:sz w:val="21"/>
                <w:szCs w:val="21"/>
              </w:rPr>
              <w:t>序号</w:t>
            </w:r>
          </w:p>
        </w:tc>
        <w:tc>
          <w:tcPr>
            <w:tcW w:w="5140" w:type="dxa"/>
            <w:gridSpan w:val="3"/>
            <w:vMerge w:val="restart"/>
            <w:vAlign w:val="center"/>
          </w:tcPr>
          <w:p w14:paraId="41204F96">
            <w:pPr>
              <w:wordWrap/>
              <w:autoSpaceDE w:val="0"/>
              <w:autoSpaceDN w:val="0"/>
              <w:spacing w:before="0" w:after="0" w:line="260" w:lineRule="atLeast"/>
              <w:ind w:left="0" w:right="0"/>
              <w:jc w:val="center"/>
              <w:textAlignment w:val="auto"/>
              <w:rPr>
                <w:sz w:val="21"/>
                <w:szCs w:val="21"/>
              </w:rPr>
            </w:pPr>
            <w:r>
              <w:rPr>
                <w:rFonts w:ascii="宋体" w:hAnsi="宋体" w:eastAsia="宋体" w:cs="宋体"/>
                <w:b w:val="0"/>
                <w:i w:val="0"/>
                <w:strike w:val="0"/>
                <w:color w:val="000000"/>
                <w:sz w:val="21"/>
                <w:szCs w:val="21"/>
              </w:rPr>
              <w:t>扣 罚 项</w:t>
            </w:r>
          </w:p>
        </w:tc>
        <w:tc>
          <w:tcPr>
            <w:tcW w:w="4065" w:type="dxa"/>
            <w:gridSpan w:val="3"/>
            <w:vAlign w:val="center"/>
          </w:tcPr>
          <w:p w14:paraId="20C94EB0">
            <w:pPr>
              <w:wordWrap/>
              <w:autoSpaceDE w:val="0"/>
              <w:autoSpaceDN w:val="0"/>
              <w:spacing w:before="0" w:after="0" w:line="260" w:lineRule="atLeast"/>
              <w:ind w:left="0" w:right="0"/>
              <w:jc w:val="center"/>
              <w:textAlignment w:val="auto"/>
              <w:rPr>
                <w:sz w:val="21"/>
                <w:szCs w:val="21"/>
              </w:rPr>
            </w:pPr>
            <w:r>
              <w:rPr>
                <w:rFonts w:ascii="宋体" w:hAnsi="宋体" w:eastAsia="宋体" w:cs="宋体"/>
                <w:b w:val="0"/>
                <w:i w:val="0"/>
                <w:strike w:val="0"/>
                <w:color w:val="000000"/>
                <w:sz w:val="21"/>
                <w:szCs w:val="21"/>
              </w:rPr>
              <w:t>扣罚内容确认栏</w:t>
            </w:r>
          </w:p>
        </w:tc>
      </w:tr>
      <w:tr w14:paraId="031032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635" w:type="dxa"/>
            <w:vMerge w:val="continue"/>
            <w:vAlign w:val="center"/>
          </w:tcPr>
          <w:p w14:paraId="2CF06AB9">
            <w:pPr>
              <w:jc w:val="center"/>
              <w:rPr>
                <w:sz w:val="21"/>
                <w:szCs w:val="21"/>
              </w:rPr>
            </w:pPr>
          </w:p>
        </w:tc>
        <w:tc>
          <w:tcPr>
            <w:tcW w:w="5140" w:type="dxa"/>
            <w:gridSpan w:val="3"/>
            <w:vMerge w:val="continue"/>
            <w:vAlign w:val="center"/>
          </w:tcPr>
          <w:p w14:paraId="42DAADA9">
            <w:pPr>
              <w:jc w:val="center"/>
              <w:rPr>
                <w:sz w:val="21"/>
                <w:szCs w:val="21"/>
              </w:rPr>
            </w:pPr>
          </w:p>
        </w:tc>
        <w:tc>
          <w:tcPr>
            <w:tcW w:w="915" w:type="dxa"/>
            <w:vAlign w:val="center"/>
          </w:tcPr>
          <w:p w14:paraId="5D446E2F">
            <w:pPr>
              <w:wordWrap/>
              <w:autoSpaceDE w:val="0"/>
              <w:autoSpaceDN w:val="0"/>
              <w:spacing w:before="0" w:after="0" w:line="260" w:lineRule="atLeast"/>
              <w:ind w:left="0" w:right="0"/>
              <w:jc w:val="center"/>
              <w:textAlignment w:val="auto"/>
              <w:rPr>
                <w:sz w:val="21"/>
                <w:szCs w:val="21"/>
              </w:rPr>
            </w:pPr>
            <w:r>
              <w:rPr>
                <w:rFonts w:ascii="宋体" w:hAnsi="宋体" w:eastAsia="宋体" w:cs="宋体"/>
                <w:b w:val="0"/>
                <w:i w:val="0"/>
                <w:strike w:val="0"/>
                <w:color w:val="000000"/>
                <w:sz w:val="21"/>
                <w:szCs w:val="21"/>
              </w:rPr>
              <w:t>时间地点</w:t>
            </w:r>
          </w:p>
        </w:tc>
        <w:tc>
          <w:tcPr>
            <w:tcW w:w="2290" w:type="dxa"/>
            <w:vAlign w:val="center"/>
          </w:tcPr>
          <w:p w14:paraId="5DA2A088">
            <w:pPr>
              <w:wordWrap/>
              <w:autoSpaceDE w:val="0"/>
              <w:autoSpaceDN w:val="0"/>
              <w:spacing w:before="0" w:after="0" w:line="260" w:lineRule="atLeast"/>
              <w:ind w:left="0" w:right="0"/>
              <w:jc w:val="center"/>
              <w:textAlignment w:val="auto"/>
              <w:rPr>
                <w:sz w:val="21"/>
                <w:szCs w:val="21"/>
              </w:rPr>
            </w:pPr>
            <w:r>
              <w:rPr>
                <w:rFonts w:ascii="宋体" w:hAnsi="宋体" w:eastAsia="宋体" w:cs="宋体"/>
                <w:b w:val="0"/>
                <w:i w:val="0"/>
                <w:strike w:val="0"/>
                <w:color w:val="000000"/>
                <w:sz w:val="21"/>
                <w:szCs w:val="21"/>
              </w:rPr>
              <w:t>事项</w:t>
            </w:r>
          </w:p>
        </w:tc>
        <w:tc>
          <w:tcPr>
            <w:tcW w:w="860" w:type="dxa"/>
            <w:vAlign w:val="center"/>
          </w:tcPr>
          <w:p w14:paraId="1ABFCEAD">
            <w:pPr>
              <w:wordWrap/>
              <w:autoSpaceDE w:val="0"/>
              <w:autoSpaceDN w:val="0"/>
              <w:spacing w:before="0" w:after="0" w:line="260" w:lineRule="atLeast"/>
              <w:ind w:left="0" w:right="0"/>
              <w:jc w:val="center"/>
              <w:textAlignment w:val="auto"/>
              <w:rPr>
                <w:sz w:val="21"/>
                <w:szCs w:val="21"/>
              </w:rPr>
            </w:pPr>
            <w:r>
              <w:rPr>
                <w:rFonts w:ascii="宋体" w:hAnsi="宋体" w:eastAsia="宋体" w:cs="宋体"/>
                <w:b w:val="0"/>
                <w:i w:val="0"/>
                <w:strike w:val="0"/>
                <w:color w:val="000000"/>
                <w:sz w:val="21"/>
                <w:szCs w:val="21"/>
              </w:rPr>
              <w:t>扣分数</w:t>
            </w:r>
          </w:p>
        </w:tc>
      </w:tr>
      <w:tr w14:paraId="61DE8D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5" w:hRule="atLeast"/>
          <w:jc w:val="center"/>
        </w:trPr>
        <w:tc>
          <w:tcPr>
            <w:tcW w:w="635" w:type="dxa"/>
            <w:vAlign w:val="center"/>
          </w:tcPr>
          <w:p w14:paraId="6006207A">
            <w:pPr>
              <w:wordWrap/>
              <w:autoSpaceDE w:val="0"/>
              <w:autoSpaceDN w:val="0"/>
              <w:spacing w:before="0" w:after="0" w:line="260" w:lineRule="atLeast"/>
              <w:ind w:left="0" w:right="0"/>
              <w:jc w:val="center"/>
              <w:textAlignment w:val="auto"/>
              <w:rPr>
                <w:sz w:val="21"/>
                <w:szCs w:val="21"/>
              </w:rPr>
            </w:pPr>
            <w:r>
              <w:rPr>
                <w:rFonts w:ascii="宋体" w:hAnsi="宋体" w:eastAsia="宋体" w:cs="宋体"/>
                <w:b w:val="0"/>
                <w:i w:val="0"/>
                <w:strike w:val="0"/>
                <w:color w:val="000000"/>
                <w:sz w:val="21"/>
                <w:szCs w:val="21"/>
              </w:rPr>
              <w:t>1</w:t>
            </w:r>
          </w:p>
        </w:tc>
        <w:tc>
          <w:tcPr>
            <w:tcW w:w="1545" w:type="dxa"/>
            <w:vAlign w:val="center"/>
          </w:tcPr>
          <w:p w14:paraId="213AA66C">
            <w:pPr>
              <w:wordWrap/>
              <w:autoSpaceDE w:val="0"/>
              <w:autoSpaceDN w:val="0"/>
              <w:spacing w:before="0" w:after="0" w:line="260" w:lineRule="atLeast"/>
              <w:ind w:left="0" w:right="0"/>
              <w:jc w:val="center"/>
              <w:textAlignment w:val="auto"/>
              <w:rPr>
                <w:sz w:val="21"/>
                <w:szCs w:val="21"/>
              </w:rPr>
            </w:pPr>
            <w:r>
              <w:rPr>
                <w:rFonts w:ascii="宋体" w:hAnsi="宋体" w:eastAsia="宋体" w:cs="宋体"/>
                <w:b w:val="0"/>
                <w:i w:val="0"/>
                <w:strike w:val="0"/>
                <w:color w:val="000000"/>
                <w:sz w:val="21"/>
                <w:szCs w:val="21"/>
              </w:rPr>
              <w:t>紧急故障处理</w:t>
            </w:r>
          </w:p>
        </w:tc>
        <w:tc>
          <w:tcPr>
            <w:tcW w:w="2305" w:type="dxa"/>
            <w:vAlign w:val="center"/>
          </w:tcPr>
          <w:p w14:paraId="339C2EE6">
            <w:pPr>
              <w:wordWrap/>
              <w:autoSpaceDE w:val="0"/>
              <w:autoSpaceDN w:val="0"/>
              <w:spacing w:before="0" w:after="0" w:line="260" w:lineRule="atLeast"/>
              <w:ind w:left="0" w:right="0"/>
              <w:jc w:val="center"/>
              <w:textAlignment w:val="auto"/>
              <w:rPr>
                <w:sz w:val="21"/>
                <w:szCs w:val="21"/>
              </w:rPr>
            </w:pPr>
            <w:r>
              <w:rPr>
                <w:rFonts w:ascii="宋体" w:hAnsi="宋体" w:eastAsia="宋体" w:cs="宋体"/>
                <w:b w:val="0"/>
                <w:i w:val="0"/>
                <w:strike w:val="0"/>
                <w:color w:val="000000"/>
                <w:sz w:val="21"/>
                <w:szCs w:val="21"/>
              </w:rPr>
              <w:t>15分钟内到达现场</w:t>
            </w:r>
          </w:p>
        </w:tc>
        <w:tc>
          <w:tcPr>
            <w:tcW w:w="1290" w:type="dxa"/>
            <w:vAlign w:val="center"/>
          </w:tcPr>
          <w:p w14:paraId="22BD7C7C">
            <w:pPr>
              <w:wordWrap/>
              <w:autoSpaceDE w:val="0"/>
              <w:autoSpaceDN w:val="0"/>
              <w:spacing w:before="0" w:after="0" w:line="300" w:lineRule="atLeast"/>
              <w:ind w:left="0" w:right="0"/>
              <w:jc w:val="center"/>
              <w:textAlignment w:val="auto"/>
              <w:rPr>
                <w:sz w:val="21"/>
                <w:szCs w:val="21"/>
              </w:rPr>
            </w:pPr>
            <w:r>
              <w:rPr>
                <w:rFonts w:ascii="宋体" w:hAnsi="宋体" w:eastAsia="宋体" w:cs="宋体"/>
                <w:b w:val="0"/>
                <w:i w:val="0"/>
                <w:strike w:val="0"/>
                <w:color w:val="000000"/>
                <w:sz w:val="21"/>
                <w:szCs w:val="21"/>
              </w:rPr>
              <w:t>超过到时间</w:t>
            </w:r>
          </w:p>
          <w:p w14:paraId="78348478">
            <w:pPr>
              <w:wordWrap/>
              <w:autoSpaceDE w:val="0"/>
              <w:autoSpaceDN w:val="0"/>
              <w:spacing w:before="0" w:after="0" w:line="280" w:lineRule="atLeast"/>
              <w:ind w:left="0" w:right="0"/>
              <w:jc w:val="center"/>
              <w:textAlignment w:val="auto"/>
              <w:rPr>
                <w:sz w:val="21"/>
                <w:szCs w:val="21"/>
              </w:rPr>
            </w:pPr>
            <w:r>
              <w:rPr>
                <w:rFonts w:ascii="宋体" w:hAnsi="宋体" w:eastAsia="宋体" w:cs="宋体"/>
                <w:b w:val="0"/>
                <w:i w:val="0"/>
                <w:strike w:val="0"/>
                <w:color w:val="000000"/>
                <w:sz w:val="21"/>
                <w:szCs w:val="21"/>
              </w:rPr>
              <w:t>每次扣 15分</w:t>
            </w:r>
          </w:p>
        </w:tc>
        <w:tc>
          <w:tcPr>
            <w:tcW w:w="915" w:type="dxa"/>
            <w:vAlign w:val="center"/>
          </w:tcPr>
          <w:p w14:paraId="76B62E0B">
            <w:pPr>
              <w:wordWrap/>
              <w:spacing w:before="0" w:after="0" w:line="240" w:lineRule="exact"/>
              <w:ind w:left="0" w:right="0"/>
              <w:jc w:val="center"/>
              <w:textAlignment w:val="auto"/>
              <w:rPr>
                <w:sz w:val="21"/>
                <w:szCs w:val="21"/>
              </w:rPr>
            </w:pPr>
          </w:p>
        </w:tc>
        <w:tc>
          <w:tcPr>
            <w:tcW w:w="2290" w:type="dxa"/>
            <w:vAlign w:val="center"/>
          </w:tcPr>
          <w:p w14:paraId="6B0C6ABF">
            <w:pPr>
              <w:wordWrap/>
              <w:spacing w:before="0" w:after="0" w:line="240" w:lineRule="exact"/>
              <w:ind w:left="0" w:right="0"/>
              <w:jc w:val="center"/>
              <w:textAlignment w:val="auto"/>
              <w:rPr>
                <w:sz w:val="21"/>
                <w:szCs w:val="21"/>
              </w:rPr>
            </w:pPr>
          </w:p>
        </w:tc>
        <w:tc>
          <w:tcPr>
            <w:tcW w:w="860" w:type="dxa"/>
            <w:vAlign w:val="center"/>
          </w:tcPr>
          <w:p w14:paraId="72084BD5">
            <w:pPr>
              <w:wordWrap/>
              <w:spacing w:before="0" w:after="0" w:line="240" w:lineRule="exact"/>
              <w:ind w:left="0" w:right="0"/>
              <w:jc w:val="center"/>
              <w:textAlignment w:val="auto"/>
              <w:rPr>
                <w:sz w:val="21"/>
                <w:szCs w:val="21"/>
              </w:rPr>
            </w:pPr>
          </w:p>
        </w:tc>
      </w:tr>
      <w:tr w14:paraId="70E9BD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635" w:type="dxa"/>
            <w:vAlign w:val="center"/>
          </w:tcPr>
          <w:p w14:paraId="0A93DE3B">
            <w:pPr>
              <w:wordWrap/>
              <w:autoSpaceDE w:val="0"/>
              <w:autoSpaceDN w:val="0"/>
              <w:spacing w:before="0" w:after="0" w:line="260" w:lineRule="atLeast"/>
              <w:ind w:left="0" w:right="0"/>
              <w:jc w:val="center"/>
              <w:textAlignment w:val="auto"/>
              <w:rPr>
                <w:sz w:val="21"/>
                <w:szCs w:val="21"/>
              </w:rPr>
            </w:pPr>
            <w:r>
              <w:rPr>
                <w:rFonts w:ascii="宋体" w:hAnsi="宋体" w:eastAsia="宋体" w:cs="宋体"/>
                <w:b w:val="0"/>
                <w:i w:val="0"/>
                <w:strike w:val="0"/>
                <w:color w:val="000000"/>
                <w:sz w:val="21"/>
                <w:szCs w:val="21"/>
              </w:rPr>
              <w:t>2</w:t>
            </w:r>
          </w:p>
        </w:tc>
        <w:tc>
          <w:tcPr>
            <w:tcW w:w="1545" w:type="dxa"/>
            <w:vAlign w:val="center"/>
          </w:tcPr>
          <w:p w14:paraId="00D8C394">
            <w:pPr>
              <w:wordWrap/>
              <w:autoSpaceDE w:val="0"/>
              <w:autoSpaceDN w:val="0"/>
              <w:spacing w:before="0" w:after="0" w:line="260" w:lineRule="atLeast"/>
              <w:ind w:left="0" w:right="0"/>
              <w:jc w:val="center"/>
              <w:textAlignment w:val="auto"/>
              <w:rPr>
                <w:sz w:val="21"/>
                <w:szCs w:val="21"/>
              </w:rPr>
            </w:pPr>
            <w:r>
              <w:rPr>
                <w:rFonts w:ascii="宋体" w:hAnsi="宋体" w:eastAsia="宋体" w:cs="宋体"/>
                <w:b w:val="0"/>
                <w:i w:val="0"/>
                <w:strike w:val="0"/>
                <w:color w:val="000000"/>
                <w:sz w:val="21"/>
                <w:szCs w:val="21"/>
              </w:rPr>
              <w:t>一般性故障处理</w:t>
            </w:r>
          </w:p>
        </w:tc>
        <w:tc>
          <w:tcPr>
            <w:tcW w:w="2305" w:type="dxa"/>
            <w:vAlign w:val="center"/>
          </w:tcPr>
          <w:p w14:paraId="1C670AA7">
            <w:pPr>
              <w:wordWrap/>
              <w:autoSpaceDE w:val="0"/>
              <w:autoSpaceDN w:val="0"/>
              <w:spacing w:before="0" w:after="0" w:line="260" w:lineRule="atLeast"/>
              <w:ind w:left="0" w:right="0"/>
              <w:jc w:val="center"/>
              <w:textAlignment w:val="auto"/>
              <w:rPr>
                <w:sz w:val="21"/>
                <w:szCs w:val="21"/>
              </w:rPr>
            </w:pPr>
            <w:r>
              <w:rPr>
                <w:rFonts w:ascii="宋体" w:hAnsi="宋体" w:eastAsia="宋体" w:cs="宋体"/>
                <w:b w:val="0"/>
                <w:i w:val="0"/>
                <w:strike w:val="0"/>
                <w:color w:val="000000"/>
                <w:sz w:val="21"/>
                <w:szCs w:val="21"/>
              </w:rPr>
              <w:t>30分钟内到达现场</w:t>
            </w:r>
          </w:p>
        </w:tc>
        <w:tc>
          <w:tcPr>
            <w:tcW w:w="1290" w:type="dxa"/>
            <w:vAlign w:val="center"/>
          </w:tcPr>
          <w:p w14:paraId="5D948777">
            <w:pPr>
              <w:wordWrap/>
              <w:autoSpaceDE w:val="0"/>
              <w:autoSpaceDN w:val="0"/>
              <w:spacing w:before="0" w:after="0" w:line="300" w:lineRule="atLeast"/>
              <w:ind w:left="0" w:right="0"/>
              <w:jc w:val="center"/>
              <w:textAlignment w:val="auto"/>
              <w:rPr>
                <w:sz w:val="21"/>
                <w:szCs w:val="21"/>
              </w:rPr>
            </w:pPr>
            <w:r>
              <w:rPr>
                <w:rFonts w:ascii="宋体" w:hAnsi="宋体" w:eastAsia="宋体" w:cs="宋体"/>
                <w:b w:val="0"/>
                <w:i w:val="0"/>
                <w:strike w:val="0"/>
                <w:color w:val="000000"/>
                <w:sz w:val="21"/>
                <w:szCs w:val="21"/>
              </w:rPr>
              <w:t>超过到时间</w:t>
            </w:r>
          </w:p>
          <w:p w14:paraId="2CC4E98E">
            <w:pPr>
              <w:wordWrap/>
              <w:autoSpaceDE w:val="0"/>
              <w:autoSpaceDN w:val="0"/>
              <w:spacing w:before="0" w:after="0" w:line="300" w:lineRule="atLeast"/>
              <w:ind w:left="0" w:right="0"/>
              <w:jc w:val="center"/>
              <w:textAlignment w:val="auto"/>
              <w:rPr>
                <w:sz w:val="21"/>
                <w:szCs w:val="21"/>
              </w:rPr>
            </w:pPr>
            <w:r>
              <w:rPr>
                <w:rFonts w:ascii="宋体" w:hAnsi="宋体" w:eastAsia="宋体" w:cs="宋体"/>
                <w:b w:val="0"/>
                <w:i w:val="0"/>
                <w:strike w:val="0"/>
                <w:color w:val="000000"/>
                <w:sz w:val="21"/>
                <w:szCs w:val="21"/>
              </w:rPr>
              <w:t>每次扣15分</w:t>
            </w:r>
          </w:p>
        </w:tc>
        <w:tc>
          <w:tcPr>
            <w:tcW w:w="915" w:type="dxa"/>
            <w:vAlign w:val="center"/>
          </w:tcPr>
          <w:p w14:paraId="7D171D87">
            <w:pPr>
              <w:wordWrap/>
              <w:spacing w:before="0" w:after="0" w:line="240" w:lineRule="exact"/>
              <w:ind w:left="0" w:right="0"/>
              <w:jc w:val="center"/>
              <w:textAlignment w:val="auto"/>
              <w:rPr>
                <w:sz w:val="21"/>
                <w:szCs w:val="21"/>
              </w:rPr>
            </w:pPr>
          </w:p>
        </w:tc>
        <w:tc>
          <w:tcPr>
            <w:tcW w:w="2290" w:type="dxa"/>
            <w:vAlign w:val="center"/>
          </w:tcPr>
          <w:p w14:paraId="77D8D366">
            <w:pPr>
              <w:wordWrap/>
              <w:spacing w:before="0" w:after="0" w:line="240" w:lineRule="exact"/>
              <w:ind w:left="0" w:right="0"/>
              <w:jc w:val="center"/>
              <w:textAlignment w:val="auto"/>
              <w:rPr>
                <w:sz w:val="21"/>
                <w:szCs w:val="21"/>
              </w:rPr>
            </w:pPr>
          </w:p>
        </w:tc>
        <w:tc>
          <w:tcPr>
            <w:tcW w:w="860" w:type="dxa"/>
            <w:vAlign w:val="center"/>
          </w:tcPr>
          <w:p w14:paraId="02DF6FCD">
            <w:pPr>
              <w:wordWrap/>
              <w:spacing w:before="0" w:after="0" w:line="240" w:lineRule="exact"/>
              <w:ind w:left="0" w:right="0"/>
              <w:jc w:val="center"/>
              <w:textAlignment w:val="auto"/>
              <w:rPr>
                <w:sz w:val="21"/>
                <w:szCs w:val="21"/>
              </w:rPr>
            </w:pPr>
          </w:p>
        </w:tc>
      </w:tr>
      <w:tr w14:paraId="3277B9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60" w:hRule="atLeast"/>
          <w:jc w:val="center"/>
        </w:trPr>
        <w:tc>
          <w:tcPr>
            <w:tcW w:w="635" w:type="dxa"/>
            <w:vAlign w:val="center"/>
          </w:tcPr>
          <w:p w14:paraId="6199DEB2">
            <w:pPr>
              <w:wordWrap/>
              <w:autoSpaceDE w:val="0"/>
              <w:autoSpaceDN w:val="0"/>
              <w:spacing w:before="0" w:after="0" w:line="260" w:lineRule="atLeast"/>
              <w:ind w:left="0" w:right="0"/>
              <w:jc w:val="center"/>
              <w:textAlignment w:val="auto"/>
              <w:rPr>
                <w:sz w:val="21"/>
                <w:szCs w:val="21"/>
              </w:rPr>
            </w:pPr>
            <w:r>
              <w:rPr>
                <w:rFonts w:ascii="宋体" w:hAnsi="宋体" w:eastAsia="宋体" w:cs="宋体"/>
                <w:b w:val="0"/>
                <w:i w:val="0"/>
                <w:strike w:val="0"/>
                <w:color w:val="000000"/>
                <w:sz w:val="21"/>
                <w:szCs w:val="21"/>
              </w:rPr>
              <w:t>3</w:t>
            </w:r>
          </w:p>
        </w:tc>
        <w:tc>
          <w:tcPr>
            <w:tcW w:w="1545" w:type="dxa"/>
            <w:vAlign w:val="center"/>
          </w:tcPr>
          <w:p w14:paraId="7F7E8B9D">
            <w:pPr>
              <w:wordWrap/>
              <w:autoSpaceDE w:val="0"/>
              <w:autoSpaceDN w:val="0"/>
              <w:spacing w:before="0" w:after="0" w:line="320" w:lineRule="atLeast"/>
              <w:ind w:left="0" w:right="0"/>
              <w:jc w:val="center"/>
              <w:textAlignment w:val="auto"/>
              <w:rPr>
                <w:sz w:val="21"/>
                <w:szCs w:val="21"/>
              </w:rPr>
            </w:pPr>
            <w:r>
              <w:rPr>
                <w:rFonts w:ascii="宋体" w:hAnsi="宋体" w:eastAsia="宋体" w:cs="宋体"/>
                <w:b w:val="0"/>
                <w:i w:val="0"/>
                <w:strike w:val="0"/>
                <w:color w:val="000000"/>
                <w:sz w:val="21"/>
                <w:szCs w:val="21"/>
              </w:rPr>
              <w:t>维保工作不规范，对客户造成影响而受到投诉</w:t>
            </w:r>
          </w:p>
        </w:tc>
        <w:tc>
          <w:tcPr>
            <w:tcW w:w="2305" w:type="dxa"/>
            <w:vAlign w:val="center"/>
          </w:tcPr>
          <w:p w14:paraId="2039DED1">
            <w:pPr>
              <w:wordWrap/>
              <w:autoSpaceDE w:val="0"/>
              <w:autoSpaceDN w:val="0"/>
              <w:spacing w:before="0" w:after="0" w:line="260" w:lineRule="atLeast"/>
              <w:ind w:left="0" w:right="0"/>
              <w:jc w:val="center"/>
              <w:textAlignment w:val="auto"/>
              <w:rPr>
                <w:sz w:val="21"/>
                <w:szCs w:val="21"/>
              </w:rPr>
            </w:pPr>
            <w:r>
              <w:rPr>
                <w:rFonts w:ascii="宋体" w:hAnsi="宋体" w:eastAsia="宋体" w:cs="宋体"/>
                <w:b w:val="0"/>
                <w:i w:val="0"/>
                <w:strike w:val="0"/>
                <w:color w:val="000000"/>
                <w:sz w:val="21"/>
                <w:szCs w:val="21"/>
              </w:rPr>
              <w:t>不允许</w:t>
            </w:r>
          </w:p>
        </w:tc>
        <w:tc>
          <w:tcPr>
            <w:tcW w:w="1290" w:type="dxa"/>
            <w:vAlign w:val="center"/>
          </w:tcPr>
          <w:p w14:paraId="1696EB2C">
            <w:pPr>
              <w:wordWrap/>
              <w:autoSpaceDE w:val="0"/>
              <w:autoSpaceDN w:val="0"/>
              <w:spacing w:before="0" w:after="0" w:line="260" w:lineRule="atLeast"/>
              <w:ind w:left="0" w:right="0"/>
              <w:jc w:val="center"/>
              <w:textAlignment w:val="auto"/>
              <w:rPr>
                <w:sz w:val="21"/>
                <w:szCs w:val="21"/>
              </w:rPr>
            </w:pPr>
            <w:r>
              <w:rPr>
                <w:rFonts w:ascii="宋体" w:hAnsi="宋体" w:eastAsia="宋体" w:cs="宋体"/>
                <w:b w:val="0"/>
                <w:i w:val="0"/>
                <w:strike w:val="0"/>
                <w:color w:val="000000"/>
                <w:sz w:val="21"/>
                <w:szCs w:val="21"/>
              </w:rPr>
              <w:t>每次扣15分</w:t>
            </w:r>
          </w:p>
        </w:tc>
        <w:tc>
          <w:tcPr>
            <w:tcW w:w="915" w:type="dxa"/>
            <w:vAlign w:val="center"/>
          </w:tcPr>
          <w:p w14:paraId="632387C5">
            <w:pPr>
              <w:wordWrap/>
              <w:spacing w:before="0" w:after="0" w:line="240" w:lineRule="exact"/>
              <w:ind w:left="0" w:right="0"/>
              <w:jc w:val="center"/>
              <w:textAlignment w:val="auto"/>
              <w:rPr>
                <w:sz w:val="21"/>
                <w:szCs w:val="21"/>
              </w:rPr>
            </w:pPr>
          </w:p>
        </w:tc>
        <w:tc>
          <w:tcPr>
            <w:tcW w:w="2290" w:type="dxa"/>
            <w:vAlign w:val="center"/>
          </w:tcPr>
          <w:p w14:paraId="3843245E">
            <w:pPr>
              <w:wordWrap/>
              <w:spacing w:before="0" w:after="0" w:line="240" w:lineRule="exact"/>
              <w:ind w:left="0" w:right="0"/>
              <w:jc w:val="center"/>
              <w:textAlignment w:val="auto"/>
              <w:rPr>
                <w:rFonts w:hint="default" w:eastAsiaTheme="minorEastAsia"/>
                <w:sz w:val="21"/>
                <w:szCs w:val="21"/>
                <w:lang w:val="en-US" w:eastAsia="zh-CN"/>
              </w:rPr>
            </w:pPr>
          </w:p>
        </w:tc>
        <w:tc>
          <w:tcPr>
            <w:tcW w:w="860" w:type="dxa"/>
            <w:vAlign w:val="center"/>
          </w:tcPr>
          <w:p w14:paraId="280F36AB">
            <w:pPr>
              <w:wordWrap/>
              <w:spacing w:before="0" w:after="0" w:line="240" w:lineRule="exact"/>
              <w:ind w:left="0" w:right="0"/>
              <w:jc w:val="center"/>
              <w:textAlignment w:val="auto"/>
              <w:rPr>
                <w:rFonts w:hint="default" w:eastAsiaTheme="minorEastAsia"/>
                <w:sz w:val="21"/>
                <w:szCs w:val="21"/>
                <w:lang w:val="en-US" w:eastAsia="zh-CN"/>
              </w:rPr>
            </w:pPr>
          </w:p>
        </w:tc>
      </w:tr>
      <w:tr w14:paraId="5AFD91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15" w:hRule="atLeast"/>
          <w:jc w:val="center"/>
        </w:trPr>
        <w:tc>
          <w:tcPr>
            <w:tcW w:w="635" w:type="dxa"/>
            <w:vAlign w:val="center"/>
          </w:tcPr>
          <w:p w14:paraId="4053E807">
            <w:pPr>
              <w:wordWrap/>
              <w:autoSpaceDE w:val="0"/>
              <w:autoSpaceDN w:val="0"/>
              <w:spacing w:before="0" w:after="0" w:line="260" w:lineRule="atLeast"/>
              <w:ind w:left="0" w:right="0"/>
              <w:jc w:val="center"/>
              <w:textAlignment w:val="auto"/>
              <w:rPr>
                <w:sz w:val="21"/>
                <w:szCs w:val="21"/>
              </w:rPr>
            </w:pPr>
            <w:r>
              <w:rPr>
                <w:rFonts w:ascii="宋体" w:hAnsi="宋体" w:eastAsia="宋体" w:cs="宋体"/>
                <w:b w:val="0"/>
                <w:i w:val="0"/>
                <w:strike w:val="0"/>
                <w:color w:val="000000"/>
                <w:sz w:val="21"/>
                <w:szCs w:val="21"/>
              </w:rPr>
              <w:t>4</w:t>
            </w:r>
          </w:p>
        </w:tc>
        <w:tc>
          <w:tcPr>
            <w:tcW w:w="1545" w:type="dxa"/>
            <w:vAlign w:val="center"/>
          </w:tcPr>
          <w:p w14:paraId="6CC7FB98">
            <w:pPr>
              <w:wordWrap/>
              <w:autoSpaceDE w:val="0"/>
              <w:autoSpaceDN w:val="0"/>
              <w:spacing w:before="0" w:after="0" w:line="260" w:lineRule="atLeast"/>
              <w:ind w:left="0" w:right="0"/>
              <w:jc w:val="center"/>
              <w:textAlignment w:val="auto"/>
              <w:rPr>
                <w:sz w:val="21"/>
                <w:szCs w:val="21"/>
              </w:rPr>
            </w:pPr>
            <w:r>
              <w:rPr>
                <w:rFonts w:ascii="宋体" w:hAnsi="宋体" w:eastAsia="宋体" w:cs="宋体"/>
                <w:b w:val="0"/>
                <w:i w:val="0"/>
                <w:strike w:val="0"/>
                <w:color w:val="000000"/>
                <w:sz w:val="21"/>
                <w:szCs w:val="21"/>
              </w:rPr>
              <w:t>维保计划执行</w:t>
            </w:r>
          </w:p>
        </w:tc>
        <w:tc>
          <w:tcPr>
            <w:tcW w:w="2305" w:type="dxa"/>
            <w:vAlign w:val="center"/>
          </w:tcPr>
          <w:p w14:paraId="7EA0639C">
            <w:pPr>
              <w:wordWrap/>
              <w:autoSpaceDE w:val="0"/>
              <w:autoSpaceDN w:val="0"/>
              <w:spacing w:before="0" w:after="0" w:line="300" w:lineRule="atLeast"/>
              <w:ind w:left="0" w:right="0"/>
              <w:jc w:val="center"/>
              <w:textAlignment w:val="auto"/>
              <w:rPr>
                <w:sz w:val="21"/>
                <w:szCs w:val="21"/>
              </w:rPr>
            </w:pPr>
            <w:r>
              <w:rPr>
                <w:rFonts w:ascii="宋体" w:hAnsi="宋体" w:eastAsia="宋体" w:cs="宋体"/>
                <w:b w:val="0"/>
                <w:i w:val="0"/>
                <w:strike w:val="0"/>
                <w:color w:val="000000"/>
                <w:sz w:val="21"/>
                <w:szCs w:val="21"/>
              </w:rPr>
              <w:t>每月两次，时间不超过15天完成</w:t>
            </w:r>
          </w:p>
        </w:tc>
        <w:tc>
          <w:tcPr>
            <w:tcW w:w="1290" w:type="dxa"/>
            <w:vAlign w:val="center"/>
          </w:tcPr>
          <w:p w14:paraId="62615B8B">
            <w:pPr>
              <w:wordWrap/>
              <w:autoSpaceDE w:val="0"/>
              <w:autoSpaceDN w:val="0"/>
              <w:spacing w:before="0" w:after="0" w:line="300" w:lineRule="atLeast"/>
              <w:ind w:left="0" w:right="0"/>
              <w:jc w:val="center"/>
              <w:textAlignment w:val="auto"/>
              <w:rPr>
                <w:sz w:val="21"/>
                <w:szCs w:val="21"/>
              </w:rPr>
            </w:pPr>
            <w:r>
              <w:rPr>
                <w:rFonts w:ascii="宋体" w:hAnsi="宋体" w:eastAsia="宋体" w:cs="宋体"/>
                <w:b w:val="0"/>
                <w:i w:val="0"/>
                <w:strike w:val="0"/>
                <w:color w:val="000000"/>
                <w:sz w:val="21"/>
                <w:szCs w:val="21"/>
              </w:rPr>
              <w:t>超过每天扣</w:t>
            </w:r>
          </w:p>
          <w:p w14:paraId="0D8811A2">
            <w:pPr>
              <w:wordWrap/>
              <w:autoSpaceDE w:val="0"/>
              <w:autoSpaceDN w:val="0"/>
              <w:spacing w:before="0" w:after="0" w:line="300" w:lineRule="atLeast"/>
              <w:ind w:left="0" w:right="0"/>
              <w:jc w:val="center"/>
              <w:textAlignment w:val="auto"/>
              <w:rPr>
                <w:sz w:val="21"/>
                <w:szCs w:val="21"/>
              </w:rPr>
            </w:pPr>
            <w:r>
              <w:rPr>
                <w:rFonts w:ascii="宋体" w:hAnsi="宋体" w:eastAsia="宋体" w:cs="宋体"/>
                <w:b w:val="0"/>
                <w:i w:val="0"/>
                <w:strike w:val="0"/>
                <w:color w:val="000000"/>
                <w:sz w:val="21"/>
                <w:szCs w:val="21"/>
              </w:rPr>
              <w:t>5分</w:t>
            </w:r>
          </w:p>
        </w:tc>
        <w:tc>
          <w:tcPr>
            <w:tcW w:w="915" w:type="dxa"/>
            <w:vAlign w:val="center"/>
          </w:tcPr>
          <w:p w14:paraId="7B4AA142">
            <w:pPr>
              <w:wordWrap/>
              <w:spacing w:before="0" w:after="0" w:line="240" w:lineRule="exact"/>
              <w:ind w:left="0" w:right="0"/>
              <w:jc w:val="center"/>
              <w:textAlignment w:val="auto"/>
              <w:rPr>
                <w:sz w:val="21"/>
                <w:szCs w:val="21"/>
              </w:rPr>
            </w:pPr>
          </w:p>
        </w:tc>
        <w:tc>
          <w:tcPr>
            <w:tcW w:w="2290" w:type="dxa"/>
            <w:vAlign w:val="center"/>
          </w:tcPr>
          <w:p w14:paraId="267D5528">
            <w:pPr>
              <w:wordWrap/>
              <w:spacing w:before="0" w:after="0" w:line="240" w:lineRule="exact"/>
              <w:ind w:left="0" w:right="0"/>
              <w:jc w:val="center"/>
              <w:textAlignment w:val="auto"/>
              <w:rPr>
                <w:sz w:val="21"/>
                <w:szCs w:val="21"/>
              </w:rPr>
            </w:pPr>
          </w:p>
        </w:tc>
        <w:tc>
          <w:tcPr>
            <w:tcW w:w="860" w:type="dxa"/>
            <w:vAlign w:val="center"/>
          </w:tcPr>
          <w:p w14:paraId="65BAE008">
            <w:pPr>
              <w:wordWrap/>
              <w:spacing w:before="0" w:after="0" w:line="240" w:lineRule="exact"/>
              <w:ind w:left="0" w:right="0"/>
              <w:jc w:val="center"/>
              <w:textAlignment w:val="auto"/>
              <w:rPr>
                <w:sz w:val="21"/>
                <w:szCs w:val="21"/>
              </w:rPr>
            </w:pPr>
          </w:p>
        </w:tc>
      </w:tr>
      <w:tr w14:paraId="5A2363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20" w:hRule="atLeast"/>
          <w:jc w:val="center"/>
        </w:trPr>
        <w:tc>
          <w:tcPr>
            <w:tcW w:w="635" w:type="dxa"/>
            <w:vAlign w:val="center"/>
          </w:tcPr>
          <w:p w14:paraId="751B7C66">
            <w:pPr>
              <w:wordWrap/>
              <w:autoSpaceDE w:val="0"/>
              <w:autoSpaceDN w:val="0"/>
              <w:spacing w:before="0" w:after="0" w:line="260" w:lineRule="atLeast"/>
              <w:ind w:left="0" w:right="0"/>
              <w:jc w:val="center"/>
              <w:textAlignment w:val="auto"/>
              <w:rPr>
                <w:sz w:val="21"/>
                <w:szCs w:val="21"/>
              </w:rPr>
            </w:pPr>
            <w:r>
              <w:rPr>
                <w:rFonts w:ascii="宋体" w:hAnsi="宋体" w:eastAsia="宋体" w:cs="宋体"/>
                <w:b w:val="0"/>
                <w:i w:val="0"/>
                <w:strike w:val="0"/>
                <w:color w:val="000000"/>
                <w:sz w:val="21"/>
                <w:szCs w:val="21"/>
              </w:rPr>
              <w:t>5</w:t>
            </w:r>
          </w:p>
        </w:tc>
        <w:tc>
          <w:tcPr>
            <w:tcW w:w="1545" w:type="dxa"/>
            <w:vAlign w:val="center"/>
          </w:tcPr>
          <w:p w14:paraId="25650D2D">
            <w:pPr>
              <w:wordWrap/>
              <w:autoSpaceDE w:val="0"/>
              <w:autoSpaceDN w:val="0"/>
              <w:spacing w:before="0" w:after="0" w:line="300" w:lineRule="atLeast"/>
              <w:ind w:left="0" w:right="0"/>
              <w:jc w:val="center"/>
              <w:textAlignment w:val="auto"/>
              <w:rPr>
                <w:sz w:val="21"/>
                <w:szCs w:val="21"/>
              </w:rPr>
            </w:pPr>
            <w:r>
              <w:rPr>
                <w:rFonts w:ascii="宋体" w:hAnsi="宋体" w:eastAsia="宋体" w:cs="宋体"/>
                <w:b w:val="0"/>
                <w:i w:val="0"/>
                <w:strike w:val="0"/>
                <w:color w:val="000000"/>
                <w:sz w:val="21"/>
                <w:szCs w:val="21"/>
              </w:rPr>
              <w:t>对故障无法查明原因</w:t>
            </w:r>
          </w:p>
        </w:tc>
        <w:tc>
          <w:tcPr>
            <w:tcW w:w="2305" w:type="dxa"/>
            <w:vAlign w:val="center"/>
          </w:tcPr>
          <w:p w14:paraId="2558498B">
            <w:pPr>
              <w:wordWrap/>
              <w:autoSpaceDE w:val="0"/>
              <w:autoSpaceDN w:val="0"/>
              <w:spacing w:before="0" w:after="0" w:line="320" w:lineRule="atLeast"/>
              <w:ind w:left="0" w:right="0"/>
              <w:jc w:val="both"/>
              <w:textAlignment w:val="auto"/>
              <w:rPr>
                <w:sz w:val="21"/>
                <w:szCs w:val="21"/>
              </w:rPr>
            </w:pPr>
            <w:r>
              <w:rPr>
                <w:rFonts w:ascii="宋体" w:hAnsi="宋体" w:eastAsia="宋体" w:cs="宋体"/>
                <w:b w:val="0"/>
                <w:i w:val="0"/>
                <w:strike w:val="0"/>
                <w:color w:val="000000"/>
                <w:sz w:val="21"/>
                <w:szCs w:val="21"/>
              </w:rPr>
              <w:t>普通故障不超过2小时，特殊故障不超过24小时</w:t>
            </w:r>
          </w:p>
        </w:tc>
        <w:tc>
          <w:tcPr>
            <w:tcW w:w="1290" w:type="dxa"/>
            <w:vAlign w:val="center"/>
          </w:tcPr>
          <w:p w14:paraId="01626DF1">
            <w:pPr>
              <w:wordWrap/>
              <w:autoSpaceDE w:val="0"/>
              <w:autoSpaceDN w:val="0"/>
              <w:spacing w:before="0" w:after="0" w:line="300" w:lineRule="atLeast"/>
              <w:ind w:left="0" w:right="0"/>
              <w:jc w:val="center"/>
              <w:textAlignment w:val="auto"/>
              <w:rPr>
                <w:sz w:val="21"/>
                <w:szCs w:val="21"/>
              </w:rPr>
            </w:pPr>
            <w:r>
              <w:rPr>
                <w:rFonts w:ascii="宋体" w:hAnsi="宋体" w:eastAsia="宋体" w:cs="宋体"/>
                <w:b w:val="0"/>
                <w:i w:val="0"/>
                <w:strike w:val="0"/>
                <w:color w:val="000000"/>
                <w:sz w:val="21"/>
                <w:szCs w:val="21"/>
              </w:rPr>
              <w:t>超过每天扣</w:t>
            </w:r>
          </w:p>
          <w:p w14:paraId="5D3F5516">
            <w:pPr>
              <w:wordWrap/>
              <w:autoSpaceDE w:val="0"/>
              <w:autoSpaceDN w:val="0"/>
              <w:spacing w:before="0" w:after="0" w:line="300" w:lineRule="atLeast"/>
              <w:ind w:left="0" w:right="0"/>
              <w:jc w:val="center"/>
              <w:textAlignment w:val="auto"/>
              <w:rPr>
                <w:sz w:val="21"/>
                <w:szCs w:val="21"/>
              </w:rPr>
            </w:pPr>
            <w:r>
              <w:rPr>
                <w:rFonts w:ascii="宋体" w:hAnsi="宋体" w:eastAsia="宋体" w:cs="宋体"/>
                <w:b w:val="0"/>
                <w:i w:val="0"/>
                <w:strike w:val="0"/>
                <w:color w:val="000000"/>
                <w:sz w:val="21"/>
                <w:szCs w:val="21"/>
              </w:rPr>
              <w:t>10分</w:t>
            </w:r>
          </w:p>
        </w:tc>
        <w:tc>
          <w:tcPr>
            <w:tcW w:w="915" w:type="dxa"/>
            <w:vAlign w:val="center"/>
          </w:tcPr>
          <w:p w14:paraId="364E3703">
            <w:pPr>
              <w:wordWrap/>
              <w:spacing w:before="0" w:after="0" w:line="240" w:lineRule="exact"/>
              <w:ind w:left="0" w:right="0"/>
              <w:jc w:val="center"/>
              <w:textAlignment w:val="auto"/>
              <w:rPr>
                <w:sz w:val="21"/>
                <w:szCs w:val="21"/>
              </w:rPr>
            </w:pPr>
          </w:p>
        </w:tc>
        <w:tc>
          <w:tcPr>
            <w:tcW w:w="2290" w:type="dxa"/>
            <w:vAlign w:val="center"/>
          </w:tcPr>
          <w:p w14:paraId="2A3422C5">
            <w:pPr>
              <w:wordWrap/>
              <w:spacing w:before="0" w:after="0" w:line="240" w:lineRule="exact"/>
              <w:ind w:left="0" w:right="0"/>
              <w:jc w:val="center"/>
              <w:textAlignment w:val="auto"/>
              <w:rPr>
                <w:sz w:val="21"/>
                <w:szCs w:val="21"/>
              </w:rPr>
            </w:pPr>
          </w:p>
        </w:tc>
        <w:tc>
          <w:tcPr>
            <w:tcW w:w="860" w:type="dxa"/>
            <w:vAlign w:val="center"/>
          </w:tcPr>
          <w:p w14:paraId="3F68949E">
            <w:pPr>
              <w:wordWrap/>
              <w:spacing w:before="0" w:after="0" w:line="240" w:lineRule="exact"/>
              <w:ind w:left="0" w:right="0"/>
              <w:jc w:val="center"/>
              <w:textAlignment w:val="auto"/>
              <w:rPr>
                <w:sz w:val="21"/>
                <w:szCs w:val="21"/>
              </w:rPr>
            </w:pPr>
          </w:p>
        </w:tc>
      </w:tr>
      <w:tr w14:paraId="62233F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55" w:hRule="atLeast"/>
          <w:jc w:val="center"/>
        </w:trPr>
        <w:tc>
          <w:tcPr>
            <w:tcW w:w="635" w:type="dxa"/>
            <w:vAlign w:val="center"/>
          </w:tcPr>
          <w:p w14:paraId="108AECA3">
            <w:pPr>
              <w:wordWrap/>
              <w:autoSpaceDE w:val="0"/>
              <w:autoSpaceDN w:val="0"/>
              <w:spacing w:before="0" w:after="0" w:line="260" w:lineRule="atLeast"/>
              <w:ind w:left="0" w:right="0"/>
              <w:jc w:val="center"/>
              <w:textAlignment w:val="auto"/>
              <w:rPr>
                <w:sz w:val="21"/>
                <w:szCs w:val="21"/>
              </w:rPr>
            </w:pPr>
            <w:r>
              <w:rPr>
                <w:rFonts w:ascii="宋体" w:hAnsi="宋体" w:eastAsia="宋体" w:cs="宋体"/>
                <w:b w:val="0"/>
                <w:i w:val="0"/>
                <w:strike w:val="0"/>
                <w:color w:val="000000"/>
                <w:sz w:val="21"/>
                <w:szCs w:val="21"/>
              </w:rPr>
              <w:t>6</w:t>
            </w:r>
          </w:p>
        </w:tc>
        <w:tc>
          <w:tcPr>
            <w:tcW w:w="1545" w:type="dxa"/>
            <w:vAlign w:val="center"/>
          </w:tcPr>
          <w:p w14:paraId="227B7579">
            <w:pPr>
              <w:wordWrap/>
              <w:autoSpaceDE w:val="0"/>
              <w:autoSpaceDN w:val="0"/>
              <w:spacing w:before="0" w:after="0" w:line="320" w:lineRule="atLeast"/>
              <w:ind w:left="0" w:right="0"/>
              <w:jc w:val="center"/>
              <w:textAlignment w:val="auto"/>
              <w:rPr>
                <w:sz w:val="21"/>
                <w:szCs w:val="21"/>
              </w:rPr>
            </w:pPr>
            <w:r>
              <w:rPr>
                <w:rFonts w:ascii="宋体" w:hAnsi="宋体" w:eastAsia="宋体" w:cs="宋体"/>
                <w:b w:val="0"/>
                <w:i w:val="0"/>
                <w:strike w:val="0"/>
                <w:color w:val="000000"/>
                <w:sz w:val="21"/>
                <w:szCs w:val="21"/>
              </w:rPr>
              <w:t>故障不能彻底排除，只采取临时措施处理</w:t>
            </w:r>
          </w:p>
        </w:tc>
        <w:tc>
          <w:tcPr>
            <w:tcW w:w="2305" w:type="dxa"/>
            <w:vAlign w:val="center"/>
          </w:tcPr>
          <w:p w14:paraId="41AFAE28">
            <w:pPr>
              <w:wordWrap/>
              <w:autoSpaceDE w:val="0"/>
              <w:autoSpaceDN w:val="0"/>
              <w:spacing w:before="0" w:after="0" w:line="320" w:lineRule="atLeast"/>
              <w:ind w:left="0" w:right="0"/>
              <w:jc w:val="center"/>
              <w:textAlignment w:val="auto"/>
              <w:rPr>
                <w:sz w:val="21"/>
                <w:szCs w:val="21"/>
              </w:rPr>
            </w:pPr>
            <w:r>
              <w:rPr>
                <w:rFonts w:ascii="宋体" w:hAnsi="宋体" w:eastAsia="宋体" w:cs="宋体"/>
                <w:b w:val="0"/>
                <w:i w:val="0"/>
                <w:strike w:val="0"/>
                <w:color w:val="000000"/>
                <w:sz w:val="21"/>
                <w:szCs w:val="21"/>
              </w:rPr>
              <w:t>不超过约定解决时间</w:t>
            </w:r>
          </w:p>
        </w:tc>
        <w:tc>
          <w:tcPr>
            <w:tcW w:w="1290" w:type="dxa"/>
            <w:vAlign w:val="center"/>
          </w:tcPr>
          <w:p w14:paraId="45873245">
            <w:pPr>
              <w:wordWrap/>
              <w:autoSpaceDE w:val="0"/>
              <w:autoSpaceDN w:val="0"/>
              <w:spacing w:before="0" w:after="0" w:line="320" w:lineRule="atLeast"/>
              <w:ind w:left="0" w:right="0"/>
              <w:jc w:val="center"/>
              <w:textAlignment w:val="auto"/>
              <w:rPr>
                <w:sz w:val="21"/>
                <w:szCs w:val="21"/>
              </w:rPr>
            </w:pPr>
            <w:r>
              <w:rPr>
                <w:rFonts w:ascii="宋体" w:hAnsi="宋体" w:eastAsia="宋体" w:cs="宋体"/>
                <w:b w:val="0"/>
                <w:i w:val="0"/>
                <w:strike w:val="0"/>
                <w:color w:val="000000"/>
                <w:sz w:val="21"/>
                <w:szCs w:val="21"/>
              </w:rPr>
              <w:t>超过每天扣</w:t>
            </w:r>
          </w:p>
          <w:p w14:paraId="0EE75AB9">
            <w:pPr>
              <w:wordWrap/>
              <w:autoSpaceDE w:val="0"/>
              <w:autoSpaceDN w:val="0"/>
              <w:spacing w:before="0" w:after="0" w:line="320" w:lineRule="atLeast"/>
              <w:ind w:left="0" w:right="0"/>
              <w:jc w:val="center"/>
              <w:textAlignment w:val="auto"/>
              <w:rPr>
                <w:sz w:val="21"/>
                <w:szCs w:val="21"/>
              </w:rPr>
            </w:pPr>
            <w:r>
              <w:rPr>
                <w:rFonts w:ascii="宋体" w:hAnsi="宋体" w:eastAsia="宋体" w:cs="宋体"/>
                <w:b w:val="0"/>
                <w:i w:val="0"/>
                <w:strike w:val="0"/>
                <w:color w:val="000000"/>
                <w:sz w:val="21"/>
                <w:szCs w:val="21"/>
              </w:rPr>
              <w:t>10分</w:t>
            </w:r>
          </w:p>
        </w:tc>
        <w:tc>
          <w:tcPr>
            <w:tcW w:w="915" w:type="dxa"/>
            <w:vAlign w:val="center"/>
          </w:tcPr>
          <w:p w14:paraId="3EAAC9F7">
            <w:pPr>
              <w:wordWrap/>
              <w:spacing w:before="0" w:after="0" w:line="240" w:lineRule="exact"/>
              <w:ind w:left="0" w:right="0"/>
              <w:jc w:val="center"/>
              <w:textAlignment w:val="auto"/>
              <w:rPr>
                <w:sz w:val="21"/>
                <w:szCs w:val="21"/>
              </w:rPr>
            </w:pPr>
          </w:p>
        </w:tc>
        <w:tc>
          <w:tcPr>
            <w:tcW w:w="2290" w:type="dxa"/>
            <w:vAlign w:val="center"/>
          </w:tcPr>
          <w:p w14:paraId="6C3E00A6">
            <w:pPr>
              <w:wordWrap/>
              <w:spacing w:before="0" w:after="0" w:line="240" w:lineRule="exact"/>
              <w:ind w:left="0" w:right="0"/>
              <w:jc w:val="center"/>
              <w:textAlignment w:val="auto"/>
              <w:rPr>
                <w:sz w:val="21"/>
                <w:szCs w:val="21"/>
              </w:rPr>
            </w:pPr>
          </w:p>
        </w:tc>
        <w:tc>
          <w:tcPr>
            <w:tcW w:w="860" w:type="dxa"/>
            <w:vAlign w:val="center"/>
          </w:tcPr>
          <w:p w14:paraId="38507DDF">
            <w:pPr>
              <w:wordWrap/>
              <w:spacing w:before="0" w:after="0" w:line="240" w:lineRule="exact"/>
              <w:ind w:left="0" w:right="0"/>
              <w:jc w:val="center"/>
              <w:textAlignment w:val="auto"/>
              <w:rPr>
                <w:sz w:val="21"/>
                <w:szCs w:val="21"/>
              </w:rPr>
            </w:pPr>
          </w:p>
        </w:tc>
      </w:tr>
      <w:tr w14:paraId="65E5D5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5" w:hRule="atLeast"/>
          <w:jc w:val="center"/>
        </w:trPr>
        <w:tc>
          <w:tcPr>
            <w:tcW w:w="635" w:type="dxa"/>
            <w:vAlign w:val="center"/>
          </w:tcPr>
          <w:p w14:paraId="19278F9F">
            <w:pPr>
              <w:wordWrap/>
              <w:autoSpaceDE w:val="0"/>
              <w:autoSpaceDN w:val="0"/>
              <w:spacing w:before="0" w:after="0" w:line="260" w:lineRule="atLeast"/>
              <w:ind w:left="0" w:right="0"/>
              <w:jc w:val="center"/>
              <w:textAlignment w:val="auto"/>
              <w:rPr>
                <w:sz w:val="21"/>
                <w:szCs w:val="21"/>
              </w:rPr>
            </w:pPr>
            <w:r>
              <w:rPr>
                <w:rFonts w:ascii="宋体" w:hAnsi="宋体" w:eastAsia="宋体" w:cs="宋体"/>
                <w:b w:val="0"/>
                <w:i w:val="0"/>
                <w:strike w:val="0"/>
                <w:color w:val="000000"/>
                <w:sz w:val="21"/>
                <w:szCs w:val="21"/>
              </w:rPr>
              <w:t>7</w:t>
            </w:r>
          </w:p>
        </w:tc>
        <w:tc>
          <w:tcPr>
            <w:tcW w:w="1545" w:type="dxa"/>
            <w:vAlign w:val="center"/>
          </w:tcPr>
          <w:p w14:paraId="653D74DC">
            <w:pPr>
              <w:wordWrap/>
              <w:autoSpaceDE w:val="0"/>
              <w:autoSpaceDN w:val="0"/>
              <w:spacing w:before="0" w:after="0" w:line="260" w:lineRule="atLeast"/>
              <w:ind w:left="0" w:right="0"/>
              <w:jc w:val="center"/>
              <w:textAlignment w:val="auto"/>
              <w:rPr>
                <w:sz w:val="21"/>
                <w:szCs w:val="21"/>
              </w:rPr>
            </w:pPr>
            <w:r>
              <w:rPr>
                <w:rFonts w:ascii="宋体" w:hAnsi="宋体" w:eastAsia="宋体" w:cs="宋体"/>
                <w:b w:val="0"/>
                <w:i w:val="0"/>
                <w:strike w:val="0"/>
                <w:color w:val="000000"/>
                <w:sz w:val="21"/>
                <w:szCs w:val="21"/>
              </w:rPr>
              <w:t>配件供应</w:t>
            </w:r>
          </w:p>
        </w:tc>
        <w:tc>
          <w:tcPr>
            <w:tcW w:w="2305" w:type="dxa"/>
            <w:vAlign w:val="center"/>
          </w:tcPr>
          <w:p w14:paraId="59DA45C5">
            <w:pPr>
              <w:wordWrap/>
              <w:autoSpaceDE w:val="0"/>
              <w:autoSpaceDN w:val="0"/>
              <w:spacing w:before="0" w:after="0" w:line="320" w:lineRule="atLeast"/>
              <w:ind w:left="0" w:right="0"/>
              <w:jc w:val="center"/>
              <w:textAlignment w:val="auto"/>
              <w:rPr>
                <w:sz w:val="21"/>
                <w:szCs w:val="21"/>
              </w:rPr>
            </w:pPr>
            <w:r>
              <w:rPr>
                <w:rFonts w:ascii="宋体" w:hAnsi="宋体" w:eastAsia="宋体" w:cs="宋体"/>
                <w:b w:val="0"/>
                <w:i w:val="0"/>
                <w:strike w:val="0"/>
                <w:color w:val="000000"/>
                <w:sz w:val="21"/>
                <w:szCs w:val="21"/>
              </w:rPr>
              <w:t>按合同约定时间完成</w:t>
            </w:r>
          </w:p>
        </w:tc>
        <w:tc>
          <w:tcPr>
            <w:tcW w:w="1290" w:type="dxa"/>
            <w:vAlign w:val="center"/>
          </w:tcPr>
          <w:p w14:paraId="6A07A922">
            <w:pPr>
              <w:wordWrap/>
              <w:autoSpaceDE w:val="0"/>
              <w:autoSpaceDN w:val="0"/>
              <w:spacing w:before="0" w:after="0" w:line="320" w:lineRule="atLeast"/>
              <w:ind w:left="0" w:right="0"/>
              <w:jc w:val="center"/>
              <w:textAlignment w:val="auto"/>
              <w:rPr>
                <w:sz w:val="21"/>
                <w:szCs w:val="21"/>
              </w:rPr>
            </w:pPr>
            <w:r>
              <w:rPr>
                <w:rFonts w:ascii="宋体" w:hAnsi="宋体" w:eastAsia="宋体" w:cs="宋体"/>
                <w:b w:val="0"/>
                <w:i w:val="0"/>
                <w:strike w:val="0"/>
                <w:color w:val="000000"/>
                <w:sz w:val="21"/>
                <w:szCs w:val="21"/>
              </w:rPr>
              <w:t>超过每天扣</w:t>
            </w:r>
          </w:p>
          <w:p w14:paraId="516D1117">
            <w:pPr>
              <w:wordWrap/>
              <w:autoSpaceDE w:val="0"/>
              <w:autoSpaceDN w:val="0"/>
              <w:spacing w:before="0" w:after="0" w:line="320" w:lineRule="atLeast"/>
              <w:ind w:left="0" w:right="0"/>
              <w:jc w:val="center"/>
              <w:textAlignment w:val="auto"/>
              <w:rPr>
                <w:sz w:val="21"/>
                <w:szCs w:val="21"/>
              </w:rPr>
            </w:pPr>
            <w:r>
              <w:rPr>
                <w:rFonts w:ascii="宋体" w:hAnsi="宋体" w:eastAsia="宋体" w:cs="宋体"/>
                <w:b w:val="0"/>
                <w:i w:val="0"/>
                <w:strike w:val="0"/>
                <w:color w:val="000000"/>
                <w:sz w:val="21"/>
                <w:szCs w:val="21"/>
              </w:rPr>
              <w:t>10分</w:t>
            </w:r>
          </w:p>
        </w:tc>
        <w:tc>
          <w:tcPr>
            <w:tcW w:w="915" w:type="dxa"/>
            <w:vAlign w:val="center"/>
          </w:tcPr>
          <w:p w14:paraId="316305D0">
            <w:pPr>
              <w:wordWrap/>
              <w:spacing w:before="0" w:after="0" w:line="240" w:lineRule="exact"/>
              <w:ind w:left="0" w:right="0"/>
              <w:jc w:val="center"/>
              <w:textAlignment w:val="auto"/>
              <w:rPr>
                <w:sz w:val="21"/>
                <w:szCs w:val="21"/>
              </w:rPr>
            </w:pPr>
          </w:p>
        </w:tc>
        <w:tc>
          <w:tcPr>
            <w:tcW w:w="2290" w:type="dxa"/>
            <w:vAlign w:val="center"/>
          </w:tcPr>
          <w:p w14:paraId="0DF9DBFA">
            <w:pPr>
              <w:wordWrap/>
              <w:spacing w:before="0" w:after="0" w:line="240" w:lineRule="exact"/>
              <w:ind w:left="0" w:right="0"/>
              <w:jc w:val="center"/>
              <w:textAlignment w:val="auto"/>
              <w:rPr>
                <w:sz w:val="21"/>
                <w:szCs w:val="21"/>
              </w:rPr>
            </w:pPr>
          </w:p>
        </w:tc>
        <w:tc>
          <w:tcPr>
            <w:tcW w:w="860" w:type="dxa"/>
            <w:vAlign w:val="center"/>
          </w:tcPr>
          <w:p w14:paraId="69595BB6">
            <w:pPr>
              <w:wordWrap/>
              <w:spacing w:before="0" w:after="0" w:line="240" w:lineRule="exact"/>
              <w:ind w:left="0" w:right="0"/>
              <w:jc w:val="center"/>
              <w:textAlignment w:val="auto"/>
              <w:rPr>
                <w:sz w:val="21"/>
                <w:szCs w:val="21"/>
              </w:rPr>
            </w:pPr>
          </w:p>
        </w:tc>
      </w:tr>
      <w:tr w14:paraId="6677CC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0" w:hRule="atLeast"/>
          <w:jc w:val="center"/>
        </w:trPr>
        <w:tc>
          <w:tcPr>
            <w:tcW w:w="635" w:type="dxa"/>
            <w:vAlign w:val="center"/>
          </w:tcPr>
          <w:p w14:paraId="7A13F842">
            <w:pPr>
              <w:wordWrap/>
              <w:autoSpaceDE w:val="0"/>
              <w:autoSpaceDN w:val="0"/>
              <w:spacing w:before="0" w:after="0" w:line="260" w:lineRule="atLeast"/>
              <w:ind w:left="0" w:right="0"/>
              <w:jc w:val="center"/>
              <w:textAlignment w:val="auto"/>
              <w:rPr>
                <w:sz w:val="21"/>
                <w:szCs w:val="21"/>
              </w:rPr>
            </w:pPr>
            <w:r>
              <w:rPr>
                <w:rFonts w:ascii="宋体" w:hAnsi="宋体" w:eastAsia="宋体" w:cs="宋体"/>
                <w:b w:val="0"/>
                <w:i w:val="0"/>
                <w:strike w:val="0"/>
                <w:color w:val="000000"/>
                <w:sz w:val="21"/>
                <w:szCs w:val="21"/>
              </w:rPr>
              <w:t>8</w:t>
            </w:r>
          </w:p>
        </w:tc>
        <w:tc>
          <w:tcPr>
            <w:tcW w:w="1545" w:type="dxa"/>
            <w:vAlign w:val="center"/>
          </w:tcPr>
          <w:p w14:paraId="51CC9787">
            <w:pPr>
              <w:wordWrap/>
              <w:autoSpaceDE w:val="0"/>
              <w:autoSpaceDN w:val="0"/>
              <w:spacing w:before="0" w:after="0" w:line="260" w:lineRule="atLeast"/>
              <w:ind w:left="0" w:right="0"/>
              <w:jc w:val="center"/>
              <w:textAlignment w:val="auto"/>
              <w:rPr>
                <w:sz w:val="21"/>
                <w:szCs w:val="21"/>
              </w:rPr>
            </w:pPr>
            <w:r>
              <w:rPr>
                <w:rFonts w:ascii="宋体" w:hAnsi="宋体" w:eastAsia="宋体" w:cs="宋体"/>
                <w:b w:val="0"/>
                <w:i w:val="0"/>
                <w:strike w:val="0"/>
                <w:color w:val="000000"/>
                <w:sz w:val="21"/>
                <w:szCs w:val="21"/>
              </w:rPr>
              <w:t>日常工作抽查</w:t>
            </w:r>
          </w:p>
        </w:tc>
        <w:tc>
          <w:tcPr>
            <w:tcW w:w="2305" w:type="dxa"/>
            <w:vAlign w:val="center"/>
          </w:tcPr>
          <w:p w14:paraId="59649097">
            <w:pPr>
              <w:wordWrap/>
              <w:autoSpaceDE w:val="0"/>
              <w:autoSpaceDN w:val="0"/>
              <w:spacing w:before="0" w:after="0" w:line="320" w:lineRule="atLeast"/>
              <w:ind w:left="0" w:right="0"/>
              <w:jc w:val="center"/>
              <w:textAlignment w:val="auto"/>
              <w:rPr>
                <w:sz w:val="21"/>
                <w:szCs w:val="21"/>
              </w:rPr>
            </w:pPr>
            <w:r>
              <w:rPr>
                <w:rFonts w:ascii="宋体" w:hAnsi="宋体" w:eastAsia="宋体" w:cs="宋体"/>
                <w:b w:val="0"/>
                <w:i w:val="0"/>
                <w:strike w:val="0"/>
                <w:color w:val="000000"/>
                <w:sz w:val="21"/>
                <w:szCs w:val="21"/>
              </w:rPr>
              <w:t>设备施工现场维保记录不合格</w:t>
            </w:r>
          </w:p>
        </w:tc>
        <w:tc>
          <w:tcPr>
            <w:tcW w:w="1290" w:type="dxa"/>
            <w:vAlign w:val="center"/>
          </w:tcPr>
          <w:p w14:paraId="1F5E5AD0">
            <w:pPr>
              <w:wordWrap/>
              <w:autoSpaceDE w:val="0"/>
              <w:autoSpaceDN w:val="0"/>
              <w:spacing w:before="0" w:after="0" w:line="320" w:lineRule="atLeast"/>
              <w:ind w:left="0" w:right="0"/>
              <w:jc w:val="center"/>
              <w:textAlignment w:val="auto"/>
              <w:rPr>
                <w:sz w:val="21"/>
                <w:szCs w:val="21"/>
              </w:rPr>
            </w:pPr>
            <w:r>
              <w:rPr>
                <w:rFonts w:ascii="宋体" w:hAnsi="宋体" w:eastAsia="宋体" w:cs="宋体"/>
                <w:b w:val="0"/>
                <w:i w:val="0"/>
                <w:strike w:val="0"/>
                <w:color w:val="000000"/>
                <w:sz w:val="21"/>
                <w:szCs w:val="21"/>
              </w:rPr>
              <w:t>每项每次扣</w:t>
            </w:r>
          </w:p>
          <w:p w14:paraId="62008123">
            <w:pPr>
              <w:wordWrap/>
              <w:autoSpaceDE w:val="0"/>
              <w:autoSpaceDN w:val="0"/>
              <w:spacing w:before="0" w:after="0" w:line="320" w:lineRule="atLeast"/>
              <w:ind w:left="0" w:right="0"/>
              <w:jc w:val="center"/>
              <w:textAlignment w:val="auto"/>
              <w:rPr>
                <w:sz w:val="21"/>
                <w:szCs w:val="21"/>
              </w:rPr>
            </w:pPr>
            <w:r>
              <w:rPr>
                <w:rFonts w:ascii="宋体" w:hAnsi="宋体" w:eastAsia="宋体" w:cs="宋体"/>
                <w:b w:val="0"/>
                <w:i w:val="0"/>
                <w:strike w:val="0"/>
                <w:color w:val="000000"/>
                <w:sz w:val="21"/>
                <w:szCs w:val="21"/>
              </w:rPr>
              <w:t>5分</w:t>
            </w:r>
          </w:p>
        </w:tc>
        <w:tc>
          <w:tcPr>
            <w:tcW w:w="915" w:type="dxa"/>
            <w:vAlign w:val="center"/>
          </w:tcPr>
          <w:p w14:paraId="4E4D7172">
            <w:pPr>
              <w:wordWrap/>
              <w:spacing w:before="0" w:after="0" w:line="240" w:lineRule="exact"/>
              <w:ind w:left="0" w:right="0"/>
              <w:jc w:val="center"/>
              <w:textAlignment w:val="auto"/>
              <w:rPr>
                <w:sz w:val="21"/>
                <w:szCs w:val="21"/>
              </w:rPr>
            </w:pPr>
          </w:p>
        </w:tc>
        <w:tc>
          <w:tcPr>
            <w:tcW w:w="2290" w:type="dxa"/>
            <w:vAlign w:val="center"/>
          </w:tcPr>
          <w:p w14:paraId="294A999D">
            <w:pPr>
              <w:wordWrap/>
              <w:spacing w:before="0" w:after="0" w:line="240" w:lineRule="exact"/>
              <w:ind w:left="0" w:right="0"/>
              <w:jc w:val="center"/>
              <w:textAlignment w:val="auto"/>
              <w:rPr>
                <w:sz w:val="21"/>
                <w:szCs w:val="21"/>
              </w:rPr>
            </w:pPr>
          </w:p>
        </w:tc>
        <w:tc>
          <w:tcPr>
            <w:tcW w:w="860" w:type="dxa"/>
            <w:vAlign w:val="center"/>
          </w:tcPr>
          <w:p w14:paraId="3D627FF4">
            <w:pPr>
              <w:wordWrap/>
              <w:spacing w:before="0" w:after="0" w:line="240" w:lineRule="exact"/>
              <w:ind w:left="0" w:right="0"/>
              <w:jc w:val="center"/>
              <w:textAlignment w:val="auto"/>
              <w:rPr>
                <w:sz w:val="21"/>
                <w:szCs w:val="21"/>
              </w:rPr>
            </w:pPr>
          </w:p>
        </w:tc>
      </w:tr>
      <w:tr w14:paraId="019415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50" w:hRule="atLeast"/>
          <w:jc w:val="center"/>
        </w:trPr>
        <w:tc>
          <w:tcPr>
            <w:tcW w:w="635" w:type="dxa"/>
            <w:vAlign w:val="center"/>
          </w:tcPr>
          <w:p w14:paraId="4C684694">
            <w:pPr>
              <w:wordWrap/>
              <w:autoSpaceDE w:val="0"/>
              <w:autoSpaceDN w:val="0"/>
              <w:spacing w:before="0" w:after="0" w:line="260" w:lineRule="atLeast"/>
              <w:ind w:left="0" w:right="0"/>
              <w:jc w:val="center"/>
              <w:textAlignment w:val="auto"/>
              <w:rPr>
                <w:sz w:val="21"/>
                <w:szCs w:val="21"/>
              </w:rPr>
            </w:pPr>
            <w:r>
              <w:rPr>
                <w:rFonts w:ascii="宋体" w:hAnsi="宋体" w:eastAsia="宋体" w:cs="宋体"/>
                <w:b w:val="0"/>
                <w:i w:val="0"/>
                <w:strike w:val="0"/>
                <w:color w:val="000000"/>
                <w:sz w:val="21"/>
                <w:szCs w:val="21"/>
              </w:rPr>
              <w:t>9</w:t>
            </w:r>
          </w:p>
        </w:tc>
        <w:tc>
          <w:tcPr>
            <w:tcW w:w="1545" w:type="dxa"/>
            <w:vAlign w:val="center"/>
          </w:tcPr>
          <w:p w14:paraId="4C06D70B">
            <w:pPr>
              <w:wordWrap/>
              <w:autoSpaceDE w:val="0"/>
              <w:autoSpaceDN w:val="0"/>
              <w:spacing w:before="0" w:after="0" w:line="260" w:lineRule="atLeast"/>
              <w:ind w:left="0" w:right="0"/>
              <w:jc w:val="center"/>
              <w:textAlignment w:val="auto"/>
              <w:rPr>
                <w:sz w:val="21"/>
                <w:szCs w:val="21"/>
              </w:rPr>
            </w:pPr>
            <w:r>
              <w:rPr>
                <w:rFonts w:ascii="宋体" w:hAnsi="宋体" w:eastAsia="宋体" w:cs="宋体"/>
                <w:b w:val="0"/>
                <w:i w:val="0"/>
                <w:strike w:val="0"/>
                <w:color w:val="000000"/>
                <w:sz w:val="21"/>
                <w:szCs w:val="21"/>
              </w:rPr>
              <w:t>电梯年检</w:t>
            </w:r>
          </w:p>
        </w:tc>
        <w:tc>
          <w:tcPr>
            <w:tcW w:w="2305" w:type="dxa"/>
            <w:vAlign w:val="center"/>
          </w:tcPr>
          <w:p w14:paraId="412D89F0">
            <w:pPr>
              <w:wordWrap/>
              <w:autoSpaceDE w:val="0"/>
              <w:autoSpaceDN w:val="0"/>
              <w:spacing w:before="0" w:after="0" w:line="260" w:lineRule="atLeast"/>
              <w:ind w:left="0" w:right="0"/>
              <w:jc w:val="center"/>
              <w:textAlignment w:val="auto"/>
              <w:rPr>
                <w:sz w:val="21"/>
                <w:szCs w:val="21"/>
              </w:rPr>
            </w:pPr>
            <w:r>
              <w:rPr>
                <w:rFonts w:ascii="宋体" w:hAnsi="宋体" w:eastAsia="宋体" w:cs="宋体"/>
                <w:b w:val="0"/>
                <w:i w:val="0"/>
                <w:strike w:val="0"/>
                <w:color w:val="000000"/>
                <w:sz w:val="21"/>
                <w:szCs w:val="21"/>
              </w:rPr>
              <w:t>超过时间办理年审</w:t>
            </w:r>
          </w:p>
        </w:tc>
        <w:tc>
          <w:tcPr>
            <w:tcW w:w="1290" w:type="dxa"/>
            <w:vAlign w:val="center"/>
          </w:tcPr>
          <w:p w14:paraId="4CA0D894">
            <w:pPr>
              <w:wordWrap/>
              <w:autoSpaceDE w:val="0"/>
              <w:autoSpaceDN w:val="0"/>
              <w:spacing w:before="0" w:after="0" w:line="320" w:lineRule="atLeast"/>
              <w:ind w:left="0" w:right="0"/>
              <w:jc w:val="center"/>
              <w:textAlignment w:val="auto"/>
              <w:rPr>
                <w:sz w:val="21"/>
                <w:szCs w:val="21"/>
              </w:rPr>
            </w:pPr>
            <w:r>
              <w:rPr>
                <w:rFonts w:ascii="宋体" w:hAnsi="宋体" w:eastAsia="宋体" w:cs="宋体"/>
                <w:b w:val="0"/>
                <w:i w:val="0"/>
                <w:strike w:val="0"/>
                <w:color w:val="000000"/>
                <w:sz w:val="21"/>
                <w:szCs w:val="21"/>
              </w:rPr>
              <w:t>超过每天扣</w:t>
            </w:r>
          </w:p>
          <w:p w14:paraId="2C1E2AEC">
            <w:pPr>
              <w:wordWrap/>
              <w:autoSpaceDE w:val="0"/>
              <w:autoSpaceDN w:val="0"/>
              <w:spacing w:before="0" w:after="0" w:line="300" w:lineRule="atLeast"/>
              <w:ind w:left="0" w:right="0"/>
              <w:jc w:val="center"/>
              <w:textAlignment w:val="auto"/>
              <w:rPr>
                <w:sz w:val="21"/>
                <w:szCs w:val="21"/>
              </w:rPr>
            </w:pPr>
            <w:r>
              <w:rPr>
                <w:rFonts w:ascii="宋体" w:hAnsi="宋体" w:eastAsia="宋体" w:cs="宋体"/>
                <w:b w:val="0"/>
                <w:i w:val="0"/>
                <w:strike w:val="0"/>
                <w:color w:val="000000"/>
                <w:sz w:val="21"/>
                <w:szCs w:val="21"/>
              </w:rPr>
              <w:t>5分</w:t>
            </w:r>
          </w:p>
        </w:tc>
        <w:tc>
          <w:tcPr>
            <w:tcW w:w="915" w:type="dxa"/>
            <w:vAlign w:val="center"/>
          </w:tcPr>
          <w:p w14:paraId="004DEB38">
            <w:pPr>
              <w:wordWrap/>
              <w:spacing w:before="0" w:after="0" w:line="240" w:lineRule="exact"/>
              <w:ind w:left="0" w:right="0"/>
              <w:jc w:val="center"/>
              <w:textAlignment w:val="auto"/>
              <w:rPr>
                <w:sz w:val="21"/>
                <w:szCs w:val="21"/>
              </w:rPr>
            </w:pPr>
          </w:p>
        </w:tc>
        <w:tc>
          <w:tcPr>
            <w:tcW w:w="2290" w:type="dxa"/>
            <w:vAlign w:val="center"/>
          </w:tcPr>
          <w:p w14:paraId="5AB622CD">
            <w:pPr>
              <w:wordWrap/>
              <w:spacing w:before="0" w:after="0" w:line="240" w:lineRule="exact"/>
              <w:ind w:left="0" w:right="0"/>
              <w:jc w:val="center"/>
              <w:textAlignment w:val="auto"/>
              <w:rPr>
                <w:sz w:val="21"/>
                <w:szCs w:val="21"/>
              </w:rPr>
            </w:pPr>
          </w:p>
        </w:tc>
        <w:tc>
          <w:tcPr>
            <w:tcW w:w="860" w:type="dxa"/>
            <w:vAlign w:val="center"/>
          </w:tcPr>
          <w:p w14:paraId="3FCA74E2">
            <w:pPr>
              <w:wordWrap/>
              <w:spacing w:before="0" w:after="0" w:line="240" w:lineRule="exact"/>
              <w:ind w:left="0" w:right="0"/>
              <w:jc w:val="center"/>
              <w:textAlignment w:val="auto"/>
              <w:rPr>
                <w:sz w:val="21"/>
                <w:szCs w:val="21"/>
              </w:rPr>
            </w:pPr>
          </w:p>
        </w:tc>
      </w:tr>
      <w:tr w14:paraId="18ACE4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5" w:hRule="atLeast"/>
          <w:jc w:val="center"/>
        </w:trPr>
        <w:tc>
          <w:tcPr>
            <w:tcW w:w="635" w:type="dxa"/>
            <w:vAlign w:val="center"/>
          </w:tcPr>
          <w:p w14:paraId="79B85007">
            <w:pPr>
              <w:wordWrap/>
              <w:autoSpaceDE w:val="0"/>
              <w:autoSpaceDN w:val="0"/>
              <w:spacing w:before="0" w:after="0" w:line="260" w:lineRule="atLeast"/>
              <w:ind w:left="0" w:right="0"/>
              <w:jc w:val="center"/>
              <w:textAlignment w:val="auto"/>
              <w:rPr>
                <w:sz w:val="21"/>
                <w:szCs w:val="21"/>
              </w:rPr>
            </w:pPr>
            <w:r>
              <w:rPr>
                <w:rFonts w:ascii="宋体" w:hAnsi="宋体" w:eastAsia="宋体" w:cs="宋体"/>
                <w:b w:val="0"/>
                <w:i w:val="0"/>
                <w:strike w:val="0"/>
                <w:color w:val="000000"/>
                <w:sz w:val="21"/>
                <w:szCs w:val="21"/>
              </w:rPr>
              <w:t>10</w:t>
            </w:r>
          </w:p>
        </w:tc>
        <w:tc>
          <w:tcPr>
            <w:tcW w:w="1545" w:type="dxa"/>
            <w:vAlign w:val="center"/>
          </w:tcPr>
          <w:p w14:paraId="38FB2D32">
            <w:pPr>
              <w:wordWrap/>
              <w:autoSpaceDE w:val="0"/>
              <w:autoSpaceDN w:val="0"/>
              <w:spacing w:before="0" w:after="0" w:line="260" w:lineRule="atLeast"/>
              <w:ind w:left="0" w:right="0"/>
              <w:jc w:val="center"/>
              <w:textAlignment w:val="auto"/>
              <w:rPr>
                <w:sz w:val="21"/>
                <w:szCs w:val="21"/>
              </w:rPr>
            </w:pPr>
            <w:r>
              <w:rPr>
                <w:rFonts w:ascii="宋体" w:hAnsi="宋体" w:eastAsia="宋体" w:cs="宋体"/>
                <w:b w:val="0"/>
                <w:i w:val="0"/>
                <w:strike w:val="0"/>
                <w:color w:val="000000"/>
                <w:sz w:val="21"/>
                <w:szCs w:val="21"/>
              </w:rPr>
              <w:t>设备环境维护</w:t>
            </w:r>
          </w:p>
        </w:tc>
        <w:tc>
          <w:tcPr>
            <w:tcW w:w="2305" w:type="dxa"/>
            <w:vAlign w:val="center"/>
          </w:tcPr>
          <w:p w14:paraId="75EA74A3">
            <w:pPr>
              <w:wordWrap/>
              <w:autoSpaceDE w:val="0"/>
              <w:autoSpaceDN w:val="0"/>
              <w:spacing w:before="0" w:after="0" w:line="320" w:lineRule="atLeast"/>
              <w:ind w:left="0" w:right="0"/>
              <w:jc w:val="center"/>
              <w:textAlignment w:val="auto"/>
              <w:rPr>
                <w:sz w:val="21"/>
                <w:szCs w:val="21"/>
              </w:rPr>
            </w:pPr>
            <w:r>
              <w:rPr>
                <w:rFonts w:ascii="宋体" w:hAnsi="宋体" w:eastAsia="宋体" w:cs="宋体"/>
                <w:b w:val="0"/>
                <w:i w:val="0"/>
                <w:strike w:val="0"/>
                <w:color w:val="000000"/>
                <w:sz w:val="21"/>
                <w:szCs w:val="21"/>
              </w:rPr>
              <w:t>应整洁、美观，不按规定进行维护</w:t>
            </w:r>
          </w:p>
        </w:tc>
        <w:tc>
          <w:tcPr>
            <w:tcW w:w="1290" w:type="dxa"/>
            <w:vAlign w:val="center"/>
          </w:tcPr>
          <w:p w14:paraId="43AF43E7">
            <w:pPr>
              <w:wordWrap/>
              <w:autoSpaceDE w:val="0"/>
              <w:autoSpaceDN w:val="0"/>
              <w:spacing w:before="0" w:after="0" w:line="260" w:lineRule="atLeast"/>
              <w:ind w:left="0" w:right="0"/>
              <w:jc w:val="center"/>
              <w:textAlignment w:val="auto"/>
              <w:rPr>
                <w:sz w:val="21"/>
                <w:szCs w:val="21"/>
              </w:rPr>
            </w:pPr>
            <w:r>
              <w:rPr>
                <w:rFonts w:ascii="宋体" w:hAnsi="宋体" w:eastAsia="宋体" w:cs="宋体"/>
                <w:b w:val="0"/>
                <w:i w:val="0"/>
                <w:strike w:val="0"/>
                <w:color w:val="000000"/>
                <w:sz w:val="21"/>
                <w:szCs w:val="21"/>
              </w:rPr>
              <w:t>每次扣5分</w:t>
            </w:r>
          </w:p>
        </w:tc>
        <w:tc>
          <w:tcPr>
            <w:tcW w:w="915" w:type="dxa"/>
            <w:vAlign w:val="center"/>
          </w:tcPr>
          <w:p w14:paraId="4414C580">
            <w:pPr>
              <w:wordWrap/>
              <w:spacing w:before="0" w:after="0" w:line="240" w:lineRule="exact"/>
              <w:ind w:left="0" w:right="0"/>
              <w:jc w:val="center"/>
              <w:textAlignment w:val="auto"/>
              <w:rPr>
                <w:sz w:val="21"/>
                <w:szCs w:val="21"/>
              </w:rPr>
            </w:pPr>
          </w:p>
        </w:tc>
        <w:tc>
          <w:tcPr>
            <w:tcW w:w="2290" w:type="dxa"/>
            <w:vAlign w:val="center"/>
          </w:tcPr>
          <w:p w14:paraId="208E8D13">
            <w:pPr>
              <w:wordWrap/>
              <w:spacing w:before="0" w:after="0" w:line="240" w:lineRule="exact"/>
              <w:ind w:left="0" w:right="0"/>
              <w:jc w:val="center"/>
              <w:textAlignment w:val="auto"/>
              <w:rPr>
                <w:sz w:val="21"/>
                <w:szCs w:val="21"/>
              </w:rPr>
            </w:pPr>
          </w:p>
        </w:tc>
        <w:tc>
          <w:tcPr>
            <w:tcW w:w="860" w:type="dxa"/>
            <w:vAlign w:val="center"/>
          </w:tcPr>
          <w:p w14:paraId="5FD02A03">
            <w:pPr>
              <w:wordWrap/>
              <w:spacing w:before="0" w:after="0" w:line="240" w:lineRule="exact"/>
              <w:ind w:left="0" w:right="0"/>
              <w:jc w:val="center"/>
              <w:textAlignment w:val="auto"/>
              <w:rPr>
                <w:sz w:val="21"/>
                <w:szCs w:val="21"/>
              </w:rPr>
            </w:pPr>
          </w:p>
        </w:tc>
      </w:tr>
      <w:tr w14:paraId="5EC9ED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70" w:hRule="atLeast"/>
          <w:jc w:val="center"/>
        </w:trPr>
        <w:tc>
          <w:tcPr>
            <w:tcW w:w="635" w:type="dxa"/>
            <w:vAlign w:val="center"/>
          </w:tcPr>
          <w:p w14:paraId="7CD25F11">
            <w:pPr>
              <w:wordWrap/>
              <w:autoSpaceDE w:val="0"/>
              <w:autoSpaceDN w:val="0"/>
              <w:spacing w:before="0" w:after="0" w:line="260" w:lineRule="atLeast"/>
              <w:ind w:left="0" w:right="0"/>
              <w:jc w:val="center"/>
              <w:textAlignment w:val="auto"/>
              <w:rPr>
                <w:sz w:val="21"/>
                <w:szCs w:val="21"/>
              </w:rPr>
            </w:pPr>
            <w:r>
              <w:rPr>
                <w:rFonts w:ascii="宋体" w:hAnsi="宋体" w:eastAsia="宋体" w:cs="宋体"/>
                <w:b w:val="0"/>
                <w:i w:val="0"/>
                <w:strike w:val="0"/>
                <w:color w:val="000000"/>
                <w:sz w:val="21"/>
                <w:szCs w:val="21"/>
              </w:rPr>
              <w:t>11</w:t>
            </w:r>
          </w:p>
        </w:tc>
        <w:tc>
          <w:tcPr>
            <w:tcW w:w="1545" w:type="dxa"/>
            <w:vAlign w:val="center"/>
          </w:tcPr>
          <w:p w14:paraId="493C3553">
            <w:pPr>
              <w:wordWrap/>
              <w:autoSpaceDE w:val="0"/>
              <w:autoSpaceDN w:val="0"/>
              <w:spacing w:before="0" w:after="0" w:line="320" w:lineRule="atLeast"/>
              <w:ind w:left="0" w:right="0"/>
              <w:jc w:val="center"/>
              <w:textAlignment w:val="auto"/>
              <w:rPr>
                <w:sz w:val="21"/>
                <w:szCs w:val="21"/>
              </w:rPr>
            </w:pPr>
            <w:r>
              <w:rPr>
                <w:rFonts w:ascii="宋体" w:hAnsi="宋体" w:eastAsia="宋体" w:cs="宋体"/>
                <w:b w:val="0"/>
                <w:i w:val="0"/>
                <w:strike w:val="0"/>
                <w:color w:val="000000"/>
                <w:sz w:val="21"/>
                <w:szCs w:val="21"/>
              </w:rPr>
              <w:t>按时提交维保事件报告</w:t>
            </w:r>
          </w:p>
        </w:tc>
        <w:tc>
          <w:tcPr>
            <w:tcW w:w="2305" w:type="dxa"/>
            <w:vAlign w:val="center"/>
          </w:tcPr>
          <w:p w14:paraId="7E7FF588">
            <w:pPr>
              <w:wordWrap/>
              <w:autoSpaceDE w:val="0"/>
              <w:autoSpaceDN w:val="0"/>
              <w:spacing w:before="0" w:after="0" w:line="320" w:lineRule="atLeast"/>
              <w:ind w:left="0" w:right="0"/>
              <w:jc w:val="center"/>
              <w:textAlignment w:val="auto"/>
              <w:rPr>
                <w:sz w:val="21"/>
                <w:szCs w:val="21"/>
              </w:rPr>
            </w:pPr>
            <w:r>
              <w:rPr>
                <w:rFonts w:ascii="宋体" w:hAnsi="宋体" w:eastAsia="宋体" w:cs="宋体"/>
                <w:b w:val="0"/>
                <w:i w:val="0"/>
                <w:strike w:val="0"/>
                <w:color w:val="000000"/>
                <w:sz w:val="21"/>
                <w:szCs w:val="21"/>
              </w:rPr>
              <w:t>一般性事件不超过</w:t>
            </w:r>
          </w:p>
          <w:p w14:paraId="2D5A6A72">
            <w:pPr>
              <w:wordWrap/>
              <w:autoSpaceDE w:val="0"/>
              <w:autoSpaceDN w:val="0"/>
              <w:spacing w:before="0" w:after="0" w:line="300" w:lineRule="atLeast"/>
              <w:ind w:left="0" w:right="0"/>
              <w:jc w:val="center"/>
              <w:textAlignment w:val="auto"/>
              <w:rPr>
                <w:sz w:val="21"/>
                <w:szCs w:val="21"/>
              </w:rPr>
            </w:pPr>
            <w:r>
              <w:rPr>
                <w:rFonts w:ascii="宋体" w:hAnsi="宋体" w:eastAsia="宋体" w:cs="宋体"/>
                <w:b w:val="0"/>
                <w:i w:val="0"/>
                <w:strike w:val="0"/>
                <w:color w:val="000000"/>
                <w:sz w:val="21"/>
                <w:szCs w:val="21"/>
              </w:rPr>
              <w:t>一天，特殊事件不</w:t>
            </w:r>
          </w:p>
          <w:p w14:paraId="0963B474">
            <w:pPr>
              <w:wordWrap/>
              <w:autoSpaceDE w:val="0"/>
              <w:autoSpaceDN w:val="0"/>
              <w:spacing w:before="0" w:after="0" w:line="300" w:lineRule="atLeast"/>
              <w:ind w:left="0" w:right="0"/>
              <w:jc w:val="center"/>
              <w:textAlignment w:val="auto"/>
              <w:rPr>
                <w:sz w:val="21"/>
                <w:szCs w:val="21"/>
              </w:rPr>
            </w:pPr>
            <w:r>
              <w:rPr>
                <w:rFonts w:ascii="宋体" w:hAnsi="宋体" w:eastAsia="宋体" w:cs="宋体"/>
                <w:b w:val="0"/>
                <w:i w:val="0"/>
                <w:strike w:val="0"/>
                <w:color w:val="000000"/>
                <w:sz w:val="21"/>
                <w:szCs w:val="21"/>
              </w:rPr>
              <w:t>超过三天</w:t>
            </w:r>
          </w:p>
        </w:tc>
        <w:tc>
          <w:tcPr>
            <w:tcW w:w="1290" w:type="dxa"/>
            <w:vAlign w:val="center"/>
          </w:tcPr>
          <w:p w14:paraId="2B257D60">
            <w:pPr>
              <w:wordWrap/>
              <w:autoSpaceDE w:val="0"/>
              <w:autoSpaceDN w:val="0"/>
              <w:spacing w:before="0" w:after="0" w:line="320" w:lineRule="atLeast"/>
              <w:ind w:left="0" w:right="0"/>
              <w:jc w:val="center"/>
              <w:textAlignment w:val="auto"/>
              <w:rPr>
                <w:sz w:val="21"/>
                <w:szCs w:val="21"/>
              </w:rPr>
            </w:pPr>
            <w:r>
              <w:rPr>
                <w:rFonts w:ascii="宋体" w:hAnsi="宋体" w:eastAsia="宋体" w:cs="宋体"/>
                <w:b w:val="0"/>
                <w:i w:val="0"/>
                <w:strike w:val="0"/>
                <w:color w:val="000000"/>
                <w:sz w:val="21"/>
                <w:szCs w:val="21"/>
              </w:rPr>
              <w:t>超过每天扣</w:t>
            </w:r>
          </w:p>
          <w:p w14:paraId="0E518EE4">
            <w:pPr>
              <w:wordWrap/>
              <w:autoSpaceDE w:val="0"/>
              <w:autoSpaceDN w:val="0"/>
              <w:spacing w:before="0" w:after="0" w:line="320" w:lineRule="atLeast"/>
              <w:ind w:left="0" w:right="0"/>
              <w:jc w:val="center"/>
              <w:textAlignment w:val="auto"/>
              <w:rPr>
                <w:sz w:val="21"/>
                <w:szCs w:val="21"/>
              </w:rPr>
            </w:pPr>
            <w:r>
              <w:rPr>
                <w:rFonts w:ascii="宋体" w:hAnsi="宋体" w:eastAsia="宋体" w:cs="宋体"/>
                <w:b w:val="0"/>
                <w:i w:val="0"/>
                <w:strike w:val="0"/>
                <w:color w:val="000000"/>
                <w:sz w:val="21"/>
                <w:szCs w:val="21"/>
              </w:rPr>
              <w:t>5分</w:t>
            </w:r>
          </w:p>
        </w:tc>
        <w:tc>
          <w:tcPr>
            <w:tcW w:w="915" w:type="dxa"/>
            <w:vAlign w:val="center"/>
          </w:tcPr>
          <w:p w14:paraId="676643F9">
            <w:pPr>
              <w:wordWrap/>
              <w:spacing w:before="0" w:after="0" w:line="240" w:lineRule="exact"/>
              <w:ind w:left="0" w:right="0"/>
              <w:jc w:val="center"/>
              <w:textAlignment w:val="auto"/>
              <w:rPr>
                <w:sz w:val="21"/>
                <w:szCs w:val="21"/>
              </w:rPr>
            </w:pPr>
          </w:p>
        </w:tc>
        <w:tc>
          <w:tcPr>
            <w:tcW w:w="2290" w:type="dxa"/>
            <w:vAlign w:val="center"/>
          </w:tcPr>
          <w:p w14:paraId="75C246F7">
            <w:pPr>
              <w:wordWrap/>
              <w:spacing w:before="0" w:after="0" w:line="240" w:lineRule="exact"/>
              <w:ind w:left="0" w:right="0"/>
              <w:jc w:val="center"/>
              <w:textAlignment w:val="auto"/>
              <w:rPr>
                <w:sz w:val="21"/>
                <w:szCs w:val="21"/>
              </w:rPr>
            </w:pPr>
          </w:p>
        </w:tc>
        <w:tc>
          <w:tcPr>
            <w:tcW w:w="860" w:type="dxa"/>
            <w:vAlign w:val="center"/>
          </w:tcPr>
          <w:p w14:paraId="18926D49">
            <w:pPr>
              <w:wordWrap/>
              <w:spacing w:before="0" w:after="0" w:line="240" w:lineRule="exact"/>
              <w:ind w:left="0" w:right="0"/>
              <w:jc w:val="center"/>
              <w:textAlignment w:val="auto"/>
              <w:rPr>
                <w:sz w:val="21"/>
                <w:szCs w:val="21"/>
              </w:rPr>
            </w:pPr>
          </w:p>
        </w:tc>
      </w:tr>
      <w:tr w14:paraId="5997FE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5" w:hRule="atLeast"/>
          <w:jc w:val="center"/>
        </w:trPr>
        <w:tc>
          <w:tcPr>
            <w:tcW w:w="635" w:type="dxa"/>
            <w:vAlign w:val="center"/>
          </w:tcPr>
          <w:p w14:paraId="6AFB781A">
            <w:pPr>
              <w:wordWrap/>
              <w:spacing w:before="0" w:after="0" w:line="240" w:lineRule="exact"/>
              <w:ind w:left="0" w:right="0"/>
              <w:jc w:val="center"/>
              <w:textAlignment w:val="auto"/>
              <w:rPr>
                <w:sz w:val="21"/>
                <w:szCs w:val="21"/>
              </w:rPr>
            </w:pPr>
          </w:p>
        </w:tc>
        <w:tc>
          <w:tcPr>
            <w:tcW w:w="1545" w:type="dxa"/>
            <w:vAlign w:val="center"/>
          </w:tcPr>
          <w:p w14:paraId="4156939A">
            <w:pPr>
              <w:wordWrap/>
              <w:autoSpaceDE w:val="0"/>
              <w:autoSpaceDN w:val="0"/>
              <w:spacing w:before="0" w:after="0" w:line="260" w:lineRule="atLeast"/>
              <w:ind w:left="0" w:right="0"/>
              <w:jc w:val="both"/>
              <w:textAlignment w:val="auto"/>
              <w:rPr>
                <w:sz w:val="21"/>
                <w:szCs w:val="21"/>
              </w:rPr>
            </w:pPr>
            <w:r>
              <w:rPr>
                <w:rFonts w:hint="eastAsia" w:ascii="宋体" w:hAnsi="宋体" w:eastAsia="宋体" w:cs="宋体"/>
                <w:b w:val="0"/>
                <w:i w:val="0"/>
                <w:strike w:val="0"/>
                <w:color w:val="000000"/>
                <w:sz w:val="21"/>
                <w:szCs w:val="21"/>
                <w:lang w:val="en-US" w:eastAsia="zh-CN"/>
              </w:rPr>
              <w:t>得分</w:t>
            </w:r>
            <w:r>
              <w:rPr>
                <w:rFonts w:ascii="宋体" w:hAnsi="宋体" w:eastAsia="宋体" w:cs="宋体"/>
                <w:b w:val="0"/>
                <w:i w:val="0"/>
                <w:strike w:val="0"/>
                <w:color w:val="000000"/>
                <w:sz w:val="21"/>
                <w:szCs w:val="21"/>
              </w:rPr>
              <w:t>：</w:t>
            </w:r>
          </w:p>
        </w:tc>
        <w:tc>
          <w:tcPr>
            <w:tcW w:w="3595" w:type="dxa"/>
            <w:gridSpan w:val="2"/>
            <w:vAlign w:val="center"/>
          </w:tcPr>
          <w:p w14:paraId="69FC09B7">
            <w:pPr>
              <w:wordWrap/>
              <w:spacing w:before="0" w:after="0" w:line="240" w:lineRule="exact"/>
              <w:ind w:left="0" w:right="0"/>
              <w:jc w:val="center"/>
              <w:textAlignment w:val="auto"/>
              <w:rPr>
                <w:sz w:val="21"/>
                <w:szCs w:val="21"/>
              </w:rPr>
            </w:pPr>
          </w:p>
        </w:tc>
        <w:tc>
          <w:tcPr>
            <w:tcW w:w="4065" w:type="dxa"/>
            <w:gridSpan w:val="3"/>
            <w:vAlign w:val="center"/>
          </w:tcPr>
          <w:p w14:paraId="7814DAF4">
            <w:pPr>
              <w:wordWrap/>
              <w:autoSpaceDE w:val="0"/>
              <w:autoSpaceDN w:val="0"/>
              <w:spacing w:before="0" w:after="0" w:line="260" w:lineRule="atLeast"/>
              <w:ind w:left="0" w:right="0"/>
              <w:jc w:val="both"/>
              <w:textAlignment w:val="auto"/>
              <w:rPr>
                <w:rFonts w:hint="default" w:eastAsia="宋体"/>
                <w:sz w:val="21"/>
                <w:szCs w:val="21"/>
                <w:lang w:val="en-US" w:eastAsia="zh-CN"/>
              </w:rPr>
            </w:pPr>
            <w:r>
              <w:rPr>
                <w:rFonts w:hint="eastAsia" w:ascii="宋体" w:hAnsi="宋体" w:eastAsia="宋体" w:cs="宋体"/>
                <w:b w:val="0"/>
                <w:i w:val="0"/>
                <w:strike w:val="0"/>
                <w:color w:val="000000"/>
                <w:sz w:val="21"/>
                <w:szCs w:val="21"/>
                <w:lang w:val="en-US" w:eastAsia="zh-CN"/>
              </w:rPr>
              <w:t>考核人员确认：</w:t>
            </w:r>
          </w:p>
        </w:tc>
      </w:tr>
      <w:tr w14:paraId="41691D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4" w:hRule="atLeast"/>
          <w:jc w:val="center"/>
        </w:trPr>
        <w:tc>
          <w:tcPr>
            <w:tcW w:w="9840" w:type="dxa"/>
            <w:gridSpan w:val="7"/>
            <w:vAlign w:val="center"/>
          </w:tcPr>
          <w:p w14:paraId="49A92433">
            <w:pPr>
              <w:wordWrap/>
              <w:autoSpaceDE w:val="0"/>
              <w:autoSpaceDN w:val="0"/>
              <w:spacing w:before="0" w:after="0" w:line="260" w:lineRule="atLeast"/>
              <w:ind w:left="0" w:right="0"/>
              <w:jc w:val="left"/>
              <w:textAlignment w:val="auto"/>
              <w:rPr>
                <w:sz w:val="21"/>
                <w:szCs w:val="21"/>
              </w:rPr>
            </w:pPr>
            <w:r>
              <w:rPr>
                <w:rFonts w:hint="eastAsia" w:ascii="宋体" w:hAnsi="宋体" w:eastAsia="宋体" w:cs="宋体"/>
                <w:b w:val="0"/>
                <w:i w:val="0"/>
                <w:strike w:val="0"/>
                <w:color w:val="000000"/>
                <w:sz w:val="21"/>
                <w:szCs w:val="21"/>
                <w:lang w:val="en-US" w:eastAsia="zh-CN"/>
              </w:rPr>
              <w:t>考核细则：</w:t>
            </w:r>
            <w:r>
              <w:rPr>
                <w:rFonts w:ascii="宋体" w:hAnsi="宋体" w:eastAsia="宋体" w:cs="宋体"/>
                <w:b w:val="0"/>
                <w:i w:val="0"/>
                <w:strike w:val="0"/>
                <w:color w:val="000000"/>
                <w:sz w:val="21"/>
                <w:szCs w:val="21"/>
              </w:rPr>
              <w:t>每</w:t>
            </w:r>
            <w:r>
              <w:rPr>
                <w:rFonts w:hint="eastAsia" w:ascii="宋体" w:hAnsi="宋体" w:eastAsia="宋体" w:cs="宋体"/>
                <w:b w:val="0"/>
                <w:i w:val="0"/>
                <w:strike w:val="0"/>
                <w:color w:val="000000"/>
                <w:sz w:val="21"/>
                <w:szCs w:val="21"/>
                <w:lang w:val="en-US" w:eastAsia="zh-CN"/>
              </w:rPr>
              <w:t>半年</w:t>
            </w:r>
            <w:r>
              <w:rPr>
                <w:rFonts w:ascii="宋体" w:hAnsi="宋体" w:eastAsia="宋体" w:cs="宋体"/>
                <w:b w:val="0"/>
                <w:i w:val="0"/>
                <w:strike w:val="0"/>
                <w:color w:val="000000"/>
                <w:sz w:val="21"/>
                <w:szCs w:val="21"/>
              </w:rPr>
              <w:t>考核1次。</w:t>
            </w:r>
            <w:r>
              <w:rPr>
                <w:rFonts w:hint="eastAsia" w:hAnsi="宋体" w:cs="宋体"/>
                <w:bCs/>
                <w:lang w:val="en-US" w:eastAsia="zh-CN"/>
              </w:rPr>
              <w:t>乙方在合同履行过程中如有以下行为，应按照合同第11项约定进行相应惩罚：“</w:t>
            </w:r>
            <w:r>
              <w:rPr>
                <w:rFonts w:hint="eastAsia" w:hAnsi="宋体" w:cs="宋体"/>
                <w:bCs/>
              </w:rPr>
              <w:t>11.5电梯发生困人故障，乙方未能在规定时间内到达现场，每次扣除总维保费1%；11.6电梯发生一般故障，乙方未能在规定时间内到达现场，每次扣除总维保费0.5%；11.7乙方应保证所维保电梯设施及标识的完好，如照明、通风、选梯或呼梯按钮等及检验合格证。如经</w:t>
            </w:r>
            <w:r>
              <w:rPr>
                <w:rFonts w:hint="eastAsia" w:hAnsi="宋体" w:cs="宋体"/>
                <w:bCs/>
                <w:lang w:eastAsia="zh-CN"/>
              </w:rPr>
              <w:t>招标人</w:t>
            </w:r>
            <w:r>
              <w:rPr>
                <w:rFonts w:hint="eastAsia" w:hAnsi="宋体" w:cs="宋体"/>
                <w:bCs/>
              </w:rPr>
              <w:t>发现未能及时排除故障或完善标识，每次罚款500元，情况严重将扣除总维保费1%</w:t>
            </w:r>
            <w:r>
              <w:rPr>
                <w:rFonts w:hint="eastAsia" w:hAnsi="宋体" w:cs="宋体"/>
                <w:bCs/>
                <w:lang w:eastAsia="zh-CN"/>
              </w:rPr>
              <w:t>”。</w:t>
            </w:r>
          </w:p>
        </w:tc>
      </w:tr>
    </w:tbl>
    <w:p w14:paraId="592FE294">
      <w:pPr>
        <w:numPr>
          <w:ilvl w:val="0"/>
          <w:numId w:val="0"/>
        </w:numPr>
        <w:jc w:val="both"/>
      </w:pPr>
    </w:p>
    <w:p w14:paraId="272BE307">
      <w:pPr>
        <w:rPr>
          <w:rFonts w:ascii="宋体" w:hAnsi="宋体" w:eastAsia="宋体" w:cs="宋体"/>
          <w:kern w:val="44"/>
          <w:sz w:val="36"/>
          <w:szCs w:val="36"/>
          <w:u w:color="000000"/>
          <w:lang w:val="zh-TW" w:eastAsia="zh-TW"/>
        </w:rPr>
      </w:pPr>
    </w:p>
    <w:p w14:paraId="65100B87">
      <w:pPr>
        <w:numPr>
          <w:ilvl w:val="0"/>
          <w:numId w:val="1"/>
        </w:numPr>
        <w:spacing w:before="40" w:after="40" w:line="360" w:lineRule="auto"/>
        <w:ind w:firstLine="702" w:firstLineChars="195"/>
        <w:jc w:val="center"/>
        <w:rPr>
          <w:rFonts w:hint="eastAsia" w:ascii="宋体" w:hAnsi="宋体" w:eastAsia="宋体" w:cs="宋体"/>
          <w:kern w:val="44"/>
          <w:sz w:val="36"/>
          <w:szCs w:val="36"/>
          <w:u w:color="000000"/>
          <w:lang w:val="zh-TW"/>
        </w:rPr>
      </w:pPr>
      <w:r>
        <w:rPr>
          <w:rFonts w:hint="eastAsia" w:ascii="宋体" w:hAnsi="宋体" w:eastAsia="宋体" w:cs="宋体"/>
          <w:kern w:val="44"/>
          <w:sz w:val="36"/>
          <w:szCs w:val="36"/>
          <w:u w:color="000000"/>
          <w:lang w:val="zh-TW" w:eastAsia="zh-TW"/>
        </w:rPr>
        <w:t xml:space="preserve"> </w:t>
      </w:r>
      <w:r>
        <w:rPr>
          <w:rFonts w:hint="eastAsia" w:ascii="宋体" w:hAnsi="宋体" w:eastAsia="宋体" w:cs="宋体"/>
          <w:kern w:val="44"/>
          <w:sz w:val="36"/>
          <w:szCs w:val="36"/>
          <w:u w:color="000000"/>
          <w:lang w:val="zh-TW"/>
        </w:rPr>
        <w:t>项目需求</w:t>
      </w:r>
      <w:bookmarkEnd w:id="12"/>
      <w:bookmarkStart w:id="14" w:name="_Toc15896"/>
    </w:p>
    <w:p w14:paraId="4147F3E5">
      <w:pPr>
        <w:spacing w:line="360" w:lineRule="auto"/>
        <w:rPr>
          <w:rFonts w:ascii="宋体" w:hAnsi="宋体" w:eastAsia="宋体" w:cs="宋体"/>
          <w:sz w:val="24"/>
        </w:rPr>
      </w:pPr>
      <w:r>
        <w:rPr>
          <w:rFonts w:hint="eastAsia" w:ascii="宋体" w:hAnsi="宋体" w:eastAsia="宋体" w:cs="宋体"/>
          <w:sz w:val="24"/>
        </w:rPr>
        <w:t>一、维保服务标准和依据</w:t>
      </w:r>
    </w:p>
    <w:p w14:paraId="08D0116A">
      <w:pPr>
        <w:spacing w:line="360" w:lineRule="auto"/>
        <w:ind w:firstLine="638" w:firstLineChars="266"/>
        <w:rPr>
          <w:rFonts w:ascii="宋体" w:hAnsi="宋体" w:eastAsia="宋体" w:cs="宋体"/>
          <w:sz w:val="24"/>
        </w:rPr>
      </w:pPr>
      <w:r>
        <w:rPr>
          <w:rFonts w:hint="eastAsia" w:ascii="宋体" w:hAnsi="宋体" w:eastAsia="宋体" w:cs="宋体"/>
          <w:sz w:val="24"/>
        </w:rPr>
        <w:t>1、电梯使用管理与维修保养规则TSG T5001-2009</w:t>
      </w:r>
    </w:p>
    <w:p w14:paraId="4C3693E6">
      <w:pPr>
        <w:spacing w:line="360" w:lineRule="auto"/>
        <w:ind w:firstLine="638" w:firstLineChars="266"/>
        <w:rPr>
          <w:rFonts w:ascii="宋体" w:hAnsi="宋体" w:eastAsia="宋体" w:cs="宋体"/>
          <w:sz w:val="24"/>
        </w:rPr>
      </w:pPr>
      <w:r>
        <w:rPr>
          <w:rFonts w:hint="eastAsia" w:ascii="宋体" w:hAnsi="宋体" w:eastAsia="宋体" w:cs="宋体"/>
          <w:sz w:val="24"/>
        </w:rPr>
        <w:t>2、电梯维修规范GB/T  18775-2002</w:t>
      </w:r>
    </w:p>
    <w:p w14:paraId="03DBD6DE">
      <w:pPr>
        <w:spacing w:line="360" w:lineRule="auto"/>
        <w:ind w:firstLine="638" w:firstLineChars="266"/>
        <w:rPr>
          <w:rFonts w:ascii="宋体" w:hAnsi="宋体" w:eastAsia="宋体" w:cs="宋体"/>
          <w:sz w:val="24"/>
        </w:rPr>
      </w:pPr>
      <w:r>
        <w:rPr>
          <w:rFonts w:hint="eastAsia" w:ascii="宋体" w:hAnsi="宋体" w:eastAsia="宋体" w:cs="宋体"/>
          <w:sz w:val="24"/>
        </w:rPr>
        <w:t>3、电梯日常维护保养规则DB11/418-2007</w:t>
      </w:r>
    </w:p>
    <w:p w14:paraId="6C592067">
      <w:pPr>
        <w:spacing w:line="360" w:lineRule="auto"/>
        <w:ind w:firstLine="638" w:firstLineChars="266"/>
        <w:rPr>
          <w:rFonts w:ascii="宋体" w:hAnsi="宋体" w:eastAsia="宋体" w:cs="宋体"/>
          <w:sz w:val="24"/>
        </w:rPr>
      </w:pPr>
      <w:r>
        <w:rPr>
          <w:rFonts w:hint="eastAsia" w:ascii="宋体" w:hAnsi="宋体" w:eastAsia="宋体" w:cs="宋体"/>
          <w:sz w:val="24"/>
        </w:rPr>
        <w:t>4、维保合同</w:t>
      </w:r>
    </w:p>
    <w:p w14:paraId="7B5B9BCE">
      <w:pPr>
        <w:spacing w:line="360" w:lineRule="auto"/>
        <w:rPr>
          <w:rFonts w:ascii="宋体" w:hAnsi="宋体" w:eastAsia="宋体" w:cs="宋体"/>
          <w:sz w:val="24"/>
        </w:rPr>
      </w:pPr>
      <w:r>
        <w:rPr>
          <w:rFonts w:hint="eastAsia" w:ascii="宋体" w:hAnsi="宋体" w:eastAsia="宋体" w:cs="宋体"/>
          <w:sz w:val="24"/>
        </w:rPr>
        <w:t>二、对材料的质量和试验要求</w:t>
      </w:r>
    </w:p>
    <w:p w14:paraId="7F610EC2">
      <w:pPr>
        <w:spacing w:line="360" w:lineRule="auto"/>
        <w:ind w:firstLine="638" w:firstLineChars="266"/>
        <w:rPr>
          <w:rFonts w:ascii="宋体" w:hAnsi="宋体" w:eastAsia="宋体" w:cs="宋体"/>
          <w:sz w:val="24"/>
        </w:rPr>
      </w:pPr>
      <w:r>
        <w:rPr>
          <w:rFonts w:hint="eastAsia" w:ascii="宋体" w:hAnsi="宋体" w:eastAsia="宋体" w:cs="宋体"/>
          <w:sz w:val="24"/>
        </w:rPr>
        <w:t>电梯监督检验和定期检验规则TSG 7001-2009</w:t>
      </w:r>
    </w:p>
    <w:p w14:paraId="51F13F9F">
      <w:pPr>
        <w:spacing w:line="360" w:lineRule="auto"/>
        <w:rPr>
          <w:rFonts w:ascii="宋体" w:hAnsi="宋体" w:eastAsia="宋体" w:cs="宋体"/>
          <w:sz w:val="24"/>
        </w:rPr>
      </w:pPr>
      <w:r>
        <w:rPr>
          <w:rFonts w:hint="eastAsia" w:ascii="宋体" w:hAnsi="宋体" w:eastAsia="宋体" w:cs="宋体"/>
          <w:sz w:val="24"/>
        </w:rPr>
        <w:t>三、维保服务要求</w:t>
      </w:r>
    </w:p>
    <w:p w14:paraId="452210C5">
      <w:pPr>
        <w:spacing w:line="360" w:lineRule="auto"/>
        <w:ind w:firstLine="638" w:firstLineChars="266"/>
        <w:rPr>
          <w:rFonts w:ascii="宋体" w:hAnsi="宋体" w:eastAsia="宋体" w:cs="宋体"/>
          <w:sz w:val="24"/>
        </w:rPr>
      </w:pPr>
      <w:r>
        <w:rPr>
          <w:rFonts w:hint="eastAsia" w:ascii="宋体" w:hAnsi="宋体" w:eastAsia="宋体" w:cs="宋体"/>
          <w:sz w:val="24"/>
        </w:rPr>
        <w:t>1、维护保养标准：依据TSG T5001-2009电梯维保要求执行。</w:t>
      </w:r>
    </w:p>
    <w:p w14:paraId="059B9D8F">
      <w:pPr>
        <w:spacing w:line="360" w:lineRule="auto"/>
        <w:ind w:firstLine="638" w:firstLineChars="266"/>
        <w:rPr>
          <w:rFonts w:ascii="宋体" w:hAnsi="宋体" w:eastAsia="宋体" w:cs="宋体"/>
          <w:sz w:val="24"/>
        </w:rPr>
      </w:pPr>
      <w:r>
        <w:rPr>
          <w:rFonts w:hint="eastAsia" w:ascii="宋体" w:hAnsi="宋体" w:eastAsia="宋体" w:cs="宋体"/>
          <w:sz w:val="24"/>
        </w:rPr>
        <w:t>（1）负责电梯的日常保养，每周巡检2次，每月确保两次维保。主要工作内容包括：检查、清洁、卫生、润滑、维修、定期保养、修理（不包括重大修理和改造）、更换易损零件，配合甲方定期检查，参加紧急救援演练，指导培训用户安全使用，以确保电梯的正常安全运行。</w:t>
      </w:r>
    </w:p>
    <w:p w14:paraId="7A89AB4A">
      <w:pPr>
        <w:spacing w:line="360" w:lineRule="auto"/>
        <w:ind w:firstLine="638" w:firstLineChars="266"/>
        <w:rPr>
          <w:rFonts w:ascii="宋体" w:hAnsi="宋体" w:eastAsia="宋体" w:cs="宋体"/>
          <w:sz w:val="24"/>
        </w:rPr>
      </w:pPr>
      <w:r>
        <w:rPr>
          <w:rFonts w:hint="eastAsia" w:ascii="宋体" w:hAnsi="宋体" w:eastAsia="宋体" w:cs="宋体"/>
          <w:sz w:val="24"/>
        </w:rPr>
        <w:t>（2）提供24小时应急服务随叫随到，电梯的紧急故障应30分钟内赶到现场并及时排除故障。</w:t>
      </w:r>
    </w:p>
    <w:p w14:paraId="03766869">
      <w:pPr>
        <w:spacing w:line="360" w:lineRule="auto"/>
        <w:ind w:firstLine="638" w:firstLineChars="266"/>
        <w:rPr>
          <w:rFonts w:ascii="宋体" w:hAnsi="宋体" w:eastAsia="宋体" w:cs="宋体"/>
          <w:sz w:val="24"/>
        </w:rPr>
      </w:pPr>
      <w:r>
        <w:rPr>
          <w:rFonts w:hint="eastAsia" w:ascii="宋体" w:hAnsi="宋体" w:eastAsia="宋体" w:cs="宋体"/>
          <w:sz w:val="24"/>
        </w:rPr>
        <w:t>（3）建立维护保养手册和档案壹份实行双方签字记录制度。</w:t>
      </w:r>
    </w:p>
    <w:p w14:paraId="7B15CDBF">
      <w:pPr>
        <w:spacing w:line="360" w:lineRule="auto"/>
        <w:ind w:firstLine="638" w:firstLineChars="266"/>
        <w:rPr>
          <w:rFonts w:ascii="宋体" w:hAnsi="宋体" w:eastAsia="宋体" w:cs="宋体"/>
          <w:sz w:val="24"/>
        </w:rPr>
      </w:pPr>
      <w:r>
        <w:rPr>
          <w:rFonts w:hint="eastAsia" w:ascii="宋体" w:hAnsi="宋体" w:eastAsia="宋体" w:cs="宋体"/>
          <w:sz w:val="24"/>
        </w:rPr>
        <w:t>（4）协助政府有关部门做好电梯年检，费用由</w:t>
      </w:r>
      <w:r>
        <w:rPr>
          <w:rFonts w:hint="eastAsia" w:ascii="宋体" w:hAnsi="宋体" w:eastAsia="宋体" w:cs="宋体"/>
          <w:sz w:val="24"/>
          <w:lang w:val="en-US" w:eastAsia="zh-CN"/>
        </w:rPr>
        <w:t>中标人</w:t>
      </w:r>
      <w:r>
        <w:rPr>
          <w:rFonts w:hint="eastAsia" w:ascii="宋体" w:hAnsi="宋体" w:eastAsia="宋体" w:cs="宋体"/>
          <w:sz w:val="24"/>
        </w:rPr>
        <w:t>负责，因年检不合格产生的复检费由</w:t>
      </w:r>
      <w:r>
        <w:rPr>
          <w:rFonts w:hint="eastAsia" w:ascii="宋体" w:hAnsi="宋体" w:eastAsia="宋体" w:cs="宋体"/>
          <w:sz w:val="24"/>
          <w:lang w:val="en-US" w:eastAsia="zh-CN"/>
        </w:rPr>
        <w:t>中标人</w:t>
      </w:r>
      <w:r>
        <w:rPr>
          <w:rFonts w:hint="eastAsia" w:ascii="宋体" w:hAnsi="宋体" w:eastAsia="宋体" w:cs="宋体"/>
          <w:sz w:val="24"/>
        </w:rPr>
        <w:t>承担。</w:t>
      </w:r>
    </w:p>
    <w:p w14:paraId="474655F0">
      <w:pPr>
        <w:spacing w:line="360" w:lineRule="auto"/>
        <w:ind w:firstLine="638" w:firstLineChars="266"/>
        <w:rPr>
          <w:rFonts w:ascii="宋体" w:hAnsi="宋体" w:eastAsia="宋体" w:cs="宋体"/>
          <w:sz w:val="24"/>
        </w:rPr>
      </w:pPr>
      <w:r>
        <w:rPr>
          <w:rFonts w:hint="eastAsia" w:ascii="宋体" w:hAnsi="宋体" w:eastAsia="宋体" w:cs="宋体"/>
          <w:sz w:val="24"/>
        </w:rPr>
        <w:t>（5）发现电梯事故隐患及时通知，共同找出处理解决事故的方法。</w:t>
      </w:r>
    </w:p>
    <w:p w14:paraId="53BDB46D">
      <w:pPr>
        <w:spacing w:line="360" w:lineRule="auto"/>
        <w:ind w:firstLine="638" w:firstLineChars="266"/>
        <w:rPr>
          <w:rFonts w:ascii="宋体" w:hAnsi="宋体" w:eastAsia="宋体" w:cs="宋体"/>
          <w:sz w:val="24"/>
        </w:rPr>
      </w:pPr>
      <w:r>
        <w:rPr>
          <w:rFonts w:hint="eastAsia" w:ascii="宋体" w:hAnsi="宋体" w:eastAsia="宋体" w:cs="宋体"/>
          <w:sz w:val="24"/>
        </w:rPr>
        <w:t>（6）保证电梯的安全可靠、有序、舒适的运行。</w:t>
      </w:r>
    </w:p>
    <w:p w14:paraId="3DF3EEE3">
      <w:pPr>
        <w:spacing w:line="360" w:lineRule="auto"/>
        <w:ind w:firstLine="638" w:firstLineChars="266"/>
        <w:rPr>
          <w:rFonts w:ascii="宋体" w:hAnsi="宋体" w:eastAsia="宋体" w:cs="宋体"/>
          <w:sz w:val="24"/>
        </w:rPr>
      </w:pPr>
      <w:r>
        <w:rPr>
          <w:rFonts w:hint="eastAsia" w:ascii="宋体" w:hAnsi="宋体" w:eastAsia="宋体" w:cs="宋体"/>
          <w:sz w:val="24"/>
        </w:rPr>
        <w:t>（7）应及时发现电梯存在的问题，并且迅速排除。</w:t>
      </w:r>
    </w:p>
    <w:p w14:paraId="4C1E3FD9">
      <w:pPr>
        <w:spacing w:line="360" w:lineRule="auto"/>
        <w:ind w:firstLine="638" w:firstLineChars="266"/>
        <w:rPr>
          <w:rFonts w:ascii="宋体" w:hAnsi="宋体" w:eastAsia="宋体" w:cs="宋体"/>
          <w:sz w:val="24"/>
        </w:rPr>
      </w:pPr>
      <w:r>
        <w:rPr>
          <w:rFonts w:hint="eastAsia" w:ascii="宋体" w:hAnsi="宋体" w:eastAsia="宋体" w:cs="宋体"/>
          <w:sz w:val="24"/>
        </w:rPr>
        <w:t>（8）对电梯更换单价为500元以上的零配件，</w:t>
      </w:r>
      <w:r>
        <w:rPr>
          <w:rFonts w:hint="eastAsia" w:ascii="宋体" w:hAnsi="宋体" w:eastAsia="宋体" w:cs="宋体"/>
          <w:sz w:val="24"/>
          <w:lang w:val="en-US" w:eastAsia="zh-CN"/>
        </w:rPr>
        <w:t>中标人</w:t>
      </w:r>
      <w:r>
        <w:rPr>
          <w:rFonts w:hint="eastAsia" w:ascii="宋体" w:hAnsi="宋体" w:eastAsia="宋体" w:cs="宋体"/>
          <w:sz w:val="24"/>
        </w:rPr>
        <w:t>应以书面形式及时报告</w:t>
      </w:r>
      <w:r>
        <w:rPr>
          <w:rFonts w:hint="eastAsia" w:ascii="宋体" w:hAnsi="宋体" w:eastAsia="宋体" w:cs="宋体"/>
          <w:sz w:val="24"/>
          <w:lang w:val="en-US" w:eastAsia="zh-CN"/>
        </w:rPr>
        <w:t>招标人</w:t>
      </w:r>
      <w:r>
        <w:rPr>
          <w:rFonts w:hint="eastAsia" w:ascii="宋体" w:hAnsi="宋体" w:eastAsia="宋体" w:cs="宋体"/>
          <w:sz w:val="24"/>
        </w:rPr>
        <w:t>确认，并给与合理化建议。经</w:t>
      </w:r>
      <w:r>
        <w:rPr>
          <w:rFonts w:hint="eastAsia" w:ascii="宋体" w:hAnsi="宋体" w:eastAsia="宋体" w:cs="宋体"/>
          <w:sz w:val="24"/>
          <w:lang w:val="en-US" w:eastAsia="zh-CN"/>
        </w:rPr>
        <w:t>招标人</w:t>
      </w:r>
      <w:r>
        <w:rPr>
          <w:rFonts w:hint="eastAsia" w:ascii="宋体" w:hAnsi="宋体" w:eastAsia="宋体" w:cs="宋体"/>
          <w:sz w:val="24"/>
        </w:rPr>
        <w:t>书面确认后</w:t>
      </w:r>
      <w:r>
        <w:rPr>
          <w:rFonts w:hint="eastAsia" w:ascii="宋体" w:hAnsi="宋体" w:eastAsia="宋体" w:cs="宋体"/>
          <w:sz w:val="24"/>
          <w:lang w:val="en-US" w:eastAsia="zh-CN"/>
        </w:rPr>
        <w:t>中标人</w:t>
      </w:r>
      <w:r>
        <w:rPr>
          <w:rFonts w:hint="eastAsia" w:ascii="宋体" w:hAnsi="宋体" w:eastAsia="宋体" w:cs="宋体"/>
          <w:sz w:val="24"/>
        </w:rPr>
        <w:t>可以代购。</w:t>
      </w:r>
    </w:p>
    <w:p w14:paraId="09A2B8B4">
      <w:pPr>
        <w:spacing w:line="360" w:lineRule="auto"/>
        <w:ind w:firstLine="638" w:firstLineChars="266"/>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sz w:val="24"/>
          <w:lang w:eastAsia="zh-CN"/>
        </w:rPr>
        <w:t>中标人</w:t>
      </w:r>
      <w:r>
        <w:rPr>
          <w:rFonts w:hint="eastAsia" w:ascii="宋体" w:hAnsi="宋体" w:eastAsia="宋体" w:cs="宋体"/>
          <w:sz w:val="24"/>
        </w:rPr>
        <w:t>更换的所有零配件交给</w:t>
      </w:r>
      <w:r>
        <w:rPr>
          <w:rFonts w:hint="eastAsia" w:ascii="宋体" w:hAnsi="宋体" w:eastAsia="宋体" w:cs="宋体"/>
          <w:sz w:val="24"/>
          <w:lang w:eastAsia="zh-CN"/>
        </w:rPr>
        <w:t>招标人</w:t>
      </w:r>
      <w:r>
        <w:rPr>
          <w:rFonts w:hint="eastAsia" w:ascii="宋体" w:hAnsi="宋体" w:eastAsia="宋体" w:cs="宋体"/>
          <w:sz w:val="24"/>
        </w:rPr>
        <w:t>保存，</w:t>
      </w:r>
      <w:r>
        <w:rPr>
          <w:rFonts w:hint="eastAsia" w:ascii="宋体" w:hAnsi="宋体" w:eastAsia="宋体" w:cs="宋体"/>
          <w:sz w:val="24"/>
          <w:lang w:val="en-US" w:eastAsia="zh-CN"/>
        </w:rPr>
        <w:t>零配件单价500元及以下的</w:t>
      </w:r>
      <w:r>
        <w:rPr>
          <w:rFonts w:hint="eastAsia" w:ascii="宋体" w:hAnsi="宋体" w:eastAsia="宋体" w:cs="宋体"/>
          <w:sz w:val="24"/>
        </w:rPr>
        <w:t>由</w:t>
      </w:r>
      <w:r>
        <w:rPr>
          <w:rFonts w:hint="eastAsia" w:ascii="宋体" w:hAnsi="宋体" w:eastAsia="宋体" w:cs="宋体"/>
          <w:sz w:val="24"/>
          <w:lang w:eastAsia="zh-CN"/>
        </w:rPr>
        <w:t>中标人</w:t>
      </w:r>
      <w:r>
        <w:rPr>
          <w:rFonts w:hint="eastAsia" w:ascii="宋体" w:hAnsi="宋体" w:eastAsia="宋体" w:cs="宋体"/>
          <w:sz w:val="24"/>
        </w:rPr>
        <w:t>负责</w:t>
      </w:r>
      <w:r>
        <w:rPr>
          <w:rFonts w:hint="eastAsia" w:ascii="宋体" w:hAnsi="宋体" w:eastAsia="宋体" w:cs="宋体"/>
          <w:sz w:val="24"/>
          <w:highlight w:val="none"/>
        </w:rPr>
        <w:t>维修</w:t>
      </w:r>
      <w:r>
        <w:rPr>
          <w:rFonts w:hint="eastAsia" w:ascii="宋体" w:hAnsi="宋体" w:eastAsia="宋体" w:cs="宋体"/>
          <w:sz w:val="24"/>
          <w:highlight w:val="none"/>
          <w:lang w:val="en-US" w:eastAsia="zh-CN"/>
        </w:rPr>
        <w:t>及免费更换</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零配件单价500元及以上</w:t>
      </w:r>
      <w:r>
        <w:rPr>
          <w:rFonts w:hint="eastAsia" w:ascii="宋体" w:hAnsi="宋体" w:eastAsia="宋体" w:cs="宋体"/>
          <w:sz w:val="24"/>
          <w:highlight w:val="none"/>
        </w:rPr>
        <w:t>维修费用双方商定，</w:t>
      </w:r>
      <w:r>
        <w:rPr>
          <w:rFonts w:hint="eastAsia" w:ascii="宋体" w:hAnsi="宋体" w:eastAsia="宋体" w:cs="宋体"/>
          <w:sz w:val="24"/>
        </w:rPr>
        <w:t>维修好后由</w:t>
      </w:r>
      <w:r>
        <w:rPr>
          <w:rFonts w:hint="eastAsia" w:ascii="宋体" w:hAnsi="宋体" w:eastAsia="宋体" w:cs="宋体"/>
          <w:sz w:val="24"/>
          <w:lang w:eastAsia="zh-CN"/>
        </w:rPr>
        <w:t>招标人</w:t>
      </w:r>
      <w:r>
        <w:rPr>
          <w:rFonts w:hint="eastAsia" w:ascii="宋体" w:hAnsi="宋体" w:eastAsia="宋体" w:cs="宋体"/>
          <w:sz w:val="24"/>
        </w:rPr>
        <w:t>支付费用，</w:t>
      </w:r>
      <w:r>
        <w:rPr>
          <w:rFonts w:hint="eastAsia" w:ascii="宋体" w:hAnsi="宋体" w:eastAsia="宋体" w:cs="宋体"/>
          <w:sz w:val="24"/>
          <w:lang w:val="en-US" w:eastAsia="zh-CN"/>
        </w:rPr>
        <w:t>更换下来的</w:t>
      </w:r>
      <w:r>
        <w:rPr>
          <w:rFonts w:hint="eastAsia" w:ascii="宋体" w:hAnsi="宋体" w:eastAsia="宋体" w:cs="宋体"/>
          <w:sz w:val="24"/>
        </w:rPr>
        <w:t>零配件</w:t>
      </w:r>
      <w:r>
        <w:rPr>
          <w:rFonts w:hint="eastAsia" w:ascii="宋体" w:hAnsi="宋体" w:eastAsia="宋体" w:cs="宋体"/>
          <w:sz w:val="24"/>
          <w:lang w:val="en-US" w:eastAsia="zh-CN"/>
        </w:rPr>
        <w:t>交</w:t>
      </w:r>
      <w:r>
        <w:rPr>
          <w:rFonts w:hint="eastAsia" w:ascii="宋体" w:hAnsi="宋体" w:eastAsia="宋体" w:cs="宋体"/>
          <w:sz w:val="24"/>
          <w:lang w:eastAsia="zh-CN"/>
        </w:rPr>
        <w:t>招标人</w:t>
      </w:r>
      <w:r>
        <w:rPr>
          <w:rFonts w:hint="eastAsia" w:ascii="宋体" w:hAnsi="宋体" w:eastAsia="宋体" w:cs="宋体"/>
          <w:sz w:val="24"/>
          <w:lang w:val="en-US" w:eastAsia="zh-CN"/>
        </w:rPr>
        <w:t>保管</w:t>
      </w:r>
      <w:r>
        <w:rPr>
          <w:rFonts w:hint="eastAsia" w:ascii="宋体" w:hAnsi="宋体" w:eastAsia="宋体" w:cs="宋体"/>
          <w:sz w:val="24"/>
        </w:rPr>
        <w:t>。</w:t>
      </w:r>
    </w:p>
    <w:p w14:paraId="45BE657A">
      <w:pPr>
        <w:spacing w:line="360" w:lineRule="auto"/>
        <w:ind w:firstLine="638" w:firstLineChars="266"/>
        <w:rPr>
          <w:rFonts w:ascii="宋体" w:hAnsi="宋体" w:eastAsia="宋体" w:cs="宋体"/>
          <w:sz w:val="24"/>
        </w:rPr>
      </w:pPr>
      <w:r>
        <w:rPr>
          <w:rFonts w:hint="eastAsia" w:ascii="宋体" w:hAnsi="宋体" w:eastAsia="宋体" w:cs="宋体"/>
          <w:sz w:val="24"/>
        </w:rPr>
        <w:t>（10）由于</w:t>
      </w:r>
      <w:r>
        <w:rPr>
          <w:rFonts w:hint="eastAsia" w:ascii="宋体" w:hAnsi="宋体" w:eastAsia="宋体" w:cs="宋体"/>
          <w:sz w:val="24"/>
          <w:lang w:eastAsia="zh-CN"/>
        </w:rPr>
        <w:t>中标人</w:t>
      </w:r>
      <w:r>
        <w:rPr>
          <w:rFonts w:hint="eastAsia" w:ascii="宋体" w:hAnsi="宋体" w:eastAsia="宋体" w:cs="宋体"/>
          <w:sz w:val="24"/>
        </w:rPr>
        <w:t>维护工作不到位或失误造成电梯损坏及由此产生的人身伤害赔偿、电梯维修费等由</w:t>
      </w:r>
      <w:r>
        <w:rPr>
          <w:rFonts w:hint="eastAsia" w:ascii="宋体" w:hAnsi="宋体" w:eastAsia="宋体" w:cs="宋体"/>
          <w:sz w:val="24"/>
          <w:lang w:eastAsia="zh-CN"/>
        </w:rPr>
        <w:t>中标人</w:t>
      </w:r>
      <w:r>
        <w:rPr>
          <w:rFonts w:hint="eastAsia" w:ascii="宋体" w:hAnsi="宋体" w:eastAsia="宋体" w:cs="宋体"/>
          <w:sz w:val="24"/>
        </w:rPr>
        <w:t>承担。</w:t>
      </w:r>
    </w:p>
    <w:p w14:paraId="63873D3E">
      <w:pPr>
        <w:spacing w:line="360" w:lineRule="auto"/>
        <w:ind w:firstLine="638" w:firstLineChars="266"/>
        <w:rPr>
          <w:rFonts w:ascii="宋体" w:hAnsi="宋体" w:eastAsia="宋体" w:cs="宋体"/>
          <w:sz w:val="24"/>
        </w:rPr>
      </w:pPr>
      <w:r>
        <w:rPr>
          <w:rFonts w:hint="eastAsia" w:ascii="宋体" w:hAnsi="宋体" w:eastAsia="宋体" w:cs="宋体"/>
          <w:sz w:val="24"/>
        </w:rPr>
        <w:t>（11）</w:t>
      </w:r>
      <w:r>
        <w:rPr>
          <w:rFonts w:hint="eastAsia" w:ascii="宋体" w:hAnsi="宋体" w:eastAsia="宋体" w:cs="宋体"/>
          <w:sz w:val="24"/>
          <w:lang w:eastAsia="zh-CN"/>
        </w:rPr>
        <w:t>中标人</w:t>
      </w:r>
      <w:r>
        <w:rPr>
          <w:rFonts w:hint="eastAsia" w:ascii="宋体" w:hAnsi="宋体" w:eastAsia="宋体" w:cs="宋体"/>
          <w:sz w:val="24"/>
        </w:rPr>
        <w:t>人员在</w:t>
      </w:r>
      <w:r>
        <w:rPr>
          <w:rFonts w:hint="eastAsia" w:ascii="宋体" w:hAnsi="宋体" w:eastAsia="宋体" w:cs="宋体"/>
          <w:sz w:val="24"/>
          <w:lang w:eastAsia="zh-CN"/>
        </w:rPr>
        <w:t>招标人</w:t>
      </w:r>
      <w:r>
        <w:rPr>
          <w:rFonts w:hint="eastAsia" w:ascii="宋体" w:hAnsi="宋体" w:eastAsia="宋体" w:cs="宋体"/>
          <w:sz w:val="24"/>
        </w:rPr>
        <w:t>区域内出现的任何伤害均由</w:t>
      </w:r>
      <w:r>
        <w:rPr>
          <w:rFonts w:hint="eastAsia" w:ascii="宋体" w:hAnsi="宋体" w:eastAsia="宋体" w:cs="宋体"/>
          <w:sz w:val="24"/>
          <w:lang w:eastAsia="zh-CN"/>
        </w:rPr>
        <w:t>中标人</w:t>
      </w:r>
      <w:r>
        <w:rPr>
          <w:rFonts w:hint="eastAsia" w:ascii="宋体" w:hAnsi="宋体" w:eastAsia="宋体" w:cs="宋体"/>
          <w:sz w:val="24"/>
        </w:rPr>
        <w:t>负责。</w:t>
      </w:r>
    </w:p>
    <w:p w14:paraId="2A7E8145">
      <w:pPr>
        <w:spacing w:line="360" w:lineRule="auto"/>
        <w:ind w:firstLine="638" w:firstLineChars="266"/>
        <w:rPr>
          <w:rFonts w:ascii="宋体" w:hAnsi="宋体" w:eastAsia="宋体" w:cs="宋体"/>
          <w:sz w:val="24"/>
        </w:rPr>
      </w:pPr>
      <w:r>
        <w:rPr>
          <w:rFonts w:hint="eastAsia" w:ascii="宋体" w:hAnsi="宋体" w:eastAsia="宋体" w:cs="宋体"/>
          <w:sz w:val="24"/>
        </w:rPr>
        <w:t>（12）</w:t>
      </w:r>
      <w:r>
        <w:rPr>
          <w:rFonts w:hint="eastAsia" w:ascii="宋体" w:hAnsi="宋体" w:eastAsia="宋体" w:cs="宋体"/>
          <w:sz w:val="24"/>
          <w:lang w:eastAsia="zh-CN"/>
        </w:rPr>
        <w:t>中标人</w:t>
      </w:r>
      <w:r>
        <w:rPr>
          <w:rFonts w:hint="eastAsia" w:ascii="宋体" w:hAnsi="宋体" w:eastAsia="宋体" w:cs="宋体"/>
          <w:sz w:val="24"/>
        </w:rPr>
        <w:t>负责联系电梯生产厂家提供编程、解码等技术服务。</w:t>
      </w:r>
    </w:p>
    <w:p w14:paraId="084C9687">
      <w:pPr>
        <w:spacing w:line="360" w:lineRule="auto"/>
        <w:ind w:firstLine="638" w:firstLineChars="266"/>
        <w:rPr>
          <w:rFonts w:ascii="宋体" w:hAnsi="宋体" w:eastAsia="宋体" w:cs="宋体"/>
          <w:sz w:val="24"/>
        </w:rPr>
      </w:pPr>
      <w:r>
        <w:rPr>
          <w:rFonts w:hint="eastAsia" w:ascii="宋体" w:hAnsi="宋体" w:eastAsia="宋体" w:cs="宋体"/>
          <w:sz w:val="24"/>
        </w:rPr>
        <w:t>（13）绝对保证零部件和技术畅通无阻，若电梯出现故障，</w:t>
      </w:r>
      <w:r>
        <w:rPr>
          <w:rFonts w:hint="eastAsia" w:ascii="宋体" w:hAnsi="宋体" w:eastAsia="宋体" w:cs="宋体"/>
          <w:sz w:val="24"/>
          <w:lang w:eastAsia="zh-CN"/>
        </w:rPr>
        <w:t>中标人</w:t>
      </w:r>
      <w:r>
        <w:rPr>
          <w:rFonts w:hint="eastAsia" w:ascii="宋体" w:hAnsi="宋体" w:eastAsia="宋体" w:cs="宋体"/>
          <w:sz w:val="24"/>
        </w:rPr>
        <w:t>应首先以最短时间恢复电梯的正常运行。</w:t>
      </w:r>
    </w:p>
    <w:p w14:paraId="0DB7FEE6">
      <w:pPr>
        <w:spacing w:line="360" w:lineRule="auto"/>
        <w:ind w:firstLine="638" w:firstLineChars="266"/>
        <w:rPr>
          <w:rFonts w:ascii="宋体" w:hAnsi="宋体" w:eastAsia="宋体" w:cs="宋体"/>
          <w:sz w:val="24"/>
        </w:rPr>
      </w:pPr>
      <w:r>
        <w:rPr>
          <w:rFonts w:hint="eastAsia" w:ascii="宋体" w:hAnsi="宋体" w:eastAsia="宋体" w:cs="宋体"/>
          <w:sz w:val="24"/>
        </w:rPr>
        <w:t>（14）电梯保养人员要固定、并且维保技术过硬，遵守职业道德。如发现维修人员不遵守操作规程或作出违背职业道德的言行，</w:t>
      </w:r>
      <w:r>
        <w:rPr>
          <w:rFonts w:hint="eastAsia" w:ascii="宋体" w:hAnsi="宋体" w:eastAsia="宋体" w:cs="宋体"/>
          <w:sz w:val="24"/>
          <w:lang w:eastAsia="zh-CN"/>
        </w:rPr>
        <w:t>招标人</w:t>
      </w:r>
      <w:r>
        <w:rPr>
          <w:rFonts w:hint="eastAsia" w:ascii="宋体" w:hAnsi="宋体" w:eastAsia="宋体" w:cs="宋体"/>
          <w:sz w:val="24"/>
        </w:rPr>
        <w:t>有权要求对维保人员进行调离并消除影响。</w:t>
      </w:r>
    </w:p>
    <w:p w14:paraId="2BEB0BB9">
      <w:pPr>
        <w:spacing w:line="360" w:lineRule="auto"/>
        <w:ind w:firstLine="638" w:firstLineChars="266"/>
        <w:rPr>
          <w:rFonts w:ascii="宋体" w:hAnsi="宋体" w:eastAsia="宋体" w:cs="宋体"/>
          <w:sz w:val="24"/>
        </w:rPr>
      </w:pPr>
      <w:r>
        <w:rPr>
          <w:rFonts w:hint="eastAsia" w:ascii="宋体" w:hAnsi="宋体" w:eastAsia="宋体" w:cs="宋体"/>
          <w:sz w:val="24"/>
        </w:rPr>
        <w:t>（15）在维保合同结束前，</w:t>
      </w:r>
      <w:r>
        <w:rPr>
          <w:rFonts w:hint="eastAsia" w:ascii="宋体" w:hAnsi="宋体" w:eastAsia="宋体" w:cs="宋体"/>
          <w:sz w:val="24"/>
          <w:lang w:eastAsia="zh-CN"/>
        </w:rPr>
        <w:t>中标人</w:t>
      </w:r>
      <w:r>
        <w:rPr>
          <w:rFonts w:hint="eastAsia" w:ascii="宋体" w:hAnsi="宋体" w:eastAsia="宋体" w:cs="宋体"/>
          <w:sz w:val="24"/>
        </w:rPr>
        <w:t>将为</w:t>
      </w:r>
      <w:r>
        <w:rPr>
          <w:rFonts w:hint="eastAsia" w:ascii="宋体" w:hAnsi="宋体" w:eastAsia="宋体" w:cs="宋体"/>
          <w:sz w:val="24"/>
          <w:lang w:eastAsia="zh-CN"/>
        </w:rPr>
        <w:t>招标人</w:t>
      </w:r>
      <w:r>
        <w:rPr>
          <w:rFonts w:hint="eastAsia" w:ascii="宋体" w:hAnsi="宋体" w:eastAsia="宋体" w:cs="宋体"/>
          <w:sz w:val="24"/>
        </w:rPr>
        <w:t>电梯免费进行一次综合性的检查和试验，并向</w:t>
      </w:r>
      <w:r>
        <w:rPr>
          <w:rFonts w:hint="eastAsia" w:ascii="宋体" w:hAnsi="宋体" w:eastAsia="宋体" w:cs="宋体"/>
          <w:sz w:val="24"/>
          <w:lang w:eastAsia="zh-CN"/>
        </w:rPr>
        <w:t>招标人</w:t>
      </w:r>
      <w:r>
        <w:rPr>
          <w:rFonts w:hint="eastAsia" w:ascii="宋体" w:hAnsi="宋体" w:eastAsia="宋体" w:cs="宋体"/>
          <w:sz w:val="24"/>
        </w:rPr>
        <w:t>提供一份详细的工作报告。</w:t>
      </w:r>
    </w:p>
    <w:p w14:paraId="19BB0D68">
      <w:pPr>
        <w:spacing w:line="360" w:lineRule="auto"/>
        <w:ind w:firstLine="638" w:firstLineChars="266"/>
        <w:rPr>
          <w:rFonts w:ascii="宋体" w:hAnsi="宋体" w:eastAsia="宋体" w:cs="宋体"/>
          <w:sz w:val="24"/>
        </w:rPr>
      </w:pPr>
      <w:r>
        <w:rPr>
          <w:rFonts w:hint="eastAsia" w:ascii="宋体" w:hAnsi="宋体" w:eastAsia="宋体" w:cs="宋体"/>
          <w:sz w:val="24"/>
        </w:rPr>
        <w:t>3、服务承诺要求及费用约定</w:t>
      </w:r>
    </w:p>
    <w:p w14:paraId="0667BC51">
      <w:pPr>
        <w:spacing w:line="360" w:lineRule="auto"/>
        <w:ind w:firstLine="638" w:firstLineChars="266"/>
        <w:rPr>
          <w:rFonts w:ascii="宋体" w:hAnsi="宋体" w:eastAsia="宋体" w:cs="宋体"/>
          <w:sz w:val="24"/>
        </w:rPr>
      </w:pPr>
      <w:r>
        <w:rPr>
          <w:rFonts w:hint="eastAsia" w:ascii="宋体" w:hAnsi="宋体" w:eastAsia="宋体" w:cs="宋体"/>
          <w:sz w:val="24"/>
        </w:rPr>
        <w:t>（1）电梯发生困人故障，必须在30分钟内到达现场（不分工作日、节假日）；</w:t>
      </w:r>
    </w:p>
    <w:p w14:paraId="0C0D47EE">
      <w:pPr>
        <w:spacing w:line="360" w:lineRule="auto"/>
        <w:ind w:firstLine="638" w:firstLineChars="266"/>
        <w:rPr>
          <w:rFonts w:ascii="宋体" w:hAnsi="宋体" w:eastAsia="宋体" w:cs="宋体"/>
          <w:sz w:val="24"/>
        </w:rPr>
      </w:pPr>
      <w:r>
        <w:rPr>
          <w:rFonts w:hint="eastAsia" w:ascii="宋体" w:hAnsi="宋体" w:eastAsia="宋体" w:cs="宋体"/>
          <w:sz w:val="24"/>
        </w:rPr>
        <w:t>（2）电梯发生一般故障，60分钟内到达现场（不分工作日、节假日）；</w:t>
      </w:r>
    </w:p>
    <w:p w14:paraId="0CCC9DFA">
      <w:pPr>
        <w:spacing w:line="360" w:lineRule="auto"/>
        <w:ind w:firstLine="638" w:firstLineChars="266"/>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投标人</w:t>
      </w:r>
      <w:r>
        <w:rPr>
          <w:rFonts w:hint="eastAsia" w:ascii="宋体" w:hAnsi="宋体" w:eastAsia="宋体" w:cs="宋体"/>
          <w:sz w:val="24"/>
        </w:rPr>
        <w:t>应明确日常维护保养中现场作业的人数及人员名单、联系方式等信息；</w:t>
      </w:r>
    </w:p>
    <w:p w14:paraId="25BD7A90">
      <w:pPr>
        <w:spacing w:line="360" w:lineRule="auto"/>
        <w:ind w:firstLine="638" w:firstLineChars="266"/>
        <w:rPr>
          <w:rFonts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中标人</w:t>
      </w:r>
      <w:r>
        <w:rPr>
          <w:rFonts w:hint="eastAsia" w:ascii="宋体" w:hAnsi="宋体" w:eastAsia="宋体" w:cs="宋体"/>
          <w:sz w:val="24"/>
        </w:rPr>
        <w:t>负责办理电梯年检的相关约检、检验、取证工作，其中的定期检验费用由</w:t>
      </w:r>
      <w:r>
        <w:rPr>
          <w:rFonts w:hint="eastAsia" w:ascii="宋体" w:hAnsi="宋体" w:eastAsia="宋体" w:cs="宋体"/>
          <w:sz w:val="24"/>
          <w:lang w:eastAsia="zh-CN"/>
        </w:rPr>
        <w:t>招标人</w:t>
      </w:r>
      <w:r>
        <w:rPr>
          <w:rFonts w:hint="eastAsia" w:ascii="宋体" w:hAnsi="宋体" w:eastAsia="宋体" w:cs="宋体"/>
          <w:sz w:val="24"/>
        </w:rPr>
        <w:t>承担；</w:t>
      </w:r>
    </w:p>
    <w:p w14:paraId="476700B7">
      <w:pPr>
        <w:spacing w:line="360" w:lineRule="auto"/>
        <w:ind w:firstLine="638" w:firstLineChars="266"/>
        <w:rPr>
          <w:rFonts w:ascii="宋体" w:hAnsi="宋体" w:eastAsia="宋体" w:cs="宋体"/>
          <w:sz w:val="24"/>
        </w:rPr>
      </w:pPr>
      <w:r>
        <w:rPr>
          <w:rFonts w:hint="eastAsia" w:ascii="宋体" w:hAnsi="宋体" w:eastAsia="宋体" w:cs="宋体"/>
          <w:sz w:val="24"/>
        </w:rPr>
        <w:t>（5）</w:t>
      </w:r>
      <w:r>
        <w:rPr>
          <w:rFonts w:hint="eastAsia" w:ascii="宋体" w:hAnsi="宋体" w:eastAsia="宋体" w:cs="宋体"/>
          <w:sz w:val="24"/>
          <w:lang w:eastAsia="zh-CN"/>
        </w:rPr>
        <w:t>中标人</w:t>
      </w:r>
      <w:r>
        <w:rPr>
          <w:rFonts w:hint="eastAsia" w:ascii="宋体" w:hAnsi="宋体" w:eastAsia="宋体" w:cs="宋体"/>
          <w:sz w:val="24"/>
        </w:rPr>
        <w:t>在日常维护保养作业中，必须遵守</w:t>
      </w:r>
      <w:r>
        <w:rPr>
          <w:rFonts w:hint="eastAsia" w:ascii="宋体" w:hAnsi="宋体" w:eastAsia="宋体" w:cs="宋体"/>
          <w:sz w:val="24"/>
          <w:lang w:eastAsia="zh-CN"/>
        </w:rPr>
        <w:t>招标人</w:t>
      </w:r>
      <w:r>
        <w:rPr>
          <w:rFonts w:hint="eastAsia" w:ascii="宋体" w:hAnsi="宋体" w:eastAsia="宋体" w:cs="宋体"/>
          <w:sz w:val="24"/>
        </w:rPr>
        <w:t>针对施工单位制定的所有制度。</w:t>
      </w:r>
    </w:p>
    <w:p w14:paraId="4BB798A0">
      <w:pPr>
        <w:spacing w:line="360" w:lineRule="auto"/>
        <w:ind w:firstLine="638" w:firstLineChars="266"/>
        <w:rPr>
          <w:rFonts w:ascii="宋体" w:hAnsi="宋体" w:eastAsia="宋体" w:cs="宋体"/>
          <w:sz w:val="24"/>
        </w:rPr>
      </w:pPr>
      <w:r>
        <w:rPr>
          <w:rFonts w:hint="eastAsia" w:ascii="宋体" w:hAnsi="宋体" w:eastAsia="宋体" w:cs="宋体"/>
          <w:sz w:val="24"/>
        </w:rPr>
        <w:t>4、罚则</w:t>
      </w:r>
    </w:p>
    <w:p w14:paraId="40598882">
      <w:pPr>
        <w:spacing w:line="360" w:lineRule="auto"/>
        <w:ind w:firstLine="638" w:firstLineChars="266"/>
        <w:rPr>
          <w:rFonts w:ascii="宋体" w:hAnsi="宋体" w:eastAsia="宋体" w:cs="宋体"/>
          <w:sz w:val="24"/>
        </w:rPr>
      </w:pPr>
      <w:r>
        <w:rPr>
          <w:rFonts w:hint="eastAsia" w:ascii="宋体" w:hAnsi="宋体" w:eastAsia="宋体" w:cs="宋体"/>
          <w:sz w:val="24"/>
        </w:rPr>
        <w:t>（1）电梯发生困人故障，</w:t>
      </w:r>
      <w:r>
        <w:rPr>
          <w:rFonts w:hint="eastAsia" w:ascii="宋体" w:hAnsi="宋体" w:eastAsia="宋体" w:cs="宋体"/>
          <w:sz w:val="24"/>
          <w:lang w:eastAsia="zh-CN"/>
        </w:rPr>
        <w:t>中标人</w:t>
      </w:r>
      <w:r>
        <w:rPr>
          <w:rFonts w:hint="eastAsia" w:ascii="宋体" w:hAnsi="宋体" w:eastAsia="宋体" w:cs="宋体"/>
          <w:sz w:val="24"/>
        </w:rPr>
        <w:t>未能在规定时间内到达现场，每次扣除总维保费1%；</w:t>
      </w:r>
    </w:p>
    <w:p w14:paraId="309A0652">
      <w:pPr>
        <w:spacing w:line="360" w:lineRule="auto"/>
        <w:ind w:firstLine="638" w:firstLineChars="266"/>
        <w:rPr>
          <w:rFonts w:ascii="宋体" w:hAnsi="宋体" w:eastAsia="宋体" w:cs="宋体"/>
          <w:sz w:val="24"/>
        </w:rPr>
      </w:pPr>
      <w:r>
        <w:rPr>
          <w:rFonts w:hint="eastAsia" w:ascii="宋体" w:hAnsi="宋体" w:eastAsia="宋体" w:cs="宋体"/>
          <w:sz w:val="24"/>
        </w:rPr>
        <w:t>（2）电梯发生一般故障，</w:t>
      </w:r>
      <w:r>
        <w:rPr>
          <w:rFonts w:hint="eastAsia" w:ascii="宋体" w:hAnsi="宋体" w:eastAsia="宋体" w:cs="宋体"/>
          <w:sz w:val="24"/>
          <w:lang w:eastAsia="zh-CN"/>
        </w:rPr>
        <w:t>中标人</w:t>
      </w:r>
      <w:r>
        <w:rPr>
          <w:rFonts w:hint="eastAsia" w:ascii="宋体" w:hAnsi="宋体" w:eastAsia="宋体" w:cs="宋体"/>
          <w:sz w:val="24"/>
        </w:rPr>
        <w:t>未能在规定时间内到达现场，每次扣除总维保费0.5%；</w:t>
      </w:r>
    </w:p>
    <w:p w14:paraId="7DC8CF2A">
      <w:pPr>
        <w:spacing w:line="360" w:lineRule="auto"/>
        <w:ind w:firstLine="638" w:firstLineChars="266"/>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中标人</w:t>
      </w:r>
      <w:r>
        <w:rPr>
          <w:rFonts w:hint="eastAsia" w:ascii="宋体" w:hAnsi="宋体" w:eastAsia="宋体" w:cs="宋体"/>
          <w:sz w:val="24"/>
        </w:rPr>
        <w:t>应保证所维保电梯设施及标识的完好，如照明、通风、选梯或呼梯按钮等及检验合格证。如经</w:t>
      </w:r>
      <w:r>
        <w:rPr>
          <w:rFonts w:hint="eastAsia" w:ascii="宋体" w:hAnsi="宋体" w:eastAsia="宋体" w:cs="宋体"/>
          <w:sz w:val="24"/>
          <w:lang w:eastAsia="zh-CN"/>
        </w:rPr>
        <w:t>招标人</w:t>
      </w:r>
      <w:r>
        <w:rPr>
          <w:rFonts w:hint="eastAsia" w:ascii="宋体" w:hAnsi="宋体" w:eastAsia="宋体" w:cs="宋体"/>
          <w:sz w:val="24"/>
        </w:rPr>
        <w:t>发现未能及时排除故障或完善标识，每次罚款500元，情况严重将扣除总维保费1%。</w:t>
      </w:r>
    </w:p>
    <w:p w14:paraId="69A850E7">
      <w:pPr>
        <w:spacing w:line="360" w:lineRule="auto"/>
        <w:ind w:firstLine="641" w:firstLineChars="266"/>
        <w:rPr>
          <w:rFonts w:ascii="宋体" w:hAnsi="宋体" w:eastAsia="宋体" w:cs="宋体"/>
          <w:b/>
          <w:bCs/>
          <w:sz w:val="24"/>
        </w:rPr>
      </w:pPr>
      <w:r>
        <w:rPr>
          <w:rFonts w:hint="eastAsia" w:ascii="宋体" w:hAnsi="宋体" w:eastAsia="宋体" w:cs="宋体"/>
          <w:b/>
          <w:bCs/>
          <w:sz w:val="24"/>
        </w:rPr>
        <w:t>注：以上规章、标准不论有无年代号，除有特别说明的以外，均以最新有效版本为准。</w:t>
      </w:r>
    </w:p>
    <w:p w14:paraId="1A3C0489">
      <w:pPr>
        <w:spacing w:line="360" w:lineRule="auto"/>
        <w:rPr>
          <w:rFonts w:ascii="Calibri" w:hAnsi="Calibri" w:eastAsia="宋体" w:cs="Times New Roman"/>
        </w:rPr>
      </w:pPr>
      <w:r>
        <w:rPr>
          <w:rFonts w:hint="eastAsia" w:ascii="宋体" w:hAnsi="宋体" w:eastAsia="宋体" w:cs="宋体"/>
          <w:sz w:val="24"/>
        </w:rPr>
        <w:t>四、维保清单</w:t>
      </w:r>
    </w:p>
    <w:tbl>
      <w:tblPr>
        <w:tblStyle w:val="26"/>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980"/>
        <w:gridCol w:w="1190"/>
        <w:gridCol w:w="1040"/>
        <w:gridCol w:w="1152"/>
        <w:gridCol w:w="1480"/>
        <w:gridCol w:w="960"/>
        <w:gridCol w:w="1520"/>
        <w:gridCol w:w="979"/>
      </w:tblGrid>
      <w:tr w14:paraId="1BF58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4" w:type="dxa"/>
            <w:vAlign w:val="center"/>
          </w:tcPr>
          <w:p w14:paraId="0B2B6B52">
            <w:pPr>
              <w:jc w:val="center"/>
              <w:rPr>
                <w:rFonts w:ascii="宋体" w:hAnsi="宋体" w:eastAsia="宋体" w:cs="宋体"/>
                <w:color w:val="000000"/>
                <w:sz w:val="18"/>
                <w:szCs w:val="18"/>
              </w:rPr>
            </w:pPr>
            <w:r>
              <w:rPr>
                <w:rFonts w:hint="eastAsia" w:ascii="宋体" w:hAnsi="宋体" w:eastAsia="宋体" w:cs="宋体"/>
                <w:color w:val="000000"/>
                <w:sz w:val="18"/>
                <w:szCs w:val="18"/>
              </w:rPr>
              <w:t>序号</w:t>
            </w:r>
          </w:p>
        </w:tc>
        <w:tc>
          <w:tcPr>
            <w:tcW w:w="980" w:type="dxa"/>
            <w:vAlign w:val="center"/>
          </w:tcPr>
          <w:p w14:paraId="695DD696">
            <w:pPr>
              <w:jc w:val="center"/>
              <w:rPr>
                <w:rFonts w:ascii="宋体" w:hAnsi="宋体" w:eastAsia="宋体" w:cs="宋体"/>
                <w:color w:val="000000"/>
                <w:sz w:val="18"/>
                <w:szCs w:val="18"/>
              </w:rPr>
            </w:pPr>
            <w:r>
              <w:rPr>
                <w:rFonts w:hint="eastAsia" w:ascii="宋体" w:hAnsi="宋体" w:eastAsia="宋体" w:cs="宋体"/>
                <w:color w:val="000000"/>
                <w:sz w:val="18"/>
                <w:szCs w:val="18"/>
              </w:rPr>
              <w:t>设备名称</w:t>
            </w:r>
          </w:p>
        </w:tc>
        <w:tc>
          <w:tcPr>
            <w:tcW w:w="1190" w:type="dxa"/>
            <w:vAlign w:val="center"/>
          </w:tcPr>
          <w:p w14:paraId="67594228">
            <w:pPr>
              <w:jc w:val="center"/>
              <w:rPr>
                <w:rFonts w:ascii="宋体" w:hAnsi="宋体" w:eastAsia="宋体" w:cs="宋体"/>
                <w:color w:val="000000"/>
                <w:sz w:val="18"/>
                <w:szCs w:val="18"/>
              </w:rPr>
            </w:pPr>
            <w:r>
              <w:rPr>
                <w:rFonts w:hint="eastAsia" w:ascii="宋体" w:hAnsi="宋体" w:eastAsia="宋体" w:cs="宋体"/>
                <w:color w:val="000000"/>
                <w:sz w:val="18"/>
                <w:szCs w:val="18"/>
              </w:rPr>
              <w:t>设备类别</w:t>
            </w:r>
          </w:p>
        </w:tc>
        <w:tc>
          <w:tcPr>
            <w:tcW w:w="1040" w:type="dxa"/>
            <w:vAlign w:val="center"/>
          </w:tcPr>
          <w:p w14:paraId="3A791253">
            <w:pPr>
              <w:jc w:val="center"/>
              <w:rPr>
                <w:rFonts w:ascii="宋体" w:hAnsi="宋体" w:eastAsia="宋体" w:cs="宋体"/>
                <w:color w:val="000000"/>
                <w:sz w:val="18"/>
                <w:szCs w:val="18"/>
              </w:rPr>
            </w:pPr>
            <w:r>
              <w:rPr>
                <w:rFonts w:hint="eastAsia" w:ascii="宋体" w:hAnsi="宋体" w:eastAsia="宋体" w:cs="宋体"/>
                <w:color w:val="000000"/>
                <w:sz w:val="18"/>
                <w:szCs w:val="18"/>
              </w:rPr>
              <w:t>设备品种</w:t>
            </w:r>
          </w:p>
        </w:tc>
        <w:tc>
          <w:tcPr>
            <w:tcW w:w="1152" w:type="dxa"/>
            <w:vAlign w:val="center"/>
          </w:tcPr>
          <w:p w14:paraId="3011261A">
            <w:pPr>
              <w:jc w:val="center"/>
              <w:rPr>
                <w:rFonts w:ascii="宋体" w:hAnsi="宋体" w:eastAsia="宋体" w:cs="宋体"/>
                <w:color w:val="000000"/>
                <w:sz w:val="18"/>
                <w:szCs w:val="18"/>
              </w:rPr>
            </w:pPr>
            <w:r>
              <w:rPr>
                <w:rFonts w:hint="eastAsia" w:ascii="宋体" w:hAnsi="宋体" w:eastAsia="宋体" w:cs="宋体"/>
                <w:color w:val="000000"/>
                <w:sz w:val="18"/>
                <w:szCs w:val="18"/>
              </w:rPr>
              <w:t>设备出厂编号</w:t>
            </w:r>
          </w:p>
        </w:tc>
        <w:tc>
          <w:tcPr>
            <w:tcW w:w="1480" w:type="dxa"/>
            <w:vAlign w:val="center"/>
          </w:tcPr>
          <w:p w14:paraId="3B20964C">
            <w:pPr>
              <w:jc w:val="center"/>
              <w:rPr>
                <w:rFonts w:ascii="宋体" w:hAnsi="宋体" w:eastAsia="宋体" w:cs="宋体"/>
                <w:color w:val="000000"/>
                <w:sz w:val="18"/>
                <w:szCs w:val="18"/>
              </w:rPr>
            </w:pPr>
            <w:r>
              <w:rPr>
                <w:rFonts w:hint="eastAsia" w:ascii="宋体" w:hAnsi="宋体" w:eastAsia="宋体" w:cs="宋体"/>
                <w:color w:val="000000"/>
                <w:sz w:val="18"/>
                <w:szCs w:val="18"/>
              </w:rPr>
              <w:t>主要参数</w:t>
            </w:r>
          </w:p>
        </w:tc>
        <w:tc>
          <w:tcPr>
            <w:tcW w:w="960" w:type="dxa"/>
            <w:vAlign w:val="center"/>
          </w:tcPr>
          <w:p w14:paraId="2453B79A">
            <w:pPr>
              <w:jc w:val="center"/>
              <w:rPr>
                <w:rFonts w:ascii="宋体" w:hAnsi="宋体" w:eastAsia="宋体" w:cs="宋体"/>
                <w:color w:val="000000"/>
                <w:sz w:val="18"/>
                <w:szCs w:val="18"/>
              </w:rPr>
            </w:pPr>
            <w:r>
              <w:rPr>
                <w:rFonts w:hint="eastAsia" w:ascii="宋体" w:hAnsi="宋体" w:eastAsia="宋体" w:cs="宋体"/>
                <w:color w:val="000000"/>
                <w:sz w:val="18"/>
                <w:szCs w:val="18"/>
              </w:rPr>
              <w:t>投用时间</w:t>
            </w:r>
          </w:p>
        </w:tc>
        <w:tc>
          <w:tcPr>
            <w:tcW w:w="1520" w:type="dxa"/>
            <w:vAlign w:val="center"/>
          </w:tcPr>
          <w:p w14:paraId="4E9CD18C">
            <w:pPr>
              <w:jc w:val="center"/>
              <w:rPr>
                <w:rFonts w:ascii="宋体" w:hAnsi="宋体" w:eastAsia="宋体" w:cs="宋体"/>
                <w:color w:val="000000"/>
                <w:sz w:val="18"/>
                <w:szCs w:val="18"/>
              </w:rPr>
            </w:pPr>
            <w:r>
              <w:rPr>
                <w:rFonts w:hint="eastAsia" w:ascii="宋体" w:hAnsi="宋体" w:eastAsia="宋体" w:cs="宋体"/>
                <w:color w:val="000000"/>
                <w:sz w:val="18"/>
                <w:szCs w:val="18"/>
              </w:rPr>
              <w:t>注册代码</w:t>
            </w:r>
          </w:p>
        </w:tc>
        <w:tc>
          <w:tcPr>
            <w:tcW w:w="979" w:type="dxa"/>
            <w:vAlign w:val="center"/>
          </w:tcPr>
          <w:p w14:paraId="4E5310DA">
            <w:pPr>
              <w:jc w:val="center"/>
              <w:rPr>
                <w:rFonts w:ascii="宋体" w:hAnsi="宋体" w:eastAsia="宋体" w:cs="宋体"/>
                <w:color w:val="000000"/>
                <w:sz w:val="18"/>
                <w:szCs w:val="18"/>
              </w:rPr>
            </w:pPr>
            <w:r>
              <w:rPr>
                <w:rFonts w:hint="eastAsia" w:ascii="宋体" w:hAnsi="宋体" w:eastAsia="宋体" w:cs="宋体"/>
                <w:color w:val="000000"/>
                <w:sz w:val="18"/>
                <w:szCs w:val="18"/>
              </w:rPr>
              <w:t>存放地点</w:t>
            </w:r>
          </w:p>
        </w:tc>
      </w:tr>
      <w:tr w14:paraId="1CEC3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34" w:type="dxa"/>
            <w:vAlign w:val="center"/>
          </w:tcPr>
          <w:p w14:paraId="3A1EEDB3">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980" w:type="dxa"/>
            <w:vAlign w:val="center"/>
          </w:tcPr>
          <w:p w14:paraId="58D26C88">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电梯（三星）</w:t>
            </w:r>
          </w:p>
        </w:tc>
        <w:tc>
          <w:tcPr>
            <w:tcW w:w="1190" w:type="dxa"/>
            <w:vAlign w:val="center"/>
          </w:tcPr>
          <w:p w14:paraId="2CD05879">
            <w:pPr>
              <w:jc w:val="center"/>
              <w:rPr>
                <w:rFonts w:ascii="宋体" w:hAnsi="宋体" w:eastAsia="宋体" w:cs="宋体"/>
                <w:color w:val="000000"/>
                <w:sz w:val="18"/>
                <w:szCs w:val="18"/>
              </w:rPr>
            </w:pPr>
            <w:r>
              <w:rPr>
                <w:rFonts w:hint="eastAsia" w:ascii="宋体" w:hAnsi="宋体" w:eastAsia="宋体" w:cs="宋体"/>
                <w:color w:val="000000"/>
                <w:sz w:val="18"/>
                <w:szCs w:val="18"/>
              </w:rPr>
              <w:t>曳引与强制驱动电梯</w:t>
            </w:r>
          </w:p>
        </w:tc>
        <w:tc>
          <w:tcPr>
            <w:tcW w:w="1040" w:type="dxa"/>
            <w:vAlign w:val="center"/>
          </w:tcPr>
          <w:p w14:paraId="1D3E8151">
            <w:pPr>
              <w:jc w:val="center"/>
              <w:rPr>
                <w:rFonts w:ascii="宋体" w:hAnsi="宋体" w:eastAsia="宋体" w:cs="宋体"/>
                <w:color w:val="000000"/>
                <w:sz w:val="18"/>
                <w:szCs w:val="18"/>
              </w:rPr>
            </w:pPr>
            <w:r>
              <w:rPr>
                <w:rFonts w:hint="eastAsia" w:ascii="宋体" w:hAnsi="宋体" w:eastAsia="宋体" w:cs="宋体"/>
                <w:color w:val="000000"/>
                <w:sz w:val="18"/>
                <w:szCs w:val="18"/>
              </w:rPr>
              <w:t>曳引驱动客梯电梯</w:t>
            </w:r>
          </w:p>
        </w:tc>
        <w:tc>
          <w:tcPr>
            <w:tcW w:w="1152" w:type="dxa"/>
            <w:vAlign w:val="center"/>
          </w:tcPr>
          <w:p w14:paraId="22F7B9D1">
            <w:pPr>
              <w:jc w:val="center"/>
              <w:rPr>
                <w:rFonts w:ascii="宋体" w:hAnsi="宋体" w:eastAsia="宋体" w:cs="宋体"/>
                <w:color w:val="000000"/>
                <w:sz w:val="18"/>
                <w:szCs w:val="18"/>
              </w:rPr>
            </w:pPr>
            <w:r>
              <w:rPr>
                <w:rFonts w:hint="eastAsia" w:ascii="宋体" w:hAnsi="宋体" w:eastAsia="宋体" w:cs="宋体"/>
                <w:color w:val="000000"/>
                <w:sz w:val="18"/>
                <w:szCs w:val="18"/>
              </w:rPr>
              <w:t>2010392</w:t>
            </w:r>
          </w:p>
        </w:tc>
        <w:tc>
          <w:tcPr>
            <w:tcW w:w="1480" w:type="dxa"/>
            <w:vAlign w:val="center"/>
          </w:tcPr>
          <w:p w14:paraId="5A464473">
            <w:pPr>
              <w:jc w:val="center"/>
              <w:rPr>
                <w:rFonts w:ascii="宋体" w:hAnsi="宋体" w:eastAsia="宋体" w:cs="宋体"/>
                <w:color w:val="000000"/>
                <w:sz w:val="18"/>
                <w:szCs w:val="18"/>
              </w:rPr>
            </w:pPr>
            <w:r>
              <w:rPr>
                <w:rFonts w:hint="eastAsia" w:ascii="宋体" w:hAnsi="宋体" w:eastAsia="宋体" w:cs="宋体"/>
                <w:color w:val="000000"/>
                <w:sz w:val="18"/>
                <w:szCs w:val="18"/>
              </w:rPr>
              <w:t>GPX1000/1.5-K　</w:t>
            </w:r>
          </w:p>
        </w:tc>
        <w:tc>
          <w:tcPr>
            <w:tcW w:w="960" w:type="dxa"/>
            <w:vAlign w:val="center"/>
          </w:tcPr>
          <w:p w14:paraId="304D63FC">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2010.12</w:t>
            </w:r>
          </w:p>
        </w:tc>
        <w:tc>
          <w:tcPr>
            <w:tcW w:w="1520" w:type="dxa"/>
            <w:vAlign w:val="center"/>
          </w:tcPr>
          <w:p w14:paraId="7EBB7CE0">
            <w:pPr>
              <w:jc w:val="center"/>
              <w:rPr>
                <w:rFonts w:ascii="宋体" w:hAnsi="宋体" w:eastAsia="宋体" w:cs="宋体"/>
                <w:color w:val="000000"/>
                <w:sz w:val="18"/>
                <w:szCs w:val="18"/>
              </w:rPr>
            </w:pPr>
            <w:r>
              <w:rPr>
                <w:rFonts w:hint="eastAsia" w:ascii="宋体" w:hAnsi="宋体" w:eastAsia="宋体" w:cs="宋体"/>
                <w:color w:val="000000"/>
                <w:sz w:val="18"/>
                <w:szCs w:val="18"/>
              </w:rPr>
              <w:t>31103210002010120003</w:t>
            </w:r>
          </w:p>
        </w:tc>
        <w:tc>
          <w:tcPr>
            <w:tcW w:w="979" w:type="dxa"/>
            <w:vAlign w:val="center"/>
          </w:tcPr>
          <w:p w14:paraId="15DD59EA">
            <w:pPr>
              <w:jc w:val="center"/>
              <w:rPr>
                <w:rFonts w:ascii="宋体" w:hAnsi="宋体" w:eastAsia="宋体" w:cs="宋体"/>
                <w:color w:val="000000"/>
                <w:sz w:val="18"/>
                <w:szCs w:val="18"/>
              </w:rPr>
            </w:pPr>
            <w:r>
              <w:rPr>
                <w:rFonts w:hint="eastAsia" w:ascii="宋体" w:hAnsi="宋体" w:eastAsia="宋体" w:cs="宋体"/>
                <w:color w:val="000000"/>
                <w:sz w:val="18"/>
                <w:szCs w:val="18"/>
              </w:rPr>
              <w:t>南邮行政楼南</w:t>
            </w:r>
          </w:p>
        </w:tc>
      </w:tr>
      <w:tr w14:paraId="60A63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34" w:type="dxa"/>
            <w:vAlign w:val="center"/>
          </w:tcPr>
          <w:p w14:paraId="7F2203F5">
            <w:pPr>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980" w:type="dxa"/>
            <w:vAlign w:val="center"/>
          </w:tcPr>
          <w:p w14:paraId="434EAE51">
            <w:pPr>
              <w:jc w:val="center"/>
              <w:rPr>
                <w:rFonts w:ascii="宋体" w:hAnsi="宋体" w:eastAsia="宋体" w:cs="宋体"/>
                <w:color w:val="000000"/>
                <w:sz w:val="18"/>
                <w:szCs w:val="18"/>
              </w:rPr>
            </w:pPr>
            <w:r>
              <w:rPr>
                <w:rFonts w:hint="eastAsia" w:ascii="宋体" w:hAnsi="宋体" w:eastAsia="宋体" w:cs="宋体"/>
                <w:color w:val="000000"/>
                <w:sz w:val="18"/>
                <w:szCs w:val="18"/>
              </w:rPr>
              <w:t>电梯</w:t>
            </w:r>
            <w:r>
              <w:rPr>
                <w:rFonts w:hint="eastAsia" w:ascii="宋体" w:hAnsi="宋体" w:eastAsia="宋体" w:cs="宋体"/>
                <w:color w:val="000000"/>
                <w:kern w:val="0"/>
                <w:sz w:val="18"/>
                <w:szCs w:val="18"/>
              </w:rPr>
              <w:t>（三星）</w:t>
            </w:r>
          </w:p>
        </w:tc>
        <w:tc>
          <w:tcPr>
            <w:tcW w:w="1190" w:type="dxa"/>
            <w:vAlign w:val="center"/>
          </w:tcPr>
          <w:p w14:paraId="36B32603">
            <w:pPr>
              <w:jc w:val="center"/>
              <w:rPr>
                <w:rFonts w:ascii="宋体" w:hAnsi="宋体" w:eastAsia="宋体" w:cs="宋体"/>
                <w:color w:val="000000"/>
                <w:sz w:val="18"/>
                <w:szCs w:val="18"/>
              </w:rPr>
            </w:pPr>
            <w:r>
              <w:rPr>
                <w:rFonts w:hint="eastAsia" w:ascii="宋体" w:hAnsi="宋体" w:eastAsia="宋体" w:cs="宋体"/>
                <w:color w:val="000000"/>
                <w:sz w:val="18"/>
                <w:szCs w:val="18"/>
              </w:rPr>
              <w:t>曳引与强制驱动电梯　</w:t>
            </w:r>
          </w:p>
        </w:tc>
        <w:tc>
          <w:tcPr>
            <w:tcW w:w="1040" w:type="dxa"/>
            <w:vAlign w:val="center"/>
          </w:tcPr>
          <w:p w14:paraId="721B1E3E">
            <w:pPr>
              <w:jc w:val="center"/>
              <w:rPr>
                <w:rFonts w:ascii="宋体" w:hAnsi="宋体" w:eastAsia="宋体" w:cs="宋体"/>
                <w:color w:val="000000"/>
                <w:sz w:val="18"/>
                <w:szCs w:val="18"/>
              </w:rPr>
            </w:pPr>
            <w:r>
              <w:rPr>
                <w:rFonts w:hint="eastAsia" w:ascii="宋体" w:hAnsi="宋体" w:eastAsia="宋体" w:cs="宋体"/>
                <w:color w:val="000000"/>
                <w:sz w:val="18"/>
                <w:szCs w:val="18"/>
              </w:rPr>
              <w:t>曳引驱动客梯电梯</w:t>
            </w:r>
          </w:p>
        </w:tc>
        <w:tc>
          <w:tcPr>
            <w:tcW w:w="1152" w:type="dxa"/>
            <w:vAlign w:val="center"/>
          </w:tcPr>
          <w:p w14:paraId="0B07457D">
            <w:pPr>
              <w:jc w:val="center"/>
              <w:rPr>
                <w:rFonts w:ascii="宋体" w:hAnsi="宋体" w:eastAsia="宋体" w:cs="宋体"/>
                <w:color w:val="000000"/>
                <w:sz w:val="18"/>
                <w:szCs w:val="18"/>
              </w:rPr>
            </w:pPr>
            <w:r>
              <w:rPr>
                <w:rFonts w:hint="eastAsia" w:ascii="宋体" w:hAnsi="宋体" w:eastAsia="宋体" w:cs="宋体"/>
                <w:color w:val="000000"/>
                <w:sz w:val="18"/>
                <w:szCs w:val="18"/>
              </w:rPr>
              <w:t>2007313</w:t>
            </w:r>
          </w:p>
        </w:tc>
        <w:tc>
          <w:tcPr>
            <w:tcW w:w="1480" w:type="dxa"/>
            <w:vAlign w:val="center"/>
          </w:tcPr>
          <w:p w14:paraId="4AD08EDA">
            <w:pPr>
              <w:rPr>
                <w:rFonts w:ascii="宋体" w:hAnsi="宋体" w:eastAsia="宋体" w:cs="宋体"/>
                <w:color w:val="000000"/>
                <w:sz w:val="18"/>
                <w:szCs w:val="18"/>
              </w:rPr>
            </w:pPr>
            <w:r>
              <w:rPr>
                <w:rFonts w:hint="eastAsia" w:ascii="宋体" w:hAnsi="宋体" w:eastAsia="宋体" w:cs="宋体"/>
                <w:color w:val="000000"/>
                <w:sz w:val="18"/>
                <w:szCs w:val="18"/>
              </w:rPr>
              <w:t>　GPX1000/1.5-K</w:t>
            </w:r>
          </w:p>
        </w:tc>
        <w:tc>
          <w:tcPr>
            <w:tcW w:w="960" w:type="dxa"/>
            <w:vAlign w:val="center"/>
          </w:tcPr>
          <w:p w14:paraId="6545973B">
            <w:pPr>
              <w:jc w:val="center"/>
              <w:rPr>
                <w:rFonts w:ascii="宋体" w:hAnsi="宋体" w:eastAsia="宋体" w:cs="宋体"/>
                <w:color w:val="000000"/>
                <w:sz w:val="18"/>
                <w:szCs w:val="18"/>
              </w:rPr>
            </w:pPr>
            <w:r>
              <w:rPr>
                <w:rFonts w:hint="eastAsia" w:ascii="宋体" w:hAnsi="宋体" w:eastAsia="宋体" w:cs="宋体"/>
                <w:color w:val="000000"/>
                <w:sz w:val="18"/>
                <w:szCs w:val="18"/>
              </w:rPr>
              <w:t>2008.01</w:t>
            </w:r>
          </w:p>
        </w:tc>
        <w:tc>
          <w:tcPr>
            <w:tcW w:w="1520" w:type="dxa"/>
            <w:vAlign w:val="center"/>
          </w:tcPr>
          <w:p w14:paraId="6659859A">
            <w:pPr>
              <w:jc w:val="center"/>
              <w:rPr>
                <w:rFonts w:ascii="宋体" w:hAnsi="宋体" w:eastAsia="宋体" w:cs="宋体"/>
                <w:color w:val="000000"/>
                <w:sz w:val="18"/>
                <w:szCs w:val="18"/>
              </w:rPr>
            </w:pPr>
            <w:r>
              <w:rPr>
                <w:rFonts w:hint="eastAsia" w:ascii="宋体" w:hAnsi="宋体" w:eastAsia="宋体" w:cs="宋体"/>
                <w:color w:val="000000"/>
                <w:sz w:val="18"/>
                <w:szCs w:val="18"/>
              </w:rPr>
              <w:t>31103210002008010012</w:t>
            </w:r>
          </w:p>
        </w:tc>
        <w:tc>
          <w:tcPr>
            <w:tcW w:w="979" w:type="dxa"/>
            <w:vAlign w:val="center"/>
          </w:tcPr>
          <w:p w14:paraId="28AAE57D">
            <w:pPr>
              <w:jc w:val="center"/>
              <w:rPr>
                <w:rFonts w:ascii="宋体" w:hAnsi="宋体" w:eastAsia="宋体" w:cs="宋体"/>
                <w:color w:val="000000"/>
                <w:sz w:val="18"/>
                <w:szCs w:val="18"/>
              </w:rPr>
            </w:pPr>
            <w:r>
              <w:rPr>
                <w:rFonts w:hint="eastAsia" w:ascii="宋体" w:hAnsi="宋体" w:eastAsia="宋体" w:cs="宋体"/>
                <w:color w:val="000000"/>
                <w:sz w:val="18"/>
                <w:szCs w:val="18"/>
              </w:rPr>
              <w:t>南邮行政楼北</w:t>
            </w:r>
          </w:p>
        </w:tc>
      </w:tr>
      <w:tr w14:paraId="63F60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34" w:type="dxa"/>
            <w:vAlign w:val="center"/>
          </w:tcPr>
          <w:p w14:paraId="3962DD80">
            <w:pPr>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980" w:type="dxa"/>
            <w:vAlign w:val="center"/>
          </w:tcPr>
          <w:p w14:paraId="0C6C2794">
            <w:pPr>
              <w:jc w:val="center"/>
              <w:rPr>
                <w:rFonts w:ascii="宋体" w:hAnsi="宋体" w:eastAsia="宋体" w:cs="宋体"/>
                <w:color w:val="000000"/>
                <w:sz w:val="18"/>
                <w:szCs w:val="18"/>
              </w:rPr>
            </w:pPr>
            <w:r>
              <w:rPr>
                <w:rFonts w:hint="eastAsia" w:ascii="宋体" w:hAnsi="宋体" w:eastAsia="宋体" w:cs="宋体"/>
                <w:color w:val="000000"/>
                <w:sz w:val="18"/>
                <w:szCs w:val="18"/>
              </w:rPr>
              <w:t>电梯</w:t>
            </w:r>
            <w:r>
              <w:rPr>
                <w:rFonts w:hint="eastAsia" w:ascii="宋体" w:hAnsi="宋体" w:eastAsia="宋体" w:cs="宋体"/>
                <w:color w:val="000000"/>
                <w:kern w:val="0"/>
                <w:sz w:val="18"/>
                <w:szCs w:val="18"/>
              </w:rPr>
              <w:t>（三星）</w:t>
            </w:r>
          </w:p>
        </w:tc>
        <w:tc>
          <w:tcPr>
            <w:tcW w:w="1190" w:type="dxa"/>
            <w:vAlign w:val="center"/>
          </w:tcPr>
          <w:p w14:paraId="40BF7A41">
            <w:pPr>
              <w:jc w:val="center"/>
              <w:rPr>
                <w:rFonts w:ascii="宋体" w:hAnsi="宋体" w:eastAsia="宋体" w:cs="宋体"/>
                <w:color w:val="000000"/>
                <w:sz w:val="18"/>
                <w:szCs w:val="18"/>
              </w:rPr>
            </w:pPr>
            <w:r>
              <w:rPr>
                <w:rFonts w:hint="eastAsia" w:ascii="宋体" w:hAnsi="宋体" w:eastAsia="宋体" w:cs="宋体"/>
                <w:color w:val="000000"/>
                <w:sz w:val="18"/>
                <w:szCs w:val="18"/>
              </w:rPr>
              <w:t>曳引与强制驱动电梯　</w:t>
            </w:r>
          </w:p>
        </w:tc>
        <w:tc>
          <w:tcPr>
            <w:tcW w:w="1040" w:type="dxa"/>
            <w:vAlign w:val="center"/>
          </w:tcPr>
          <w:p w14:paraId="2DF7FBF8">
            <w:pPr>
              <w:jc w:val="center"/>
              <w:rPr>
                <w:rFonts w:ascii="宋体" w:hAnsi="宋体" w:eastAsia="宋体" w:cs="宋体"/>
                <w:color w:val="000000"/>
                <w:sz w:val="18"/>
                <w:szCs w:val="18"/>
              </w:rPr>
            </w:pPr>
            <w:r>
              <w:rPr>
                <w:rFonts w:hint="eastAsia" w:ascii="宋体" w:hAnsi="宋体" w:eastAsia="宋体" w:cs="宋体"/>
                <w:color w:val="000000"/>
                <w:sz w:val="18"/>
                <w:szCs w:val="18"/>
              </w:rPr>
              <w:t>曳引驱动客梯电梯</w:t>
            </w:r>
          </w:p>
        </w:tc>
        <w:tc>
          <w:tcPr>
            <w:tcW w:w="1152" w:type="dxa"/>
            <w:vAlign w:val="center"/>
          </w:tcPr>
          <w:p w14:paraId="457CA54D">
            <w:pPr>
              <w:jc w:val="center"/>
              <w:rPr>
                <w:rFonts w:ascii="宋体" w:hAnsi="宋体" w:eastAsia="宋体" w:cs="宋体"/>
                <w:color w:val="000000"/>
                <w:sz w:val="18"/>
                <w:szCs w:val="18"/>
              </w:rPr>
            </w:pPr>
            <w:r>
              <w:rPr>
                <w:rFonts w:hint="eastAsia" w:ascii="宋体" w:hAnsi="宋体" w:eastAsia="宋体" w:cs="宋体"/>
                <w:color w:val="000000"/>
                <w:sz w:val="18"/>
                <w:szCs w:val="18"/>
              </w:rPr>
              <w:t>2008104</w:t>
            </w:r>
          </w:p>
        </w:tc>
        <w:tc>
          <w:tcPr>
            <w:tcW w:w="1480" w:type="dxa"/>
            <w:vAlign w:val="center"/>
          </w:tcPr>
          <w:p w14:paraId="56AE797A">
            <w:pPr>
              <w:jc w:val="center"/>
              <w:rPr>
                <w:rFonts w:ascii="宋体" w:hAnsi="宋体" w:eastAsia="宋体" w:cs="宋体"/>
                <w:color w:val="000000"/>
                <w:sz w:val="18"/>
                <w:szCs w:val="18"/>
              </w:rPr>
            </w:pPr>
            <w:r>
              <w:rPr>
                <w:rFonts w:hint="eastAsia" w:ascii="宋体" w:hAnsi="宋体" w:eastAsia="宋体" w:cs="宋体"/>
                <w:color w:val="000000"/>
                <w:sz w:val="18"/>
                <w:szCs w:val="18"/>
              </w:rPr>
              <w:t>GPX1000/1.0-K</w:t>
            </w:r>
          </w:p>
        </w:tc>
        <w:tc>
          <w:tcPr>
            <w:tcW w:w="960" w:type="dxa"/>
            <w:vAlign w:val="center"/>
          </w:tcPr>
          <w:p w14:paraId="01F3E687">
            <w:pPr>
              <w:jc w:val="center"/>
              <w:rPr>
                <w:rFonts w:ascii="宋体" w:hAnsi="宋体" w:eastAsia="宋体" w:cs="宋体"/>
                <w:color w:val="000000"/>
                <w:sz w:val="18"/>
                <w:szCs w:val="18"/>
              </w:rPr>
            </w:pPr>
            <w:r>
              <w:rPr>
                <w:rFonts w:hint="eastAsia" w:ascii="宋体" w:hAnsi="宋体" w:eastAsia="宋体" w:cs="宋体"/>
                <w:color w:val="000000"/>
                <w:sz w:val="18"/>
                <w:szCs w:val="18"/>
              </w:rPr>
              <w:t>2008.10</w:t>
            </w:r>
          </w:p>
        </w:tc>
        <w:tc>
          <w:tcPr>
            <w:tcW w:w="1520" w:type="dxa"/>
            <w:vAlign w:val="center"/>
          </w:tcPr>
          <w:p w14:paraId="37AFB5D1">
            <w:pPr>
              <w:jc w:val="center"/>
              <w:rPr>
                <w:rFonts w:ascii="宋体" w:hAnsi="宋体" w:eastAsia="宋体" w:cs="宋体"/>
                <w:color w:val="000000"/>
                <w:sz w:val="18"/>
                <w:szCs w:val="18"/>
              </w:rPr>
            </w:pPr>
            <w:r>
              <w:rPr>
                <w:rFonts w:hint="eastAsia" w:ascii="宋体" w:hAnsi="宋体" w:eastAsia="宋体" w:cs="宋体"/>
                <w:color w:val="000000"/>
                <w:sz w:val="18"/>
                <w:szCs w:val="18"/>
              </w:rPr>
              <w:t>31103210002008100003</w:t>
            </w:r>
          </w:p>
        </w:tc>
        <w:tc>
          <w:tcPr>
            <w:tcW w:w="979" w:type="dxa"/>
            <w:vAlign w:val="center"/>
          </w:tcPr>
          <w:p w14:paraId="249F9627">
            <w:pPr>
              <w:jc w:val="center"/>
              <w:rPr>
                <w:rFonts w:ascii="宋体" w:hAnsi="宋体" w:eastAsia="宋体" w:cs="宋体"/>
                <w:color w:val="000000"/>
                <w:sz w:val="18"/>
                <w:szCs w:val="18"/>
              </w:rPr>
            </w:pPr>
            <w:r>
              <w:rPr>
                <w:rFonts w:hint="eastAsia" w:ascii="宋体" w:hAnsi="宋体" w:eastAsia="宋体" w:cs="宋体"/>
                <w:color w:val="000000"/>
                <w:sz w:val="18"/>
                <w:szCs w:val="18"/>
              </w:rPr>
              <w:t>实验楼南</w:t>
            </w:r>
          </w:p>
        </w:tc>
      </w:tr>
      <w:tr w14:paraId="5A654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34" w:type="dxa"/>
            <w:vAlign w:val="center"/>
          </w:tcPr>
          <w:p w14:paraId="109C716B">
            <w:pPr>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980" w:type="dxa"/>
            <w:vAlign w:val="center"/>
          </w:tcPr>
          <w:p w14:paraId="1EF19AE9">
            <w:pPr>
              <w:jc w:val="center"/>
              <w:rPr>
                <w:rFonts w:ascii="宋体" w:hAnsi="宋体" w:eastAsia="宋体" w:cs="宋体"/>
                <w:color w:val="000000"/>
                <w:sz w:val="18"/>
                <w:szCs w:val="18"/>
              </w:rPr>
            </w:pPr>
            <w:r>
              <w:rPr>
                <w:rFonts w:hint="eastAsia" w:ascii="宋体" w:hAnsi="宋体" w:eastAsia="宋体" w:cs="宋体"/>
                <w:color w:val="000000"/>
                <w:sz w:val="18"/>
                <w:szCs w:val="18"/>
              </w:rPr>
              <w:t>电梯</w:t>
            </w:r>
            <w:r>
              <w:rPr>
                <w:rFonts w:hint="eastAsia" w:ascii="宋体" w:hAnsi="宋体" w:eastAsia="宋体" w:cs="宋体"/>
                <w:color w:val="000000"/>
                <w:kern w:val="0"/>
                <w:sz w:val="18"/>
                <w:szCs w:val="18"/>
              </w:rPr>
              <w:t>（三星）</w:t>
            </w:r>
          </w:p>
        </w:tc>
        <w:tc>
          <w:tcPr>
            <w:tcW w:w="1190" w:type="dxa"/>
            <w:vAlign w:val="center"/>
          </w:tcPr>
          <w:p w14:paraId="26E8BD1E">
            <w:pPr>
              <w:jc w:val="center"/>
              <w:rPr>
                <w:rFonts w:ascii="宋体" w:hAnsi="宋体" w:eastAsia="宋体" w:cs="宋体"/>
                <w:color w:val="000000"/>
                <w:sz w:val="18"/>
                <w:szCs w:val="18"/>
              </w:rPr>
            </w:pPr>
            <w:r>
              <w:rPr>
                <w:rFonts w:hint="eastAsia" w:ascii="宋体" w:hAnsi="宋体" w:eastAsia="宋体" w:cs="宋体"/>
                <w:color w:val="000000"/>
                <w:sz w:val="18"/>
                <w:szCs w:val="18"/>
              </w:rPr>
              <w:t>曳引与强制驱动电梯</w:t>
            </w:r>
          </w:p>
        </w:tc>
        <w:tc>
          <w:tcPr>
            <w:tcW w:w="1040" w:type="dxa"/>
            <w:vAlign w:val="center"/>
          </w:tcPr>
          <w:p w14:paraId="4091B460">
            <w:pPr>
              <w:jc w:val="center"/>
              <w:rPr>
                <w:rFonts w:ascii="宋体" w:hAnsi="宋体" w:eastAsia="宋体" w:cs="宋体"/>
                <w:color w:val="000000"/>
                <w:sz w:val="18"/>
                <w:szCs w:val="18"/>
              </w:rPr>
            </w:pPr>
            <w:r>
              <w:rPr>
                <w:rFonts w:hint="eastAsia" w:ascii="宋体" w:hAnsi="宋体" w:eastAsia="宋体" w:cs="宋体"/>
                <w:color w:val="000000"/>
                <w:sz w:val="18"/>
                <w:szCs w:val="18"/>
              </w:rPr>
              <w:t>曳引驱动客梯电梯</w:t>
            </w:r>
          </w:p>
        </w:tc>
        <w:tc>
          <w:tcPr>
            <w:tcW w:w="1152" w:type="dxa"/>
            <w:vAlign w:val="center"/>
          </w:tcPr>
          <w:p w14:paraId="2A54D77D">
            <w:pPr>
              <w:jc w:val="center"/>
              <w:rPr>
                <w:rFonts w:ascii="宋体" w:hAnsi="宋体" w:eastAsia="宋体" w:cs="宋体"/>
                <w:color w:val="000000"/>
                <w:sz w:val="18"/>
                <w:szCs w:val="18"/>
              </w:rPr>
            </w:pPr>
            <w:r>
              <w:rPr>
                <w:rFonts w:hint="eastAsia" w:ascii="宋体" w:hAnsi="宋体" w:eastAsia="宋体" w:cs="宋体"/>
                <w:color w:val="000000"/>
                <w:sz w:val="18"/>
                <w:szCs w:val="18"/>
              </w:rPr>
              <w:t>2008105</w:t>
            </w:r>
          </w:p>
        </w:tc>
        <w:tc>
          <w:tcPr>
            <w:tcW w:w="1480" w:type="dxa"/>
            <w:vAlign w:val="center"/>
          </w:tcPr>
          <w:p w14:paraId="2931F198">
            <w:pPr>
              <w:jc w:val="center"/>
              <w:rPr>
                <w:rFonts w:ascii="宋体" w:hAnsi="宋体" w:eastAsia="宋体" w:cs="宋体"/>
                <w:color w:val="000000"/>
                <w:sz w:val="18"/>
                <w:szCs w:val="18"/>
              </w:rPr>
            </w:pPr>
            <w:r>
              <w:rPr>
                <w:rFonts w:hint="eastAsia" w:ascii="宋体" w:hAnsi="宋体" w:eastAsia="宋体" w:cs="宋体"/>
                <w:color w:val="000000"/>
                <w:sz w:val="18"/>
                <w:szCs w:val="18"/>
              </w:rPr>
              <w:t>GPX1000/1.0-K　</w:t>
            </w:r>
          </w:p>
        </w:tc>
        <w:tc>
          <w:tcPr>
            <w:tcW w:w="960" w:type="dxa"/>
            <w:vAlign w:val="center"/>
          </w:tcPr>
          <w:p w14:paraId="11F014F2">
            <w:pPr>
              <w:jc w:val="center"/>
              <w:rPr>
                <w:rFonts w:ascii="宋体" w:hAnsi="宋体" w:eastAsia="宋体" w:cs="宋体"/>
                <w:color w:val="000000"/>
                <w:sz w:val="18"/>
                <w:szCs w:val="18"/>
              </w:rPr>
            </w:pPr>
            <w:r>
              <w:rPr>
                <w:rFonts w:hint="eastAsia" w:ascii="宋体" w:hAnsi="宋体" w:eastAsia="宋体" w:cs="宋体"/>
                <w:color w:val="000000"/>
                <w:sz w:val="18"/>
                <w:szCs w:val="18"/>
              </w:rPr>
              <w:t>2008.10</w:t>
            </w:r>
          </w:p>
        </w:tc>
        <w:tc>
          <w:tcPr>
            <w:tcW w:w="1520" w:type="dxa"/>
            <w:vAlign w:val="center"/>
          </w:tcPr>
          <w:p w14:paraId="2DD08FE2">
            <w:pPr>
              <w:jc w:val="center"/>
              <w:rPr>
                <w:rFonts w:ascii="宋体" w:hAnsi="宋体" w:eastAsia="宋体" w:cs="宋体"/>
                <w:color w:val="000000"/>
                <w:sz w:val="18"/>
                <w:szCs w:val="18"/>
              </w:rPr>
            </w:pPr>
            <w:r>
              <w:rPr>
                <w:rFonts w:hint="eastAsia" w:ascii="宋体" w:hAnsi="宋体" w:eastAsia="宋体" w:cs="宋体"/>
                <w:color w:val="000000"/>
                <w:sz w:val="18"/>
                <w:szCs w:val="18"/>
              </w:rPr>
              <w:t>31103210002008100002</w:t>
            </w:r>
          </w:p>
        </w:tc>
        <w:tc>
          <w:tcPr>
            <w:tcW w:w="979" w:type="dxa"/>
            <w:vAlign w:val="center"/>
          </w:tcPr>
          <w:p w14:paraId="205BD7B1">
            <w:pPr>
              <w:jc w:val="center"/>
              <w:rPr>
                <w:rFonts w:ascii="宋体" w:hAnsi="宋体" w:eastAsia="宋体" w:cs="宋体"/>
                <w:color w:val="000000"/>
                <w:sz w:val="18"/>
                <w:szCs w:val="18"/>
              </w:rPr>
            </w:pPr>
            <w:r>
              <w:rPr>
                <w:rFonts w:hint="eastAsia" w:ascii="宋体" w:hAnsi="宋体" w:eastAsia="宋体" w:cs="宋体"/>
                <w:color w:val="000000"/>
                <w:sz w:val="18"/>
                <w:szCs w:val="18"/>
              </w:rPr>
              <w:t>实验楼北</w:t>
            </w:r>
          </w:p>
        </w:tc>
      </w:tr>
      <w:tr w14:paraId="0B72E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34" w:type="dxa"/>
            <w:vAlign w:val="center"/>
          </w:tcPr>
          <w:p w14:paraId="56A96EAB">
            <w:pPr>
              <w:jc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980" w:type="dxa"/>
            <w:vAlign w:val="center"/>
          </w:tcPr>
          <w:p w14:paraId="769D5E87">
            <w:pPr>
              <w:jc w:val="center"/>
              <w:rPr>
                <w:rFonts w:ascii="宋体" w:hAnsi="宋体" w:eastAsia="宋体" w:cs="宋体"/>
                <w:color w:val="000000"/>
                <w:sz w:val="18"/>
                <w:szCs w:val="18"/>
              </w:rPr>
            </w:pPr>
            <w:r>
              <w:rPr>
                <w:rFonts w:hint="eastAsia" w:ascii="宋体" w:hAnsi="宋体" w:eastAsia="宋体" w:cs="宋体"/>
                <w:color w:val="000000"/>
                <w:sz w:val="18"/>
                <w:szCs w:val="18"/>
              </w:rPr>
              <w:t>电梯</w:t>
            </w:r>
            <w:r>
              <w:rPr>
                <w:rFonts w:hint="eastAsia" w:ascii="宋体" w:hAnsi="宋体" w:eastAsia="宋体" w:cs="宋体"/>
                <w:color w:val="000000"/>
                <w:kern w:val="0"/>
                <w:sz w:val="18"/>
                <w:szCs w:val="18"/>
              </w:rPr>
              <w:t>（三星）</w:t>
            </w:r>
          </w:p>
        </w:tc>
        <w:tc>
          <w:tcPr>
            <w:tcW w:w="1190" w:type="dxa"/>
            <w:vAlign w:val="center"/>
          </w:tcPr>
          <w:p w14:paraId="67145596">
            <w:pPr>
              <w:jc w:val="center"/>
              <w:rPr>
                <w:rFonts w:ascii="宋体" w:hAnsi="宋体" w:eastAsia="宋体" w:cs="宋体"/>
                <w:color w:val="000000"/>
                <w:sz w:val="18"/>
                <w:szCs w:val="18"/>
              </w:rPr>
            </w:pPr>
            <w:r>
              <w:rPr>
                <w:rFonts w:hint="eastAsia" w:ascii="宋体" w:hAnsi="宋体" w:eastAsia="宋体" w:cs="宋体"/>
                <w:color w:val="000000"/>
                <w:sz w:val="18"/>
                <w:szCs w:val="18"/>
              </w:rPr>
              <w:t>曳引与强制驱动电梯</w:t>
            </w:r>
          </w:p>
        </w:tc>
        <w:tc>
          <w:tcPr>
            <w:tcW w:w="1040" w:type="dxa"/>
            <w:vAlign w:val="center"/>
          </w:tcPr>
          <w:p w14:paraId="08DA0DFB">
            <w:pPr>
              <w:jc w:val="center"/>
              <w:rPr>
                <w:rFonts w:ascii="宋体" w:hAnsi="宋体" w:eastAsia="宋体" w:cs="宋体"/>
                <w:color w:val="000000"/>
                <w:sz w:val="18"/>
                <w:szCs w:val="18"/>
              </w:rPr>
            </w:pPr>
            <w:r>
              <w:rPr>
                <w:rFonts w:hint="eastAsia" w:ascii="宋体" w:hAnsi="宋体" w:eastAsia="宋体" w:cs="宋体"/>
                <w:color w:val="000000"/>
                <w:sz w:val="18"/>
                <w:szCs w:val="18"/>
              </w:rPr>
              <w:t>曳引驱动客梯电梯</w:t>
            </w:r>
          </w:p>
        </w:tc>
        <w:tc>
          <w:tcPr>
            <w:tcW w:w="1152" w:type="dxa"/>
            <w:vAlign w:val="center"/>
          </w:tcPr>
          <w:p w14:paraId="44A4FD3F">
            <w:pPr>
              <w:jc w:val="center"/>
              <w:rPr>
                <w:rFonts w:ascii="宋体" w:hAnsi="宋体" w:eastAsia="宋体" w:cs="宋体"/>
                <w:color w:val="000000"/>
                <w:sz w:val="18"/>
                <w:szCs w:val="18"/>
              </w:rPr>
            </w:pPr>
            <w:r>
              <w:rPr>
                <w:rFonts w:hint="eastAsia" w:ascii="宋体" w:hAnsi="宋体" w:eastAsia="宋体" w:cs="宋体"/>
                <w:color w:val="000000"/>
                <w:sz w:val="18"/>
                <w:szCs w:val="18"/>
              </w:rPr>
              <w:t>2007167</w:t>
            </w:r>
          </w:p>
        </w:tc>
        <w:tc>
          <w:tcPr>
            <w:tcW w:w="1480" w:type="dxa"/>
            <w:vAlign w:val="center"/>
          </w:tcPr>
          <w:p w14:paraId="2AD5A8A0">
            <w:pPr>
              <w:jc w:val="center"/>
              <w:rPr>
                <w:rFonts w:ascii="宋体" w:hAnsi="宋体" w:eastAsia="宋体" w:cs="宋体"/>
                <w:color w:val="000000"/>
                <w:sz w:val="18"/>
                <w:szCs w:val="18"/>
              </w:rPr>
            </w:pPr>
            <w:r>
              <w:rPr>
                <w:rFonts w:hint="eastAsia" w:ascii="宋体" w:hAnsi="宋体" w:eastAsia="宋体" w:cs="宋体"/>
                <w:color w:val="000000"/>
                <w:sz w:val="18"/>
                <w:szCs w:val="18"/>
              </w:rPr>
              <w:t>GPX1000/1.0-K　</w:t>
            </w:r>
          </w:p>
        </w:tc>
        <w:tc>
          <w:tcPr>
            <w:tcW w:w="960" w:type="dxa"/>
            <w:vAlign w:val="center"/>
          </w:tcPr>
          <w:p w14:paraId="638EFF80">
            <w:pPr>
              <w:jc w:val="center"/>
              <w:rPr>
                <w:rFonts w:ascii="宋体" w:hAnsi="宋体" w:eastAsia="宋体" w:cs="宋体"/>
                <w:color w:val="000000"/>
                <w:sz w:val="18"/>
                <w:szCs w:val="18"/>
              </w:rPr>
            </w:pPr>
            <w:r>
              <w:rPr>
                <w:rFonts w:hint="eastAsia" w:ascii="宋体" w:hAnsi="宋体" w:eastAsia="宋体" w:cs="宋体"/>
                <w:color w:val="000000"/>
                <w:sz w:val="18"/>
                <w:szCs w:val="18"/>
              </w:rPr>
              <w:t>2008.01</w:t>
            </w:r>
          </w:p>
        </w:tc>
        <w:tc>
          <w:tcPr>
            <w:tcW w:w="1520" w:type="dxa"/>
            <w:vAlign w:val="center"/>
          </w:tcPr>
          <w:p w14:paraId="310DD402">
            <w:pPr>
              <w:jc w:val="center"/>
              <w:rPr>
                <w:rFonts w:ascii="宋体" w:hAnsi="宋体" w:eastAsia="宋体" w:cs="宋体"/>
                <w:color w:val="000000"/>
                <w:sz w:val="18"/>
                <w:szCs w:val="18"/>
              </w:rPr>
            </w:pPr>
            <w:r>
              <w:rPr>
                <w:rFonts w:hint="eastAsia" w:ascii="宋体" w:hAnsi="宋体" w:eastAsia="宋体" w:cs="宋体"/>
                <w:color w:val="000000"/>
                <w:sz w:val="18"/>
                <w:szCs w:val="18"/>
              </w:rPr>
              <w:t>31103210002008010011</w:t>
            </w:r>
          </w:p>
        </w:tc>
        <w:tc>
          <w:tcPr>
            <w:tcW w:w="979" w:type="dxa"/>
            <w:vAlign w:val="center"/>
          </w:tcPr>
          <w:p w14:paraId="51F8B3A8">
            <w:pPr>
              <w:jc w:val="center"/>
              <w:rPr>
                <w:rFonts w:ascii="宋体" w:hAnsi="宋体" w:eastAsia="宋体" w:cs="宋体"/>
                <w:color w:val="000000"/>
                <w:sz w:val="18"/>
                <w:szCs w:val="18"/>
              </w:rPr>
            </w:pPr>
            <w:r>
              <w:rPr>
                <w:rFonts w:hint="eastAsia" w:ascii="宋体" w:hAnsi="宋体" w:eastAsia="宋体" w:cs="宋体"/>
                <w:color w:val="000000"/>
                <w:sz w:val="18"/>
                <w:szCs w:val="18"/>
              </w:rPr>
              <w:t>2号实验楼南</w:t>
            </w:r>
          </w:p>
        </w:tc>
      </w:tr>
      <w:tr w14:paraId="0CFAB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34" w:type="dxa"/>
            <w:vAlign w:val="center"/>
          </w:tcPr>
          <w:p w14:paraId="7B0A87CF">
            <w:pPr>
              <w:jc w:val="center"/>
              <w:rPr>
                <w:rFonts w:ascii="宋体" w:hAnsi="宋体" w:eastAsia="宋体" w:cs="宋体"/>
                <w:color w:val="000000"/>
                <w:sz w:val="18"/>
                <w:szCs w:val="18"/>
              </w:rPr>
            </w:pPr>
            <w:r>
              <w:rPr>
                <w:rFonts w:hint="eastAsia" w:ascii="宋体" w:hAnsi="宋体" w:eastAsia="宋体" w:cs="宋体"/>
                <w:color w:val="000000"/>
                <w:sz w:val="18"/>
                <w:szCs w:val="18"/>
              </w:rPr>
              <w:t>6</w:t>
            </w:r>
          </w:p>
        </w:tc>
        <w:tc>
          <w:tcPr>
            <w:tcW w:w="980" w:type="dxa"/>
            <w:vAlign w:val="center"/>
          </w:tcPr>
          <w:p w14:paraId="45A11840">
            <w:pPr>
              <w:jc w:val="center"/>
              <w:rPr>
                <w:rFonts w:ascii="宋体" w:hAnsi="宋体" w:eastAsia="宋体" w:cs="宋体"/>
                <w:color w:val="000000"/>
                <w:sz w:val="18"/>
                <w:szCs w:val="18"/>
              </w:rPr>
            </w:pPr>
            <w:r>
              <w:rPr>
                <w:rFonts w:hint="eastAsia" w:ascii="宋体" w:hAnsi="宋体" w:eastAsia="宋体" w:cs="宋体"/>
                <w:color w:val="000000"/>
                <w:sz w:val="18"/>
                <w:szCs w:val="18"/>
              </w:rPr>
              <w:t>电梯</w:t>
            </w:r>
            <w:r>
              <w:rPr>
                <w:rFonts w:hint="eastAsia" w:ascii="宋体" w:hAnsi="宋体" w:eastAsia="宋体" w:cs="宋体"/>
                <w:color w:val="000000"/>
                <w:kern w:val="0"/>
                <w:sz w:val="18"/>
                <w:szCs w:val="18"/>
              </w:rPr>
              <w:t>（三星）</w:t>
            </w:r>
          </w:p>
        </w:tc>
        <w:tc>
          <w:tcPr>
            <w:tcW w:w="1190" w:type="dxa"/>
            <w:vAlign w:val="center"/>
          </w:tcPr>
          <w:p w14:paraId="623FD6F2">
            <w:pPr>
              <w:jc w:val="center"/>
              <w:rPr>
                <w:rFonts w:ascii="宋体" w:hAnsi="宋体" w:eastAsia="宋体" w:cs="宋体"/>
                <w:color w:val="000000"/>
                <w:sz w:val="18"/>
                <w:szCs w:val="18"/>
              </w:rPr>
            </w:pPr>
            <w:r>
              <w:rPr>
                <w:rFonts w:hint="eastAsia" w:ascii="宋体" w:hAnsi="宋体" w:eastAsia="宋体" w:cs="宋体"/>
                <w:color w:val="000000"/>
                <w:sz w:val="18"/>
                <w:szCs w:val="18"/>
              </w:rPr>
              <w:t>曳引与强制驱动电梯</w:t>
            </w:r>
          </w:p>
        </w:tc>
        <w:tc>
          <w:tcPr>
            <w:tcW w:w="1040" w:type="dxa"/>
            <w:vAlign w:val="center"/>
          </w:tcPr>
          <w:p w14:paraId="0B1C3F58">
            <w:pPr>
              <w:jc w:val="center"/>
              <w:rPr>
                <w:rFonts w:ascii="宋体" w:hAnsi="宋体" w:eastAsia="宋体" w:cs="宋体"/>
                <w:color w:val="000000"/>
                <w:sz w:val="18"/>
                <w:szCs w:val="18"/>
              </w:rPr>
            </w:pPr>
            <w:r>
              <w:rPr>
                <w:rFonts w:hint="eastAsia" w:ascii="宋体" w:hAnsi="宋体" w:eastAsia="宋体" w:cs="宋体"/>
                <w:color w:val="000000"/>
                <w:sz w:val="18"/>
                <w:szCs w:val="18"/>
              </w:rPr>
              <w:t>曳引驱动客梯电梯</w:t>
            </w:r>
          </w:p>
        </w:tc>
        <w:tc>
          <w:tcPr>
            <w:tcW w:w="1152" w:type="dxa"/>
            <w:vAlign w:val="center"/>
          </w:tcPr>
          <w:p w14:paraId="4C33F882">
            <w:pPr>
              <w:jc w:val="center"/>
              <w:rPr>
                <w:rFonts w:ascii="宋体" w:hAnsi="宋体" w:eastAsia="宋体" w:cs="宋体"/>
                <w:color w:val="000000"/>
                <w:sz w:val="18"/>
                <w:szCs w:val="18"/>
              </w:rPr>
            </w:pPr>
            <w:r>
              <w:rPr>
                <w:rFonts w:hint="eastAsia" w:ascii="宋体" w:hAnsi="宋体" w:eastAsia="宋体" w:cs="宋体"/>
                <w:color w:val="000000"/>
                <w:sz w:val="18"/>
                <w:szCs w:val="18"/>
              </w:rPr>
              <w:t>2007166</w:t>
            </w:r>
          </w:p>
        </w:tc>
        <w:tc>
          <w:tcPr>
            <w:tcW w:w="1480" w:type="dxa"/>
            <w:vAlign w:val="center"/>
          </w:tcPr>
          <w:p w14:paraId="5F56B2B0">
            <w:pPr>
              <w:jc w:val="center"/>
              <w:rPr>
                <w:rFonts w:ascii="宋体" w:hAnsi="宋体" w:eastAsia="宋体" w:cs="宋体"/>
                <w:color w:val="000000"/>
                <w:sz w:val="18"/>
                <w:szCs w:val="18"/>
              </w:rPr>
            </w:pPr>
            <w:r>
              <w:rPr>
                <w:rFonts w:hint="eastAsia" w:ascii="宋体" w:hAnsi="宋体" w:eastAsia="宋体" w:cs="宋体"/>
                <w:color w:val="000000"/>
                <w:sz w:val="18"/>
                <w:szCs w:val="18"/>
              </w:rPr>
              <w:t>GPX1600/1.0-B</w:t>
            </w:r>
          </w:p>
        </w:tc>
        <w:tc>
          <w:tcPr>
            <w:tcW w:w="960" w:type="dxa"/>
            <w:vAlign w:val="center"/>
          </w:tcPr>
          <w:p w14:paraId="07985C83">
            <w:pPr>
              <w:jc w:val="center"/>
              <w:rPr>
                <w:rFonts w:ascii="宋体" w:hAnsi="宋体" w:eastAsia="宋体" w:cs="宋体"/>
                <w:color w:val="000000"/>
                <w:sz w:val="18"/>
                <w:szCs w:val="18"/>
              </w:rPr>
            </w:pPr>
            <w:r>
              <w:rPr>
                <w:rFonts w:hint="eastAsia" w:ascii="宋体" w:hAnsi="宋体" w:eastAsia="宋体" w:cs="宋体"/>
                <w:color w:val="000000"/>
                <w:sz w:val="18"/>
                <w:szCs w:val="18"/>
              </w:rPr>
              <w:t>2008.01</w:t>
            </w:r>
          </w:p>
        </w:tc>
        <w:tc>
          <w:tcPr>
            <w:tcW w:w="1520" w:type="dxa"/>
            <w:vAlign w:val="center"/>
          </w:tcPr>
          <w:p w14:paraId="6F2905B4">
            <w:pPr>
              <w:jc w:val="center"/>
              <w:rPr>
                <w:rFonts w:ascii="宋体" w:hAnsi="宋体" w:eastAsia="宋体" w:cs="宋体"/>
                <w:color w:val="000000"/>
                <w:sz w:val="18"/>
                <w:szCs w:val="18"/>
              </w:rPr>
            </w:pPr>
            <w:r>
              <w:rPr>
                <w:rFonts w:hint="eastAsia" w:ascii="宋体" w:hAnsi="宋体" w:eastAsia="宋体" w:cs="宋体"/>
                <w:color w:val="000000"/>
                <w:sz w:val="18"/>
                <w:szCs w:val="18"/>
              </w:rPr>
              <w:t>31103210002008010013</w:t>
            </w:r>
          </w:p>
        </w:tc>
        <w:tc>
          <w:tcPr>
            <w:tcW w:w="979" w:type="dxa"/>
            <w:vAlign w:val="center"/>
          </w:tcPr>
          <w:p w14:paraId="5F0DBB33">
            <w:pPr>
              <w:jc w:val="center"/>
              <w:rPr>
                <w:rFonts w:ascii="宋体" w:hAnsi="宋体" w:eastAsia="宋体" w:cs="宋体"/>
                <w:color w:val="000000"/>
                <w:sz w:val="18"/>
                <w:szCs w:val="18"/>
              </w:rPr>
            </w:pPr>
            <w:r>
              <w:rPr>
                <w:rFonts w:hint="eastAsia" w:ascii="宋体" w:hAnsi="宋体" w:eastAsia="宋体" w:cs="宋体"/>
                <w:color w:val="000000"/>
                <w:sz w:val="18"/>
                <w:szCs w:val="18"/>
              </w:rPr>
              <w:t>2号实验楼北</w:t>
            </w:r>
          </w:p>
        </w:tc>
      </w:tr>
      <w:tr w14:paraId="2635A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34" w:type="dxa"/>
            <w:vAlign w:val="center"/>
          </w:tcPr>
          <w:p w14:paraId="5B2974A6">
            <w:pPr>
              <w:jc w:val="center"/>
              <w:rPr>
                <w:rFonts w:ascii="宋体" w:hAnsi="宋体" w:eastAsia="宋体" w:cs="宋体"/>
                <w:color w:val="000000"/>
                <w:sz w:val="18"/>
                <w:szCs w:val="18"/>
              </w:rPr>
            </w:pPr>
            <w:r>
              <w:rPr>
                <w:rFonts w:hint="eastAsia" w:ascii="宋体" w:hAnsi="宋体" w:eastAsia="宋体" w:cs="宋体"/>
                <w:color w:val="000000"/>
                <w:sz w:val="18"/>
                <w:szCs w:val="18"/>
              </w:rPr>
              <w:t>7</w:t>
            </w:r>
          </w:p>
        </w:tc>
        <w:tc>
          <w:tcPr>
            <w:tcW w:w="980" w:type="dxa"/>
            <w:vAlign w:val="center"/>
          </w:tcPr>
          <w:p w14:paraId="0AC62AF4">
            <w:pPr>
              <w:jc w:val="center"/>
              <w:rPr>
                <w:rFonts w:ascii="宋体" w:hAnsi="宋体" w:eastAsia="宋体" w:cs="宋体"/>
                <w:color w:val="000000"/>
                <w:sz w:val="18"/>
                <w:szCs w:val="18"/>
              </w:rPr>
            </w:pPr>
            <w:r>
              <w:rPr>
                <w:rFonts w:hint="eastAsia" w:ascii="宋体" w:hAnsi="宋体" w:eastAsia="宋体" w:cs="宋体"/>
                <w:color w:val="000000"/>
                <w:sz w:val="18"/>
                <w:szCs w:val="18"/>
              </w:rPr>
              <w:t>电梯</w:t>
            </w:r>
            <w:r>
              <w:rPr>
                <w:rFonts w:hint="eastAsia" w:ascii="宋体" w:hAnsi="宋体" w:eastAsia="宋体" w:cs="宋体"/>
                <w:color w:val="000000"/>
                <w:kern w:val="0"/>
                <w:sz w:val="18"/>
                <w:szCs w:val="18"/>
              </w:rPr>
              <w:t>（三星）</w:t>
            </w:r>
          </w:p>
        </w:tc>
        <w:tc>
          <w:tcPr>
            <w:tcW w:w="1190" w:type="dxa"/>
            <w:vAlign w:val="center"/>
          </w:tcPr>
          <w:p w14:paraId="6B310598">
            <w:pPr>
              <w:jc w:val="center"/>
              <w:rPr>
                <w:rFonts w:ascii="宋体" w:hAnsi="宋体" w:eastAsia="宋体" w:cs="宋体"/>
                <w:color w:val="000000"/>
                <w:sz w:val="18"/>
                <w:szCs w:val="18"/>
              </w:rPr>
            </w:pPr>
            <w:r>
              <w:rPr>
                <w:rFonts w:hint="eastAsia" w:ascii="宋体" w:hAnsi="宋体" w:eastAsia="宋体" w:cs="宋体"/>
                <w:color w:val="000000"/>
                <w:sz w:val="18"/>
                <w:szCs w:val="18"/>
              </w:rPr>
              <w:t>曳引与强制驱动电梯</w:t>
            </w:r>
          </w:p>
        </w:tc>
        <w:tc>
          <w:tcPr>
            <w:tcW w:w="1040" w:type="dxa"/>
            <w:vAlign w:val="center"/>
          </w:tcPr>
          <w:p w14:paraId="71171276">
            <w:pPr>
              <w:jc w:val="center"/>
              <w:rPr>
                <w:rFonts w:ascii="宋体" w:hAnsi="宋体" w:eastAsia="宋体" w:cs="宋体"/>
                <w:color w:val="000000"/>
                <w:sz w:val="18"/>
                <w:szCs w:val="18"/>
              </w:rPr>
            </w:pPr>
            <w:r>
              <w:rPr>
                <w:rFonts w:hint="eastAsia" w:ascii="宋体" w:hAnsi="宋体" w:eastAsia="宋体" w:cs="宋体"/>
                <w:color w:val="000000"/>
                <w:sz w:val="18"/>
                <w:szCs w:val="18"/>
              </w:rPr>
              <w:t>曳引驱动客梯电梯</w:t>
            </w:r>
          </w:p>
        </w:tc>
        <w:tc>
          <w:tcPr>
            <w:tcW w:w="1152" w:type="dxa"/>
            <w:vAlign w:val="center"/>
          </w:tcPr>
          <w:p w14:paraId="48B9F5D5">
            <w:pPr>
              <w:jc w:val="center"/>
              <w:rPr>
                <w:rFonts w:ascii="宋体" w:hAnsi="宋体" w:eastAsia="宋体" w:cs="宋体"/>
                <w:color w:val="000000"/>
                <w:sz w:val="18"/>
                <w:szCs w:val="18"/>
              </w:rPr>
            </w:pPr>
            <w:r>
              <w:rPr>
                <w:rFonts w:hint="eastAsia" w:ascii="宋体" w:hAnsi="宋体" w:eastAsia="宋体" w:cs="宋体"/>
                <w:color w:val="000000"/>
                <w:sz w:val="18"/>
                <w:szCs w:val="18"/>
              </w:rPr>
              <w:t>2008106</w:t>
            </w:r>
          </w:p>
        </w:tc>
        <w:tc>
          <w:tcPr>
            <w:tcW w:w="1480" w:type="dxa"/>
            <w:vAlign w:val="center"/>
          </w:tcPr>
          <w:p w14:paraId="4B7CF388">
            <w:pPr>
              <w:jc w:val="center"/>
              <w:rPr>
                <w:rFonts w:ascii="宋体" w:hAnsi="宋体" w:eastAsia="宋体" w:cs="宋体"/>
                <w:color w:val="000000"/>
                <w:sz w:val="18"/>
                <w:szCs w:val="18"/>
              </w:rPr>
            </w:pPr>
            <w:r>
              <w:rPr>
                <w:rFonts w:hint="eastAsia" w:ascii="宋体" w:hAnsi="宋体" w:eastAsia="宋体" w:cs="宋体"/>
                <w:color w:val="000000"/>
                <w:sz w:val="18"/>
                <w:szCs w:val="18"/>
              </w:rPr>
              <w:t>GPX1000/1.0-K</w:t>
            </w:r>
          </w:p>
        </w:tc>
        <w:tc>
          <w:tcPr>
            <w:tcW w:w="960" w:type="dxa"/>
            <w:vAlign w:val="center"/>
          </w:tcPr>
          <w:p w14:paraId="5853B8F0">
            <w:pPr>
              <w:jc w:val="center"/>
              <w:rPr>
                <w:rFonts w:ascii="宋体" w:hAnsi="宋体" w:eastAsia="宋体" w:cs="宋体"/>
                <w:color w:val="000000"/>
                <w:sz w:val="18"/>
                <w:szCs w:val="18"/>
              </w:rPr>
            </w:pPr>
            <w:r>
              <w:rPr>
                <w:rFonts w:hint="eastAsia" w:ascii="宋体" w:hAnsi="宋体" w:eastAsia="宋体" w:cs="宋体"/>
                <w:color w:val="000000"/>
                <w:sz w:val="18"/>
                <w:szCs w:val="18"/>
              </w:rPr>
              <w:t>2008.10</w:t>
            </w:r>
          </w:p>
        </w:tc>
        <w:tc>
          <w:tcPr>
            <w:tcW w:w="1520" w:type="dxa"/>
            <w:vAlign w:val="center"/>
          </w:tcPr>
          <w:p w14:paraId="12E0268C">
            <w:pPr>
              <w:jc w:val="center"/>
              <w:rPr>
                <w:rFonts w:ascii="宋体" w:hAnsi="宋体" w:eastAsia="宋体" w:cs="宋体"/>
                <w:color w:val="000000"/>
                <w:sz w:val="18"/>
                <w:szCs w:val="18"/>
              </w:rPr>
            </w:pPr>
            <w:r>
              <w:rPr>
                <w:rFonts w:hint="eastAsia" w:ascii="宋体" w:hAnsi="宋体" w:eastAsia="宋体" w:cs="宋体"/>
                <w:color w:val="000000"/>
                <w:sz w:val="18"/>
                <w:szCs w:val="18"/>
              </w:rPr>
              <w:t>31103210002008100001</w:t>
            </w:r>
          </w:p>
        </w:tc>
        <w:tc>
          <w:tcPr>
            <w:tcW w:w="979" w:type="dxa"/>
            <w:vAlign w:val="center"/>
          </w:tcPr>
          <w:p w14:paraId="136AA39A">
            <w:pPr>
              <w:jc w:val="center"/>
              <w:rPr>
                <w:rFonts w:ascii="宋体" w:hAnsi="宋体" w:eastAsia="宋体" w:cs="宋体"/>
                <w:color w:val="000000"/>
                <w:sz w:val="18"/>
                <w:szCs w:val="18"/>
              </w:rPr>
            </w:pPr>
            <w:r>
              <w:rPr>
                <w:rFonts w:hint="eastAsia" w:ascii="宋体" w:hAnsi="宋体" w:eastAsia="宋体" w:cs="宋体"/>
                <w:color w:val="000000"/>
                <w:sz w:val="18"/>
                <w:szCs w:val="18"/>
              </w:rPr>
              <w:t>图书馆</w:t>
            </w:r>
          </w:p>
        </w:tc>
      </w:tr>
      <w:tr w14:paraId="5F487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34" w:type="dxa"/>
            <w:vAlign w:val="center"/>
          </w:tcPr>
          <w:p w14:paraId="1BC104F4">
            <w:pPr>
              <w:jc w:val="center"/>
              <w:rPr>
                <w:rFonts w:ascii="宋体" w:hAnsi="宋体" w:eastAsia="宋体" w:cs="宋体"/>
                <w:color w:val="000000"/>
                <w:sz w:val="18"/>
                <w:szCs w:val="18"/>
              </w:rPr>
            </w:pPr>
            <w:r>
              <w:rPr>
                <w:rFonts w:hint="eastAsia" w:ascii="宋体" w:hAnsi="宋体" w:eastAsia="宋体" w:cs="宋体"/>
                <w:color w:val="000000"/>
                <w:sz w:val="18"/>
                <w:szCs w:val="18"/>
              </w:rPr>
              <w:t>8</w:t>
            </w:r>
          </w:p>
        </w:tc>
        <w:tc>
          <w:tcPr>
            <w:tcW w:w="980" w:type="dxa"/>
            <w:vAlign w:val="center"/>
          </w:tcPr>
          <w:p w14:paraId="75089B2C">
            <w:pPr>
              <w:jc w:val="center"/>
              <w:rPr>
                <w:rFonts w:ascii="宋体" w:hAnsi="宋体" w:eastAsia="宋体" w:cs="宋体"/>
                <w:color w:val="000000"/>
                <w:sz w:val="18"/>
                <w:szCs w:val="18"/>
              </w:rPr>
            </w:pPr>
            <w:r>
              <w:rPr>
                <w:rFonts w:hint="eastAsia" w:ascii="宋体" w:hAnsi="宋体" w:eastAsia="宋体" w:cs="宋体"/>
                <w:color w:val="000000"/>
                <w:sz w:val="18"/>
                <w:szCs w:val="18"/>
              </w:rPr>
              <w:t>电梯</w:t>
            </w:r>
            <w:r>
              <w:rPr>
                <w:rFonts w:hint="eastAsia" w:ascii="宋体" w:hAnsi="宋体" w:eastAsia="宋体" w:cs="宋体"/>
                <w:color w:val="000000"/>
                <w:kern w:val="0"/>
                <w:sz w:val="18"/>
                <w:szCs w:val="18"/>
              </w:rPr>
              <w:t>（富士）</w:t>
            </w:r>
          </w:p>
        </w:tc>
        <w:tc>
          <w:tcPr>
            <w:tcW w:w="1190" w:type="dxa"/>
            <w:vAlign w:val="center"/>
          </w:tcPr>
          <w:p w14:paraId="236F4224">
            <w:pPr>
              <w:jc w:val="center"/>
              <w:rPr>
                <w:rFonts w:ascii="宋体" w:hAnsi="宋体" w:eastAsia="宋体" w:cs="宋体"/>
                <w:color w:val="000000"/>
                <w:sz w:val="18"/>
                <w:szCs w:val="18"/>
              </w:rPr>
            </w:pPr>
            <w:r>
              <w:rPr>
                <w:rFonts w:hint="eastAsia" w:ascii="宋体" w:hAnsi="宋体" w:eastAsia="宋体" w:cs="宋体"/>
                <w:color w:val="000000"/>
                <w:sz w:val="18"/>
                <w:szCs w:val="18"/>
              </w:rPr>
              <w:t>曳引与强制驱动电梯</w:t>
            </w:r>
          </w:p>
        </w:tc>
        <w:tc>
          <w:tcPr>
            <w:tcW w:w="1040" w:type="dxa"/>
            <w:vAlign w:val="center"/>
          </w:tcPr>
          <w:p w14:paraId="52913C0A">
            <w:pPr>
              <w:jc w:val="center"/>
              <w:rPr>
                <w:rFonts w:ascii="宋体" w:hAnsi="宋体" w:eastAsia="宋体" w:cs="宋体"/>
                <w:color w:val="000000"/>
                <w:sz w:val="18"/>
                <w:szCs w:val="18"/>
              </w:rPr>
            </w:pPr>
            <w:r>
              <w:rPr>
                <w:rFonts w:hint="eastAsia" w:ascii="宋体" w:hAnsi="宋体" w:eastAsia="宋体" w:cs="宋体"/>
                <w:color w:val="000000"/>
                <w:sz w:val="18"/>
                <w:szCs w:val="18"/>
              </w:rPr>
              <w:t>曳引驱动客梯电梯</w:t>
            </w:r>
          </w:p>
        </w:tc>
        <w:tc>
          <w:tcPr>
            <w:tcW w:w="1152" w:type="dxa"/>
            <w:vAlign w:val="center"/>
          </w:tcPr>
          <w:p w14:paraId="4AB7847C">
            <w:pPr>
              <w:jc w:val="center"/>
              <w:rPr>
                <w:rFonts w:ascii="宋体" w:hAnsi="宋体" w:eastAsia="宋体" w:cs="宋体"/>
                <w:color w:val="000000"/>
                <w:sz w:val="18"/>
                <w:szCs w:val="18"/>
              </w:rPr>
            </w:pPr>
            <w:r>
              <w:rPr>
                <w:rFonts w:hint="eastAsia" w:ascii="宋体" w:hAnsi="宋体" w:eastAsia="宋体" w:cs="宋体"/>
                <w:color w:val="000000"/>
                <w:sz w:val="18"/>
                <w:szCs w:val="18"/>
              </w:rPr>
              <w:t>261YK7005B</w:t>
            </w:r>
          </w:p>
        </w:tc>
        <w:tc>
          <w:tcPr>
            <w:tcW w:w="1480" w:type="dxa"/>
            <w:vAlign w:val="center"/>
          </w:tcPr>
          <w:p w14:paraId="726503C2">
            <w:pPr>
              <w:jc w:val="center"/>
              <w:rPr>
                <w:rFonts w:ascii="宋体" w:hAnsi="宋体" w:eastAsia="宋体" w:cs="宋体"/>
                <w:color w:val="000000"/>
                <w:sz w:val="18"/>
                <w:szCs w:val="18"/>
              </w:rPr>
            </w:pPr>
            <w:r>
              <w:rPr>
                <w:rFonts w:hint="eastAsia" w:ascii="宋体" w:hAnsi="宋体" w:eastAsia="宋体" w:cs="宋体"/>
                <w:color w:val="000000"/>
                <w:sz w:val="18"/>
                <w:szCs w:val="18"/>
              </w:rPr>
              <w:t>TKJ1000/1.0-JX</w:t>
            </w:r>
          </w:p>
        </w:tc>
        <w:tc>
          <w:tcPr>
            <w:tcW w:w="960" w:type="dxa"/>
            <w:vAlign w:val="center"/>
          </w:tcPr>
          <w:p w14:paraId="61F8DA50">
            <w:pPr>
              <w:jc w:val="center"/>
              <w:rPr>
                <w:rFonts w:ascii="宋体" w:hAnsi="宋体" w:eastAsia="宋体" w:cs="宋体"/>
                <w:color w:val="000000"/>
                <w:sz w:val="18"/>
                <w:szCs w:val="18"/>
              </w:rPr>
            </w:pPr>
            <w:r>
              <w:rPr>
                <w:rFonts w:hint="eastAsia" w:ascii="宋体" w:hAnsi="宋体" w:eastAsia="宋体" w:cs="宋体"/>
                <w:color w:val="000000"/>
                <w:sz w:val="18"/>
                <w:szCs w:val="18"/>
              </w:rPr>
              <w:t>2007.09</w:t>
            </w:r>
          </w:p>
        </w:tc>
        <w:tc>
          <w:tcPr>
            <w:tcW w:w="1520" w:type="dxa"/>
            <w:vAlign w:val="center"/>
          </w:tcPr>
          <w:p w14:paraId="18096451">
            <w:pPr>
              <w:jc w:val="center"/>
              <w:rPr>
                <w:rFonts w:ascii="宋体" w:hAnsi="宋体" w:eastAsia="宋体" w:cs="宋体"/>
                <w:color w:val="000000"/>
                <w:sz w:val="18"/>
                <w:szCs w:val="18"/>
              </w:rPr>
            </w:pPr>
            <w:r>
              <w:rPr>
                <w:rFonts w:hint="eastAsia" w:ascii="宋体" w:hAnsi="宋体" w:eastAsia="宋体" w:cs="宋体"/>
                <w:color w:val="000000"/>
                <w:sz w:val="18"/>
                <w:szCs w:val="18"/>
              </w:rPr>
              <w:t>31103210002007090004</w:t>
            </w:r>
          </w:p>
        </w:tc>
        <w:tc>
          <w:tcPr>
            <w:tcW w:w="979" w:type="dxa"/>
            <w:vAlign w:val="center"/>
          </w:tcPr>
          <w:p w14:paraId="65887D86">
            <w:pPr>
              <w:jc w:val="center"/>
              <w:rPr>
                <w:rFonts w:ascii="宋体" w:hAnsi="宋体" w:eastAsia="宋体" w:cs="宋体"/>
                <w:color w:val="000000"/>
                <w:sz w:val="18"/>
                <w:szCs w:val="18"/>
              </w:rPr>
            </w:pPr>
            <w:r>
              <w:rPr>
                <w:rFonts w:hint="eastAsia" w:ascii="宋体" w:hAnsi="宋体" w:eastAsia="宋体" w:cs="宋体"/>
                <w:color w:val="000000"/>
                <w:sz w:val="18"/>
                <w:szCs w:val="18"/>
              </w:rPr>
              <w:t>食堂东</w:t>
            </w:r>
          </w:p>
        </w:tc>
      </w:tr>
      <w:tr w14:paraId="5E718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34" w:type="dxa"/>
            <w:vAlign w:val="center"/>
          </w:tcPr>
          <w:p w14:paraId="0C66B106">
            <w:pPr>
              <w:jc w:val="center"/>
              <w:rPr>
                <w:rFonts w:ascii="宋体" w:hAnsi="宋体" w:eastAsia="宋体" w:cs="宋体"/>
                <w:color w:val="000000"/>
                <w:sz w:val="18"/>
                <w:szCs w:val="18"/>
              </w:rPr>
            </w:pPr>
            <w:r>
              <w:rPr>
                <w:rFonts w:hint="eastAsia" w:ascii="宋体" w:hAnsi="宋体" w:eastAsia="宋体" w:cs="宋体"/>
                <w:color w:val="000000"/>
                <w:sz w:val="18"/>
                <w:szCs w:val="18"/>
              </w:rPr>
              <w:t>9</w:t>
            </w:r>
          </w:p>
        </w:tc>
        <w:tc>
          <w:tcPr>
            <w:tcW w:w="980" w:type="dxa"/>
            <w:vAlign w:val="center"/>
          </w:tcPr>
          <w:p w14:paraId="0D77A553">
            <w:pPr>
              <w:jc w:val="center"/>
              <w:rPr>
                <w:rFonts w:ascii="宋体" w:hAnsi="宋体" w:eastAsia="宋体" w:cs="宋体"/>
                <w:color w:val="000000"/>
                <w:sz w:val="18"/>
                <w:szCs w:val="18"/>
              </w:rPr>
            </w:pPr>
            <w:r>
              <w:rPr>
                <w:rFonts w:hint="eastAsia" w:ascii="宋体" w:hAnsi="宋体" w:eastAsia="宋体" w:cs="宋体"/>
                <w:color w:val="000000"/>
                <w:sz w:val="18"/>
                <w:szCs w:val="18"/>
              </w:rPr>
              <w:t>电梯</w:t>
            </w:r>
            <w:r>
              <w:rPr>
                <w:rFonts w:hint="eastAsia" w:ascii="宋体" w:hAnsi="宋体" w:eastAsia="宋体" w:cs="宋体"/>
                <w:color w:val="000000"/>
                <w:kern w:val="0"/>
                <w:sz w:val="18"/>
                <w:szCs w:val="18"/>
              </w:rPr>
              <w:t>（富士）</w:t>
            </w:r>
          </w:p>
        </w:tc>
        <w:tc>
          <w:tcPr>
            <w:tcW w:w="1190" w:type="dxa"/>
            <w:vAlign w:val="center"/>
          </w:tcPr>
          <w:p w14:paraId="26DC573A">
            <w:pPr>
              <w:jc w:val="center"/>
              <w:rPr>
                <w:rFonts w:ascii="宋体" w:hAnsi="宋体" w:eastAsia="宋体" w:cs="宋体"/>
                <w:color w:val="000000"/>
                <w:sz w:val="18"/>
                <w:szCs w:val="18"/>
              </w:rPr>
            </w:pPr>
            <w:r>
              <w:rPr>
                <w:rFonts w:hint="eastAsia" w:ascii="宋体" w:hAnsi="宋体" w:eastAsia="宋体" w:cs="宋体"/>
                <w:color w:val="000000"/>
                <w:sz w:val="18"/>
                <w:szCs w:val="18"/>
              </w:rPr>
              <w:t>曳引与强制驱动电梯</w:t>
            </w:r>
          </w:p>
        </w:tc>
        <w:tc>
          <w:tcPr>
            <w:tcW w:w="1040" w:type="dxa"/>
            <w:vAlign w:val="center"/>
          </w:tcPr>
          <w:p w14:paraId="5657C025">
            <w:pPr>
              <w:jc w:val="center"/>
              <w:rPr>
                <w:rFonts w:ascii="宋体" w:hAnsi="宋体" w:eastAsia="宋体" w:cs="宋体"/>
                <w:color w:val="000000"/>
                <w:sz w:val="18"/>
                <w:szCs w:val="18"/>
              </w:rPr>
            </w:pPr>
            <w:r>
              <w:rPr>
                <w:rFonts w:hint="eastAsia" w:ascii="宋体" w:hAnsi="宋体" w:eastAsia="宋体" w:cs="宋体"/>
                <w:color w:val="000000"/>
                <w:sz w:val="18"/>
                <w:szCs w:val="18"/>
              </w:rPr>
              <w:t>曳引驱动客梯电梯</w:t>
            </w:r>
          </w:p>
        </w:tc>
        <w:tc>
          <w:tcPr>
            <w:tcW w:w="1152" w:type="dxa"/>
            <w:vAlign w:val="center"/>
          </w:tcPr>
          <w:p w14:paraId="516249CC">
            <w:pPr>
              <w:jc w:val="center"/>
              <w:rPr>
                <w:rFonts w:ascii="宋体" w:hAnsi="宋体" w:eastAsia="宋体" w:cs="宋体"/>
                <w:color w:val="000000"/>
                <w:sz w:val="18"/>
                <w:szCs w:val="18"/>
              </w:rPr>
            </w:pPr>
            <w:r>
              <w:rPr>
                <w:rFonts w:hint="eastAsia" w:ascii="宋体" w:hAnsi="宋体" w:eastAsia="宋体" w:cs="宋体"/>
                <w:color w:val="000000"/>
                <w:sz w:val="18"/>
                <w:szCs w:val="18"/>
              </w:rPr>
              <w:t>261YK7004B</w:t>
            </w:r>
          </w:p>
        </w:tc>
        <w:tc>
          <w:tcPr>
            <w:tcW w:w="1480" w:type="dxa"/>
            <w:vAlign w:val="center"/>
          </w:tcPr>
          <w:p w14:paraId="2EC2A92E">
            <w:pPr>
              <w:jc w:val="center"/>
              <w:rPr>
                <w:rFonts w:ascii="宋体" w:hAnsi="宋体" w:eastAsia="宋体" w:cs="宋体"/>
                <w:color w:val="000000"/>
                <w:sz w:val="18"/>
                <w:szCs w:val="18"/>
              </w:rPr>
            </w:pPr>
            <w:r>
              <w:rPr>
                <w:rFonts w:hint="eastAsia" w:ascii="宋体" w:hAnsi="宋体" w:eastAsia="宋体" w:cs="宋体"/>
                <w:color w:val="000000"/>
                <w:sz w:val="18"/>
                <w:szCs w:val="18"/>
              </w:rPr>
              <w:t>TKJ1000/1.0-JX</w:t>
            </w:r>
          </w:p>
        </w:tc>
        <w:tc>
          <w:tcPr>
            <w:tcW w:w="960" w:type="dxa"/>
            <w:vAlign w:val="center"/>
          </w:tcPr>
          <w:p w14:paraId="38055692">
            <w:pPr>
              <w:jc w:val="center"/>
              <w:rPr>
                <w:rFonts w:ascii="宋体" w:hAnsi="宋体" w:eastAsia="宋体" w:cs="宋体"/>
                <w:color w:val="000000"/>
                <w:sz w:val="18"/>
                <w:szCs w:val="18"/>
              </w:rPr>
            </w:pPr>
            <w:r>
              <w:rPr>
                <w:rFonts w:hint="eastAsia" w:ascii="宋体" w:hAnsi="宋体" w:eastAsia="宋体" w:cs="宋体"/>
                <w:color w:val="000000"/>
                <w:sz w:val="18"/>
                <w:szCs w:val="18"/>
              </w:rPr>
              <w:t>2007.09</w:t>
            </w:r>
          </w:p>
        </w:tc>
        <w:tc>
          <w:tcPr>
            <w:tcW w:w="1520" w:type="dxa"/>
            <w:vAlign w:val="center"/>
          </w:tcPr>
          <w:p w14:paraId="75B7B724">
            <w:pPr>
              <w:jc w:val="center"/>
              <w:rPr>
                <w:rFonts w:ascii="宋体" w:hAnsi="宋体" w:eastAsia="宋体" w:cs="宋体"/>
                <w:color w:val="000000"/>
                <w:sz w:val="18"/>
                <w:szCs w:val="18"/>
              </w:rPr>
            </w:pPr>
            <w:r>
              <w:rPr>
                <w:rFonts w:hint="eastAsia" w:ascii="宋体" w:hAnsi="宋体" w:eastAsia="宋体" w:cs="宋体"/>
                <w:color w:val="000000"/>
                <w:sz w:val="18"/>
                <w:szCs w:val="18"/>
              </w:rPr>
              <w:t>31103210002007090005</w:t>
            </w:r>
          </w:p>
        </w:tc>
        <w:tc>
          <w:tcPr>
            <w:tcW w:w="979" w:type="dxa"/>
            <w:vAlign w:val="center"/>
          </w:tcPr>
          <w:p w14:paraId="3AB9A0D0">
            <w:pPr>
              <w:jc w:val="center"/>
              <w:rPr>
                <w:rFonts w:ascii="宋体" w:hAnsi="宋体" w:eastAsia="宋体" w:cs="宋体"/>
                <w:color w:val="000000"/>
                <w:sz w:val="18"/>
                <w:szCs w:val="18"/>
              </w:rPr>
            </w:pPr>
            <w:r>
              <w:rPr>
                <w:rFonts w:hint="eastAsia" w:ascii="宋体" w:hAnsi="宋体" w:eastAsia="宋体" w:cs="宋体"/>
                <w:color w:val="000000"/>
                <w:sz w:val="18"/>
                <w:szCs w:val="18"/>
              </w:rPr>
              <w:t>食堂西</w:t>
            </w:r>
          </w:p>
        </w:tc>
      </w:tr>
      <w:tr w14:paraId="46E9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34" w:type="dxa"/>
            <w:vAlign w:val="center"/>
          </w:tcPr>
          <w:p w14:paraId="034C392C">
            <w:pPr>
              <w:jc w:val="center"/>
              <w:rPr>
                <w:rFonts w:ascii="宋体" w:hAnsi="宋体" w:eastAsia="宋体" w:cs="宋体"/>
                <w:color w:val="000000"/>
                <w:sz w:val="18"/>
                <w:szCs w:val="18"/>
              </w:rPr>
            </w:pPr>
            <w:r>
              <w:rPr>
                <w:rFonts w:hint="eastAsia" w:ascii="宋体" w:hAnsi="宋体" w:eastAsia="宋体" w:cs="宋体"/>
                <w:color w:val="000000"/>
                <w:sz w:val="18"/>
                <w:szCs w:val="18"/>
              </w:rPr>
              <w:t>10</w:t>
            </w:r>
          </w:p>
        </w:tc>
        <w:tc>
          <w:tcPr>
            <w:tcW w:w="980" w:type="dxa"/>
            <w:vAlign w:val="center"/>
          </w:tcPr>
          <w:p w14:paraId="749E7758">
            <w:pPr>
              <w:jc w:val="center"/>
              <w:rPr>
                <w:rFonts w:ascii="宋体" w:hAnsi="宋体" w:eastAsia="宋体" w:cs="宋体"/>
                <w:color w:val="000000"/>
                <w:sz w:val="18"/>
                <w:szCs w:val="18"/>
              </w:rPr>
            </w:pPr>
            <w:r>
              <w:rPr>
                <w:rFonts w:hint="eastAsia" w:ascii="宋体" w:hAnsi="宋体" w:eastAsia="宋体" w:cs="宋体"/>
                <w:color w:val="000000"/>
                <w:sz w:val="18"/>
                <w:szCs w:val="18"/>
              </w:rPr>
              <w:t>电梯</w:t>
            </w:r>
            <w:r>
              <w:rPr>
                <w:rFonts w:hint="eastAsia" w:ascii="宋体" w:hAnsi="宋体" w:eastAsia="宋体" w:cs="宋体"/>
                <w:color w:val="000000"/>
                <w:kern w:val="0"/>
                <w:sz w:val="18"/>
                <w:szCs w:val="18"/>
              </w:rPr>
              <w:t>（巨人通力）</w:t>
            </w:r>
          </w:p>
        </w:tc>
        <w:tc>
          <w:tcPr>
            <w:tcW w:w="1190" w:type="dxa"/>
            <w:vAlign w:val="center"/>
          </w:tcPr>
          <w:p w14:paraId="5077EF6B">
            <w:pPr>
              <w:jc w:val="center"/>
              <w:rPr>
                <w:rFonts w:ascii="宋体" w:hAnsi="宋体" w:eastAsia="宋体" w:cs="宋体"/>
                <w:color w:val="000000"/>
                <w:sz w:val="18"/>
                <w:szCs w:val="18"/>
              </w:rPr>
            </w:pPr>
            <w:r>
              <w:rPr>
                <w:rFonts w:hint="eastAsia" w:ascii="宋体" w:hAnsi="宋体" w:eastAsia="宋体" w:cs="宋体"/>
                <w:color w:val="000000"/>
                <w:sz w:val="18"/>
                <w:szCs w:val="18"/>
              </w:rPr>
              <w:t>曳引与强制驱动电梯</w:t>
            </w:r>
          </w:p>
        </w:tc>
        <w:tc>
          <w:tcPr>
            <w:tcW w:w="1040" w:type="dxa"/>
            <w:vAlign w:val="center"/>
          </w:tcPr>
          <w:p w14:paraId="2B4A22CF">
            <w:pPr>
              <w:jc w:val="center"/>
              <w:rPr>
                <w:rFonts w:ascii="宋体" w:hAnsi="宋体" w:eastAsia="宋体" w:cs="宋体"/>
                <w:color w:val="000000"/>
                <w:sz w:val="18"/>
                <w:szCs w:val="18"/>
              </w:rPr>
            </w:pPr>
            <w:r>
              <w:rPr>
                <w:rFonts w:hint="eastAsia" w:ascii="宋体" w:hAnsi="宋体" w:eastAsia="宋体" w:cs="宋体"/>
                <w:color w:val="000000"/>
                <w:sz w:val="18"/>
                <w:szCs w:val="18"/>
              </w:rPr>
              <w:t>曳引驱动客梯电梯</w:t>
            </w:r>
          </w:p>
        </w:tc>
        <w:tc>
          <w:tcPr>
            <w:tcW w:w="1152" w:type="dxa"/>
            <w:vAlign w:val="center"/>
          </w:tcPr>
          <w:p w14:paraId="464071B8">
            <w:pPr>
              <w:jc w:val="center"/>
              <w:rPr>
                <w:rFonts w:ascii="宋体" w:hAnsi="宋体" w:eastAsia="宋体" w:cs="宋体"/>
                <w:color w:val="000000"/>
                <w:sz w:val="18"/>
                <w:szCs w:val="18"/>
              </w:rPr>
            </w:pPr>
            <w:r>
              <w:rPr>
                <w:rFonts w:hint="eastAsia" w:ascii="宋体" w:hAnsi="宋体" w:eastAsia="宋体" w:cs="宋体"/>
                <w:color w:val="000000"/>
                <w:sz w:val="18"/>
                <w:szCs w:val="18"/>
              </w:rPr>
              <w:t>42461785</w:t>
            </w:r>
          </w:p>
        </w:tc>
        <w:tc>
          <w:tcPr>
            <w:tcW w:w="1480" w:type="dxa"/>
            <w:vAlign w:val="center"/>
          </w:tcPr>
          <w:p w14:paraId="04ECE7F9">
            <w:pPr>
              <w:jc w:val="center"/>
              <w:rPr>
                <w:rFonts w:ascii="宋体" w:hAnsi="宋体" w:eastAsia="宋体" w:cs="宋体"/>
                <w:color w:val="000000"/>
                <w:sz w:val="18"/>
                <w:szCs w:val="18"/>
              </w:rPr>
            </w:pPr>
            <w:r>
              <w:rPr>
                <w:rFonts w:hint="eastAsia" w:ascii="宋体" w:hAnsi="宋体" w:eastAsia="宋体" w:cs="宋体"/>
                <w:color w:val="000000"/>
                <w:sz w:val="18"/>
                <w:szCs w:val="18"/>
              </w:rPr>
              <w:t>GPX800/1.6-K　</w:t>
            </w:r>
          </w:p>
        </w:tc>
        <w:tc>
          <w:tcPr>
            <w:tcW w:w="960" w:type="dxa"/>
            <w:vAlign w:val="center"/>
          </w:tcPr>
          <w:p w14:paraId="0BE543E1">
            <w:pPr>
              <w:jc w:val="center"/>
              <w:rPr>
                <w:rFonts w:ascii="宋体" w:hAnsi="宋体" w:eastAsia="宋体" w:cs="宋体"/>
                <w:color w:val="000000"/>
                <w:sz w:val="18"/>
                <w:szCs w:val="18"/>
              </w:rPr>
            </w:pPr>
            <w:r>
              <w:rPr>
                <w:rFonts w:hint="eastAsia" w:ascii="宋体" w:hAnsi="宋体" w:eastAsia="宋体" w:cs="宋体"/>
                <w:color w:val="000000"/>
                <w:sz w:val="18"/>
                <w:szCs w:val="18"/>
              </w:rPr>
              <w:t>2016.01</w:t>
            </w:r>
          </w:p>
        </w:tc>
        <w:tc>
          <w:tcPr>
            <w:tcW w:w="1520" w:type="dxa"/>
            <w:vAlign w:val="center"/>
          </w:tcPr>
          <w:p w14:paraId="2B5F8D59">
            <w:pPr>
              <w:jc w:val="center"/>
              <w:rPr>
                <w:rFonts w:ascii="宋体" w:hAnsi="宋体" w:eastAsia="宋体" w:cs="宋体"/>
                <w:color w:val="000000"/>
                <w:sz w:val="18"/>
                <w:szCs w:val="18"/>
              </w:rPr>
            </w:pPr>
            <w:r>
              <w:rPr>
                <w:rFonts w:hint="eastAsia" w:ascii="宋体" w:hAnsi="宋体" w:eastAsia="宋体" w:cs="宋体"/>
                <w:color w:val="000000"/>
                <w:sz w:val="18"/>
                <w:szCs w:val="18"/>
              </w:rPr>
              <w:t>31103210012017040011</w:t>
            </w:r>
          </w:p>
        </w:tc>
        <w:tc>
          <w:tcPr>
            <w:tcW w:w="979" w:type="dxa"/>
            <w:vAlign w:val="center"/>
          </w:tcPr>
          <w:p w14:paraId="2CC7E281">
            <w:pPr>
              <w:jc w:val="center"/>
              <w:rPr>
                <w:rFonts w:ascii="宋体" w:hAnsi="宋体" w:eastAsia="宋体" w:cs="宋体"/>
                <w:color w:val="000000"/>
                <w:sz w:val="18"/>
                <w:szCs w:val="18"/>
              </w:rPr>
            </w:pPr>
            <w:r>
              <w:rPr>
                <w:rFonts w:hint="eastAsia" w:ascii="宋体" w:hAnsi="宋体" w:eastAsia="宋体" w:cs="宋体"/>
                <w:color w:val="000000"/>
                <w:sz w:val="18"/>
                <w:szCs w:val="18"/>
              </w:rPr>
              <w:t>教师公寓1#1单元　</w:t>
            </w:r>
          </w:p>
        </w:tc>
      </w:tr>
      <w:tr w14:paraId="0717A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34" w:type="dxa"/>
            <w:vAlign w:val="center"/>
          </w:tcPr>
          <w:p w14:paraId="080EB05D">
            <w:pPr>
              <w:jc w:val="center"/>
              <w:rPr>
                <w:rFonts w:ascii="宋体" w:hAnsi="宋体" w:eastAsia="宋体" w:cs="宋体"/>
                <w:color w:val="000000"/>
                <w:sz w:val="18"/>
                <w:szCs w:val="18"/>
              </w:rPr>
            </w:pPr>
            <w:r>
              <w:rPr>
                <w:rFonts w:hint="eastAsia" w:ascii="宋体" w:hAnsi="宋体" w:eastAsia="宋体" w:cs="宋体"/>
                <w:color w:val="000000"/>
                <w:sz w:val="18"/>
                <w:szCs w:val="18"/>
              </w:rPr>
              <w:t>11</w:t>
            </w:r>
          </w:p>
        </w:tc>
        <w:tc>
          <w:tcPr>
            <w:tcW w:w="980" w:type="dxa"/>
            <w:vAlign w:val="center"/>
          </w:tcPr>
          <w:p w14:paraId="2CCA013F">
            <w:pPr>
              <w:jc w:val="center"/>
              <w:rPr>
                <w:rFonts w:ascii="宋体" w:hAnsi="宋体" w:eastAsia="宋体" w:cs="宋体"/>
                <w:color w:val="000000"/>
                <w:sz w:val="18"/>
                <w:szCs w:val="18"/>
              </w:rPr>
            </w:pPr>
            <w:r>
              <w:rPr>
                <w:rFonts w:hint="eastAsia" w:ascii="宋体" w:hAnsi="宋体" w:eastAsia="宋体" w:cs="宋体"/>
                <w:color w:val="000000"/>
                <w:sz w:val="18"/>
                <w:szCs w:val="18"/>
              </w:rPr>
              <w:t>电梯</w:t>
            </w:r>
            <w:r>
              <w:rPr>
                <w:rFonts w:hint="eastAsia" w:ascii="宋体" w:hAnsi="宋体" w:eastAsia="宋体" w:cs="宋体"/>
                <w:color w:val="000000"/>
                <w:kern w:val="0"/>
                <w:sz w:val="18"/>
                <w:szCs w:val="18"/>
              </w:rPr>
              <w:t>（巨人通力）</w:t>
            </w:r>
          </w:p>
        </w:tc>
        <w:tc>
          <w:tcPr>
            <w:tcW w:w="1190" w:type="dxa"/>
            <w:vAlign w:val="center"/>
          </w:tcPr>
          <w:p w14:paraId="6A78E20D">
            <w:pPr>
              <w:jc w:val="center"/>
              <w:rPr>
                <w:rFonts w:ascii="宋体" w:hAnsi="宋体" w:eastAsia="宋体" w:cs="宋体"/>
                <w:color w:val="000000"/>
                <w:sz w:val="18"/>
                <w:szCs w:val="18"/>
              </w:rPr>
            </w:pPr>
            <w:r>
              <w:rPr>
                <w:rFonts w:hint="eastAsia" w:ascii="宋体" w:hAnsi="宋体" w:eastAsia="宋体" w:cs="宋体"/>
                <w:color w:val="000000"/>
                <w:sz w:val="18"/>
                <w:szCs w:val="18"/>
              </w:rPr>
              <w:t>曳引与强制驱动电梯　</w:t>
            </w:r>
          </w:p>
        </w:tc>
        <w:tc>
          <w:tcPr>
            <w:tcW w:w="1040" w:type="dxa"/>
            <w:vAlign w:val="center"/>
          </w:tcPr>
          <w:p w14:paraId="3486DE55">
            <w:pPr>
              <w:jc w:val="center"/>
              <w:rPr>
                <w:rFonts w:ascii="宋体" w:hAnsi="宋体" w:eastAsia="宋体" w:cs="宋体"/>
                <w:color w:val="000000"/>
                <w:sz w:val="18"/>
                <w:szCs w:val="18"/>
              </w:rPr>
            </w:pPr>
            <w:r>
              <w:rPr>
                <w:rFonts w:hint="eastAsia" w:ascii="宋体" w:hAnsi="宋体" w:eastAsia="宋体" w:cs="宋体"/>
                <w:color w:val="000000"/>
                <w:sz w:val="18"/>
                <w:szCs w:val="18"/>
              </w:rPr>
              <w:t>曳引驱动客梯电梯</w:t>
            </w:r>
          </w:p>
        </w:tc>
        <w:tc>
          <w:tcPr>
            <w:tcW w:w="1152" w:type="dxa"/>
            <w:vAlign w:val="center"/>
          </w:tcPr>
          <w:p w14:paraId="1220FDB2">
            <w:pPr>
              <w:jc w:val="center"/>
              <w:rPr>
                <w:rFonts w:ascii="宋体" w:hAnsi="宋体" w:eastAsia="宋体" w:cs="宋体"/>
                <w:color w:val="000000"/>
                <w:sz w:val="18"/>
                <w:szCs w:val="18"/>
              </w:rPr>
            </w:pPr>
            <w:r>
              <w:rPr>
                <w:rFonts w:hint="eastAsia" w:ascii="宋体" w:hAnsi="宋体" w:eastAsia="宋体" w:cs="宋体"/>
                <w:color w:val="000000"/>
                <w:sz w:val="18"/>
                <w:szCs w:val="18"/>
              </w:rPr>
              <w:t>42461786</w:t>
            </w:r>
          </w:p>
        </w:tc>
        <w:tc>
          <w:tcPr>
            <w:tcW w:w="1480" w:type="dxa"/>
            <w:vAlign w:val="center"/>
          </w:tcPr>
          <w:p w14:paraId="682649CB">
            <w:pPr>
              <w:jc w:val="center"/>
              <w:rPr>
                <w:rFonts w:ascii="宋体" w:hAnsi="宋体" w:eastAsia="宋体" w:cs="宋体"/>
                <w:color w:val="000000"/>
                <w:sz w:val="18"/>
                <w:szCs w:val="18"/>
              </w:rPr>
            </w:pPr>
            <w:r>
              <w:rPr>
                <w:rFonts w:hint="eastAsia" w:ascii="宋体" w:hAnsi="宋体" w:eastAsia="宋体" w:cs="宋体"/>
                <w:color w:val="000000"/>
                <w:sz w:val="18"/>
                <w:szCs w:val="18"/>
              </w:rPr>
              <w:t>　GPX800/1.6-K</w:t>
            </w:r>
          </w:p>
        </w:tc>
        <w:tc>
          <w:tcPr>
            <w:tcW w:w="960" w:type="dxa"/>
            <w:vAlign w:val="center"/>
          </w:tcPr>
          <w:p w14:paraId="5A1614A9">
            <w:pPr>
              <w:jc w:val="center"/>
              <w:rPr>
                <w:rFonts w:ascii="宋体" w:hAnsi="宋体" w:eastAsia="宋体" w:cs="宋体"/>
                <w:color w:val="000000"/>
                <w:sz w:val="18"/>
                <w:szCs w:val="18"/>
              </w:rPr>
            </w:pPr>
            <w:r>
              <w:rPr>
                <w:rFonts w:hint="eastAsia" w:ascii="宋体" w:hAnsi="宋体" w:eastAsia="宋体" w:cs="宋体"/>
                <w:color w:val="000000"/>
                <w:sz w:val="18"/>
                <w:szCs w:val="18"/>
              </w:rPr>
              <w:t>2016.01</w:t>
            </w:r>
          </w:p>
        </w:tc>
        <w:tc>
          <w:tcPr>
            <w:tcW w:w="1520" w:type="dxa"/>
            <w:vAlign w:val="center"/>
          </w:tcPr>
          <w:p w14:paraId="11949D09">
            <w:pPr>
              <w:jc w:val="center"/>
              <w:rPr>
                <w:rFonts w:ascii="宋体" w:hAnsi="宋体" w:eastAsia="宋体" w:cs="宋体"/>
                <w:color w:val="000000"/>
                <w:sz w:val="18"/>
                <w:szCs w:val="18"/>
              </w:rPr>
            </w:pPr>
            <w:r>
              <w:rPr>
                <w:rFonts w:hint="eastAsia" w:ascii="宋体" w:hAnsi="宋体" w:eastAsia="宋体" w:cs="宋体"/>
                <w:color w:val="000000"/>
                <w:sz w:val="18"/>
                <w:szCs w:val="18"/>
              </w:rPr>
              <w:t>31103210012017040012</w:t>
            </w:r>
          </w:p>
        </w:tc>
        <w:tc>
          <w:tcPr>
            <w:tcW w:w="979" w:type="dxa"/>
            <w:vAlign w:val="center"/>
          </w:tcPr>
          <w:p w14:paraId="59354861">
            <w:pPr>
              <w:jc w:val="center"/>
              <w:rPr>
                <w:rFonts w:ascii="宋体" w:hAnsi="宋体" w:eastAsia="宋体" w:cs="宋体"/>
                <w:color w:val="000000"/>
                <w:sz w:val="18"/>
                <w:szCs w:val="18"/>
              </w:rPr>
            </w:pPr>
            <w:r>
              <w:rPr>
                <w:rFonts w:hint="eastAsia" w:ascii="宋体" w:hAnsi="宋体" w:eastAsia="宋体" w:cs="宋体"/>
                <w:color w:val="000000"/>
                <w:sz w:val="18"/>
                <w:szCs w:val="18"/>
              </w:rPr>
              <w:t>教师公寓1#2单元　　</w:t>
            </w:r>
          </w:p>
        </w:tc>
      </w:tr>
      <w:tr w14:paraId="3D45B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34" w:type="dxa"/>
            <w:vAlign w:val="center"/>
          </w:tcPr>
          <w:p w14:paraId="15D3F16B">
            <w:pPr>
              <w:jc w:val="center"/>
              <w:rPr>
                <w:rFonts w:ascii="宋体" w:hAnsi="宋体" w:eastAsia="宋体" w:cs="宋体"/>
                <w:color w:val="000000"/>
                <w:sz w:val="18"/>
                <w:szCs w:val="18"/>
              </w:rPr>
            </w:pPr>
            <w:r>
              <w:rPr>
                <w:rFonts w:hint="eastAsia" w:ascii="宋体" w:hAnsi="宋体" w:eastAsia="宋体" w:cs="宋体"/>
                <w:color w:val="000000"/>
                <w:sz w:val="18"/>
                <w:szCs w:val="18"/>
              </w:rPr>
              <w:t>12</w:t>
            </w:r>
          </w:p>
        </w:tc>
        <w:tc>
          <w:tcPr>
            <w:tcW w:w="980" w:type="dxa"/>
            <w:vAlign w:val="center"/>
          </w:tcPr>
          <w:p w14:paraId="1DDD93EA">
            <w:pPr>
              <w:jc w:val="center"/>
              <w:rPr>
                <w:rFonts w:ascii="宋体" w:hAnsi="宋体" w:eastAsia="宋体" w:cs="宋体"/>
                <w:color w:val="000000"/>
                <w:sz w:val="18"/>
                <w:szCs w:val="18"/>
              </w:rPr>
            </w:pPr>
            <w:r>
              <w:rPr>
                <w:rFonts w:hint="eastAsia" w:ascii="宋体" w:hAnsi="宋体" w:eastAsia="宋体" w:cs="宋体"/>
                <w:color w:val="000000"/>
                <w:sz w:val="18"/>
                <w:szCs w:val="18"/>
              </w:rPr>
              <w:t>电梯</w:t>
            </w:r>
            <w:r>
              <w:rPr>
                <w:rFonts w:hint="eastAsia" w:ascii="宋体" w:hAnsi="宋体" w:eastAsia="宋体" w:cs="宋体"/>
                <w:color w:val="000000"/>
                <w:kern w:val="0"/>
                <w:sz w:val="18"/>
                <w:szCs w:val="18"/>
              </w:rPr>
              <w:t>（巨人通力）</w:t>
            </w:r>
          </w:p>
        </w:tc>
        <w:tc>
          <w:tcPr>
            <w:tcW w:w="1190" w:type="dxa"/>
            <w:vAlign w:val="center"/>
          </w:tcPr>
          <w:p w14:paraId="5BE0CD66">
            <w:pPr>
              <w:jc w:val="center"/>
              <w:rPr>
                <w:rFonts w:ascii="宋体" w:hAnsi="宋体" w:eastAsia="宋体" w:cs="宋体"/>
                <w:color w:val="000000"/>
                <w:sz w:val="18"/>
                <w:szCs w:val="18"/>
              </w:rPr>
            </w:pPr>
            <w:r>
              <w:rPr>
                <w:rFonts w:hint="eastAsia" w:ascii="宋体" w:hAnsi="宋体" w:eastAsia="宋体" w:cs="宋体"/>
                <w:color w:val="000000"/>
                <w:sz w:val="18"/>
                <w:szCs w:val="18"/>
              </w:rPr>
              <w:t>曳引与强制驱动电梯　</w:t>
            </w:r>
          </w:p>
        </w:tc>
        <w:tc>
          <w:tcPr>
            <w:tcW w:w="1040" w:type="dxa"/>
            <w:vAlign w:val="center"/>
          </w:tcPr>
          <w:p w14:paraId="120EAAB0">
            <w:pPr>
              <w:jc w:val="center"/>
              <w:rPr>
                <w:rFonts w:ascii="宋体" w:hAnsi="宋体" w:eastAsia="宋体" w:cs="宋体"/>
                <w:color w:val="000000"/>
                <w:sz w:val="18"/>
                <w:szCs w:val="18"/>
              </w:rPr>
            </w:pPr>
            <w:r>
              <w:rPr>
                <w:rFonts w:hint="eastAsia" w:ascii="宋体" w:hAnsi="宋体" w:eastAsia="宋体" w:cs="宋体"/>
                <w:color w:val="000000"/>
                <w:sz w:val="18"/>
                <w:szCs w:val="18"/>
              </w:rPr>
              <w:t>曳引驱动客梯电梯</w:t>
            </w:r>
          </w:p>
        </w:tc>
        <w:tc>
          <w:tcPr>
            <w:tcW w:w="1152" w:type="dxa"/>
            <w:vAlign w:val="center"/>
          </w:tcPr>
          <w:p w14:paraId="549FEBFF">
            <w:pPr>
              <w:jc w:val="center"/>
              <w:rPr>
                <w:rFonts w:ascii="宋体" w:hAnsi="宋体" w:eastAsia="宋体" w:cs="宋体"/>
                <w:color w:val="000000"/>
                <w:sz w:val="18"/>
                <w:szCs w:val="18"/>
              </w:rPr>
            </w:pPr>
            <w:r>
              <w:rPr>
                <w:rFonts w:hint="eastAsia" w:ascii="宋体" w:hAnsi="宋体" w:eastAsia="宋体" w:cs="宋体"/>
                <w:color w:val="000000"/>
                <w:sz w:val="18"/>
                <w:szCs w:val="18"/>
              </w:rPr>
              <w:t>42461776</w:t>
            </w:r>
          </w:p>
        </w:tc>
        <w:tc>
          <w:tcPr>
            <w:tcW w:w="1480" w:type="dxa"/>
            <w:vAlign w:val="center"/>
          </w:tcPr>
          <w:p w14:paraId="0F75FAFD">
            <w:pPr>
              <w:jc w:val="center"/>
              <w:rPr>
                <w:rFonts w:ascii="宋体" w:hAnsi="宋体" w:eastAsia="宋体" w:cs="宋体"/>
                <w:color w:val="000000"/>
                <w:sz w:val="18"/>
                <w:szCs w:val="18"/>
              </w:rPr>
            </w:pPr>
            <w:r>
              <w:rPr>
                <w:rFonts w:hint="eastAsia" w:ascii="宋体" w:hAnsi="宋体" w:eastAsia="宋体" w:cs="宋体"/>
                <w:color w:val="000000"/>
                <w:sz w:val="18"/>
                <w:szCs w:val="18"/>
              </w:rPr>
              <w:t>GPX800/1.6-K</w:t>
            </w:r>
          </w:p>
        </w:tc>
        <w:tc>
          <w:tcPr>
            <w:tcW w:w="960" w:type="dxa"/>
            <w:vAlign w:val="center"/>
          </w:tcPr>
          <w:p w14:paraId="40B3D0D2">
            <w:pPr>
              <w:jc w:val="center"/>
              <w:rPr>
                <w:rFonts w:ascii="宋体" w:hAnsi="宋体" w:eastAsia="宋体" w:cs="宋体"/>
                <w:color w:val="000000"/>
                <w:sz w:val="18"/>
                <w:szCs w:val="18"/>
              </w:rPr>
            </w:pPr>
            <w:r>
              <w:rPr>
                <w:rFonts w:hint="eastAsia" w:ascii="宋体" w:hAnsi="宋体" w:eastAsia="宋体" w:cs="宋体"/>
                <w:color w:val="000000"/>
                <w:sz w:val="18"/>
                <w:szCs w:val="18"/>
              </w:rPr>
              <w:t>2016.01</w:t>
            </w:r>
          </w:p>
        </w:tc>
        <w:tc>
          <w:tcPr>
            <w:tcW w:w="1520" w:type="dxa"/>
            <w:vAlign w:val="center"/>
          </w:tcPr>
          <w:p w14:paraId="2B1C3988">
            <w:pPr>
              <w:jc w:val="center"/>
              <w:rPr>
                <w:rFonts w:ascii="宋体" w:hAnsi="宋体" w:eastAsia="宋体" w:cs="宋体"/>
                <w:color w:val="000000"/>
                <w:sz w:val="18"/>
                <w:szCs w:val="18"/>
              </w:rPr>
            </w:pPr>
            <w:r>
              <w:rPr>
                <w:rFonts w:hint="eastAsia" w:ascii="宋体" w:hAnsi="宋体" w:eastAsia="宋体" w:cs="宋体"/>
                <w:color w:val="000000"/>
                <w:sz w:val="18"/>
                <w:szCs w:val="18"/>
              </w:rPr>
              <w:t>3110321001201700002</w:t>
            </w:r>
          </w:p>
        </w:tc>
        <w:tc>
          <w:tcPr>
            <w:tcW w:w="979" w:type="dxa"/>
            <w:vAlign w:val="center"/>
          </w:tcPr>
          <w:p w14:paraId="2A81A7AA">
            <w:pPr>
              <w:jc w:val="center"/>
              <w:rPr>
                <w:rFonts w:ascii="宋体" w:hAnsi="宋体" w:eastAsia="宋体" w:cs="宋体"/>
                <w:color w:val="000000"/>
                <w:sz w:val="18"/>
                <w:szCs w:val="18"/>
              </w:rPr>
            </w:pPr>
            <w:r>
              <w:rPr>
                <w:rFonts w:hint="eastAsia" w:ascii="宋体" w:hAnsi="宋体" w:eastAsia="宋体" w:cs="宋体"/>
                <w:color w:val="000000"/>
                <w:sz w:val="18"/>
                <w:szCs w:val="18"/>
              </w:rPr>
              <w:t>教师公寓 2#1单元　　</w:t>
            </w:r>
          </w:p>
        </w:tc>
      </w:tr>
      <w:tr w14:paraId="182E0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34" w:type="dxa"/>
            <w:vAlign w:val="center"/>
          </w:tcPr>
          <w:p w14:paraId="3BDB3316">
            <w:pPr>
              <w:jc w:val="center"/>
              <w:rPr>
                <w:rFonts w:ascii="宋体" w:hAnsi="宋体" w:eastAsia="宋体" w:cs="宋体"/>
                <w:color w:val="000000"/>
                <w:sz w:val="18"/>
                <w:szCs w:val="18"/>
              </w:rPr>
            </w:pPr>
            <w:r>
              <w:rPr>
                <w:rFonts w:hint="eastAsia" w:ascii="宋体" w:hAnsi="宋体" w:eastAsia="宋体" w:cs="宋体"/>
                <w:color w:val="000000"/>
                <w:sz w:val="18"/>
                <w:szCs w:val="18"/>
              </w:rPr>
              <w:t>13</w:t>
            </w:r>
          </w:p>
        </w:tc>
        <w:tc>
          <w:tcPr>
            <w:tcW w:w="980" w:type="dxa"/>
            <w:vAlign w:val="center"/>
          </w:tcPr>
          <w:p w14:paraId="20D5C28B">
            <w:pPr>
              <w:jc w:val="center"/>
              <w:rPr>
                <w:rFonts w:ascii="宋体" w:hAnsi="宋体" w:eastAsia="宋体" w:cs="宋体"/>
                <w:color w:val="000000"/>
                <w:sz w:val="18"/>
                <w:szCs w:val="18"/>
              </w:rPr>
            </w:pPr>
            <w:r>
              <w:rPr>
                <w:rFonts w:hint="eastAsia" w:ascii="宋体" w:hAnsi="宋体" w:eastAsia="宋体" w:cs="宋体"/>
                <w:color w:val="000000"/>
                <w:sz w:val="18"/>
                <w:szCs w:val="18"/>
              </w:rPr>
              <w:t>电梯</w:t>
            </w:r>
            <w:r>
              <w:rPr>
                <w:rFonts w:hint="eastAsia" w:ascii="宋体" w:hAnsi="宋体" w:eastAsia="宋体" w:cs="宋体"/>
                <w:color w:val="000000"/>
                <w:kern w:val="0"/>
                <w:sz w:val="18"/>
                <w:szCs w:val="18"/>
              </w:rPr>
              <w:t>（巨人通力）</w:t>
            </w:r>
          </w:p>
        </w:tc>
        <w:tc>
          <w:tcPr>
            <w:tcW w:w="1190" w:type="dxa"/>
            <w:vAlign w:val="center"/>
          </w:tcPr>
          <w:p w14:paraId="1280C417">
            <w:pPr>
              <w:jc w:val="center"/>
              <w:rPr>
                <w:rFonts w:ascii="宋体" w:hAnsi="宋体" w:eastAsia="宋体" w:cs="宋体"/>
                <w:color w:val="000000"/>
                <w:sz w:val="18"/>
                <w:szCs w:val="18"/>
              </w:rPr>
            </w:pPr>
            <w:r>
              <w:rPr>
                <w:rFonts w:hint="eastAsia" w:ascii="宋体" w:hAnsi="宋体" w:eastAsia="宋体" w:cs="宋体"/>
                <w:color w:val="000000"/>
                <w:sz w:val="18"/>
                <w:szCs w:val="18"/>
              </w:rPr>
              <w:t>曳引与强制驱动电梯</w:t>
            </w:r>
          </w:p>
        </w:tc>
        <w:tc>
          <w:tcPr>
            <w:tcW w:w="1040" w:type="dxa"/>
            <w:vAlign w:val="center"/>
          </w:tcPr>
          <w:p w14:paraId="6953AA42">
            <w:pPr>
              <w:jc w:val="center"/>
              <w:rPr>
                <w:rFonts w:ascii="宋体" w:hAnsi="宋体" w:eastAsia="宋体" w:cs="宋体"/>
                <w:color w:val="000000"/>
                <w:sz w:val="18"/>
                <w:szCs w:val="18"/>
              </w:rPr>
            </w:pPr>
            <w:r>
              <w:rPr>
                <w:rFonts w:hint="eastAsia" w:ascii="宋体" w:hAnsi="宋体" w:eastAsia="宋体" w:cs="宋体"/>
                <w:color w:val="000000"/>
                <w:sz w:val="18"/>
                <w:szCs w:val="18"/>
              </w:rPr>
              <w:t>曳引驱动客梯电梯</w:t>
            </w:r>
          </w:p>
        </w:tc>
        <w:tc>
          <w:tcPr>
            <w:tcW w:w="1152" w:type="dxa"/>
            <w:vAlign w:val="center"/>
          </w:tcPr>
          <w:p w14:paraId="51A92293">
            <w:pPr>
              <w:jc w:val="center"/>
              <w:rPr>
                <w:rFonts w:ascii="宋体" w:hAnsi="宋体" w:eastAsia="宋体" w:cs="宋体"/>
                <w:color w:val="000000"/>
                <w:sz w:val="18"/>
                <w:szCs w:val="18"/>
              </w:rPr>
            </w:pPr>
            <w:r>
              <w:rPr>
                <w:rFonts w:hint="eastAsia" w:ascii="宋体" w:hAnsi="宋体" w:eastAsia="宋体" w:cs="宋体"/>
                <w:color w:val="000000"/>
                <w:sz w:val="18"/>
                <w:szCs w:val="18"/>
              </w:rPr>
              <w:t>42461777</w:t>
            </w:r>
          </w:p>
        </w:tc>
        <w:tc>
          <w:tcPr>
            <w:tcW w:w="1480" w:type="dxa"/>
            <w:vAlign w:val="center"/>
          </w:tcPr>
          <w:p w14:paraId="1E213059">
            <w:pPr>
              <w:jc w:val="center"/>
              <w:rPr>
                <w:rFonts w:ascii="宋体" w:hAnsi="宋体" w:eastAsia="宋体" w:cs="宋体"/>
                <w:color w:val="000000"/>
                <w:sz w:val="18"/>
                <w:szCs w:val="18"/>
              </w:rPr>
            </w:pPr>
            <w:r>
              <w:rPr>
                <w:rFonts w:hint="eastAsia" w:ascii="宋体" w:hAnsi="宋体" w:eastAsia="宋体" w:cs="宋体"/>
                <w:color w:val="000000"/>
                <w:sz w:val="18"/>
                <w:szCs w:val="18"/>
              </w:rPr>
              <w:t>GPX800/1.6-K</w:t>
            </w:r>
          </w:p>
        </w:tc>
        <w:tc>
          <w:tcPr>
            <w:tcW w:w="960" w:type="dxa"/>
            <w:vAlign w:val="center"/>
          </w:tcPr>
          <w:p w14:paraId="48A428E5">
            <w:pPr>
              <w:jc w:val="center"/>
              <w:rPr>
                <w:rFonts w:ascii="宋体" w:hAnsi="宋体" w:eastAsia="宋体" w:cs="宋体"/>
                <w:color w:val="000000"/>
                <w:sz w:val="18"/>
                <w:szCs w:val="18"/>
              </w:rPr>
            </w:pPr>
            <w:r>
              <w:rPr>
                <w:rFonts w:hint="eastAsia" w:ascii="宋体" w:hAnsi="宋体" w:eastAsia="宋体" w:cs="宋体"/>
                <w:color w:val="000000"/>
                <w:sz w:val="18"/>
                <w:szCs w:val="18"/>
              </w:rPr>
              <w:t>2016.01</w:t>
            </w:r>
          </w:p>
        </w:tc>
        <w:tc>
          <w:tcPr>
            <w:tcW w:w="1520" w:type="dxa"/>
            <w:vAlign w:val="center"/>
          </w:tcPr>
          <w:p w14:paraId="64A872E6">
            <w:pPr>
              <w:jc w:val="center"/>
              <w:rPr>
                <w:rFonts w:ascii="宋体" w:hAnsi="宋体" w:eastAsia="宋体" w:cs="宋体"/>
                <w:color w:val="000000"/>
                <w:sz w:val="18"/>
                <w:szCs w:val="18"/>
              </w:rPr>
            </w:pPr>
            <w:r>
              <w:rPr>
                <w:rFonts w:hint="eastAsia" w:ascii="宋体" w:hAnsi="宋体" w:eastAsia="宋体" w:cs="宋体"/>
                <w:color w:val="000000"/>
                <w:sz w:val="18"/>
                <w:szCs w:val="18"/>
              </w:rPr>
              <w:t>3110321001201700003</w:t>
            </w:r>
          </w:p>
        </w:tc>
        <w:tc>
          <w:tcPr>
            <w:tcW w:w="979" w:type="dxa"/>
            <w:vAlign w:val="center"/>
          </w:tcPr>
          <w:p w14:paraId="1C0A2816">
            <w:pPr>
              <w:jc w:val="center"/>
              <w:rPr>
                <w:rFonts w:ascii="宋体" w:hAnsi="宋体" w:eastAsia="宋体" w:cs="宋体"/>
                <w:color w:val="000000"/>
                <w:sz w:val="18"/>
                <w:szCs w:val="18"/>
              </w:rPr>
            </w:pPr>
            <w:r>
              <w:rPr>
                <w:rFonts w:hint="eastAsia" w:ascii="宋体" w:hAnsi="宋体" w:eastAsia="宋体" w:cs="宋体"/>
                <w:color w:val="000000"/>
                <w:sz w:val="18"/>
                <w:szCs w:val="18"/>
              </w:rPr>
              <w:t>教师公寓2#2单元　　</w:t>
            </w:r>
          </w:p>
        </w:tc>
      </w:tr>
      <w:tr w14:paraId="45A0C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34" w:type="dxa"/>
            <w:vAlign w:val="center"/>
          </w:tcPr>
          <w:p w14:paraId="61D52D46">
            <w:pPr>
              <w:jc w:val="center"/>
              <w:rPr>
                <w:rFonts w:ascii="宋体" w:hAnsi="宋体" w:eastAsia="宋体" w:cs="宋体"/>
                <w:color w:val="000000"/>
                <w:sz w:val="18"/>
                <w:szCs w:val="18"/>
              </w:rPr>
            </w:pPr>
            <w:r>
              <w:rPr>
                <w:rFonts w:hint="eastAsia" w:ascii="宋体" w:hAnsi="宋体" w:eastAsia="宋体" w:cs="宋体"/>
                <w:color w:val="000000"/>
                <w:sz w:val="18"/>
                <w:szCs w:val="18"/>
              </w:rPr>
              <w:t>14</w:t>
            </w:r>
          </w:p>
        </w:tc>
        <w:tc>
          <w:tcPr>
            <w:tcW w:w="980" w:type="dxa"/>
            <w:vAlign w:val="center"/>
          </w:tcPr>
          <w:p w14:paraId="7F0B1738">
            <w:pPr>
              <w:jc w:val="center"/>
              <w:rPr>
                <w:rFonts w:ascii="宋体" w:hAnsi="宋体" w:eastAsia="宋体" w:cs="宋体"/>
                <w:color w:val="000000"/>
                <w:sz w:val="18"/>
                <w:szCs w:val="18"/>
              </w:rPr>
            </w:pPr>
            <w:r>
              <w:rPr>
                <w:rFonts w:hint="eastAsia" w:ascii="宋体" w:hAnsi="宋体" w:eastAsia="宋体" w:cs="宋体"/>
                <w:color w:val="000000"/>
                <w:sz w:val="18"/>
                <w:szCs w:val="18"/>
              </w:rPr>
              <w:t>电梯</w:t>
            </w:r>
            <w:r>
              <w:rPr>
                <w:rFonts w:hint="eastAsia" w:ascii="宋体" w:hAnsi="宋体" w:eastAsia="宋体" w:cs="宋体"/>
                <w:color w:val="000000"/>
                <w:kern w:val="0"/>
                <w:sz w:val="18"/>
                <w:szCs w:val="18"/>
              </w:rPr>
              <w:t>（巨人通力）</w:t>
            </w:r>
          </w:p>
        </w:tc>
        <w:tc>
          <w:tcPr>
            <w:tcW w:w="1190" w:type="dxa"/>
            <w:vAlign w:val="center"/>
          </w:tcPr>
          <w:p w14:paraId="5F3B0F26">
            <w:pPr>
              <w:jc w:val="center"/>
              <w:rPr>
                <w:rFonts w:ascii="宋体" w:hAnsi="宋体" w:eastAsia="宋体" w:cs="宋体"/>
                <w:color w:val="000000"/>
                <w:sz w:val="18"/>
                <w:szCs w:val="18"/>
              </w:rPr>
            </w:pPr>
            <w:r>
              <w:rPr>
                <w:rFonts w:hint="eastAsia" w:ascii="宋体" w:hAnsi="宋体" w:eastAsia="宋体" w:cs="宋体"/>
                <w:color w:val="000000"/>
                <w:sz w:val="18"/>
                <w:szCs w:val="18"/>
              </w:rPr>
              <w:t>曳引与强制驱动电梯</w:t>
            </w:r>
          </w:p>
        </w:tc>
        <w:tc>
          <w:tcPr>
            <w:tcW w:w="1040" w:type="dxa"/>
            <w:vAlign w:val="center"/>
          </w:tcPr>
          <w:p w14:paraId="1090ED3D">
            <w:pPr>
              <w:jc w:val="center"/>
              <w:rPr>
                <w:rFonts w:ascii="宋体" w:hAnsi="宋体" w:eastAsia="宋体" w:cs="宋体"/>
                <w:color w:val="000000"/>
                <w:sz w:val="18"/>
                <w:szCs w:val="18"/>
              </w:rPr>
            </w:pPr>
            <w:r>
              <w:rPr>
                <w:rFonts w:hint="eastAsia" w:ascii="宋体" w:hAnsi="宋体" w:eastAsia="宋体" w:cs="宋体"/>
                <w:color w:val="000000"/>
                <w:sz w:val="18"/>
                <w:szCs w:val="18"/>
              </w:rPr>
              <w:t>曳引驱动客梯电梯</w:t>
            </w:r>
          </w:p>
        </w:tc>
        <w:tc>
          <w:tcPr>
            <w:tcW w:w="1152" w:type="dxa"/>
            <w:vAlign w:val="center"/>
          </w:tcPr>
          <w:p w14:paraId="18F67CF4">
            <w:pPr>
              <w:jc w:val="center"/>
              <w:rPr>
                <w:rFonts w:ascii="宋体" w:hAnsi="宋体" w:eastAsia="宋体" w:cs="宋体"/>
                <w:color w:val="000000"/>
                <w:sz w:val="18"/>
                <w:szCs w:val="18"/>
              </w:rPr>
            </w:pPr>
            <w:r>
              <w:rPr>
                <w:rFonts w:hint="eastAsia" w:ascii="宋体" w:hAnsi="宋体" w:eastAsia="宋体" w:cs="宋体"/>
                <w:color w:val="000000"/>
                <w:sz w:val="18"/>
                <w:szCs w:val="18"/>
              </w:rPr>
              <w:t>42461778</w:t>
            </w:r>
          </w:p>
        </w:tc>
        <w:tc>
          <w:tcPr>
            <w:tcW w:w="1480" w:type="dxa"/>
            <w:vAlign w:val="center"/>
          </w:tcPr>
          <w:p w14:paraId="34A9C39A">
            <w:pPr>
              <w:jc w:val="center"/>
              <w:rPr>
                <w:rFonts w:ascii="宋体" w:hAnsi="宋体" w:eastAsia="宋体" w:cs="宋体"/>
                <w:color w:val="000000"/>
                <w:sz w:val="18"/>
                <w:szCs w:val="18"/>
              </w:rPr>
            </w:pPr>
            <w:r>
              <w:rPr>
                <w:rFonts w:hint="eastAsia" w:ascii="宋体" w:hAnsi="宋体" w:eastAsia="宋体" w:cs="宋体"/>
                <w:color w:val="000000"/>
                <w:sz w:val="18"/>
                <w:szCs w:val="18"/>
              </w:rPr>
              <w:t>GPX800/1.6-K　</w:t>
            </w:r>
          </w:p>
        </w:tc>
        <w:tc>
          <w:tcPr>
            <w:tcW w:w="960" w:type="dxa"/>
            <w:vAlign w:val="center"/>
          </w:tcPr>
          <w:p w14:paraId="330A1415">
            <w:pPr>
              <w:jc w:val="center"/>
              <w:rPr>
                <w:rFonts w:ascii="宋体" w:hAnsi="宋体" w:eastAsia="宋体" w:cs="宋体"/>
                <w:color w:val="000000"/>
                <w:sz w:val="18"/>
                <w:szCs w:val="18"/>
              </w:rPr>
            </w:pPr>
            <w:r>
              <w:rPr>
                <w:rFonts w:hint="eastAsia" w:ascii="宋体" w:hAnsi="宋体" w:eastAsia="宋体" w:cs="宋体"/>
                <w:color w:val="000000"/>
                <w:sz w:val="18"/>
                <w:szCs w:val="18"/>
              </w:rPr>
              <w:t>2016.01</w:t>
            </w:r>
          </w:p>
        </w:tc>
        <w:tc>
          <w:tcPr>
            <w:tcW w:w="1520" w:type="dxa"/>
            <w:vAlign w:val="center"/>
          </w:tcPr>
          <w:p w14:paraId="0EBE531B">
            <w:pPr>
              <w:jc w:val="center"/>
              <w:rPr>
                <w:rFonts w:ascii="宋体" w:hAnsi="宋体" w:eastAsia="宋体" w:cs="宋体"/>
                <w:color w:val="000000"/>
                <w:sz w:val="18"/>
                <w:szCs w:val="18"/>
              </w:rPr>
            </w:pPr>
            <w:r>
              <w:rPr>
                <w:rFonts w:hint="eastAsia" w:ascii="宋体" w:hAnsi="宋体" w:eastAsia="宋体" w:cs="宋体"/>
                <w:color w:val="000000"/>
                <w:sz w:val="18"/>
                <w:szCs w:val="18"/>
              </w:rPr>
              <w:t>3110321001201700004</w:t>
            </w:r>
          </w:p>
        </w:tc>
        <w:tc>
          <w:tcPr>
            <w:tcW w:w="979" w:type="dxa"/>
            <w:vAlign w:val="center"/>
          </w:tcPr>
          <w:p w14:paraId="2434CC83">
            <w:pPr>
              <w:jc w:val="center"/>
              <w:rPr>
                <w:rFonts w:ascii="宋体" w:hAnsi="宋体" w:eastAsia="宋体" w:cs="宋体"/>
                <w:color w:val="000000"/>
                <w:sz w:val="18"/>
                <w:szCs w:val="18"/>
              </w:rPr>
            </w:pPr>
            <w:r>
              <w:rPr>
                <w:rFonts w:hint="eastAsia" w:ascii="宋体" w:hAnsi="宋体" w:eastAsia="宋体" w:cs="宋体"/>
                <w:color w:val="000000"/>
                <w:sz w:val="18"/>
                <w:szCs w:val="18"/>
              </w:rPr>
              <w:t>教师公寓2#3单元　　</w:t>
            </w:r>
          </w:p>
        </w:tc>
      </w:tr>
      <w:tr w14:paraId="027CD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34" w:type="dxa"/>
            <w:vAlign w:val="center"/>
          </w:tcPr>
          <w:p w14:paraId="3C385E1F">
            <w:pPr>
              <w:jc w:val="center"/>
              <w:rPr>
                <w:rFonts w:ascii="宋体" w:hAnsi="宋体" w:eastAsia="宋体" w:cs="宋体"/>
                <w:color w:val="000000"/>
                <w:sz w:val="18"/>
                <w:szCs w:val="18"/>
              </w:rPr>
            </w:pPr>
            <w:r>
              <w:rPr>
                <w:rFonts w:hint="eastAsia" w:ascii="宋体" w:hAnsi="宋体" w:eastAsia="宋体" w:cs="宋体"/>
                <w:color w:val="000000"/>
                <w:sz w:val="18"/>
                <w:szCs w:val="18"/>
              </w:rPr>
              <w:t>15</w:t>
            </w:r>
          </w:p>
        </w:tc>
        <w:tc>
          <w:tcPr>
            <w:tcW w:w="980" w:type="dxa"/>
            <w:vAlign w:val="center"/>
          </w:tcPr>
          <w:p w14:paraId="215E06A7">
            <w:pPr>
              <w:jc w:val="center"/>
              <w:rPr>
                <w:rFonts w:ascii="宋体" w:hAnsi="宋体" w:eastAsia="宋体" w:cs="宋体"/>
                <w:color w:val="000000"/>
                <w:sz w:val="18"/>
                <w:szCs w:val="18"/>
              </w:rPr>
            </w:pPr>
            <w:r>
              <w:rPr>
                <w:rFonts w:hint="eastAsia" w:ascii="宋体" w:hAnsi="宋体" w:eastAsia="宋体" w:cs="宋体"/>
                <w:color w:val="000000"/>
                <w:sz w:val="18"/>
                <w:szCs w:val="18"/>
              </w:rPr>
              <w:t>电梯</w:t>
            </w:r>
            <w:r>
              <w:rPr>
                <w:rFonts w:hint="eastAsia" w:ascii="宋体" w:hAnsi="宋体" w:eastAsia="宋体" w:cs="宋体"/>
                <w:color w:val="000000"/>
                <w:kern w:val="0"/>
                <w:sz w:val="18"/>
                <w:szCs w:val="18"/>
              </w:rPr>
              <w:t>（巨人通力）</w:t>
            </w:r>
          </w:p>
        </w:tc>
        <w:tc>
          <w:tcPr>
            <w:tcW w:w="1190" w:type="dxa"/>
            <w:vAlign w:val="center"/>
          </w:tcPr>
          <w:p w14:paraId="733D3CCF">
            <w:pPr>
              <w:jc w:val="center"/>
              <w:rPr>
                <w:rFonts w:ascii="宋体" w:hAnsi="宋体" w:eastAsia="宋体" w:cs="宋体"/>
                <w:color w:val="000000"/>
                <w:sz w:val="18"/>
                <w:szCs w:val="18"/>
              </w:rPr>
            </w:pPr>
            <w:r>
              <w:rPr>
                <w:rFonts w:hint="eastAsia" w:ascii="宋体" w:hAnsi="宋体" w:eastAsia="宋体" w:cs="宋体"/>
                <w:color w:val="000000"/>
                <w:sz w:val="18"/>
                <w:szCs w:val="18"/>
              </w:rPr>
              <w:t>曳引与强制驱动电梯</w:t>
            </w:r>
          </w:p>
        </w:tc>
        <w:tc>
          <w:tcPr>
            <w:tcW w:w="1040" w:type="dxa"/>
            <w:vAlign w:val="center"/>
          </w:tcPr>
          <w:p w14:paraId="717383F3">
            <w:pPr>
              <w:jc w:val="center"/>
              <w:rPr>
                <w:rFonts w:ascii="宋体" w:hAnsi="宋体" w:eastAsia="宋体" w:cs="宋体"/>
                <w:color w:val="000000"/>
                <w:sz w:val="18"/>
                <w:szCs w:val="18"/>
              </w:rPr>
            </w:pPr>
            <w:r>
              <w:rPr>
                <w:rFonts w:hint="eastAsia" w:ascii="宋体" w:hAnsi="宋体" w:eastAsia="宋体" w:cs="宋体"/>
                <w:color w:val="000000"/>
                <w:sz w:val="18"/>
                <w:szCs w:val="18"/>
              </w:rPr>
              <w:t>曳引驱动客梯电梯</w:t>
            </w:r>
          </w:p>
        </w:tc>
        <w:tc>
          <w:tcPr>
            <w:tcW w:w="1152" w:type="dxa"/>
            <w:vAlign w:val="center"/>
          </w:tcPr>
          <w:p w14:paraId="0B5C5707">
            <w:pPr>
              <w:jc w:val="center"/>
              <w:rPr>
                <w:rFonts w:ascii="宋体" w:hAnsi="宋体" w:eastAsia="宋体" w:cs="宋体"/>
                <w:color w:val="000000"/>
                <w:sz w:val="18"/>
                <w:szCs w:val="18"/>
              </w:rPr>
            </w:pPr>
            <w:r>
              <w:rPr>
                <w:rFonts w:hint="eastAsia" w:ascii="宋体" w:hAnsi="宋体" w:eastAsia="宋体" w:cs="宋体"/>
                <w:color w:val="000000"/>
                <w:sz w:val="18"/>
                <w:szCs w:val="18"/>
              </w:rPr>
              <w:t>42461782</w:t>
            </w:r>
          </w:p>
        </w:tc>
        <w:tc>
          <w:tcPr>
            <w:tcW w:w="1480" w:type="dxa"/>
            <w:vAlign w:val="center"/>
          </w:tcPr>
          <w:p w14:paraId="0D14586B">
            <w:pPr>
              <w:jc w:val="center"/>
              <w:rPr>
                <w:rFonts w:ascii="宋体" w:hAnsi="宋体" w:eastAsia="宋体" w:cs="宋体"/>
                <w:color w:val="000000"/>
                <w:sz w:val="18"/>
                <w:szCs w:val="18"/>
              </w:rPr>
            </w:pPr>
            <w:r>
              <w:rPr>
                <w:rFonts w:hint="eastAsia" w:ascii="宋体" w:hAnsi="宋体" w:eastAsia="宋体" w:cs="宋体"/>
                <w:color w:val="000000"/>
                <w:sz w:val="18"/>
                <w:szCs w:val="18"/>
              </w:rPr>
              <w:t>GPX800/1.6-K</w:t>
            </w:r>
          </w:p>
        </w:tc>
        <w:tc>
          <w:tcPr>
            <w:tcW w:w="960" w:type="dxa"/>
            <w:vAlign w:val="center"/>
          </w:tcPr>
          <w:p w14:paraId="532EF189">
            <w:pPr>
              <w:jc w:val="center"/>
              <w:rPr>
                <w:rFonts w:ascii="宋体" w:hAnsi="宋体" w:eastAsia="宋体" w:cs="宋体"/>
                <w:color w:val="000000"/>
                <w:sz w:val="18"/>
                <w:szCs w:val="18"/>
              </w:rPr>
            </w:pPr>
            <w:r>
              <w:rPr>
                <w:rFonts w:hint="eastAsia" w:ascii="宋体" w:hAnsi="宋体" w:eastAsia="宋体" w:cs="宋体"/>
                <w:color w:val="000000"/>
                <w:sz w:val="18"/>
                <w:szCs w:val="18"/>
              </w:rPr>
              <w:t>2016.01</w:t>
            </w:r>
          </w:p>
        </w:tc>
        <w:tc>
          <w:tcPr>
            <w:tcW w:w="1520" w:type="dxa"/>
            <w:vAlign w:val="center"/>
          </w:tcPr>
          <w:p w14:paraId="4588406E">
            <w:pPr>
              <w:jc w:val="center"/>
              <w:rPr>
                <w:rFonts w:ascii="宋体" w:hAnsi="宋体" w:eastAsia="宋体" w:cs="宋体"/>
                <w:color w:val="000000"/>
                <w:sz w:val="18"/>
                <w:szCs w:val="18"/>
              </w:rPr>
            </w:pPr>
            <w:r>
              <w:rPr>
                <w:rFonts w:hint="eastAsia" w:ascii="宋体" w:hAnsi="宋体" w:eastAsia="宋体" w:cs="宋体"/>
                <w:color w:val="000000"/>
                <w:sz w:val="18"/>
                <w:szCs w:val="18"/>
              </w:rPr>
              <w:t>3110321001201700008</w:t>
            </w:r>
          </w:p>
        </w:tc>
        <w:tc>
          <w:tcPr>
            <w:tcW w:w="979" w:type="dxa"/>
            <w:vAlign w:val="center"/>
          </w:tcPr>
          <w:p w14:paraId="117AA1E9">
            <w:pPr>
              <w:jc w:val="center"/>
              <w:rPr>
                <w:rFonts w:ascii="宋体" w:hAnsi="宋体" w:eastAsia="宋体" w:cs="宋体"/>
                <w:color w:val="000000"/>
                <w:sz w:val="18"/>
                <w:szCs w:val="18"/>
              </w:rPr>
            </w:pPr>
            <w:r>
              <w:rPr>
                <w:rFonts w:hint="eastAsia" w:ascii="宋体" w:hAnsi="宋体" w:eastAsia="宋体" w:cs="宋体"/>
                <w:color w:val="000000"/>
                <w:sz w:val="18"/>
                <w:szCs w:val="18"/>
              </w:rPr>
              <w:t>教师公寓3#1单元　　</w:t>
            </w:r>
          </w:p>
        </w:tc>
      </w:tr>
      <w:tr w14:paraId="65B50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34" w:type="dxa"/>
            <w:vAlign w:val="center"/>
          </w:tcPr>
          <w:p w14:paraId="307E7F79">
            <w:pPr>
              <w:jc w:val="center"/>
              <w:rPr>
                <w:rFonts w:ascii="宋体" w:hAnsi="宋体" w:eastAsia="宋体" w:cs="宋体"/>
                <w:color w:val="000000"/>
                <w:sz w:val="18"/>
                <w:szCs w:val="18"/>
              </w:rPr>
            </w:pPr>
            <w:r>
              <w:rPr>
                <w:rFonts w:hint="eastAsia" w:ascii="宋体" w:hAnsi="宋体" w:eastAsia="宋体" w:cs="宋体"/>
                <w:color w:val="000000"/>
                <w:sz w:val="18"/>
                <w:szCs w:val="18"/>
              </w:rPr>
              <w:t>16</w:t>
            </w:r>
          </w:p>
        </w:tc>
        <w:tc>
          <w:tcPr>
            <w:tcW w:w="980" w:type="dxa"/>
            <w:vAlign w:val="center"/>
          </w:tcPr>
          <w:p w14:paraId="62DFCCA5">
            <w:pPr>
              <w:jc w:val="center"/>
              <w:rPr>
                <w:rFonts w:ascii="宋体" w:hAnsi="宋体" w:eastAsia="宋体" w:cs="宋体"/>
                <w:color w:val="000000"/>
                <w:sz w:val="18"/>
                <w:szCs w:val="18"/>
              </w:rPr>
            </w:pPr>
            <w:r>
              <w:rPr>
                <w:rFonts w:hint="eastAsia" w:ascii="宋体" w:hAnsi="宋体" w:eastAsia="宋体" w:cs="宋体"/>
                <w:color w:val="000000"/>
                <w:sz w:val="18"/>
                <w:szCs w:val="18"/>
              </w:rPr>
              <w:t>电梯</w:t>
            </w:r>
            <w:r>
              <w:rPr>
                <w:rFonts w:hint="eastAsia" w:ascii="宋体" w:hAnsi="宋体" w:eastAsia="宋体" w:cs="宋体"/>
                <w:color w:val="000000"/>
                <w:kern w:val="0"/>
                <w:sz w:val="18"/>
                <w:szCs w:val="18"/>
              </w:rPr>
              <w:t>（巨人通力）</w:t>
            </w:r>
          </w:p>
        </w:tc>
        <w:tc>
          <w:tcPr>
            <w:tcW w:w="1190" w:type="dxa"/>
            <w:vAlign w:val="center"/>
          </w:tcPr>
          <w:p w14:paraId="69473C07">
            <w:pPr>
              <w:jc w:val="center"/>
              <w:rPr>
                <w:rFonts w:ascii="宋体" w:hAnsi="宋体" w:eastAsia="宋体" w:cs="宋体"/>
                <w:color w:val="000000"/>
                <w:sz w:val="18"/>
                <w:szCs w:val="18"/>
              </w:rPr>
            </w:pPr>
            <w:r>
              <w:rPr>
                <w:rFonts w:hint="eastAsia" w:ascii="宋体" w:hAnsi="宋体" w:eastAsia="宋体" w:cs="宋体"/>
                <w:color w:val="000000"/>
                <w:sz w:val="18"/>
                <w:szCs w:val="18"/>
              </w:rPr>
              <w:t>曳引与强制驱动电梯</w:t>
            </w:r>
          </w:p>
        </w:tc>
        <w:tc>
          <w:tcPr>
            <w:tcW w:w="1040" w:type="dxa"/>
            <w:vAlign w:val="center"/>
          </w:tcPr>
          <w:p w14:paraId="167C39DF">
            <w:pPr>
              <w:jc w:val="center"/>
              <w:rPr>
                <w:rFonts w:ascii="宋体" w:hAnsi="宋体" w:eastAsia="宋体" w:cs="宋体"/>
                <w:color w:val="000000"/>
                <w:sz w:val="18"/>
                <w:szCs w:val="18"/>
              </w:rPr>
            </w:pPr>
            <w:r>
              <w:rPr>
                <w:rFonts w:hint="eastAsia" w:ascii="宋体" w:hAnsi="宋体" w:eastAsia="宋体" w:cs="宋体"/>
                <w:color w:val="000000"/>
                <w:sz w:val="18"/>
                <w:szCs w:val="18"/>
              </w:rPr>
              <w:t>曳引驱动客梯电梯</w:t>
            </w:r>
          </w:p>
        </w:tc>
        <w:tc>
          <w:tcPr>
            <w:tcW w:w="1152" w:type="dxa"/>
            <w:vAlign w:val="center"/>
          </w:tcPr>
          <w:p w14:paraId="409585C8">
            <w:pPr>
              <w:jc w:val="center"/>
              <w:rPr>
                <w:rFonts w:ascii="宋体" w:hAnsi="宋体" w:eastAsia="宋体" w:cs="宋体"/>
                <w:color w:val="000000"/>
                <w:sz w:val="18"/>
                <w:szCs w:val="18"/>
              </w:rPr>
            </w:pPr>
            <w:r>
              <w:rPr>
                <w:rFonts w:hint="eastAsia" w:ascii="宋体" w:hAnsi="宋体" w:eastAsia="宋体" w:cs="宋体"/>
                <w:color w:val="000000"/>
                <w:sz w:val="18"/>
                <w:szCs w:val="18"/>
              </w:rPr>
              <w:t>42461784</w:t>
            </w:r>
          </w:p>
        </w:tc>
        <w:tc>
          <w:tcPr>
            <w:tcW w:w="1480" w:type="dxa"/>
            <w:vAlign w:val="center"/>
          </w:tcPr>
          <w:p w14:paraId="5099AE1D">
            <w:pPr>
              <w:jc w:val="center"/>
              <w:rPr>
                <w:rFonts w:ascii="宋体" w:hAnsi="宋体" w:eastAsia="宋体" w:cs="宋体"/>
                <w:color w:val="000000"/>
                <w:sz w:val="18"/>
                <w:szCs w:val="18"/>
              </w:rPr>
            </w:pPr>
            <w:r>
              <w:rPr>
                <w:rFonts w:hint="eastAsia" w:ascii="宋体" w:hAnsi="宋体" w:eastAsia="宋体" w:cs="宋体"/>
                <w:color w:val="000000"/>
                <w:sz w:val="18"/>
                <w:szCs w:val="18"/>
              </w:rPr>
              <w:t>GPX800/1.6-K</w:t>
            </w:r>
          </w:p>
        </w:tc>
        <w:tc>
          <w:tcPr>
            <w:tcW w:w="960" w:type="dxa"/>
            <w:vAlign w:val="center"/>
          </w:tcPr>
          <w:p w14:paraId="4E3008C4">
            <w:pPr>
              <w:jc w:val="center"/>
              <w:rPr>
                <w:rFonts w:ascii="宋体" w:hAnsi="宋体" w:eastAsia="宋体" w:cs="宋体"/>
                <w:color w:val="000000"/>
                <w:sz w:val="18"/>
                <w:szCs w:val="18"/>
              </w:rPr>
            </w:pPr>
            <w:r>
              <w:rPr>
                <w:rFonts w:hint="eastAsia" w:ascii="宋体" w:hAnsi="宋体" w:eastAsia="宋体" w:cs="宋体"/>
                <w:color w:val="000000"/>
                <w:sz w:val="18"/>
                <w:szCs w:val="18"/>
              </w:rPr>
              <w:t>2016.01</w:t>
            </w:r>
          </w:p>
        </w:tc>
        <w:tc>
          <w:tcPr>
            <w:tcW w:w="1520" w:type="dxa"/>
            <w:vAlign w:val="center"/>
          </w:tcPr>
          <w:p w14:paraId="320796EE">
            <w:pPr>
              <w:jc w:val="center"/>
              <w:rPr>
                <w:rFonts w:ascii="宋体" w:hAnsi="宋体" w:eastAsia="宋体" w:cs="宋体"/>
                <w:color w:val="000000"/>
                <w:sz w:val="18"/>
                <w:szCs w:val="18"/>
              </w:rPr>
            </w:pPr>
            <w:r>
              <w:rPr>
                <w:rFonts w:hint="eastAsia" w:ascii="宋体" w:hAnsi="宋体" w:eastAsia="宋体" w:cs="宋体"/>
                <w:color w:val="000000"/>
                <w:sz w:val="18"/>
                <w:szCs w:val="18"/>
              </w:rPr>
              <w:t>3110321001201700010</w:t>
            </w:r>
          </w:p>
        </w:tc>
        <w:tc>
          <w:tcPr>
            <w:tcW w:w="979" w:type="dxa"/>
            <w:vAlign w:val="center"/>
          </w:tcPr>
          <w:p w14:paraId="681A1FEF">
            <w:pPr>
              <w:jc w:val="center"/>
              <w:rPr>
                <w:rFonts w:ascii="宋体" w:hAnsi="宋体" w:eastAsia="宋体" w:cs="宋体"/>
                <w:color w:val="000000"/>
                <w:sz w:val="18"/>
                <w:szCs w:val="18"/>
              </w:rPr>
            </w:pPr>
            <w:r>
              <w:rPr>
                <w:rFonts w:hint="eastAsia" w:ascii="宋体" w:hAnsi="宋体" w:eastAsia="宋体" w:cs="宋体"/>
                <w:color w:val="000000"/>
                <w:sz w:val="18"/>
                <w:szCs w:val="18"/>
              </w:rPr>
              <w:t>教师公寓3#3单元　　</w:t>
            </w:r>
          </w:p>
        </w:tc>
      </w:tr>
      <w:tr w14:paraId="26EAC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34" w:type="dxa"/>
            <w:vAlign w:val="center"/>
          </w:tcPr>
          <w:p w14:paraId="08F3EE69">
            <w:pPr>
              <w:jc w:val="center"/>
              <w:rPr>
                <w:rFonts w:ascii="宋体" w:hAnsi="宋体" w:eastAsia="宋体" w:cs="宋体"/>
                <w:color w:val="000000"/>
                <w:sz w:val="18"/>
                <w:szCs w:val="18"/>
              </w:rPr>
            </w:pPr>
            <w:r>
              <w:rPr>
                <w:rFonts w:hint="eastAsia" w:ascii="宋体" w:hAnsi="宋体" w:eastAsia="宋体" w:cs="宋体"/>
                <w:color w:val="000000"/>
                <w:sz w:val="18"/>
                <w:szCs w:val="18"/>
              </w:rPr>
              <w:t>17</w:t>
            </w:r>
          </w:p>
        </w:tc>
        <w:tc>
          <w:tcPr>
            <w:tcW w:w="980" w:type="dxa"/>
            <w:vAlign w:val="center"/>
          </w:tcPr>
          <w:p w14:paraId="18E882DF">
            <w:pPr>
              <w:jc w:val="center"/>
              <w:rPr>
                <w:rFonts w:ascii="宋体" w:hAnsi="宋体" w:eastAsia="宋体" w:cs="宋体"/>
                <w:color w:val="000000"/>
                <w:sz w:val="18"/>
                <w:szCs w:val="18"/>
              </w:rPr>
            </w:pPr>
            <w:r>
              <w:rPr>
                <w:rFonts w:hint="eastAsia" w:ascii="宋体" w:hAnsi="宋体" w:eastAsia="宋体" w:cs="宋体"/>
                <w:color w:val="000000"/>
                <w:sz w:val="18"/>
                <w:szCs w:val="18"/>
              </w:rPr>
              <w:t>电梯</w:t>
            </w:r>
            <w:r>
              <w:rPr>
                <w:rFonts w:hint="eastAsia" w:ascii="宋体" w:hAnsi="宋体" w:eastAsia="宋体" w:cs="宋体"/>
                <w:color w:val="000000"/>
                <w:kern w:val="0"/>
                <w:sz w:val="18"/>
                <w:szCs w:val="18"/>
              </w:rPr>
              <w:t>（巨人通力）</w:t>
            </w:r>
          </w:p>
        </w:tc>
        <w:tc>
          <w:tcPr>
            <w:tcW w:w="1190" w:type="dxa"/>
            <w:vAlign w:val="center"/>
          </w:tcPr>
          <w:p w14:paraId="1C512E55">
            <w:pPr>
              <w:jc w:val="center"/>
              <w:rPr>
                <w:rFonts w:ascii="宋体" w:hAnsi="宋体" w:eastAsia="宋体" w:cs="宋体"/>
                <w:color w:val="000000"/>
                <w:sz w:val="18"/>
                <w:szCs w:val="18"/>
              </w:rPr>
            </w:pPr>
            <w:r>
              <w:rPr>
                <w:rFonts w:hint="eastAsia" w:ascii="宋体" w:hAnsi="宋体" w:eastAsia="宋体" w:cs="宋体"/>
                <w:color w:val="000000"/>
                <w:sz w:val="18"/>
                <w:szCs w:val="18"/>
              </w:rPr>
              <w:t>曳引与强制驱动电梯</w:t>
            </w:r>
          </w:p>
        </w:tc>
        <w:tc>
          <w:tcPr>
            <w:tcW w:w="1040" w:type="dxa"/>
            <w:vAlign w:val="center"/>
          </w:tcPr>
          <w:p w14:paraId="11CA0964">
            <w:pPr>
              <w:jc w:val="center"/>
              <w:rPr>
                <w:rFonts w:ascii="宋体" w:hAnsi="宋体" w:eastAsia="宋体" w:cs="宋体"/>
                <w:color w:val="000000"/>
                <w:sz w:val="18"/>
                <w:szCs w:val="18"/>
              </w:rPr>
            </w:pPr>
            <w:r>
              <w:rPr>
                <w:rFonts w:hint="eastAsia" w:ascii="宋体" w:hAnsi="宋体" w:eastAsia="宋体" w:cs="宋体"/>
                <w:color w:val="000000"/>
                <w:sz w:val="18"/>
                <w:szCs w:val="18"/>
              </w:rPr>
              <w:t>曳引驱动客梯电梯</w:t>
            </w:r>
          </w:p>
        </w:tc>
        <w:tc>
          <w:tcPr>
            <w:tcW w:w="1152" w:type="dxa"/>
            <w:vAlign w:val="center"/>
          </w:tcPr>
          <w:p w14:paraId="6C661E56">
            <w:pPr>
              <w:jc w:val="center"/>
              <w:rPr>
                <w:rFonts w:ascii="宋体" w:hAnsi="宋体" w:eastAsia="宋体" w:cs="宋体"/>
                <w:color w:val="000000"/>
                <w:sz w:val="18"/>
                <w:szCs w:val="18"/>
              </w:rPr>
            </w:pPr>
            <w:r>
              <w:rPr>
                <w:rFonts w:hint="eastAsia" w:ascii="宋体" w:hAnsi="宋体" w:eastAsia="宋体" w:cs="宋体"/>
                <w:color w:val="000000"/>
                <w:sz w:val="18"/>
                <w:szCs w:val="18"/>
              </w:rPr>
              <w:t>42461783</w:t>
            </w:r>
          </w:p>
        </w:tc>
        <w:tc>
          <w:tcPr>
            <w:tcW w:w="1480" w:type="dxa"/>
            <w:vAlign w:val="center"/>
          </w:tcPr>
          <w:p w14:paraId="138217ED">
            <w:pPr>
              <w:jc w:val="center"/>
              <w:rPr>
                <w:rFonts w:ascii="宋体" w:hAnsi="宋体" w:eastAsia="宋体" w:cs="宋体"/>
                <w:color w:val="000000"/>
                <w:sz w:val="18"/>
                <w:szCs w:val="18"/>
              </w:rPr>
            </w:pPr>
            <w:r>
              <w:rPr>
                <w:rFonts w:hint="eastAsia" w:ascii="宋体" w:hAnsi="宋体" w:eastAsia="宋体" w:cs="宋体"/>
                <w:color w:val="000000"/>
                <w:sz w:val="18"/>
                <w:szCs w:val="18"/>
              </w:rPr>
              <w:t>GPX800/1.6-K</w:t>
            </w:r>
          </w:p>
        </w:tc>
        <w:tc>
          <w:tcPr>
            <w:tcW w:w="960" w:type="dxa"/>
            <w:vAlign w:val="center"/>
          </w:tcPr>
          <w:p w14:paraId="51C22C45">
            <w:pPr>
              <w:jc w:val="center"/>
              <w:rPr>
                <w:rFonts w:ascii="宋体" w:hAnsi="宋体" w:eastAsia="宋体" w:cs="宋体"/>
                <w:color w:val="000000"/>
                <w:sz w:val="18"/>
                <w:szCs w:val="18"/>
              </w:rPr>
            </w:pPr>
            <w:r>
              <w:rPr>
                <w:rFonts w:hint="eastAsia" w:ascii="宋体" w:hAnsi="宋体" w:eastAsia="宋体" w:cs="宋体"/>
                <w:color w:val="000000"/>
                <w:sz w:val="18"/>
                <w:szCs w:val="18"/>
              </w:rPr>
              <w:t>2016.01</w:t>
            </w:r>
          </w:p>
        </w:tc>
        <w:tc>
          <w:tcPr>
            <w:tcW w:w="1520" w:type="dxa"/>
            <w:vAlign w:val="center"/>
          </w:tcPr>
          <w:p w14:paraId="71168DDE">
            <w:pPr>
              <w:jc w:val="center"/>
              <w:rPr>
                <w:rFonts w:ascii="宋体" w:hAnsi="宋体" w:eastAsia="宋体" w:cs="宋体"/>
                <w:color w:val="000000"/>
                <w:sz w:val="18"/>
                <w:szCs w:val="18"/>
              </w:rPr>
            </w:pPr>
            <w:r>
              <w:rPr>
                <w:rFonts w:hint="eastAsia" w:ascii="宋体" w:hAnsi="宋体" w:eastAsia="宋体" w:cs="宋体"/>
                <w:color w:val="000000"/>
                <w:sz w:val="18"/>
                <w:szCs w:val="18"/>
              </w:rPr>
              <w:t>3110321001201700009</w:t>
            </w:r>
          </w:p>
        </w:tc>
        <w:tc>
          <w:tcPr>
            <w:tcW w:w="979" w:type="dxa"/>
            <w:vAlign w:val="center"/>
          </w:tcPr>
          <w:p w14:paraId="4BB7B0D9">
            <w:pPr>
              <w:jc w:val="center"/>
              <w:rPr>
                <w:rFonts w:ascii="宋体" w:hAnsi="宋体" w:eastAsia="宋体" w:cs="宋体"/>
                <w:color w:val="000000"/>
                <w:sz w:val="18"/>
                <w:szCs w:val="18"/>
              </w:rPr>
            </w:pPr>
            <w:r>
              <w:rPr>
                <w:rFonts w:hint="eastAsia" w:ascii="宋体" w:hAnsi="宋体" w:eastAsia="宋体" w:cs="宋体"/>
                <w:color w:val="000000"/>
                <w:sz w:val="18"/>
                <w:szCs w:val="18"/>
              </w:rPr>
              <w:t>教师公寓3#2单元　　</w:t>
            </w:r>
          </w:p>
        </w:tc>
      </w:tr>
      <w:tr w14:paraId="2B8DD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34" w:type="dxa"/>
            <w:vAlign w:val="center"/>
          </w:tcPr>
          <w:p w14:paraId="5D3A2D44">
            <w:pPr>
              <w:jc w:val="center"/>
              <w:rPr>
                <w:rFonts w:ascii="宋体" w:hAnsi="宋体" w:eastAsia="宋体" w:cs="宋体"/>
                <w:color w:val="000000"/>
                <w:sz w:val="18"/>
                <w:szCs w:val="18"/>
              </w:rPr>
            </w:pPr>
            <w:r>
              <w:rPr>
                <w:rFonts w:hint="eastAsia" w:ascii="宋体" w:hAnsi="宋体" w:eastAsia="宋体" w:cs="宋体"/>
                <w:color w:val="000000"/>
                <w:sz w:val="18"/>
                <w:szCs w:val="18"/>
              </w:rPr>
              <w:t>18</w:t>
            </w:r>
          </w:p>
        </w:tc>
        <w:tc>
          <w:tcPr>
            <w:tcW w:w="980" w:type="dxa"/>
            <w:vAlign w:val="center"/>
          </w:tcPr>
          <w:p w14:paraId="25BCE771">
            <w:pPr>
              <w:jc w:val="center"/>
              <w:rPr>
                <w:rFonts w:ascii="宋体" w:hAnsi="宋体" w:eastAsia="宋体" w:cs="宋体"/>
                <w:color w:val="000000"/>
                <w:sz w:val="18"/>
                <w:szCs w:val="18"/>
              </w:rPr>
            </w:pPr>
            <w:r>
              <w:rPr>
                <w:rFonts w:hint="eastAsia" w:ascii="宋体" w:hAnsi="宋体" w:eastAsia="宋体" w:cs="宋体"/>
                <w:color w:val="000000"/>
                <w:sz w:val="18"/>
                <w:szCs w:val="18"/>
              </w:rPr>
              <w:t>电梯</w:t>
            </w:r>
            <w:r>
              <w:rPr>
                <w:rFonts w:hint="eastAsia" w:ascii="宋体" w:hAnsi="宋体" w:eastAsia="宋体" w:cs="宋体"/>
                <w:color w:val="000000"/>
                <w:kern w:val="0"/>
                <w:sz w:val="18"/>
                <w:szCs w:val="18"/>
              </w:rPr>
              <w:t>（巨人通力）</w:t>
            </w:r>
          </w:p>
        </w:tc>
        <w:tc>
          <w:tcPr>
            <w:tcW w:w="1190" w:type="dxa"/>
            <w:vAlign w:val="center"/>
          </w:tcPr>
          <w:p w14:paraId="42C1B432">
            <w:pPr>
              <w:jc w:val="center"/>
              <w:rPr>
                <w:rFonts w:ascii="宋体" w:hAnsi="宋体" w:eastAsia="宋体" w:cs="宋体"/>
                <w:color w:val="000000"/>
                <w:sz w:val="18"/>
                <w:szCs w:val="18"/>
              </w:rPr>
            </w:pPr>
            <w:r>
              <w:rPr>
                <w:rFonts w:hint="eastAsia" w:ascii="宋体" w:hAnsi="宋体" w:eastAsia="宋体" w:cs="宋体"/>
                <w:color w:val="000000"/>
                <w:sz w:val="18"/>
                <w:szCs w:val="18"/>
              </w:rPr>
              <w:t>曳引与强制驱动电梯</w:t>
            </w:r>
          </w:p>
        </w:tc>
        <w:tc>
          <w:tcPr>
            <w:tcW w:w="1040" w:type="dxa"/>
            <w:vAlign w:val="center"/>
          </w:tcPr>
          <w:p w14:paraId="374C9434">
            <w:pPr>
              <w:jc w:val="center"/>
              <w:rPr>
                <w:rFonts w:ascii="宋体" w:hAnsi="宋体" w:eastAsia="宋体" w:cs="宋体"/>
                <w:color w:val="000000"/>
                <w:sz w:val="18"/>
                <w:szCs w:val="18"/>
              </w:rPr>
            </w:pPr>
            <w:r>
              <w:rPr>
                <w:rFonts w:hint="eastAsia" w:ascii="宋体" w:hAnsi="宋体" w:eastAsia="宋体" w:cs="宋体"/>
                <w:color w:val="000000"/>
                <w:sz w:val="18"/>
                <w:szCs w:val="18"/>
              </w:rPr>
              <w:t>曳引驱动客梯电梯</w:t>
            </w:r>
          </w:p>
        </w:tc>
        <w:tc>
          <w:tcPr>
            <w:tcW w:w="1152" w:type="dxa"/>
            <w:vAlign w:val="center"/>
          </w:tcPr>
          <w:p w14:paraId="5B16FBBC">
            <w:pPr>
              <w:jc w:val="center"/>
              <w:rPr>
                <w:rFonts w:ascii="宋体" w:hAnsi="宋体" w:eastAsia="宋体" w:cs="宋体"/>
                <w:color w:val="000000"/>
                <w:sz w:val="18"/>
                <w:szCs w:val="18"/>
              </w:rPr>
            </w:pPr>
            <w:r>
              <w:rPr>
                <w:rFonts w:hint="eastAsia" w:ascii="宋体" w:hAnsi="宋体" w:eastAsia="宋体" w:cs="宋体"/>
                <w:color w:val="000000"/>
                <w:sz w:val="18"/>
                <w:szCs w:val="18"/>
              </w:rPr>
              <w:t>42461779</w:t>
            </w:r>
          </w:p>
        </w:tc>
        <w:tc>
          <w:tcPr>
            <w:tcW w:w="1480" w:type="dxa"/>
            <w:vAlign w:val="center"/>
          </w:tcPr>
          <w:p w14:paraId="155AF95C">
            <w:pPr>
              <w:jc w:val="center"/>
              <w:rPr>
                <w:rFonts w:ascii="宋体" w:hAnsi="宋体" w:eastAsia="宋体" w:cs="宋体"/>
                <w:color w:val="000000"/>
                <w:sz w:val="18"/>
                <w:szCs w:val="18"/>
              </w:rPr>
            </w:pPr>
            <w:r>
              <w:rPr>
                <w:rFonts w:hint="eastAsia" w:ascii="宋体" w:hAnsi="宋体" w:eastAsia="宋体" w:cs="宋体"/>
                <w:color w:val="000000"/>
                <w:sz w:val="18"/>
                <w:szCs w:val="18"/>
              </w:rPr>
              <w:t>GPX800/1.6-K</w:t>
            </w:r>
          </w:p>
        </w:tc>
        <w:tc>
          <w:tcPr>
            <w:tcW w:w="960" w:type="dxa"/>
            <w:vAlign w:val="center"/>
          </w:tcPr>
          <w:p w14:paraId="300D1A22">
            <w:pPr>
              <w:jc w:val="center"/>
              <w:rPr>
                <w:rFonts w:ascii="宋体" w:hAnsi="宋体" w:eastAsia="宋体" w:cs="宋体"/>
                <w:color w:val="000000"/>
                <w:sz w:val="18"/>
                <w:szCs w:val="18"/>
              </w:rPr>
            </w:pPr>
            <w:r>
              <w:rPr>
                <w:rFonts w:hint="eastAsia" w:ascii="宋体" w:hAnsi="宋体" w:eastAsia="宋体" w:cs="宋体"/>
                <w:color w:val="000000"/>
                <w:sz w:val="18"/>
                <w:szCs w:val="18"/>
              </w:rPr>
              <w:t>2016.01</w:t>
            </w:r>
          </w:p>
        </w:tc>
        <w:tc>
          <w:tcPr>
            <w:tcW w:w="1520" w:type="dxa"/>
            <w:vAlign w:val="center"/>
          </w:tcPr>
          <w:p w14:paraId="07ED4E1D">
            <w:pPr>
              <w:jc w:val="center"/>
              <w:rPr>
                <w:rFonts w:ascii="宋体" w:hAnsi="宋体" w:eastAsia="宋体" w:cs="宋体"/>
                <w:color w:val="000000"/>
                <w:sz w:val="18"/>
                <w:szCs w:val="18"/>
              </w:rPr>
            </w:pPr>
            <w:r>
              <w:rPr>
                <w:rFonts w:hint="eastAsia" w:ascii="宋体" w:hAnsi="宋体" w:eastAsia="宋体" w:cs="宋体"/>
                <w:color w:val="000000"/>
                <w:sz w:val="18"/>
                <w:szCs w:val="18"/>
              </w:rPr>
              <w:t>3110321001201700005</w:t>
            </w:r>
          </w:p>
        </w:tc>
        <w:tc>
          <w:tcPr>
            <w:tcW w:w="979" w:type="dxa"/>
            <w:vAlign w:val="center"/>
          </w:tcPr>
          <w:p w14:paraId="7727599C">
            <w:pPr>
              <w:jc w:val="center"/>
              <w:rPr>
                <w:rFonts w:ascii="宋体" w:hAnsi="宋体" w:eastAsia="宋体" w:cs="宋体"/>
                <w:color w:val="000000"/>
                <w:sz w:val="18"/>
                <w:szCs w:val="18"/>
              </w:rPr>
            </w:pPr>
            <w:r>
              <w:rPr>
                <w:rFonts w:hint="eastAsia" w:ascii="宋体" w:hAnsi="宋体" w:eastAsia="宋体" w:cs="宋体"/>
                <w:color w:val="000000"/>
                <w:sz w:val="18"/>
                <w:szCs w:val="18"/>
              </w:rPr>
              <w:t>教师公寓4#1单元　　</w:t>
            </w:r>
          </w:p>
        </w:tc>
      </w:tr>
      <w:tr w14:paraId="79430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34" w:type="dxa"/>
            <w:vAlign w:val="center"/>
          </w:tcPr>
          <w:p w14:paraId="2D7B6949">
            <w:pPr>
              <w:jc w:val="center"/>
              <w:rPr>
                <w:rFonts w:ascii="宋体" w:hAnsi="宋体" w:eastAsia="宋体" w:cs="宋体"/>
                <w:color w:val="000000"/>
                <w:sz w:val="18"/>
                <w:szCs w:val="18"/>
              </w:rPr>
            </w:pPr>
            <w:r>
              <w:rPr>
                <w:rFonts w:hint="eastAsia" w:ascii="宋体" w:hAnsi="宋体" w:eastAsia="宋体" w:cs="宋体"/>
                <w:color w:val="000000"/>
                <w:sz w:val="18"/>
                <w:szCs w:val="18"/>
              </w:rPr>
              <w:t>19</w:t>
            </w:r>
          </w:p>
        </w:tc>
        <w:tc>
          <w:tcPr>
            <w:tcW w:w="980" w:type="dxa"/>
            <w:vAlign w:val="center"/>
          </w:tcPr>
          <w:p w14:paraId="69C6B30F">
            <w:pPr>
              <w:jc w:val="center"/>
              <w:rPr>
                <w:rFonts w:ascii="宋体" w:hAnsi="宋体" w:eastAsia="宋体" w:cs="宋体"/>
                <w:color w:val="000000"/>
                <w:sz w:val="18"/>
                <w:szCs w:val="18"/>
              </w:rPr>
            </w:pPr>
            <w:r>
              <w:rPr>
                <w:rFonts w:hint="eastAsia" w:ascii="宋体" w:hAnsi="宋体" w:eastAsia="宋体" w:cs="宋体"/>
                <w:color w:val="000000"/>
                <w:sz w:val="18"/>
                <w:szCs w:val="18"/>
              </w:rPr>
              <w:t>电梯</w:t>
            </w:r>
            <w:r>
              <w:rPr>
                <w:rFonts w:hint="eastAsia" w:ascii="宋体" w:hAnsi="宋体" w:eastAsia="宋体" w:cs="宋体"/>
                <w:color w:val="000000"/>
                <w:kern w:val="0"/>
                <w:sz w:val="18"/>
                <w:szCs w:val="18"/>
              </w:rPr>
              <w:t>（巨人通力）</w:t>
            </w:r>
          </w:p>
        </w:tc>
        <w:tc>
          <w:tcPr>
            <w:tcW w:w="1190" w:type="dxa"/>
            <w:vAlign w:val="center"/>
          </w:tcPr>
          <w:p w14:paraId="663110BC">
            <w:pPr>
              <w:jc w:val="center"/>
              <w:rPr>
                <w:rFonts w:ascii="宋体" w:hAnsi="宋体" w:eastAsia="宋体" w:cs="宋体"/>
                <w:color w:val="000000"/>
                <w:sz w:val="18"/>
                <w:szCs w:val="18"/>
              </w:rPr>
            </w:pPr>
            <w:r>
              <w:rPr>
                <w:rFonts w:hint="eastAsia" w:ascii="宋体" w:hAnsi="宋体" w:eastAsia="宋体" w:cs="宋体"/>
                <w:color w:val="000000"/>
                <w:sz w:val="18"/>
                <w:szCs w:val="18"/>
              </w:rPr>
              <w:t>曳引与强制驱动电梯</w:t>
            </w:r>
          </w:p>
        </w:tc>
        <w:tc>
          <w:tcPr>
            <w:tcW w:w="1040" w:type="dxa"/>
            <w:vAlign w:val="center"/>
          </w:tcPr>
          <w:p w14:paraId="4CD5A9D7">
            <w:pPr>
              <w:jc w:val="center"/>
              <w:rPr>
                <w:rFonts w:ascii="宋体" w:hAnsi="宋体" w:eastAsia="宋体" w:cs="宋体"/>
                <w:color w:val="000000"/>
                <w:sz w:val="18"/>
                <w:szCs w:val="18"/>
              </w:rPr>
            </w:pPr>
            <w:r>
              <w:rPr>
                <w:rFonts w:hint="eastAsia" w:ascii="宋体" w:hAnsi="宋体" w:eastAsia="宋体" w:cs="宋体"/>
                <w:color w:val="000000"/>
                <w:sz w:val="18"/>
                <w:szCs w:val="18"/>
              </w:rPr>
              <w:t>曳引驱动客梯电梯</w:t>
            </w:r>
          </w:p>
        </w:tc>
        <w:tc>
          <w:tcPr>
            <w:tcW w:w="1152" w:type="dxa"/>
            <w:vAlign w:val="center"/>
          </w:tcPr>
          <w:p w14:paraId="4309CFFC">
            <w:pPr>
              <w:jc w:val="center"/>
              <w:rPr>
                <w:rFonts w:ascii="宋体" w:hAnsi="宋体" w:eastAsia="宋体" w:cs="宋体"/>
                <w:color w:val="000000"/>
                <w:sz w:val="18"/>
                <w:szCs w:val="18"/>
              </w:rPr>
            </w:pPr>
            <w:r>
              <w:rPr>
                <w:rFonts w:hint="eastAsia" w:ascii="宋体" w:hAnsi="宋体" w:eastAsia="宋体" w:cs="宋体"/>
                <w:color w:val="000000"/>
                <w:sz w:val="18"/>
                <w:szCs w:val="18"/>
              </w:rPr>
              <w:t>42461780</w:t>
            </w:r>
          </w:p>
        </w:tc>
        <w:tc>
          <w:tcPr>
            <w:tcW w:w="1480" w:type="dxa"/>
            <w:vAlign w:val="center"/>
          </w:tcPr>
          <w:p w14:paraId="712074B6">
            <w:pPr>
              <w:jc w:val="center"/>
              <w:rPr>
                <w:rFonts w:ascii="宋体" w:hAnsi="宋体" w:eastAsia="宋体" w:cs="宋体"/>
                <w:color w:val="000000"/>
                <w:sz w:val="18"/>
                <w:szCs w:val="18"/>
              </w:rPr>
            </w:pPr>
            <w:r>
              <w:rPr>
                <w:rFonts w:hint="eastAsia" w:ascii="宋体" w:hAnsi="宋体" w:eastAsia="宋体" w:cs="宋体"/>
                <w:color w:val="000000"/>
                <w:sz w:val="18"/>
                <w:szCs w:val="18"/>
              </w:rPr>
              <w:t>GPX800/1.6-K</w:t>
            </w:r>
          </w:p>
        </w:tc>
        <w:tc>
          <w:tcPr>
            <w:tcW w:w="960" w:type="dxa"/>
            <w:vAlign w:val="center"/>
          </w:tcPr>
          <w:p w14:paraId="78F9A31A">
            <w:pPr>
              <w:jc w:val="center"/>
              <w:rPr>
                <w:rFonts w:ascii="宋体" w:hAnsi="宋体" w:eastAsia="宋体" w:cs="宋体"/>
                <w:color w:val="000000"/>
                <w:sz w:val="18"/>
                <w:szCs w:val="18"/>
              </w:rPr>
            </w:pPr>
            <w:r>
              <w:rPr>
                <w:rFonts w:hint="eastAsia" w:ascii="宋体" w:hAnsi="宋体" w:eastAsia="宋体" w:cs="宋体"/>
                <w:color w:val="000000"/>
                <w:sz w:val="18"/>
                <w:szCs w:val="18"/>
              </w:rPr>
              <w:t>2016.01</w:t>
            </w:r>
          </w:p>
        </w:tc>
        <w:tc>
          <w:tcPr>
            <w:tcW w:w="1520" w:type="dxa"/>
            <w:vAlign w:val="center"/>
          </w:tcPr>
          <w:p w14:paraId="466C4427">
            <w:pPr>
              <w:jc w:val="center"/>
              <w:rPr>
                <w:rFonts w:ascii="宋体" w:hAnsi="宋体" w:eastAsia="宋体" w:cs="宋体"/>
                <w:color w:val="000000"/>
                <w:sz w:val="18"/>
                <w:szCs w:val="18"/>
              </w:rPr>
            </w:pPr>
            <w:r>
              <w:rPr>
                <w:rFonts w:hint="eastAsia" w:ascii="宋体" w:hAnsi="宋体" w:eastAsia="宋体" w:cs="宋体"/>
                <w:color w:val="000000"/>
                <w:sz w:val="18"/>
                <w:szCs w:val="18"/>
              </w:rPr>
              <w:t>3110321001201700006</w:t>
            </w:r>
          </w:p>
        </w:tc>
        <w:tc>
          <w:tcPr>
            <w:tcW w:w="979" w:type="dxa"/>
            <w:vAlign w:val="center"/>
          </w:tcPr>
          <w:p w14:paraId="65CFEDE7">
            <w:pPr>
              <w:jc w:val="center"/>
              <w:rPr>
                <w:rFonts w:ascii="宋体" w:hAnsi="宋体" w:eastAsia="宋体" w:cs="宋体"/>
                <w:color w:val="000000"/>
                <w:sz w:val="18"/>
                <w:szCs w:val="18"/>
              </w:rPr>
            </w:pPr>
            <w:r>
              <w:rPr>
                <w:rFonts w:hint="eastAsia" w:ascii="宋体" w:hAnsi="宋体" w:eastAsia="宋体" w:cs="宋体"/>
                <w:color w:val="000000"/>
                <w:sz w:val="18"/>
                <w:szCs w:val="18"/>
              </w:rPr>
              <w:t>教师公寓4#2单元　　</w:t>
            </w:r>
          </w:p>
        </w:tc>
      </w:tr>
      <w:tr w14:paraId="514A2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34" w:type="dxa"/>
            <w:vAlign w:val="center"/>
          </w:tcPr>
          <w:p w14:paraId="7EA5FAE3">
            <w:pPr>
              <w:jc w:val="center"/>
              <w:rPr>
                <w:rFonts w:ascii="宋体" w:hAnsi="宋体" w:eastAsia="宋体" w:cs="宋体"/>
                <w:color w:val="000000"/>
                <w:sz w:val="18"/>
                <w:szCs w:val="18"/>
              </w:rPr>
            </w:pPr>
            <w:r>
              <w:rPr>
                <w:rFonts w:hint="eastAsia" w:ascii="宋体" w:hAnsi="宋体" w:eastAsia="宋体" w:cs="宋体"/>
                <w:color w:val="000000"/>
                <w:sz w:val="18"/>
                <w:szCs w:val="18"/>
              </w:rPr>
              <w:t>20</w:t>
            </w:r>
          </w:p>
        </w:tc>
        <w:tc>
          <w:tcPr>
            <w:tcW w:w="980" w:type="dxa"/>
            <w:vAlign w:val="center"/>
          </w:tcPr>
          <w:p w14:paraId="418E7BDB">
            <w:pPr>
              <w:jc w:val="center"/>
              <w:rPr>
                <w:rFonts w:ascii="宋体" w:hAnsi="宋体" w:eastAsia="宋体" w:cs="宋体"/>
                <w:color w:val="000000"/>
                <w:sz w:val="18"/>
                <w:szCs w:val="18"/>
              </w:rPr>
            </w:pPr>
            <w:r>
              <w:rPr>
                <w:rFonts w:hint="eastAsia" w:ascii="宋体" w:hAnsi="宋体" w:eastAsia="宋体" w:cs="宋体"/>
                <w:color w:val="000000"/>
                <w:sz w:val="18"/>
                <w:szCs w:val="18"/>
              </w:rPr>
              <w:t>电梯</w:t>
            </w:r>
            <w:r>
              <w:rPr>
                <w:rFonts w:hint="eastAsia" w:ascii="宋体" w:hAnsi="宋体" w:eastAsia="宋体" w:cs="宋体"/>
                <w:color w:val="000000"/>
                <w:kern w:val="0"/>
                <w:sz w:val="18"/>
                <w:szCs w:val="18"/>
              </w:rPr>
              <w:t>（巨人通力）</w:t>
            </w:r>
          </w:p>
        </w:tc>
        <w:tc>
          <w:tcPr>
            <w:tcW w:w="1190" w:type="dxa"/>
            <w:vAlign w:val="center"/>
          </w:tcPr>
          <w:p w14:paraId="5422C99D">
            <w:pPr>
              <w:jc w:val="center"/>
              <w:rPr>
                <w:rFonts w:ascii="宋体" w:hAnsi="宋体" w:eastAsia="宋体" w:cs="宋体"/>
                <w:color w:val="000000"/>
                <w:sz w:val="18"/>
                <w:szCs w:val="18"/>
              </w:rPr>
            </w:pPr>
            <w:r>
              <w:rPr>
                <w:rFonts w:hint="eastAsia" w:ascii="宋体" w:hAnsi="宋体" w:eastAsia="宋体" w:cs="宋体"/>
                <w:color w:val="000000"/>
                <w:sz w:val="18"/>
                <w:szCs w:val="18"/>
              </w:rPr>
              <w:t>曳引与强制驱动电梯</w:t>
            </w:r>
          </w:p>
        </w:tc>
        <w:tc>
          <w:tcPr>
            <w:tcW w:w="1040" w:type="dxa"/>
            <w:vAlign w:val="center"/>
          </w:tcPr>
          <w:p w14:paraId="611DBCF3">
            <w:pPr>
              <w:jc w:val="center"/>
              <w:rPr>
                <w:rFonts w:ascii="宋体" w:hAnsi="宋体" w:eastAsia="宋体" w:cs="宋体"/>
                <w:color w:val="000000"/>
                <w:sz w:val="18"/>
                <w:szCs w:val="18"/>
              </w:rPr>
            </w:pPr>
            <w:r>
              <w:rPr>
                <w:rFonts w:hint="eastAsia" w:ascii="宋体" w:hAnsi="宋体" w:eastAsia="宋体" w:cs="宋体"/>
                <w:color w:val="000000"/>
                <w:sz w:val="18"/>
                <w:szCs w:val="18"/>
              </w:rPr>
              <w:t>曳引驱动客梯电梯</w:t>
            </w:r>
          </w:p>
        </w:tc>
        <w:tc>
          <w:tcPr>
            <w:tcW w:w="1152" w:type="dxa"/>
            <w:vAlign w:val="center"/>
          </w:tcPr>
          <w:p w14:paraId="5579C61D">
            <w:pPr>
              <w:jc w:val="center"/>
              <w:rPr>
                <w:rFonts w:ascii="宋体" w:hAnsi="宋体" w:eastAsia="宋体" w:cs="宋体"/>
                <w:color w:val="000000"/>
                <w:sz w:val="18"/>
                <w:szCs w:val="18"/>
              </w:rPr>
            </w:pPr>
            <w:r>
              <w:rPr>
                <w:rFonts w:hint="eastAsia" w:ascii="宋体" w:hAnsi="宋体" w:eastAsia="宋体" w:cs="宋体"/>
                <w:color w:val="000000"/>
                <w:sz w:val="18"/>
                <w:szCs w:val="18"/>
              </w:rPr>
              <w:t>42461781</w:t>
            </w:r>
          </w:p>
        </w:tc>
        <w:tc>
          <w:tcPr>
            <w:tcW w:w="1480" w:type="dxa"/>
            <w:vAlign w:val="center"/>
          </w:tcPr>
          <w:p w14:paraId="5EFC67A0">
            <w:pPr>
              <w:jc w:val="center"/>
              <w:rPr>
                <w:rFonts w:ascii="宋体" w:hAnsi="宋体" w:eastAsia="宋体" w:cs="宋体"/>
                <w:color w:val="000000"/>
                <w:sz w:val="18"/>
                <w:szCs w:val="18"/>
              </w:rPr>
            </w:pPr>
            <w:r>
              <w:rPr>
                <w:rFonts w:hint="eastAsia" w:ascii="宋体" w:hAnsi="宋体" w:eastAsia="宋体" w:cs="宋体"/>
                <w:color w:val="000000"/>
                <w:sz w:val="18"/>
                <w:szCs w:val="18"/>
              </w:rPr>
              <w:t>GPX800/1.6-K</w:t>
            </w:r>
          </w:p>
        </w:tc>
        <w:tc>
          <w:tcPr>
            <w:tcW w:w="960" w:type="dxa"/>
            <w:vAlign w:val="center"/>
          </w:tcPr>
          <w:p w14:paraId="0DE9402B">
            <w:pPr>
              <w:jc w:val="center"/>
              <w:rPr>
                <w:rFonts w:ascii="宋体" w:hAnsi="宋体" w:eastAsia="宋体" w:cs="宋体"/>
                <w:color w:val="000000"/>
                <w:sz w:val="18"/>
                <w:szCs w:val="18"/>
              </w:rPr>
            </w:pPr>
            <w:r>
              <w:rPr>
                <w:rFonts w:hint="eastAsia" w:ascii="宋体" w:hAnsi="宋体" w:eastAsia="宋体" w:cs="宋体"/>
                <w:color w:val="000000"/>
                <w:sz w:val="18"/>
                <w:szCs w:val="18"/>
              </w:rPr>
              <w:t>2016.01</w:t>
            </w:r>
          </w:p>
        </w:tc>
        <w:tc>
          <w:tcPr>
            <w:tcW w:w="1520" w:type="dxa"/>
            <w:vAlign w:val="center"/>
          </w:tcPr>
          <w:p w14:paraId="655D1F18">
            <w:pPr>
              <w:jc w:val="center"/>
              <w:rPr>
                <w:rFonts w:ascii="宋体" w:hAnsi="宋体" w:eastAsia="宋体" w:cs="宋体"/>
                <w:color w:val="000000"/>
                <w:sz w:val="18"/>
                <w:szCs w:val="18"/>
              </w:rPr>
            </w:pPr>
            <w:r>
              <w:rPr>
                <w:rFonts w:hint="eastAsia" w:ascii="宋体" w:hAnsi="宋体" w:eastAsia="宋体" w:cs="宋体"/>
                <w:color w:val="000000"/>
                <w:sz w:val="18"/>
                <w:szCs w:val="18"/>
              </w:rPr>
              <w:t>3110321001201700007</w:t>
            </w:r>
          </w:p>
        </w:tc>
        <w:tc>
          <w:tcPr>
            <w:tcW w:w="979" w:type="dxa"/>
            <w:vAlign w:val="center"/>
          </w:tcPr>
          <w:p w14:paraId="03D8413F">
            <w:pPr>
              <w:jc w:val="center"/>
              <w:rPr>
                <w:rFonts w:ascii="宋体" w:hAnsi="宋体" w:eastAsia="宋体" w:cs="宋体"/>
                <w:color w:val="000000"/>
                <w:sz w:val="18"/>
                <w:szCs w:val="18"/>
              </w:rPr>
            </w:pPr>
            <w:r>
              <w:rPr>
                <w:rFonts w:hint="eastAsia" w:ascii="宋体" w:hAnsi="宋体" w:eastAsia="宋体" w:cs="宋体"/>
                <w:color w:val="000000"/>
                <w:sz w:val="18"/>
                <w:szCs w:val="18"/>
              </w:rPr>
              <w:t>教师公寓4#3单元　　</w:t>
            </w:r>
          </w:p>
        </w:tc>
      </w:tr>
      <w:tr w14:paraId="7B16E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434" w:type="dxa"/>
            <w:vAlign w:val="center"/>
          </w:tcPr>
          <w:p w14:paraId="4EFFFB47">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2</w:t>
            </w:r>
            <w:r>
              <w:rPr>
                <w:rFonts w:hint="eastAsia" w:ascii="宋体" w:hAnsi="宋体" w:eastAsia="宋体" w:cs="宋体"/>
                <w:color w:val="000000"/>
                <w:sz w:val="18"/>
                <w:szCs w:val="18"/>
                <w:lang w:val="en-US" w:eastAsia="zh-CN"/>
              </w:rPr>
              <w:t>1</w:t>
            </w:r>
          </w:p>
        </w:tc>
        <w:tc>
          <w:tcPr>
            <w:tcW w:w="980" w:type="dxa"/>
            <w:vAlign w:val="center"/>
          </w:tcPr>
          <w:p w14:paraId="43B04D1F">
            <w:pPr>
              <w:jc w:val="center"/>
              <w:rPr>
                <w:rFonts w:ascii="宋体" w:hAnsi="宋体" w:eastAsia="宋体" w:cs="宋体"/>
                <w:color w:val="000000"/>
                <w:sz w:val="18"/>
                <w:szCs w:val="18"/>
              </w:rPr>
            </w:pPr>
            <w:r>
              <w:rPr>
                <w:rFonts w:hint="eastAsia" w:ascii="宋体" w:hAnsi="宋体" w:eastAsia="宋体" w:cs="宋体"/>
                <w:color w:val="000000"/>
                <w:sz w:val="18"/>
                <w:szCs w:val="18"/>
              </w:rPr>
              <w:t>电梯</w:t>
            </w:r>
            <w:r>
              <w:rPr>
                <w:rFonts w:hint="eastAsia" w:ascii="宋体" w:hAnsi="宋体" w:eastAsia="宋体" w:cs="宋体"/>
                <w:color w:val="000000"/>
                <w:kern w:val="0"/>
                <w:sz w:val="18"/>
                <w:szCs w:val="18"/>
              </w:rPr>
              <w:t>（巨人通力）</w:t>
            </w:r>
          </w:p>
        </w:tc>
        <w:tc>
          <w:tcPr>
            <w:tcW w:w="1190" w:type="dxa"/>
            <w:vAlign w:val="center"/>
          </w:tcPr>
          <w:p w14:paraId="1F4348EC">
            <w:pPr>
              <w:jc w:val="center"/>
              <w:rPr>
                <w:rFonts w:ascii="宋体" w:hAnsi="宋体" w:eastAsia="宋体" w:cs="宋体"/>
                <w:color w:val="000000"/>
                <w:sz w:val="18"/>
                <w:szCs w:val="18"/>
              </w:rPr>
            </w:pPr>
            <w:r>
              <w:rPr>
                <w:rFonts w:hint="eastAsia" w:ascii="宋体" w:hAnsi="宋体" w:eastAsia="宋体" w:cs="宋体"/>
                <w:color w:val="000000"/>
                <w:sz w:val="18"/>
                <w:szCs w:val="18"/>
              </w:rPr>
              <w:t>曳引与强制驱动电梯</w:t>
            </w:r>
          </w:p>
        </w:tc>
        <w:tc>
          <w:tcPr>
            <w:tcW w:w="1040" w:type="dxa"/>
            <w:vAlign w:val="center"/>
          </w:tcPr>
          <w:p w14:paraId="7B405443">
            <w:pPr>
              <w:jc w:val="center"/>
              <w:rPr>
                <w:rFonts w:ascii="宋体" w:hAnsi="宋体" w:eastAsia="宋体" w:cs="宋体"/>
                <w:color w:val="000000"/>
                <w:sz w:val="18"/>
                <w:szCs w:val="18"/>
              </w:rPr>
            </w:pPr>
            <w:r>
              <w:rPr>
                <w:rFonts w:hint="eastAsia" w:ascii="宋体" w:hAnsi="宋体" w:eastAsia="宋体" w:cs="宋体"/>
                <w:color w:val="000000"/>
                <w:sz w:val="18"/>
                <w:szCs w:val="18"/>
              </w:rPr>
              <w:t>曳引驱动客梯电梯</w:t>
            </w:r>
          </w:p>
        </w:tc>
        <w:tc>
          <w:tcPr>
            <w:tcW w:w="1152" w:type="dxa"/>
            <w:vAlign w:val="center"/>
          </w:tcPr>
          <w:p w14:paraId="3053F66A">
            <w:pPr>
              <w:jc w:val="center"/>
              <w:rPr>
                <w:rFonts w:ascii="宋体" w:hAnsi="宋体" w:eastAsia="宋体" w:cs="宋体"/>
                <w:color w:val="000000"/>
                <w:sz w:val="18"/>
                <w:szCs w:val="18"/>
              </w:rPr>
            </w:pPr>
            <w:r>
              <w:rPr>
                <w:rFonts w:hint="eastAsia" w:ascii="宋体" w:hAnsi="宋体" w:eastAsia="宋体" w:cs="宋体"/>
                <w:color w:val="000000"/>
                <w:sz w:val="18"/>
                <w:szCs w:val="18"/>
              </w:rPr>
              <w:t>43866975</w:t>
            </w:r>
          </w:p>
        </w:tc>
        <w:tc>
          <w:tcPr>
            <w:tcW w:w="1480" w:type="dxa"/>
            <w:vAlign w:val="center"/>
          </w:tcPr>
          <w:p w14:paraId="3C406D64">
            <w:pPr>
              <w:jc w:val="center"/>
              <w:rPr>
                <w:rFonts w:ascii="宋体" w:hAnsi="宋体" w:eastAsia="宋体" w:cs="宋体"/>
                <w:color w:val="000000"/>
                <w:sz w:val="18"/>
                <w:szCs w:val="18"/>
              </w:rPr>
            </w:pPr>
            <w:r>
              <w:rPr>
                <w:rFonts w:hint="eastAsia" w:ascii="宋体" w:hAnsi="宋体" w:eastAsia="宋体" w:cs="宋体"/>
                <w:color w:val="000000"/>
                <w:sz w:val="18"/>
                <w:szCs w:val="18"/>
              </w:rPr>
              <w:t>GPN63E</w:t>
            </w:r>
          </w:p>
        </w:tc>
        <w:tc>
          <w:tcPr>
            <w:tcW w:w="960" w:type="dxa"/>
            <w:vAlign w:val="center"/>
          </w:tcPr>
          <w:p w14:paraId="093E37BC">
            <w:pPr>
              <w:jc w:val="center"/>
              <w:rPr>
                <w:rFonts w:ascii="宋体" w:hAnsi="宋体" w:eastAsia="宋体" w:cs="宋体"/>
                <w:color w:val="000000"/>
                <w:sz w:val="18"/>
                <w:szCs w:val="18"/>
              </w:rPr>
            </w:pPr>
            <w:r>
              <w:rPr>
                <w:rFonts w:hint="eastAsia" w:ascii="宋体" w:hAnsi="宋体" w:eastAsia="宋体" w:cs="宋体"/>
                <w:color w:val="000000"/>
                <w:sz w:val="18"/>
                <w:szCs w:val="18"/>
              </w:rPr>
              <w:t>2020.01</w:t>
            </w:r>
          </w:p>
        </w:tc>
        <w:tc>
          <w:tcPr>
            <w:tcW w:w="1520" w:type="dxa"/>
            <w:vAlign w:val="center"/>
          </w:tcPr>
          <w:p w14:paraId="4B997648">
            <w:pPr>
              <w:jc w:val="center"/>
              <w:rPr>
                <w:rFonts w:ascii="宋体" w:hAnsi="宋体" w:eastAsia="宋体" w:cs="宋体"/>
                <w:color w:val="000000"/>
                <w:sz w:val="18"/>
                <w:szCs w:val="18"/>
              </w:rPr>
            </w:pPr>
            <w:r>
              <w:rPr>
                <w:rFonts w:hint="eastAsia" w:ascii="宋体" w:hAnsi="宋体" w:eastAsia="宋体" w:cs="宋体"/>
                <w:color w:val="000000"/>
                <w:sz w:val="18"/>
                <w:szCs w:val="18"/>
              </w:rPr>
              <w:t>311010132201966975</w:t>
            </w:r>
          </w:p>
        </w:tc>
        <w:tc>
          <w:tcPr>
            <w:tcW w:w="979" w:type="dxa"/>
            <w:vAlign w:val="center"/>
          </w:tcPr>
          <w:p w14:paraId="5BB32441">
            <w:pPr>
              <w:jc w:val="center"/>
              <w:rPr>
                <w:rFonts w:ascii="宋体" w:hAnsi="宋体" w:eastAsia="宋体" w:cs="宋体"/>
                <w:color w:val="000000"/>
                <w:sz w:val="18"/>
                <w:szCs w:val="18"/>
              </w:rPr>
            </w:pPr>
            <w:r>
              <w:rPr>
                <w:rFonts w:hint="eastAsia" w:ascii="宋体" w:hAnsi="宋体" w:eastAsia="宋体" w:cs="宋体"/>
                <w:color w:val="000000"/>
                <w:sz w:val="18"/>
                <w:szCs w:val="18"/>
              </w:rPr>
              <w:t>第二餐厅</w:t>
            </w:r>
          </w:p>
        </w:tc>
      </w:tr>
      <w:tr w14:paraId="0BDB8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434" w:type="dxa"/>
            <w:vAlign w:val="center"/>
          </w:tcPr>
          <w:p w14:paraId="5AC3A40C">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2</w:t>
            </w:r>
            <w:r>
              <w:rPr>
                <w:rFonts w:hint="eastAsia" w:ascii="宋体" w:hAnsi="宋体" w:eastAsia="宋体" w:cs="宋体"/>
                <w:color w:val="000000"/>
                <w:sz w:val="18"/>
                <w:szCs w:val="18"/>
                <w:lang w:val="en-US" w:eastAsia="zh-CN"/>
              </w:rPr>
              <w:t>2</w:t>
            </w:r>
          </w:p>
        </w:tc>
        <w:tc>
          <w:tcPr>
            <w:tcW w:w="980" w:type="dxa"/>
            <w:vAlign w:val="center"/>
          </w:tcPr>
          <w:p w14:paraId="598E4917">
            <w:pPr>
              <w:jc w:val="center"/>
              <w:rPr>
                <w:rFonts w:ascii="宋体" w:hAnsi="宋体" w:eastAsia="宋体" w:cs="宋体"/>
                <w:color w:val="000000"/>
                <w:sz w:val="18"/>
                <w:szCs w:val="18"/>
              </w:rPr>
            </w:pPr>
            <w:r>
              <w:rPr>
                <w:rFonts w:hint="eastAsia" w:ascii="宋体" w:hAnsi="宋体" w:eastAsia="宋体" w:cs="宋体"/>
                <w:color w:val="000000"/>
                <w:sz w:val="18"/>
                <w:szCs w:val="18"/>
              </w:rPr>
              <w:t>电梯</w:t>
            </w:r>
            <w:r>
              <w:rPr>
                <w:rFonts w:hint="eastAsia" w:ascii="宋体" w:hAnsi="宋体" w:eastAsia="宋体" w:cs="宋体"/>
                <w:color w:val="000000"/>
                <w:kern w:val="0"/>
                <w:sz w:val="18"/>
                <w:szCs w:val="18"/>
              </w:rPr>
              <w:t>（康力）</w:t>
            </w:r>
          </w:p>
        </w:tc>
        <w:tc>
          <w:tcPr>
            <w:tcW w:w="1190" w:type="dxa"/>
            <w:vAlign w:val="center"/>
          </w:tcPr>
          <w:p w14:paraId="1B8BA338">
            <w:pPr>
              <w:jc w:val="center"/>
              <w:rPr>
                <w:rFonts w:ascii="宋体" w:hAnsi="宋体" w:eastAsia="宋体" w:cs="宋体"/>
                <w:color w:val="000000"/>
                <w:sz w:val="18"/>
                <w:szCs w:val="18"/>
              </w:rPr>
            </w:pPr>
            <w:r>
              <w:rPr>
                <w:rFonts w:hint="eastAsia" w:ascii="宋体" w:hAnsi="宋体" w:eastAsia="宋体" w:cs="宋体"/>
                <w:color w:val="000000"/>
                <w:sz w:val="18"/>
                <w:szCs w:val="18"/>
              </w:rPr>
              <w:t>曳引与强制驱动电梯</w:t>
            </w:r>
          </w:p>
        </w:tc>
        <w:tc>
          <w:tcPr>
            <w:tcW w:w="1040" w:type="dxa"/>
            <w:vAlign w:val="center"/>
          </w:tcPr>
          <w:p w14:paraId="53E62848">
            <w:pPr>
              <w:jc w:val="center"/>
              <w:rPr>
                <w:rFonts w:ascii="宋体" w:hAnsi="宋体" w:eastAsia="宋体" w:cs="宋体"/>
                <w:color w:val="000000"/>
                <w:sz w:val="18"/>
                <w:szCs w:val="18"/>
              </w:rPr>
            </w:pPr>
            <w:r>
              <w:rPr>
                <w:rFonts w:hint="eastAsia" w:ascii="宋体" w:hAnsi="宋体" w:eastAsia="宋体" w:cs="宋体"/>
                <w:color w:val="000000"/>
                <w:sz w:val="18"/>
                <w:szCs w:val="18"/>
              </w:rPr>
              <w:t>曳引驱动客梯电梯</w:t>
            </w:r>
          </w:p>
        </w:tc>
        <w:tc>
          <w:tcPr>
            <w:tcW w:w="1152" w:type="dxa"/>
            <w:vAlign w:val="center"/>
          </w:tcPr>
          <w:p w14:paraId="144C57F4">
            <w:pPr>
              <w:jc w:val="center"/>
              <w:rPr>
                <w:rFonts w:ascii="宋体" w:hAnsi="宋体" w:eastAsia="宋体" w:cs="宋体"/>
                <w:color w:val="000000"/>
                <w:sz w:val="18"/>
                <w:szCs w:val="18"/>
              </w:rPr>
            </w:pPr>
            <w:r>
              <w:rPr>
                <w:rFonts w:hint="eastAsia" w:ascii="宋体" w:hAnsi="宋体" w:eastAsia="宋体" w:cs="宋体"/>
                <w:color w:val="000000"/>
                <w:sz w:val="18"/>
                <w:szCs w:val="18"/>
              </w:rPr>
              <w:t>10052119-0040</w:t>
            </w:r>
          </w:p>
        </w:tc>
        <w:tc>
          <w:tcPr>
            <w:tcW w:w="1480" w:type="dxa"/>
            <w:vAlign w:val="center"/>
          </w:tcPr>
          <w:p w14:paraId="44FCEAB0">
            <w:pPr>
              <w:jc w:val="center"/>
              <w:rPr>
                <w:rFonts w:ascii="宋体" w:hAnsi="宋体" w:eastAsia="宋体" w:cs="宋体"/>
                <w:color w:val="000000"/>
                <w:sz w:val="18"/>
                <w:szCs w:val="18"/>
              </w:rPr>
            </w:pPr>
            <w:r>
              <w:rPr>
                <w:rFonts w:hint="eastAsia" w:ascii="宋体" w:hAnsi="宋体" w:eastAsia="宋体" w:cs="宋体"/>
                <w:color w:val="000000"/>
                <w:sz w:val="18"/>
                <w:szCs w:val="18"/>
              </w:rPr>
              <w:t>KLW</w:t>
            </w:r>
          </w:p>
        </w:tc>
        <w:tc>
          <w:tcPr>
            <w:tcW w:w="960" w:type="dxa"/>
            <w:vAlign w:val="center"/>
          </w:tcPr>
          <w:p w14:paraId="79B76F65">
            <w:pPr>
              <w:jc w:val="center"/>
              <w:rPr>
                <w:rFonts w:ascii="宋体" w:hAnsi="宋体" w:eastAsia="宋体" w:cs="宋体"/>
                <w:color w:val="000000"/>
                <w:sz w:val="18"/>
                <w:szCs w:val="18"/>
              </w:rPr>
            </w:pPr>
            <w:r>
              <w:rPr>
                <w:rFonts w:hint="eastAsia" w:ascii="宋体" w:hAnsi="宋体" w:eastAsia="宋体" w:cs="宋体"/>
                <w:color w:val="000000"/>
                <w:sz w:val="18"/>
                <w:szCs w:val="18"/>
              </w:rPr>
              <w:t>2020.11</w:t>
            </w:r>
          </w:p>
        </w:tc>
        <w:tc>
          <w:tcPr>
            <w:tcW w:w="1520" w:type="dxa"/>
            <w:vAlign w:val="center"/>
          </w:tcPr>
          <w:p w14:paraId="12D562EE">
            <w:pPr>
              <w:jc w:val="center"/>
              <w:rPr>
                <w:rFonts w:ascii="宋体" w:hAnsi="宋体" w:eastAsia="宋体" w:cs="宋体"/>
                <w:color w:val="000000"/>
                <w:sz w:val="18"/>
                <w:szCs w:val="18"/>
              </w:rPr>
            </w:pPr>
            <w:r>
              <w:rPr>
                <w:rFonts w:hint="eastAsia" w:ascii="宋体" w:hAnsi="宋体" w:eastAsia="宋体" w:cs="宋体"/>
                <w:color w:val="000000"/>
                <w:sz w:val="18"/>
                <w:szCs w:val="18"/>
              </w:rPr>
              <w:t>31101004120200321975</w:t>
            </w:r>
          </w:p>
        </w:tc>
        <w:tc>
          <w:tcPr>
            <w:tcW w:w="979" w:type="dxa"/>
            <w:vAlign w:val="center"/>
          </w:tcPr>
          <w:p w14:paraId="2EE9182B">
            <w:pPr>
              <w:jc w:val="center"/>
              <w:rPr>
                <w:rFonts w:ascii="宋体" w:hAnsi="宋体" w:eastAsia="宋体" w:cs="宋体"/>
                <w:color w:val="000000"/>
                <w:sz w:val="18"/>
                <w:szCs w:val="18"/>
              </w:rPr>
            </w:pPr>
            <w:r>
              <w:rPr>
                <w:rFonts w:hint="eastAsia" w:ascii="宋体" w:hAnsi="宋体" w:eastAsia="宋体" w:cs="宋体"/>
                <w:color w:val="000000"/>
                <w:sz w:val="18"/>
                <w:szCs w:val="18"/>
              </w:rPr>
              <w:t>科技创业园东门东</w:t>
            </w:r>
          </w:p>
        </w:tc>
      </w:tr>
      <w:tr w14:paraId="7A6AF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434" w:type="dxa"/>
            <w:vAlign w:val="center"/>
          </w:tcPr>
          <w:p w14:paraId="48695833">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2</w:t>
            </w:r>
            <w:r>
              <w:rPr>
                <w:rFonts w:hint="eastAsia" w:ascii="宋体" w:hAnsi="宋体" w:eastAsia="宋体" w:cs="宋体"/>
                <w:color w:val="000000"/>
                <w:sz w:val="18"/>
                <w:szCs w:val="18"/>
                <w:lang w:val="en-US" w:eastAsia="zh-CN"/>
              </w:rPr>
              <w:t>3</w:t>
            </w:r>
          </w:p>
        </w:tc>
        <w:tc>
          <w:tcPr>
            <w:tcW w:w="980" w:type="dxa"/>
            <w:vAlign w:val="center"/>
          </w:tcPr>
          <w:p w14:paraId="395B387F">
            <w:pPr>
              <w:jc w:val="center"/>
              <w:rPr>
                <w:rFonts w:ascii="宋体" w:hAnsi="宋体" w:eastAsia="宋体" w:cs="宋体"/>
                <w:color w:val="000000"/>
                <w:sz w:val="18"/>
                <w:szCs w:val="18"/>
              </w:rPr>
            </w:pPr>
            <w:r>
              <w:rPr>
                <w:rFonts w:hint="eastAsia" w:ascii="宋体" w:hAnsi="宋体" w:eastAsia="宋体" w:cs="宋体"/>
                <w:color w:val="000000"/>
                <w:sz w:val="18"/>
                <w:szCs w:val="18"/>
              </w:rPr>
              <w:t>电梯</w:t>
            </w:r>
            <w:r>
              <w:rPr>
                <w:rFonts w:hint="eastAsia" w:ascii="宋体" w:hAnsi="宋体" w:eastAsia="宋体" w:cs="宋体"/>
                <w:color w:val="000000"/>
                <w:kern w:val="0"/>
                <w:sz w:val="18"/>
                <w:szCs w:val="18"/>
              </w:rPr>
              <w:t>（康力）</w:t>
            </w:r>
          </w:p>
        </w:tc>
        <w:tc>
          <w:tcPr>
            <w:tcW w:w="1190" w:type="dxa"/>
            <w:vAlign w:val="center"/>
          </w:tcPr>
          <w:p w14:paraId="63BAEC99">
            <w:pPr>
              <w:jc w:val="center"/>
              <w:rPr>
                <w:rFonts w:ascii="宋体" w:hAnsi="宋体" w:eastAsia="宋体" w:cs="宋体"/>
                <w:color w:val="000000"/>
                <w:sz w:val="18"/>
                <w:szCs w:val="18"/>
              </w:rPr>
            </w:pPr>
            <w:r>
              <w:rPr>
                <w:rFonts w:hint="eastAsia" w:ascii="宋体" w:hAnsi="宋体" w:eastAsia="宋体" w:cs="宋体"/>
                <w:color w:val="000000"/>
                <w:sz w:val="18"/>
                <w:szCs w:val="18"/>
              </w:rPr>
              <w:t>曳引与强制驱动电梯</w:t>
            </w:r>
          </w:p>
        </w:tc>
        <w:tc>
          <w:tcPr>
            <w:tcW w:w="1040" w:type="dxa"/>
            <w:vAlign w:val="center"/>
          </w:tcPr>
          <w:p w14:paraId="3EF69406">
            <w:pPr>
              <w:jc w:val="center"/>
              <w:rPr>
                <w:rFonts w:ascii="宋体" w:hAnsi="宋体" w:eastAsia="宋体" w:cs="宋体"/>
                <w:color w:val="000000"/>
                <w:sz w:val="18"/>
                <w:szCs w:val="18"/>
              </w:rPr>
            </w:pPr>
            <w:r>
              <w:rPr>
                <w:rFonts w:hint="eastAsia" w:ascii="宋体" w:hAnsi="宋体" w:eastAsia="宋体" w:cs="宋体"/>
                <w:color w:val="000000"/>
                <w:sz w:val="18"/>
                <w:szCs w:val="18"/>
              </w:rPr>
              <w:t>曳引驱动客梯电梯</w:t>
            </w:r>
          </w:p>
        </w:tc>
        <w:tc>
          <w:tcPr>
            <w:tcW w:w="1152" w:type="dxa"/>
            <w:vAlign w:val="center"/>
          </w:tcPr>
          <w:p w14:paraId="4779DF7E">
            <w:pPr>
              <w:jc w:val="center"/>
              <w:rPr>
                <w:rFonts w:ascii="宋体" w:hAnsi="宋体" w:eastAsia="宋体" w:cs="宋体"/>
                <w:color w:val="000000"/>
                <w:sz w:val="18"/>
                <w:szCs w:val="18"/>
              </w:rPr>
            </w:pPr>
            <w:r>
              <w:rPr>
                <w:rFonts w:hint="eastAsia" w:ascii="宋体" w:hAnsi="宋体" w:eastAsia="宋体" w:cs="宋体"/>
                <w:color w:val="000000"/>
                <w:sz w:val="18"/>
                <w:szCs w:val="18"/>
              </w:rPr>
              <w:t>10052119-0030</w:t>
            </w:r>
          </w:p>
        </w:tc>
        <w:tc>
          <w:tcPr>
            <w:tcW w:w="1480" w:type="dxa"/>
            <w:vAlign w:val="center"/>
          </w:tcPr>
          <w:p w14:paraId="173000F6">
            <w:pPr>
              <w:jc w:val="center"/>
              <w:rPr>
                <w:rFonts w:ascii="宋体" w:hAnsi="宋体" w:eastAsia="宋体" w:cs="宋体"/>
                <w:color w:val="000000"/>
                <w:sz w:val="18"/>
                <w:szCs w:val="18"/>
              </w:rPr>
            </w:pPr>
            <w:r>
              <w:rPr>
                <w:rFonts w:hint="eastAsia" w:ascii="宋体" w:hAnsi="宋体" w:eastAsia="宋体" w:cs="宋体"/>
                <w:color w:val="000000"/>
                <w:sz w:val="18"/>
                <w:szCs w:val="18"/>
              </w:rPr>
              <w:t>KLW</w:t>
            </w:r>
          </w:p>
        </w:tc>
        <w:tc>
          <w:tcPr>
            <w:tcW w:w="960" w:type="dxa"/>
            <w:vAlign w:val="center"/>
          </w:tcPr>
          <w:p w14:paraId="469A69AC">
            <w:pPr>
              <w:jc w:val="center"/>
              <w:rPr>
                <w:rFonts w:ascii="宋体" w:hAnsi="宋体" w:eastAsia="宋体" w:cs="宋体"/>
                <w:color w:val="000000"/>
                <w:sz w:val="18"/>
                <w:szCs w:val="18"/>
              </w:rPr>
            </w:pPr>
            <w:r>
              <w:rPr>
                <w:rFonts w:hint="eastAsia" w:ascii="宋体" w:hAnsi="宋体" w:eastAsia="宋体" w:cs="宋体"/>
                <w:color w:val="000000"/>
                <w:sz w:val="18"/>
                <w:szCs w:val="18"/>
              </w:rPr>
              <w:t>2020.11</w:t>
            </w:r>
          </w:p>
        </w:tc>
        <w:tc>
          <w:tcPr>
            <w:tcW w:w="1520" w:type="dxa"/>
            <w:vAlign w:val="center"/>
          </w:tcPr>
          <w:p w14:paraId="6AA6C986">
            <w:pPr>
              <w:jc w:val="center"/>
              <w:rPr>
                <w:rFonts w:ascii="宋体" w:hAnsi="宋体" w:eastAsia="宋体" w:cs="宋体"/>
                <w:color w:val="000000"/>
                <w:sz w:val="18"/>
                <w:szCs w:val="18"/>
              </w:rPr>
            </w:pPr>
            <w:r>
              <w:rPr>
                <w:rFonts w:hint="eastAsia" w:ascii="宋体" w:hAnsi="宋体" w:eastAsia="宋体" w:cs="宋体"/>
                <w:color w:val="000000"/>
                <w:sz w:val="18"/>
                <w:szCs w:val="18"/>
              </w:rPr>
              <w:t>31101004120200321966</w:t>
            </w:r>
          </w:p>
        </w:tc>
        <w:tc>
          <w:tcPr>
            <w:tcW w:w="979" w:type="dxa"/>
            <w:vAlign w:val="center"/>
          </w:tcPr>
          <w:p w14:paraId="4020A621">
            <w:pPr>
              <w:jc w:val="center"/>
              <w:rPr>
                <w:rFonts w:ascii="宋体" w:hAnsi="宋体" w:eastAsia="宋体" w:cs="宋体"/>
                <w:color w:val="000000"/>
                <w:sz w:val="18"/>
                <w:szCs w:val="18"/>
              </w:rPr>
            </w:pPr>
            <w:r>
              <w:rPr>
                <w:rFonts w:hint="eastAsia" w:ascii="宋体" w:hAnsi="宋体" w:eastAsia="宋体" w:cs="宋体"/>
                <w:color w:val="000000"/>
                <w:sz w:val="18"/>
                <w:szCs w:val="18"/>
              </w:rPr>
              <w:t>科技创业园东门西</w:t>
            </w:r>
          </w:p>
        </w:tc>
      </w:tr>
      <w:tr w14:paraId="76FC1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434" w:type="dxa"/>
            <w:vAlign w:val="center"/>
          </w:tcPr>
          <w:p w14:paraId="0F97B3B0">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2</w:t>
            </w:r>
            <w:r>
              <w:rPr>
                <w:rFonts w:hint="eastAsia" w:ascii="宋体" w:hAnsi="宋体" w:eastAsia="宋体" w:cs="宋体"/>
                <w:color w:val="000000"/>
                <w:sz w:val="18"/>
                <w:szCs w:val="18"/>
                <w:lang w:val="en-US" w:eastAsia="zh-CN"/>
              </w:rPr>
              <w:t>4</w:t>
            </w:r>
          </w:p>
        </w:tc>
        <w:tc>
          <w:tcPr>
            <w:tcW w:w="980" w:type="dxa"/>
            <w:vAlign w:val="center"/>
          </w:tcPr>
          <w:p w14:paraId="402542F0">
            <w:pPr>
              <w:jc w:val="center"/>
              <w:rPr>
                <w:rFonts w:ascii="宋体" w:hAnsi="宋体" w:eastAsia="宋体" w:cs="宋体"/>
                <w:color w:val="000000"/>
                <w:sz w:val="18"/>
                <w:szCs w:val="18"/>
              </w:rPr>
            </w:pPr>
            <w:r>
              <w:rPr>
                <w:rFonts w:hint="eastAsia" w:ascii="宋体" w:hAnsi="宋体" w:eastAsia="宋体" w:cs="宋体"/>
                <w:color w:val="000000"/>
                <w:sz w:val="18"/>
                <w:szCs w:val="18"/>
              </w:rPr>
              <w:t>电梯</w:t>
            </w:r>
            <w:r>
              <w:rPr>
                <w:rFonts w:hint="eastAsia" w:ascii="宋体" w:hAnsi="宋体" w:eastAsia="宋体" w:cs="宋体"/>
                <w:color w:val="000000"/>
                <w:kern w:val="0"/>
                <w:sz w:val="18"/>
                <w:szCs w:val="18"/>
              </w:rPr>
              <w:t>（康力）</w:t>
            </w:r>
          </w:p>
        </w:tc>
        <w:tc>
          <w:tcPr>
            <w:tcW w:w="1190" w:type="dxa"/>
            <w:vAlign w:val="center"/>
          </w:tcPr>
          <w:p w14:paraId="54DE671E">
            <w:pPr>
              <w:jc w:val="center"/>
              <w:rPr>
                <w:rFonts w:ascii="宋体" w:hAnsi="宋体" w:eastAsia="宋体" w:cs="宋体"/>
                <w:color w:val="000000"/>
                <w:sz w:val="18"/>
                <w:szCs w:val="18"/>
              </w:rPr>
            </w:pPr>
            <w:r>
              <w:rPr>
                <w:rFonts w:hint="eastAsia" w:ascii="宋体" w:hAnsi="宋体" w:eastAsia="宋体" w:cs="宋体"/>
                <w:color w:val="000000"/>
                <w:sz w:val="18"/>
                <w:szCs w:val="18"/>
              </w:rPr>
              <w:t>曳引与强制驱动电梯</w:t>
            </w:r>
          </w:p>
        </w:tc>
        <w:tc>
          <w:tcPr>
            <w:tcW w:w="1040" w:type="dxa"/>
            <w:vAlign w:val="center"/>
          </w:tcPr>
          <w:p w14:paraId="5225600D">
            <w:pPr>
              <w:jc w:val="center"/>
              <w:rPr>
                <w:rFonts w:ascii="宋体" w:hAnsi="宋体" w:eastAsia="宋体" w:cs="宋体"/>
                <w:color w:val="000000"/>
                <w:sz w:val="18"/>
                <w:szCs w:val="18"/>
              </w:rPr>
            </w:pPr>
            <w:r>
              <w:rPr>
                <w:rFonts w:hint="eastAsia" w:ascii="宋体" w:hAnsi="宋体" w:eastAsia="宋体" w:cs="宋体"/>
                <w:color w:val="000000"/>
                <w:sz w:val="18"/>
                <w:szCs w:val="18"/>
              </w:rPr>
              <w:t>曳引驱动客梯电梯</w:t>
            </w:r>
          </w:p>
        </w:tc>
        <w:tc>
          <w:tcPr>
            <w:tcW w:w="1152" w:type="dxa"/>
            <w:vAlign w:val="center"/>
          </w:tcPr>
          <w:p w14:paraId="466D88B2">
            <w:pPr>
              <w:jc w:val="center"/>
              <w:rPr>
                <w:rFonts w:ascii="宋体" w:hAnsi="宋体" w:eastAsia="宋体" w:cs="宋体"/>
                <w:color w:val="000000"/>
                <w:sz w:val="18"/>
                <w:szCs w:val="18"/>
              </w:rPr>
            </w:pPr>
            <w:r>
              <w:rPr>
                <w:rFonts w:hint="eastAsia" w:ascii="宋体" w:hAnsi="宋体" w:eastAsia="宋体" w:cs="宋体"/>
                <w:color w:val="000000"/>
                <w:sz w:val="18"/>
                <w:szCs w:val="18"/>
              </w:rPr>
              <w:t>10052119-0020</w:t>
            </w:r>
          </w:p>
        </w:tc>
        <w:tc>
          <w:tcPr>
            <w:tcW w:w="1480" w:type="dxa"/>
            <w:vAlign w:val="center"/>
          </w:tcPr>
          <w:p w14:paraId="4F9E066C">
            <w:pPr>
              <w:jc w:val="center"/>
              <w:rPr>
                <w:rFonts w:ascii="宋体" w:hAnsi="宋体" w:eastAsia="宋体" w:cs="宋体"/>
                <w:color w:val="000000"/>
                <w:sz w:val="18"/>
                <w:szCs w:val="18"/>
              </w:rPr>
            </w:pPr>
            <w:r>
              <w:rPr>
                <w:rFonts w:hint="eastAsia" w:ascii="宋体" w:hAnsi="宋体" w:eastAsia="宋体" w:cs="宋体"/>
                <w:color w:val="000000"/>
                <w:sz w:val="18"/>
                <w:szCs w:val="18"/>
              </w:rPr>
              <w:t>KLW</w:t>
            </w:r>
          </w:p>
        </w:tc>
        <w:tc>
          <w:tcPr>
            <w:tcW w:w="960" w:type="dxa"/>
            <w:vAlign w:val="center"/>
          </w:tcPr>
          <w:p w14:paraId="7DD8BAE9">
            <w:pPr>
              <w:jc w:val="center"/>
              <w:rPr>
                <w:rFonts w:ascii="宋体" w:hAnsi="宋体" w:eastAsia="宋体" w:cs="宋体"/>
                <w:color w:val="000000"/>
                <w:sz w:val="18"/>
                <w:szCs w:val="18"/>
              </w:rPr>
            </w:pPr>
            <w:r>
              <w:rPr>
                <w:rFonts w:hint="eastAsia" w:ascii="宋体" w:hAnsi="宋体" w:eastAsia="宋体" w:cs="宋体"/>
                <w:color w:val="000000"/>
                <w:sz w:val="18"/>
                <w:szCs w:val="18"/>
              </w:rPr>
              <w:t>2020.11</w:t>
            </w:r>
          </w:p>
        </w:tc>
        <w:tc>
          <w:tcPr>
            <w:tcW w:w="1520" w:type="dxa"/>
            <w:vAlign w:val="center"/>
          </w:tcPr>
          <w:p w14:paraId="53E58571">
            <w:pPr>
              <w:jc w:val="center"/>
              <w:rPr>
                <w:rFonts w:ascii="宋体" w:hAnsi="宋体" w:eastAsia="宋体" w:cs="宋体"/>
                <w:color w:val="000000"/>
                <w:sz w:val="18"/>
                <w:szCs w:val="18"/>
              </w:rPr>
            </w:pPr>
            <w:r>
              <w:rPr>
                <w:rFonts w:hint="eastAsia" w:ascii="宋体" w:hAnsi="宋体" w:eastAsia="宋体" w:cs="宋体"/>
                <w:color w:val="000000"/>
                <w:sz w:val="18"/>
                <w:szCs w:val="18"/>
              </w:rPr>
              <w:t>31101004120200321957</w:t>
            </w:r>
          </w:p>
        </w:tc>
        <w:tc>
          <w:tcPr>
            <w:tcW w:w="979" w:type="dxa"/>
            <w:vAlign w:val="center"/>
          </w:tcPr>
          <w:p w14:paraId="1E3FA791">
            <w:pPr>
              <w:jc w:val="center"/>
              <w:rPr>
                <w:rFonts w:ascii="宋体" w:hAnsi="宋体" w:eastAsia="宋体" w:cs="宋体"/>
                <w:color w:val="000000"/>
                <w:sz w:val="18"/>
                <w:szCs w:val="18"/>
              </w:rPr>
            </w:pPr>
            <w:r>
              <w:rPr>
                <w:rFonts w:hint="eastAsia" w:ascii="宋体" w:hAnsi="宋体" w:eastAsia="宋体" w:cs="宋体"/>
                <w:color w:val="000000"/>
                <w:sz w:val="18"/>
                <w:szCs w:val="18"/>
              </w:rPr>
              <w:t>科技创业园西门东</w:t>
            </w:r>
          </w:p>
        </w:tc>
      </w:tr>
      <w:tr w14:paraId="2D998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434" w:type="dxa"/>
            <w:vAlign w:val="center"/>
          </w:tcPr>
          <w:p w14:paraId="4DF7D8C4">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25</w:t>
            </w:r>
          </w:p>
        </w:tc>
        <w:tc>
          <w:tcPr>
            <w:tcW w:w="980" w:type="dxa"/>
            <w:vAlign w:val="center"/>
          </w:tcPr>
          <w:p w14:paraId="16FFDA02">
            <w:pPr>
              <w:jc w:val="center"/>
              <w:rPr>
                <w:rFonts w:ascii="宋体" w:hAnsi="宋体" w:eastAsia="宋体" w:cs="宋体"/>
                <w:color w:val="000000"/>
                <w:sz w:val="18"/>
                <w:szCs w:val="18"/>
              </w:rPr>
            </w:pPr>
            <w:r>
              <w:rPr>
                <w:rFonts w:hint="eastAsia" w:ascii="宋体" w:hAnsi="宋体" w:eastAsia="宋体" w:cs="宋体"/>
                <w:color w:val="000000"/>
                <w:sz w:val="18"/>
                <w:szCs w:val="18"/>
              </w:rPr>
              <w:t>电梯</w:t>
            </w:r>
            <w:r>
              <w:rPr>
                <w:rFonts w:hint="eastAsia" w:ascii="宋体" w:hAnsi="宋体" w:eastAsia="宋体" w:cs="宋体"/>
                <w:color w:val="000000"/>
                <w:kern w:val="0"/>
                <w:sz w:val="18"/>
                <w:szCs w:val="18"/>
              </w:rPr>
              <w:t>（康力）</w:t>
            </w:r>
          </w:p>
        </w:tc>
        <w:tc>
          <w:tcPr>
            <w:tcW w:w="1190" w:type="dxa"/>
            <w:vAlign w:val="center"/>
          </w:tcPr>
          <w:p w14:paraId="045E14C3">
            <w:pPr>
              <w:jc w:val="center"/>
              <w:rPr>
                <w:rFonts w:ascii="宋体" w:hAnsi="宋体" w:eastAsia="宋体" w:cs="宋体"/>
                <w:color w:val="000000"/>
                <w:sz w:val="18"/>
                <w:szCs w:val="18"/>
              </w:rPr>
            </w:pPr>
            <w:r>
              <w:rPr>
                <w:rFonts w:hint="eastAsia" w:ascii="宋体" w:hAnsi="宋体" w:eastAsia="宋体" w:cs="宋体"/>
                <w:color w:val="000000"/>
                <w:sz w:val="18"/>
                <w:szCs w:val="18"/>
              </w:rPr>
              <w:t>曳引与强制驱动电梯</w:t>
            </w:r>
          </w:p>
        </w:tc>
        <w:tc>
          <w:tcPr>
            <w:tcW w:w="1040" w:type="dxa"/>
            <w:vAlign w:val="center"/>
          </w:tcPr>
          <w:p w14:paraId="516CF054">
            <w:pPr>
              <w:jc w:val="center"/>
              <w:rPr>
                <w:rFonts w:ascii="宋体" w:hAnsi="宋体" w:eastAsia="宋体" w:cs="宋体"/>
                <w:color w:val="000000"/>
                <w:sz w:val="18"/>
                <w:szCs w:val="18"/>
              </w:rPr>
            </w:pPr>
            <w:r>
              <w:rPr>
                <w:rFonts w:hint="eastAsia" w:ascii="宋体" w:hAnsi="宋体" w:eastAsia="宋体" w:cs="宋体"/>
                <w:color w:val="000000"/>
                <w:sz w:val="18"/>
                <w:szCs w:val="18"/>
              </w:rPr>
              <w:t>曳引驱动客梯电梯</w:t>
            </w:r>
          </w:p>
        </w:tc>
        <w:tc>
          <w:tcPr>
            <w:tcW w:w="1152" w:type="dxa"/>
            <w:vAlign w:val="center"/>
          </w:tcPr>
          <w:p w14:paraId="73D65924">
            <w:pPr>
              <w:jc w:val="center"/>
              <w:rPr>
                <w:rFonts w:ascii="宋体" w:hAnsi="宋体" w:eastAsia="宋体" w:cs="宋体"/>
                <w:color w:val="000000"/>
                <w:sz w:val="18"/>
                <w:szCs w:val="18"/>
              </w:rPr>
            </w:pPr>
            <w:r>
              <w:rPr>
                <w:rFonts w:hint="eastAsia" w:ascii="宋体" w:hAnsi="宋体" w:eastAsia="宋体" w:cs="宋体"/>
                <w:color w:val="000000"/>
                <w:sz w:val="18"/>
                <w:szCs w:val="18"/>
              </w:rPr>
              <w:t>10052119-0010</w:t>
            </w:r>
          </w:p>
        </w:tc>
        <w:tc>
          <w:tcPr>
            <w:tcW w:w="1480" w:type="dxa"/>
            <w:vAlign w:val="center"/>
          </w:tcPr>
          <w:p w14:paraId="3A0BD29D">
            <w:pPr>
              <w:jc w:val="center"/>
              <w:rPr>
                <w:rFonts w:ascii="宋体" w:hAnsi="宋体" w:eastAsia="宋体" w:cs="宋体"/>
                <w:color w:val="000000"/>
                <w:sz w:val="18"/>
                <w:szCs w:val="18"/>
              </w:rPr>
            </w:pPr>
            <w:r>
              <w:rPr>
                <w:rFonts w:hint="eastAsia" w:ascii="宋体" w:hAnsi="宋体" w:eastAsia="宋体" w:cs="宋体"/>
                <w:color w:val="000000"/>
                <w:sz w:val="18"/>
                <w:szCs w:val="18"/>
              </w:rPr>
              <w:t>KLW</w:t>
            </w:r>
          </w:p>
        </w:tc>
        <w:tc>
          <w:tcPr>
            <w:tcW w:w="960" w:type="dxa"/>
            <w:vAlign w:val="center"/>
          </w:tcPr>
          <w:p w14:paraId="6AE40B4A">
            <w:pPr>
              <w:jc w:val="center"/>
              <w:rPr>
                <w:rFonts w:ascii="宋体" w:hAnsi="宋体" w:eastAsia="宋体" w:cs="宋体"/>
                <w:color w:val="000000"/>
                <w:sz w:val="18"/>
                <w:szCs w:val="18"/>
              </w:rPr>
            </w:pPr>
            <w:r>
              <w:rPr>
                <w:rFonts w:hint="eastAsia" w:ascii="宋体" w:hAnsi="宋体" w:eastAsia="宋体" w:cs="宋体"/>
                <w:color w:val="000000"/>
                <w:sz w:val="18"/>
                <w:szCs w:val="18"/>
              </w:rPr>
              <w:t>2020.11</w:t>
            </w:r>
          </w:p>
        </w:tc>
        <w:tc>
          <w:tcPr>
            <w:tcW w:w="1520" w:type="dxa"/>
            <w:vAlign w:val="center"/>
          </w:tcPr>
          <w:p w14:paraId="206E89F9">
            <w:pPr>
              <w:jc w:val="center"/>
              <w:rPr>
                <w:rFonts w:ascii="宋体" w:hAnsi="宋体" w:eastAsia="宋体" w:cs="宋体"/>
                <w:color w:val="000000"/>
                <w:sz w:val="18"/>
                <w:szCs w:val="18"/>
              </w:rPr>
            </w:pPr>
            <w:r>
              <w:rPr>
                <w:rFonts w:hint="eastAsia" w:ascii="宋体" w:hAnsi="宋体" w:eastAsia="宋体" w:cs="宋体"/>
                <w:color w:val="000000"/>
                <w:sz w:val="18"/>
                <w:szCs w:val="18"/>
              </w:rPr>
              <w:t>31101004120200321948</w:t>
            </w:r>
          </w:p>
        </w:tc>
        <w:tc>
          <w:tcPr>
            <w:tcW w:w="979" w:type="dxa"/>
            <w:vAlign w:val="center"/>
          </w:tcPr>
          <w:p w14:paraId="389B72D1">
            <w:pPr>
              <w:jc w:val="center"/>
              <w:rPr>
                <w:rFonts w:ascii="宋体" w:hAnsi="宋体" w:eastAsia="宋体" w:cs="宋体"/>
                <w:color w:val="000000"/>
                <w:sz w:val="18"/>
                <w:szCs w:val="18"/>
              </w:rPr>
            </w:pPr>
            <w:r>
              <w:rPr>
                <w:rFonts w:hint="eastAsia" w:ascii="宋体" w:hAnsi="宋体" w:eastAsia="宋体" w:cs="宋体"/>
                <w:color w:val="000000"/>
                <w:sz w:val="18"/>
                <w:szCs w:val="18"/>
              </w:rPr>
              <w:t>科技创业园西门西</w:t>
            </w:r>
          </w:p>
        </w:tc>
      </w:tr>
      <w:tr w14:paraId="5ABD5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434" w:type="dxa"/>
            <w:vAlign w:val="center"/>
          </w:tcPr>
          <w:p w14:paraId="28004FE4">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26</w:t>
            </w:r>
          </w:p>
        </w:tc>
        <w:tc>
          <w:tcPr>
            <w:tcW w:w="980" w:type="dxa"/>
            <w:vAlign w:val="center"/>
          </w:tcPr>
          <w:p w14:paraId="5E45D6CB">
            <w:pPr>
              <w:jc w:val="center"/>
              <w:rPr>
                <w:rFonts w:ascii="宋体" w:hAnsi="宋体" w:eastAsia="宋体" w:cs="宋体"/>
                <w:color w:val="000000"/>
                <w:sz w:val="18"/>
                <w:szCs w:val="18"/>
              </w:rPr>
            </w:pPr>
            <w:r>
              <w:rPr>
                <w:rFonts w:hint="eastAsia" w:ascii="宋体" w:hAnsi="宋体" w:eastAsia="宋体" w:cs="宋体"/>
                <w:color w:val="000000"/>
                <w:sz w:val="18"/>
                <w:szCs w:val="18"/>
              </w:rPr>
              <w:t>电梯</w:t>
            </w:r>
            <w:r>
              <w:rPr>
                <w:rFonts w:hint="eastAsia" w:ascii="宋体" w:hAnsi="宋体" w:eastAsia="宋体" w:cs="宋体"/>
                <w:color w:val="000000"/>
                <w:kern w:val="0"/>
                <w:sz w:val="18"/>
                <w:szCs w:val="18"/>
              </w:rPr>
              <w:t>（巨人通力）</w:t>
            </w:r>
          </w:p>
        </w:tc>
        <w:tc>
          <w:tcPr>
            <w:tcW w:w="1190" w:type="dxa"/>
            <w:vAlign w:val="center"/>
          </w:tcPr>
          <w:p w14:paraId="73DB8C77">
            <w:pPr>
              <w:jc w:val="center"/>
              <w:rPr>
                <w:rFonts w:ascii="宋体" w:hAnsi="宋体" w:eastAsia="宋体" w:cs="宋体"/>
                <w:color w:val="000000"/>
                <w:sz w:val="18"/>
                <w:szCs w:val="18"/>
              </w:rPr>
            </w:pPr>
            <w:r>
              <w:rPr>
                <w:rFonts w:hint="eastAsia" w:ascii="宋体" w:hAnsi="宋体" w:eastAsia="宋体" w:cs="宋体"/>
                <w:color w:val="000000"/>
                <w:sz w:val="18"/>
                <w:szCs w:val="18"/>
              </w:rPr>
              <w:t>曳引与强制驱动电梯</w:t>
            </w:r>
          </w:p>
        </w:tc>
        <w:tc>
          <w:tcPr>
            <w:tcW w:w="1040" w:type="dxa"/>
            <w:vAlign w:val="center"/>
          </w:tcPr>
          <w:p w14:paraId="4767A8A7">
            <w:pPr>
              <w:jc w:val="center"/>
              <w:rPr>
                <w:rFonts w:ascii="宋体" w:hAnsi="宋体" w:eastAsia="宋体" w:cs="宋体"/>
                <w:color w:val="000000"/>
                <w:sz w:val="18"/>
                <w:szCs w:val="18"/>
              </w:rPr>
            </w:pPr>
            <w:r>
              <w:rPr>
                <w:rFonts w:hint="eastAsia" w:ascii="宋体" w:hAnsi="宋体" w:eastAsia="宋体" w:cs="宋体"/>
                <w:color w:val="000000"/>
                <w:sz w:val="18"/>
                <w:szCs w:val="18"/>
              </w:rPr>
              <w:t>曳引驱动客梯电梯</w:t>
            </w:r>
          </w:p>
        </w:tc>
        <w:tc>
          <w:tcPr>
            <w:tcW w:w="1152" w:type="dxa"/>
            <w:vAlign w:val="center"/>
          </w:tcPr>
          <w:p w14:paraId="0BA4D881">
            <w:pPr>
              <w:jc w:val="center"/>
              <w:rPr>
                <w:rFonts w:ascii="宋体" w:hAnsi="宋体" w:eastAsia="宋体" w:cs="宋体"/>
                <w:color w:val="000000"/>
                <w:sz w:val="18"/>
                <w:szCs w:val="18"/>
              </w:rPr>
            </w:pPr>
            <w:r>
              <w:rPr>
                <w:rFonts w:hint="eastAsia" w:ascii="宋体" w:hAnsi="宋体" w:eastAsia="宋体" w:cs="宋体"/>
                <w:color w:val="000000"/>
                <w:sz w:val="18"/>
                <w:szCs w:val="18"/>
              </w:rPr>
              <w:t>AQ32KB</w:t>
            </w:r>
          </w:p>
        </w:tc>
        <w:tc>
          <w:tcPr>
            <w:tcW w:w="1480" w:type="dxa"/>
            <w:vAlign w:val="center"/>
          </w:tcPr>
          <w:p w14:paraId="215F4B11">
            <w:pPr>
              <w:jc w:val="center"/>
              <w:rPr>
                <w:rFonts w:ascii="宋体" w:hAnsi="宋体" w:eastAsia="宋体" w:cs="宋体"/>
                <w:color w:val="000000"/>
                <w:sz w:val="18"/>
                <w:szCs w:val="18"/>
              </w:rPr>
            </w:pPr>
            <w:r>
              <w:rPr>
                <w:rFonts w:hint="eastAsia" w:ascii="宋体" w:hAnsi="宋体" w:eastAsia="宋体" w:cs="宋体"/>
                <w:color w:val="000000"/>
                <w:sz w:val="18"/>
                <w:szCs w:val="18"/>
              </w:rPr>
              <w:t>GPN65</w:t>
            </w:r>
          </w:p>
        </w:tc>
        <w:tc>
          <w:tcPr>
            <w:tcW w:w="960" w:type="dxa"/>
            <w:vAlign w:val="center"/>
          </w:tcPr>
          <w:p w14:paraId="2E69AB93">
            <w:pPr>
              <w:jc w:val="center"/>
              <w:rPr>
                <w:rFonts w:ascii="宋体" w:hAnsi="宋体" w:eastAsia="宋体" w:cs="宋体"/>
                <w:color w:val="000000"/>
                <w:sz w:val="18"/>
                <w:szCs w:val="18"/>
              </w:rPr>
            </w:pPr>
            <w:r>
              <w:rPr>
                <w:rFonts w:hint="eastAsia" w:ascii="宋体" w:hAnsi="宋体" w:eastAsia="宋体" w:cs="宋体"/>
                <w:color w:val="000000"/>
                <w:sz w:val="18"/>
                <w:szCs w:val="18"/>
              </w:rPr>
              <w:t>2021.09</w:t>
            </w:r>
          </w:p>
        </w:tc>
        <w:tc>
          <w:tcPr>
            <w:tcW w:w="1520" w:type="dxa"/>
            <w:vAlign w:val="center"/>
          </w:tcPr>
          <w:p w14:paraId="3CD9C3E3">
            <w:pPr>
              <w:jc w:val="center"/>
              <w:rPr>
                <w:rFonts w:ascii="宋体" w:hAnsi="宋体" w:eastAsia="宋体" w:cs="宋体"/>
                <w:color w:val="000000"/>
                <w:sz w:val="18"/>
                <w:szCs w:val="18"/>
              </w:rPr>
            </w:pPr>
            <w:r>
              <w:rPr>
                <w:rFonts w:hint="eastAsia" w:ascii="宋体" w:hAnsi="宋体" w:eastAsia="宋体" w:cs="宋体"/>
                <w:color w:val="000000"/>
                <w:sz w:val="18"/>
                <w:szCs w:val="18"/>
              </w:rPr>
              <w:t>3110101322021890915</w:t>
            </w:r>
          </w:p>
        </w:tc>
        <w:tc>
          <w:tcPr>
            <w:tcW w:w="979" w:type="dxa"/>
            <w:vAlign w:val="center"/>
          </w:tcPr>
          <w:p w14:paraId="4720AE5A">
            <w:pPr>
              <w:jc w:val="center"/>
              <w:rPr>
                <w:rFonts w:ascii="宋体" w:hAnsi="宋体" w:eastAsia="宋体" w:cs="宋体"/>
                <w:color w:val="000000"/>
                <w:sz w:val="18"/>
                <w:szCs w:val="18"/>
              </w:rPr>
            </w:pPr>
            <w:r>
              <w:rPr>
                <w:rFonts w:hint="eastAsia" w:ascii="宋体" w:hAnsi="宋体" w:eastAsia="宋体" w:cs="宋体"/>
                <w:color w:val="000000"/>
                <w:sz w:val="18"/>
                <w:szCs w:val="18"/>
              </w:rPr>
              <w:t>图书馆吧东</w:t>
            </w:r>
          </w:p>
        </w:tc>
      </w:tr>
    </w:tbl>
    <w:p w14:paraId="4BAD6EDE">
      <w:pPr>
        <w:bidi w:val="0"/>
        <w:ind w:firstLine="420" w:firstLineChars="200"/>
        <w:jc w:val="left"/>
        <w:rPr>
          <w:rFonts w:hint="eastAsia" w:ascii="Calibri" w:hAnsi="宋体" w:eastAsia="宋体" w:cs="宋体"/>
          <w:bCs/>
          <w:lang w:eastAsia="zh-CN"/>
        </w:rPr>
      </w:pPr>
      <w:r>
        <w:rPr>
          <w:rFonts w:hint="eastAsia" w:ascii="宋体" w:hAnsi="宋体" w:eastAsia="宋体" w:cs="宋体"/>
          <w:snapToGrid w:val="0"/>
        </w:rPr>
        <w:t>本次报价因包含所有电梯的年保养大包费用、含电梯配件费用、税金、利润等（包含的部件：</w:t>
      </w:r>
      <w:r>
        <w:rPr>
          <w:rFonts w:hint="eastAsia" w:ascii="宋体" w:hAnsi="宋体" w:eastAsia="宋体" w:cs="宋体"/>
          <w:bCs/>
        </w:rPr>
        <w:t>除主机、主机变频器和钢丝绳外的所有500元以下配件）及政府年检费用</w:t>
      </w:r>
      <w:r>
        <w:rPr>
          <w:rFonts w:hint="eastAsia" w:ascii="宋体" w:hAnsi="宋体" w:eastAsia="宋体" w:cs="宋体"/>
          <w:bCs/>
          <w:lang w:eastAsia="zh-CN"/>
        </w:rPr>
        <w:t>（</w:t>
      </w:r>
      <w:r>
        <w:rPr>
          <w:rFonts w:hint="eastAsia" w:ascii="宋体" w:hAnsi="宋体" w:eastAsia="宋体" w:cs="宋体"/>
          <w:bCs/>
        </w:rPr>
        <w:t>包含但不限于年检费、限速器效验费、1.25倍重载实验砝码租赁及运输搬运费等</w:t>
      </w:r>
      <w:r>
        <w:rPr>
          <w:rFonts w:hint="eastAsia" w:ascii="宋体" w:hAnsi="宋体" w:eastAsia="宋体" w:cs="宋体"/>
          <w:bCs/>
          <w:lang w:eastAsia="zh-CN"/>
        </w:rPr>
        <w:t>）</w:t>
      </w:r>
      <w:r>
        <w:rPr>
          <w:rFonts w:hint="eastAsia" w:ascii="Calibri" w:hAnsi="宋体" w:eastAsia="宋体" w:cs="宋体"/>
          <w:bCs/>
          <w:lang w:eastAsia="zh-CN"/>
        </w:rPr>
        <w:t>。</w:t>
      </w:r>
    </w:p>
    <w:p w14:paraId="3F4897B0">
      <w:pPr>
        <w:keepNext w:val="0"/>
        <w:keepLines w:val="0"/>
        <w:pageBreakBefore w:val="0"/>
        <w:widowControl w:val="0"/>
        <w:tabs>
          <w:tab w:val="left" w:pos="0"/>
          <w:tab w:val="left" w:pos="600"/>
          <w:tab w:val="left" w:pos="1134"/>
        </w:tabs>
        <w:kinsoku/>
        <w:wordWrap/>
        <w:overflowPunct/>
        <w:topLinePunct w:val="0"/>
        <w:autoSpaceDE/>
        <w:autoSpaceDN/>
        <w:bidi w:val="0"/>
        <w:adjustRightInd w:val="0"/>
        <w:snapToGrid w:val="0"/>
        <w:spacing w:before="157" w:beforeLines="50" w:line="380" w:lineRule="exact"/>
        <w:textAlignment w:val="auto"/>
        <w:rPr>
          <w:rFonts w:hint="eastAsia" w:ascii="宋体" w:hAnsi="宋体" w:eastAsia="宋体" w:cs="宋体"/>
          <w:b w:val="0"/>
          <w:bCs w:val="0"/>
          <w:snapToGrid w:val="0"/>
          <w:sz w:val="24"/>
          <w:lang w:val="en-US" w:eastAsia="zh-CN"/>
        </w:rPr>
      </w:pPr>
    </w:p>
    <w:p w14:paraId="0E440D6F">
      <w:pPr>
        <w:widowControl/>
        <w:spacing w:line="400" w:lineRule="exact"/>
        <w:ind w:firstLine="480" w:firstLineChars="200"/>
        <w:rPr>
          <w:rFonts w:hint="eastAsia" w:ascii="宋体" w:hAnsi="宋体" w:eastAsia="宋体" w:cs="宋体"/>
          <w:sz w:val="24"/>
        </w:rPr>
      </w:pPr>
    </w:p>
    <w:p w14:paraId="12BCF936">
      <w:pPr>
        <w:rPr>
          <w:rFonts w:hint="eastAsia"/>
          <w:lang w:val="zh-TW"/>
        </w:rPr>
      </w:pPr>
    </w:p>
    <w:p w14:paraId="393FB835">
      <w:pPr>
        <w:rPr>
          <w:rFonts w:hint="eastAsia" w:ascii="宋体" w:hAnsi="宋体" w:eastAsia="宋体" w:cs="宋体"/>
          <w:b/>
          <w:bCs/>
          <w:kern w:val="44"/>
          <w:sz w:val="36"/>
          <w:szCs w:val="36"/>
          <w:u w:color="000000"/>
          <w:lang w:val="zh-TW" w:eastAsia="zh-TW"/>
        </w:rPr>
      </w:pPr>
      <w:r>
        <w:rPr>
          <w:rFonts w:hint="eastAsia" w:ascii="宋体" w:hAnsi="宋体" w:eastAsia="宋体" w:cs="宋体"/>
          <w:b/>
          <w:bCs/>
          <w:kern w:val="44"/>
          <w:sz w:val="36"/>
          <w:szCs w:val="36"/>
          <w:u w:color="000000"/>
          <w:lang w:val="zh-TW" w:eastAsia="zh-TW"/>
        </w:rPr>
        <w:br w:type="page"/>
      </w:r>
    </w:p>
    <w:p w14:paraId="4F3D83D8">
      <w:pPr>
        <w:keepNext/>
        <w:keepLines/>
        <w:spacing w:before="312" w:beforeLines="100" w:after="312" w:afterLines="100" w:line="360" w:lineRule="auto"/>
        <w:jc w:val="center"/>
        <w:outlineLvl w:val="0"/>
        <w:rPr>
          <w:rFonts w:ascii="宋体" w:hAnsi="宋体" w:eastAsia="宋体" w:cs="宋体"/>
          <w:b/>
          <w:bCs/>
          <w:kern w:val="44"/>
          <w:sz w:val="36"/>
          <w:szCs w:val="36"/>
          <w:u w:color="000000"/>
          <w:lang w:val="zh-TW" w:eastAsia="zh-TW"/>
        </w:rPr>
      </w:pPr>
      <w:r>
        <w:rPr>
          <w:rFonts w:hint="eastAsia" w:ascii="宋体" w:hAnsi="宋体" w:eastAsia="宋体" w:cs="宋体"/>
          <w:b/>
          <w:bCs/>
          <w:kern w:val="44"/>
          <w:sz w:val="36"/>
          <w:szCs w:val="36"/>
          <w:u w:color="000000"/>
          <w:lang w:val="zh-TW" w:eastAsia="zh-TW"/>
        </w:rPr>
        <w:t>第</w:t>
      </w:r>
      <w:r>
        <w:rPr>
          <w:rFonts w:hint="eastAsia" w:ascii="宋体" w:hAnsi="宋体" w:eastAsia="宋体" w:cs="宋体"/>
          <w:b/>
          <w:bCs/>
          <w:kern w:val="44"/>
          <w:sz w:val="36"/>
          <w:szCs w:val="36"/>
          <w:u w:color="000000"/>
          <w:lang w:val="zh-TW"/>
        </w:rPr>
        <w:t>五</w:t>
      </w:r>
      <w:r>
        <w:rPr>
          <w:rFonts w:hint="eastAsia" w:ascii="宋体" w:hAnsi="宋体" w:eastAsia="宋体" w:cs="宋体"/>
          <w:b/>
          <w:bCs/>
          <w:kern w:val="44"/>
          <w:sz w:val="36"/>
          <w:szCs w:val="36"/>
          <w:u w:color="000000"/>
          <w:lang w:val="zh-TW" w:eastAsia="zh-TW"/>
        </w:rPr>
        <w:t>章  评标方法与评标标准</w:t>
      </w:r>
      <w:bookmarkEnd w:id="14"/>
    </w:p>
    <w:p w14:paraId="2E37097B">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一、评标方法与定标原则</w:t>
      </w:r>
    </w:p>
    <w:p w14:paraId="59743BAF">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评标委员会将对确定为实质性响应招标文件要求的投标文件进行评价和比较，评标采用综合评分法。对未中标人，将不作任何解释。</w:t>
      </w:r>
    </w:p>
    <w:p w14:paraId="6F3575DE">
      <w:pPr>
        <w:spacing w:line="360" w:lineRule="auto"/>
        <w:ind w:firstLine="480" w:firstLineChars="200"/>
      </w:pPr>
      <w:r>
        <w:rPr>
          <w:rFonts w:hint="eastAsia" w:ascii="宋体" w:hAnsi="宋体" w:eastAsia="宋体" w:cs="宋体"/>
          <w:bCs/>
          <w:sz w:val="24"/>
          <w:szCs w:val="24"/>
        </w:rPr>
        <w:t>采用综合评分法的，按评审后综合得分由高到低顺序排列。综合得分相同的，按投标报价由低到高顺序排列。综合得分且投标报价相同的，按技术指标优劣顺序排列。</w:t>
      </w:r>
    </w:p>
    <w:p w14:paraId="793D53CC">
      <w:pPr>
        <w:numPr>
          <w:ilvl w:val="0"/>
          <w:numId w:val="2"/>
        </w:num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评标标准</w:t>
      </w:r>
    </w:p>
    <w:tbl>
      <w:tblPr>
        <w:tblStyle w:val="26"/>
        <w:tblW w:w="9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1668"/>
        <w:gridCol w:w="7076"/>
      </w:tblGrid>
      <w:tr w14:paraId="2489B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vAlign w:val="center"/>
          </w:tcPr>
          <w:p w14:paraId="3D553EDA">
            <w:pPr>
              <w:spacing w:line="360" w:lineRule="auto"/>
              <w:jc w:val="center"/>
              <w:rPr>
                <w:rFonts w:ascii="宋体" w:hAnsi="宋体" w:eastAsia="宋体" w:cs="宋体"/>
                <w:b/>
                <w:color w:val="000000"/>
                <w:kern w:val="0"/>
                <w:sz w:val="24"/>
                <w:szCs w:val="24"/>
              </w:rPr>
            </w:pPr>
          </w:p>
        </w:tc>
        <w:tc>
          <w:tcPr>
            <w:tcW w:w="1668" w:type="dxa"/>
            <w:vAlign w:val="center"/>
          </w:tcPr>
          <w:p w14:paraId="4483776C">
            <w:pPr>
              <w:spacing w:line="360" w:lineRule="auto"/>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项目</w:t>
            </w:r>
          </w:p>
        </w:tc>
        <w:tc>
          <w:tcPr>
            <w:tcW w:w="7076" w:type="dxa"/>
            <w:vAlign w:val="center"/>
          </w:tcPr>
          <w:p w14:paraId="322903AD">
            <w:pPr>
              <w:spacing w:line="360" w:lineRule="auto"/>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评分标准</w:t>
            </w:r>
          </w:p>
        </w:tc>
      </w:tr>
      <w:tr w14:paraId="22B6A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vAlign w:val="center"/>
          </w:tcPr>
          <w:p w14:paraId="37884BFD">
            <w:pPr>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投标</w:t>
            </w:r>
            <w:r>
              <w:rPr>
                <w:rFonts w:hint="eastAsia" w:ascii="宋体" w:hAnsi="宋体" w:eastAsia="宋体" w:cs="宋体"/>
                <w:color w:val="000000"/>
                <w:kern w:val="0"/>
                <w:sz w:val="24"/>
                <w:szCs w:val="24"/>
              </w:rPr>
              <w:t>报价</w:t>
            </w:r>
          </w:p>
          <w:p w14:paraId="2E9FD03C">
            <w:pPr>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50</w:t>
            </w:r>
            <w:r>
              <w:rPr>
                <w:rFonts w:hint="eastAsia" w:ascii="宋体" w:hAnsi="宋体" w:eastAsia="宋体" w:cs="宋体"/>
                <w:color w:val="000000"/>
                <w:kern w:val="0"/>
                <w:sz w:val="24"/>
                <w:szCs w:val="24"/>
              </w:rPr>
              <w:t>分）</w:t>
            </w:r>
          </w:p>
        </w:tc>
        <w:tc>
          <w:tcPr>
            <w:tcW w:w="1668" w:type="dxa"/>
            <w:vAlign w:val="center"/>
          </w:tcPr>
          <w:p w14:paraId="28E0424D">
            <w:pPr>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投标</w:t>
            </w:r>
            <w:r>
              <w:rPr>
                <w:rFonts w:hint="eastAsia" w:ascii="宋体" w:hAnsi="宋体" w:eastAsia="宋体" w:cs="宋体"/>
                <w:color w:val="000000"/>
                <w:kern w:val="0"/>
                <w:sz w:val="24"/>
                <w:szCs w:val="24"/>
              </w:rPr>
              <w:t>报价</w:t>
            </w:r>
          </w:p>
          <w:p w14:paraId="337952E5">
            <w:pPr>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0分）</w:t>
            </w:r>
          </w:p>
        </w:tc>
        <w:tc>
          <w:tcPr>
            <w:tcW w:w="7076" w:type="dxa"/>
            <w:vAlign w:val="center"/>
          </w:tcPr>
          <w:p w14:paraId="4D38E92A">
            <w:pPr>
              <w:spacing w:line="276" w:lineRule="auto"/>
              <w:jc w:val="left"/>
              <w:rPr>
                <w:rFonts w:ascii="宋体" w:hAnsi="宋体" w:eastAsia="宋体" w:cs="宋体"/>
                <w:color w:val="000000"/>
                <w:kern w:val="0"/>
                <w:sz w:val="24"/>
                <w:szCs w:val="24"/>
              </w:rPr>
            </w:pPr>
            <w:r>
              <w:rPr>
                <w:rFonts w:hint="eastAsia" w:ascii="宋体" w:hAnsi="宋体" w:eastAsia="宋体" w:cs="宋体"/>
                <w:color w:val="000000"/>
                <w:sz w:val="24"/>
                <w:szCs w:val="24"/>
              </w:rPr>
              <w:t>以满足</w:t>
            </w:r>
            <w:r>
              <w:rPr>
                <w:rFonts w:hint="eastAsia" w:ascii="宋体" w:hAnsi="宋体" w:eastAsia="宋体" w:cs="宋体"/>
                <w:color w:val="000000"/>
                <w:sz w:val="24"/>
                <w:szCs w:val="24"/>
                <w:lang w:val="en-US" w:eastAsia="zh-CN"/>
              </w:rPr>
              <w:t>招标</w:t>
            </w:r>
            <w:r>
              <w:rPr>
                <w:rFonts w:hint="eastAsia" w:ascii="宋体" w:hAnsi="宋体" w:eastAsia="宋体" w:cs="宋体"/>
                <w:color w:val="000000"/>
                <w:sz w:val="24"/>
                <w:szCs w:val="24"/>
              </w:rPr>
              <w:t>文件要求的最低报价为评审基准价，满分</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0分。其他报价得分＝（评审基准价/其他报价）×</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0×100％</w:t>
            </w:r>
          </w:p>
        </w:tc>
      </w:tr>
      <w:tr w14:paraId="093AA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vMerge w:val="restart"/>
            <w:vAlign w:val="center"/>
          </w:tcPr>
          <w:p w14:paraId="36C10A0D">
            <w:pPr>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服务方案</w:t>
            </w:r>
          </w:p>
          <w:p w14:paraId="2D760FD2">
            <w:pPr>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31</w:t>
            </w:r>
            <w:r>
              <w:rPr>
                <w:rFonts w:hint="eastAsia" w:ascii="宋体" w:hAnsi="宋体" w:eastAsia="宋体" w:cs="宋体"/>
                <w:color w:val="000000"/>
                <w:kern w:val="0"/>
                <w:sz w:val="24"/>
                <w:szCs w:val="24"/>
              </w:rPr>
              <w:t>分）</w:t>
            </w:r>
          </w:p>
        </w:tc>
        <w:tc>
          <w:tcPr>
            <w:tcW w:w="1668" w:type="dxa"/>
            <w:vAlign w:val="center"/>
          </w:tcPr>
          <w:p w14:paraId="31A3170C">
            <w:pPr>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服务承诺及服务响应时间</w:t>
            </w:r>
          </w:p>
          <w:p w14:paraId="27F62096">
            <w:pPr>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分）</w:t>
            </w:r>
          </w:p>
        </w:tc>
        <w:tc>
          <w:tcPr>
            <w:tcW w:w="7076" w:type="dxa"/>
            <w:vAlign w:val="center"/>
          </w:tcPr>
          <w:p w14:paraId="2A52D5CF">
            <w:pPr>
              <w:spacing w:line="276" w:lineRule="auto"/>
              <w:rPr>
                <w:rFonts w:ascii="宋体" w:hAnsi="宋体" w:eastAsia="宋体" w:cs="宋体"/>
                <w:color w:val="000000"/>
                <w:sz w:val="24"/>
                <w:szCs w:val="24"/>
              </w:rPr>
            </w:pPr>
            <w:r>
              <w:rPr>
                <w:rFonts w:hint="eastAsia" w:ascii="宋体" w:hAnsi="宋体" w:eastAsia="宋体" w:cs="宋体"/>
                <w:color w:val="000000"/>
                <w:sz w:val="24"/>
                <w:szCs w:val="24"/>
              </w:rPr>
              <w:t>对维保计划、工作安排及服务应急响应时间等进行综合打分，满分</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p>
          <w:p w14:paraId="2D370031">
            <w:pPr>
              <w:spacing w:line="276" w:lineRule="auto"/>
              <w:rPr>
                <w:rFonts w:ascii="宋体" w:hAnsi="宋体" w:eastAsia="宋体" w:cs="宋体"/>
                <w:color w:val="000000"/>
                <w:sz w:val="24"/>
                <w:szCs w:val="24"/>
              </w:rPr>
            </w:pPr>
            <w:r>
              <w:rPr>
                <w:rFonts w:hint="eastAsia" w:ascii="宋体" w:hAnsi="宋体" w:eastAsia="宋体" w:cs="宋体"/>
                <w:color w:val="000000"/>
                <w:sz w:val="24"/>
                <w:szCs w:val="24"/>
              </w:rPr>
              <w:t xml:space="preserve">维保计划、工作安排及服务应急响应时间科学、严密、合理，描述详细且具有针对性、高效的得 </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 xml:space="preserve"> 分；维保计划、工作安排及服务应急响应时间基本合理、描述一般、存在可操作性得 </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 xml:space="preserve">分；维保计划、工作安排及服务应急响应时间差的得 </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分；其余不得分。</w:t>
            </w:r>
          </w:p>
        </w:tc>
      </w:tr>
      <w:tr w14:paraId="0D254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vMerge w:val="continue"/>
            <w:vAlign w:val="center"/>
          </w:tcPr>
          <w:p w14:paraId="2413C829">
            <w:pPr>
              <w:spacing w:line="276" w:lineRule="auto"/>
              <w:jc w:val="center"/>
              <w:rPr>
                <w:rFonts w:ascii="宋体" w:hAnsi="宋体" w:eastAsia="宋体" w:cs="宋体"/>
                <w:color w:val="000000"/>
                <w:kern w:val="0"/>
                <w:sz w:val="24"/>
                <w:szCs w:val="24"/>
              </w:rPr>
            </w:pPr>
          </w:p>
        </w:tc>
        <w:tc>
          <w:tcPr>
            <w:tcW w:w="1668" w:type="dxa"/>
            <w:tcBorders>
              <w:top w:val="single" w:color="auto" w:sz="4" w:space="0"/>
              <w:right w:val="single" w:color="auto" w:sz="4" w:space="0"/>
            </w:tcBorders>
            <w:vAlign w:val="center"/>
          </w:tcPr>
          <w:p w14:paraId="3AD2358C">
            <w:pPr>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维修服务方案</w:t>
            </w:r>
          </w:p>
          <w:p w14:paraId="47673190">
            <w:pPr>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分）</w:t>
            </w:r>
          </w:p>
        </w:tc>
        <w:tc>
          <w:tcPr>
            <w:tcW w:w="7076" w:type="dxa"/>
            <w:tcBorders>
              <w:top w:val="single" w:color="auto" w:sz="4" w:space="0"/>
              <w:left w:val="single" w:color="auto" w:sz="4" w:space="0"/>
              <w:bottom w:val="single" w:color="auto" w:sz="4" w:space="0"/>
              <w:right w:val="single" w:color="auto" w:sz="4" w:space="0"/>
            </w:tcBorders>
            <w:vAlign w:val="center"/>
          </w:tcPr>
          <w:p w14:paraId="3C3099FF">
            <w:pPr>
              <w:rPr>
                <w:rFonts w:ascii="宋体" w:hAnsi="宋体" w:eastAsia="宋体" w:cs="宋体"/>
                <w:sz w:val="24"/>
                <w:szCs w:val="24"/>
              </w:rPr>
            </w:pPr>
            <w:r>
              <w:rPr>
                <w:rFonts w:hint="eastAsia" w:ascii="宋体" w:hAnsi="宋体" w:eastAsia="宋体" w:cs="宋体"/>
                <w:sz w:val="24"/>
                <w:szCs w:val="24"/>
              </w:rPr>
              <w:t xml:space="preserve">对维保方案描述，针对性、可操作性以及对文件响应程度进行综合打分。满分 </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14:paraId="295669FD">
            <w:pPr>
              <w:rPr>
                <w:rFonts w:ascii="宋体" w:hAnsi="宋体" w:eastAsia="宋体" w:cs="宋体"/>
                <w:sz w:val="24"/>
                <w:szCs w:val="24"/>
              </w:rPr>
            </w:pPr>
            <w:r>
              <w:rPr>
                <w:rFonts w:hint="eastAsia" w:ascii="宋体" w:hAnsi="宋体" w:eastAsia="宋体" w:cs="宋体"/>
                <w:sz w:val="24"/>
                <w:szCs w:val="24"/>
              </w:rPr>
              <w:t>维保方案科学、严密、合理，描述详细且针对性强、可操作性强，响应文件的得</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分；维保方案基本合理、描述一般、存在可操作性得 </w:t>
            </w:r>
            <w:r>
              <w:rPr>
                <w:rFonts w:hint="eastAsia" w:ascii="宋体" w:hAnsi="宋体" w:eastAsia="宋体" w:cs="宋体"/>
                <w:sz w:val="24"/>
                <w:szCs w:val="24"/>
                <w:lang w:val="en-US" w:eastAsia="zh-CN"/>
              </w:rPr>
              <w:t>3</w:t>
            </w:r>
            <w:r>
              <w:rPr>
                <w:rFonts w:hint="eastAsia" w:ascii="宋体" w:hAnsi="宋体" w:eastAsia="宋体" w:cs="宋体"/>
                <w:sz w:val="24"/>
                <w:szCs w:val="24"/>
              </w:rPr>
              <w:t>分；方案差的得</w:t>
            </w:r>
            <w:r>
              <w:rPr>
                <w:rFonts w:hint="eastAsia" w:ascii="宋体" w:hAnsi="宋体" w:eastAsia="宋体" w:cs="宋体"/>
                <w:sz w:val="24"/>
                <w:szCs w:val="24"/>
                <w:lang w:val="en-US" w:eastAsia="zh-CN"/>
              </w:rPr>
              <w:t>1</w:t>
            </w:r>
            <w:r>
              <w:rPr>
                <w:rFonts w:hint="eastAsia" w:ascii="宋体" w:hAnsi="宋体" w:eastAsia="宋体" w:cs="宋体"/>
                <w:sz w:val="24"/>
                <w:szCs w:val="24"/>
              </w:rPr>
              <w:t>分；其余不得分。</w:t>
            </w:r>
          </w:p>
        </w:tc>
      </w:tr>
      <w:tr w14:paraId="77F72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vMerge w:val="continue"/>
            <w:vAlign w:val="center"/>
          </w:tcPr>
          <w:p w14:paraId="2E9FED5A">
            <w:pPr>
              <w:spacing w:line="276" w:lineRule="auto"/>
              <w:jc w:val="center"/>
              <w:rPr>
                <w:rFonts w:ascii="宋体" w:hAnsi="宋体" w:eastAsia="宋体" w:cs="宋体"/>
                <w:color w:val="000000"/>
                <w:kern w:val="0"/>
                <w:sz w:val="24"/>
                <w:szCs w:val="24"/>
              </w:rPr>
            </w:pPr>
          </w:p>
        </w:tc>
        <w:tc>
          <w:tcPr>
            <w:tcW w:w="1668" w:type="dxa"/>
            <w:tcBorders>
              <w:right w:val="single" w:color="auto" w:sz="4" w:space="0"/>
            </w:tcBorders>
            <w:vAlign w:val="center"/>
          </w:tcPr>
          <w:p w14:paraId="2654ABBB">
            <w:pPr>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服务质量的保证措施</w:t>
            </w:r>
          </w:p>
          <w:p w14:paraId="6D3B7DF6">
            <w:pPr>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分）</w:t>
            </w:r>
          </w:p>
        </w:tc>
        <w:tc>
          <w:tcPr>
            <w:tcW w:w="7076" w:type="dxa"/>
            <w:tcBorders>
              <w:top w:val="single" w:color="auto" w:sz="4" w:space="0"/>
              <w:left w:val="single" w:color="auto" w:sz="4" w:space="0"/>
              <w:bottom w:val="single" w:color="auto" w:sz="4" w:space="0"/>
              <w:right w:val="single" w:color="auto" w:sz="4" w:space="0"/>
            </w:tcBorders>
            <w:vAlign w:val="center"/>
          </w:tcPr>
          <w:p w14:paraId="36A45B2B">
            <w:pPr>
              <w:spacing w:line="276" w:lineRule="auto"/>
              <w:rPr>
                <w:rFonts w:ascii="宋体" w:hAnsi="宋体" w:eastAsia="宋体" w:cs="宋体"/>
                <w:color w:val="000000"/>
                <w:sz w:val="24"/>
                <w:szCs w:val="24"/>
              </w:rPr>
            </w:pPr>
            <w:r>
              <w:rPr>
                <w:rFonts w:hint="eastAsia" w:ascii="宋体" w:hAnsi="宋体" w:eastAsia="宋体" w:cs="宋体"/>
                <w:color w:val="000000"/>
                <w:sz w:val="24"/>
                <w:szCs w:val="24"/>
              </w:rPr>
              <w:t>对维保服务的质量控制及保证措施进行综合打分，满分</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 xml:space="preserve"> 分。</w:t>
            </w:r>
          </w:p>
          <w:p w14:paraId="58809E76">
            <w:pPr>
              <w:spacing w:line="276" w:lineRule="auto"/>
              <w:rPr>
                <w:rFonts w:ascii="宋体" w:hAnsi="宋体" w:eastAsia="宋体" w:cs="宋体"/>
                <w:color w:val="000000"/>
                <w:sz w:val="24"/>
                <w:szCs w:val="24"/>
              </w:rPr>
            </w:pPr>
            <w:r>
              <w:rPr>
                <w:rFonts w:hint="eastAsia" w:ascii="宋体" w:hAnsi="宋体" w:eastAsia="宋体" w:cs="宋体"/>
                <w:color w:val="000000"/>
                <w:sz w:val="24"/>
                <w:szCs w:val="24"/>
              </w:rPr>
              <w:t>方案科学、严密、合理，描述详细且具有针对性、可行性的得</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 xml:space="preserve">分；方案较合理、严密、描述较为详细，具有一定的针对性、可行性的得 </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分；方案基本合理、描述一般、存在可操作性得</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分；其余不得分。</w:t>
            </w:r>
          </w:p>
        </w:tc>
      </w:tr>
      <w:tr w14:paraId="2A44E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vMerge w:val="continue"/>
            <w:vAlign w:val="center"/>
          </w:tcPr>
          <w:p w14:paraId="5C5E8DF3">
            <w:pPr>
              <w:spacing w:line="276" w:lineRule="auto"/>
              <w:jc w:val="center"/>
              <w:rPr>
                <w:rFonts w:ascii="宋体" w:hAnsi="宋体" w:eastAsia="宋体" w:cs="宋体"/>
                <w:color w:val="000000"/>
                <w:kern w:val="0"/>
                <w:sz w:val="24"/>
                <w:szCs w:val="24"/>
              </w:rPr>
            </w:pPr>
          </w:p>
        </w:tc>
        <w:tc>
          <w:tcPr>
            <w:tcW w:w="1668" w:type="dxa"/>
            <w:tcBorders>
              <w:right w:val="single" w:color="auto" w:sz="4" w:space="0"/>
            </w:tcBorders>
            <w:vAlign w:val="center"/>
          </w:tcPr>
          <w:p w14:paraId="72B1B6E8">
            <w:pPr>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应急响应方案</w:t>
            </w:r>
          </w:p>
          <w:p w14:paraId="728EE4BA">
            <w:pPr>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分）</w:t>
            </w:r>
          </w:p>
        </w:tc>
        <w:tc>
          <w:tcPr>
            <w:tcW w:w="7076" w:type="dxa"/>
            <w:tcBorders>
              <w:top w:val="single" w:color="auto" w:sz="4" w:space="0"/>
              <w:left w:val="single" w:color="auto" w:sz="4" w:space="0"/>
              <w:bottom w:val="single" w:color="auto" w:sz="4" w:space="0"/>
              <w:right w:val="single" w:color="auto" w:sz="4" w:space="0"/>
            </w:tcBorders>
            <w:vAlign w:val="center"/>
          </w:tcPr>
          <w:p w14:paraId="3385AFED">
            <w:pPr>
              <w:spacing w:line="276" w:lineRule="auto"/>
              <w:rPr>
                <w:rFonts w:ascii="宋体" w:hAnsi="宋体" w:eastAsia="宋体" w:cs="宋体"/>
                <w:sz w:val="24"/>
                <w:szCs w:val="24"/>
              </w:rPr>
            </w:pPr>
            <w:r>
              <w:rPr>
                <w:rFonts w:hint="eastAsia" w:ascii="宋体" w:hAnsi="宋体" w:eastAsia="宋体" w:cs="宋体"/>
                <w:sz w:val="24"/>
                <w:szCs w:val="24"/>
              </w:rPr>
              <w:t>对应急响应方案进行综合打分，</w:t>
            </w:r>
            <w:r>
              <w:rPr>
                <w:rFonts w:hint="eastAsia" w:ascii="宋体" w:hAnsi="宋体" w:eastAsia="宋体" w:cs="宋体"/>
                <w:color w:val="000000"/>
                <w:sz w:val="24"/>
                <w:szCs w:val="24"/>
              </w:rPr>
              <w:t xml:space="preserve">满分 </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p>
          <w:p w14:paraId="711CB06D">
            <w:pPr>
              <w:widowControl w:val="0"/>
              <w:spacing w:after="120"/>
              <w:jc w:val="both"/>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方案科学、严密、合理，描述详细且具有针对性、可行性的得 5 分；方案基本合理、描述一般、存在可操作性得3分；方案差的得1分；其余不得分。</w:t>
            </w:r>
          </w:p>
        </w:tc>
      </w:tr>
      <w:tr w14:paraId="2064D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6" w:type="dxa"/>
            <w:vMerge w:val="continue"/>
            <w:vAlign w:val="center"/>
          </w:tcPr>
          <w:p w14:paraId="6B866A88">
            <w:pPr>
              <w:spacing w:line="276" w:lineRule="auto"/>
              <w:jc w:val="center"/>
              <w:rPr>
                <w:rFonts w:ascii="宋体" w:hAnsi="宋体" w:eastAsia="宋体" w:cs="宋体"/>
                <w:color w:val="000000"/>
                <w:kern w:val="0"/>
                <w:sz w:val="24"/>
                <w:szCs w:val="24"/>
              </w:rPr>
            </w:pPr>
          </w:p>
        </w:tc>
        <w:tc>
          <w:tcPr>
            <w:tcW w:w="1668" w:type="dxa"/>
            <w:tcBorders>
              <w:right w:val="single" w:color="auto" w:sz="4" w:space="0"/>
            </w:tcBorders>
            <w:vAlign w:val="center"/>
          </w:tcPr>
          <w:p w14:paraId="5F8FCE88">
            <w:pPr>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撤场方案</w:t>
            </w:r>
          </w:p>
          <w:p w14:paraId="5735566E">
            <w:pPr>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（5分）</w:t>
            </w:r>
          </w:p>
        </w:tc>
        <w:tc>
          <w:tcPr>
            <w:tcW w:w="7076" w:type="dxa"/>
            <w:tcBorders>
              <w:top w:val="single" w:color="auto" w:sz="4" w:space="0"/>
              <w:left w:val="single" w:color="auto" w:sz="4" w:space="0"/>
              <w:bottom w:val="single" w:color="auto" w:sz="4" w:space="0"/>
              <w:right w:val="single" w:color="auto" w:sz="4" w:space="0"/>
            </w:tcBorders>
            <w:vAlign w:val="center"/>
          </w:tcPr>
          <w:p w14:paraId="13D55ECD">
            <w:pPr>
              <w:spacing w:line="276" w:lineRule="auto"/>
              <w:rPr>
                <w:rFonts w:ascii="宋体" w:hAnsi="宋体" w:eastAsia="宋体" w:cs="宋体"/>
                <w:color w:val="000000"/>
                <w:sz w:val="24"/>
                <w:szCs w:val="24"/>
              </w:rPr>
            </w:pPr>
            <w:r>
              <w:rPr>
                <w:rFonts w:hint="eastAsia" w:ascii="宋体" w:hAnsi="宋体" w:eastAsia="宋体" w:cs="宋体"/>
                <w:color w:val="000000"/>
                <w:sz w:val="24"/>
                <w:szCs w:val="24"/>
              </w:rPr>
              <w:t>对合同终止后的撤场方案，包括维保质量的验收、维保工作的交接、维保资料的交接等进行综合打分，满分5分。</w:t>
            </w:r>
          </w:p>
          <w:p w14:paraId="4BFE0AEE">
            <w:pPr>
              <w:spacing w:line="276" w:lineRule="auto"/>
              <w:rPr>
                <w:rFonts w:ascii="宋体" w:hAnsi="宋体" w:eastAsia="宋体" w:cs="宋体"/>
                <w:color w:val="000000"/>
                <w:kern w:val="0"/>
                <w:sz w:val="24"/>
                <w:szCs w:val="24"/>
              </w:rPr>
            </w:pPr>
            <w:r>
              <w:rPr>
                <w:rFonts w:hint="eastAsia" w:ascii="宋体" w:hAnsi="宋体" w:eastAsia="宋体" w:cs="宋体"/>
                <w:color w:val="000000"/>
                <w:sz w:val="24"/>
                <w:szCs w:val="24"/>
              </w:rPr>
              <w:t xml:space="preserve">方案科学、严密、合理，描述详细且具有针对性、可行性的得 5分；方案基本合理、描述一般、存在可操作性得 3分；方案差的得 </w:t>
            </w:r>
            <w:r>
              <w:rPr>
                <w:rFonts w:ascii="宋体" w:hAnsi="宋体" w:eastAsia="宋体" w:cs="宋体"/>
                <w:color w:val="000000"/>
                <w:sz w:val="24"/>
                <w:szCs w:val="24"/>
              </w:rPr>
              <w:t>1</w:t>
            </w:r>
            <w:r>
              <w:rPr>
                <w:rFonts w:hint="eastAsia" w:ascii="宋体" w:hAnsi="宋体" w:eastAsia="宋体" w:cs="宋体"/>
                <w:color w:val="000000"/>
                <w:sz w:val="24"/>
                <w:szCs w:val="24"/>
              </w:rPr>
              <w:t xml:space="preserve"> 分；其余不得分。</w:t>
            </w:r>
          </w:p>
        </w:tc>
      </w:tr>
      <w:tr w14:paraId="1B4B6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vMerge w:val="continue"/>
            <w:vAlign w:val="center"/>
          </w:tcPr>
          <w:p w14:paraId="0DF09266">
            <w:pPr>
              <w:spacing w:line="276" w:lineRule="auto"/>
              <w:jc w:val="center"/>
              <w:rPr>
                <w:rFonts w:ascii="宋体" w:hAnsi="宋体" w:eastAsia="宋体" w:cs="宋体"/>
                <w:color w:val="000000"/>
                <w:kern w:val="0"/>
                <w:sz w:val="24"/>
                <w:szCs w:val="24"/>
              </w:rPr>
            </w:pPr>
          </w:p>
        </w:tc>
        <w:tc>
          <w:tcPr>
            <w:tcW w:w="1668" w:type="dxa"/>
            <w:vAlign w:val="center"/>
          </w:tcPr>
          <w:p w14:paraId="6574D7C6">
            <w:pPr>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维修团队</w:t>
            </w:r>
          </w:p>
          <w:p w14:paraId="487886EA">
            <w:pPr>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（6分）</w:t>
            </w:r>
          </w:p>
        </w:tc>
        <w:tc>
          <w:tcPr>
            <w:tcW w:w="7076" w:type="dxa"/>
            <w:vAlign w:val="center"/>
          </w:tcPr>
          <w:p w14:paraId="746209F9">
            <w:pPr>
              <w:spacing w:line="276" w:lineRule="auto"/>
              <w:rPr>
                <w:rFonts w:ascii="宋体" w:hAnsi="宋体" w:eastAsia="宋体" w:cs="宋体"/>
                <w:kern w:val="0"/>
                <w:sz w:val="24"/>
                <w:szCs w:val="24"/>
              </w:rPr>
            </w:pPr>
            <w:r>
              <w:rPr>
                <w:rFonts w:hint="eastAsia" w:ascii="宋体" w:hAnsi="宋体" w:eastAsia="宋体" w:cs="宋体"/>
                <w:color w:val="000000"/>
                <w:kern w:val="0"/>
                <w:sz w:val="24"/>
                <w:szCs w:val="24"/>
                <w:lang w:val="en-US" w:eastAsia="zh-CN"/>
              </w:rPr>
              <w:t>投标人</w:t>
            </w:r>
            <w:r>
              <w:rPr>
                <w:rFonts w:hint="eastAsia" w:ascii="宋体" w:hAnsi="宋体" w:eastAsia="宋体" w:cs="宋体"/>
                <w:kern w:val="0"/>
                <w:sz w:val="24"/>
                <w:szCs w:val="24"/>
              </w:rPr>
              <w:t>为本项目配备固定维保团队：</w:t>
            </w:r>
          </w:p>
          <w:p w14:paraId="3FD7EA53">
            <w:pPr>
              <w:spacing w:line="276" w:lineRule="auto"/>
              <w:rPr>
                <w:rFonts w:ascii="宋体" w:hAnsi="宋体" w:eastAsia="宋体" w:cs="宋体"/>
                <w:kern w:val="0"/>
                <w:sz w:val="24"/>
                <w:szCs w:val="24"/>
              </w:rPr>
            </w:pPr>
            <w:r>
              <w:rPr>
                <w:rFonts w:hint="eastAsia" w:ascii="宋体" w:hAnsi="宋体" w:eastAsia="宋体" w:cs="宋体"/>
                <w:kern w:val="0"/>
                <w:sz w:val="24"/>
                <w:szCs w:val="24"/>
              </w:rPr>
              <w:t>提供特种设备安全管理</w:t>
            </w:r>
            <w:r>
              <w:rPr>
                <w:rFonts w:ascii="宋体" w:hAnsi="宋体" w:eastAsia="宋体" w:cs="宋体"/>
                <w:kern w:val="0"/>
                <w:sz w:val="24"/>
                <w:szCs w:val="24"/>
              </w:rPr>
              <w:t>员</w:t>
            </w:r>
            <w:r>
              <w:rPr>
                <w:rFonts w:hint="eastAsia" w:ascii="宋体" w:hAnsi="宋体" w:eastAsia="宋体" w:cs="宋体"/>
                <w:kern w:val="0"/>
                <w:sz w:val="24"/>
                <w:szCs w:val="24"/>
              </w:rPr>
              <w:t>证书，一个得1.5分，最多得3分。</w:t>
            </w:r>
          </w:p>
          <w:p w14:paraId="436D9FC0">
            <w:pPr>
              <w:spacing w:line="276" w:lineRule="auto"/>
              <w:rPr>
                <w:rFonts w:ascii="宋体" w:hAnsi="宋体" w:eastAsia="宋体" w:cs="宋体"/>
                <w:kern w:val="0"/>
                <w:sz w:val="24"/>
                <w:szCs w:val="24"/>
              </w:rPr>
            </w:pPr>
            <w:r>
              <w:rPr>
                <w:rFonts w:hint="eastAsia" w:ascii="宋体" w:hAnsi="宋体" w:eastAsia="宋体" w:cs="宋体"/>
                <w:kern w:val="0"/>
                <w:sz w:val="24"/>
                <w:szCs w:val="24"/>
              </w:rPr>
              <w:t>提供特种设备作业</w:t>
            </w:r>
            <w:r>
              <w:rPr>
                <w:rFonts w:ascii="宋体" w:hAnsi="宋体" w:eastAsia="宋体" w:cs="宋体"/>
                <w:kern w:val="0"/>
                <w:sz w:val="24"/>
                <w:szCs w:val="24"/>
              </w:rPr>
              <w:t>操作</w:t>
            </w:r>
            <w:r>
              <w:rPr>
                <w:rFonts w:hint="eastAsia" w:ascii="宋体" w:hAnsi="宋体" w:eastAsia="宋体" w:cs="宋体"/>
                <w:kern w:val="0"/>
                <w:sz w:val="24"/>
                <w:szCs w:val="24"/>
              </w:rPr>
              <w:t>人员证书，一个得1.5分，最多得3分。</w:t>
            </w:r>
          </w:p>
          <w:p w14:paraId="2D627285">
            <w:pPr>
              <w:spacing w:line="276" w:lineRule="auto"/>
              <w:rPr>
                <w:rFonts w:ascii="宋体" w:hAnsi="宋体" w:eastAsia="宋体" w:cs="宋体"/>
                <w:kern w:val="0"/>
                <w:sz w:val="24"/>
                <w:szCs w:val="24"/>
              </w:rPr>
            </w:pPr>
            <w:r>
              <w:rPr>
                <w:rFonts w:hint="eastAsia" w:ascii="宋体" w:hAnsi="宋体" w:eastAsia="宋体" w:cs="宋体"/>
                <w:kern w:val="0"/>
                <w:sz w:val="24"/>
                <w:szCs w:val="24"/>
              </w:rPr>
              <w:t>人员或证件不齐全均不得分 。</w:t>
            </w:r>
          </w:p>
          <w:p w14:paraId="209FD2B5">
            <w:pPr>
              <w:spacing w:line="276" w:lineRule="auto"/>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（提供维保人员的相关证书、以及</w:t>
            </w:r>
            <w:r>
              <w:rPr>
                <w:rFonts w:hint="eastAsia" w:ascii="宋体" w:hAnsi="宋体" w:eastAsia="宋体" w:cs="宋体"/>
                <w:b/>
                <w:bCs/>
                <w:color w:val="000000"/>
                <w:kern w:val="0"/>
                <w:sz w:val="24"/>
                <w:szCs w:val="24"/>
                <w:lang w:val="en-US" w:eastAsia="zh-CN"/>
              </w:rPr>
              <w:t>社保收缴部门出具由投标人为其依法缴纳的2025年1月-2025年3月中任意一个月的社会保障资金的相关材料</w:t>
            </w:r>
            <w:r>
              <w:rPr>
                <w:rFonts w:hint="eastAsia" w:ascii="宋体" w:hAnsi="宋体" w:eastAsia="宋体" w:cs="宋体"/>
                <w:b/>
                <w:bCs/>
                <w:color w:val="000000"/>
                <w:kern w:val="0"/>
                <w:sz w:val="24"/>
                <w:szCs w:val="24"/>
              </w:rPr>
              <w:t>，复印件加盖</w:t>
            </w:r>
            <w:r>
              <w:rPr>
                <w:rFonts w:hint="eastAsia" w:ascii="宋体" w:hAnsi="宋体" w:eastAsia="宋体" w:cs="宋体"/>
                <w:b/>
                <w:bCs/>
                <w:color w:val="000000"/>
                <w:kern w:val="0"/>
                <w:sz w:val="24"/>
                <w:szCs w:val="24"/>
                <w:lang w:val="en-US" w:eastAsia="zh-CN"/>
              </w:rPr>
              <w:t>投标人</w:t>
            </w:r>
            <w:r>
              <w:rPr>
                <w:rFonts w:hint="eastAsia" w:ascii="宋体" w:hAnsi="宋体" w:eastAsia="宋体" w:cs="宋体"/>
                <w:b/>
                <w:bCs/>
                <w:color w:val="000000"/>
                <w:kern w:val="0"/>
                <w:sz w:val="24"/>
                <w:szCs w:val="24"/>
              </w:rPr>
              <w:t>公章，证书原件备查）</w:t>
            </w:r>
          </w:p>
        </w:tc>
      </w:tr>
      <w:tr w14:paraId="61E89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tcBorders>
              <w:right w:val="single" w:color="auto" w:sz="4" w:space="0"/>
            </w:tcBorders>
            <w:vAlign w:val="center"/>
          </w:tcPr>
          <w:p w14:paraId="2505BE84">
            <w:pPr>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业绩分</w:t>
            </w:r>
          </w:p>
          <w:p w14:paraId="7FA9444B">
            <w:pPr>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（10分）</w:t>
            </w:r>
          </w:p>
        </w:tc>
        <w:tc>
          <w:tcPr>
            <w:tcW w:w="1668" w:type="dxa"/>
            <w:tcBorders>
              <w:right w:val="single" w:color="auto" w:sz="4" w:space="0"/>
            </w:tcBorders>
            <w:vAlign w:val="center"/>
          </w:tcPr>
          <w:p w14:paraId="3A88DEC6">
            <w:pPr>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项目业绩</w:t>
            </w:r>
          </w:p>
          <w:p w14:paraId="5C421A93">
            <w:pPr>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（10分）</w:t>
            </w:r>
          </w:p>
        </w:tc>
        <w:tc>
          <w:tcPr>
            <w:tcW w:w="7076" w:type="dxa"/>
            <w:tcBorders>
              <w:top w:val="single" w:color="auto" w:sz="4" w:space="0"/>
              <w:left w:val="single" w:color="auto" w:sz="4" w:space="0"/>
              <w:bottom w:val="single" w:color="auto" w:sz="4" w:space="0"/>
              <w:right w:val="single" w:color="auto" w:sz="4" w:space="0"/>
            </w:tcBorders>
            <w:vAlign w:val="center"/>
          </w:tcPr>
          <w:p w14:paraId="0288712E">
            <w:pPr>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近三年（202</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月1日至今）来，</w:t>
            </w:r>
            <w:r>
              <w:rPr>
                <w:rFonts w:hint="eastAsia" w:ascii="宋体" w:hAnsi="宋体" w:eastAsia="宋体" w:cs="宋体"/>
                <w:color w:val="000000"/>
                <w:kern w:val="0"/>
                <w:sz w:val="24"/>
                <w:szCs w:val="24"/>
                <w:lang w:val="en-US" w:eastAsia="zh-CN"/>
              </w:rPr>
              <w:t>投标人</w:t>
            </w:r>
            <w:r>
              <w:rPr>
                <w:rFonts w:hint="eastAsia" w:ascii="宋体" w:hAnsi="宋体" w:eastAsia="宋体" w:cs="宋体"/>
                <w:color w:val="000000"/>
                <w:kern w:val="0"/>
                <w:sz w:val="24"/>
                <w:szCs w:val="24"/>
              </w:rPr>
              <w:t>承担过的类似电梯维保业绩，有1个得2分，满分10分</w:t>
            </w:r>
            <w:r>
              <w:rPr>
                <w:rFonts w:hint="eastAsia" w:ascii="宋体" w:hAnsi="宋体" w:eastAsia="宋体" w:cs="宋体"/>
                <w:b/>
                <w:bCs/>
                <w:color w:val="000000"/>
                <w:kern w:val="0"/>
                <w:sz w:val="24"/>
                <w:szCs w:val="24"/>
              </w:rPr>
              <w:t>（以签订合同时间为准，须提供合同复印件加盖</w:t>
            </w:r>
            <w:r>
              <w:rPr>
                <w:rFonts w:hint="eastAsia" w:ascii="宋体" w:hAnsi="宋体" w:eastAsia="宋体" w:cs="宋体"/>
                <w:b/>
                <w:bCs/>
                <w:color w:val="000000"/>
                <w:kern w:val="0"/>
                <w:sz w:val="24"/>
                <w:szCs w:val="24"/>
                <w:lang w:val="en-US" w:eastAsia="zh-CN"/>
              </w:rPr>
              <w:t>投标人</w:t>
            </w:r>
            <w:r>
              <w:rPr>
                <w:rFonts w:hint="eastAsia" w:ascii="宋体" w:hAnsi="宋体" w:eastAsia="宋体" w:cs="宋体"/>
                <w:b/>
                <w:bCs/>
                <w:color w:val="000000"/>
                <w:kern w:val="0"/>
                <w:sz w:val="24"/>
                <w:szCs w:val="24"/>
              </w:rPr>
              <w:t>公章，原件备查）</w:t>
            </w:r>
          </w:p>
        </w:tc>
      </w:tr>
      <w:tr w14:paraId="7CCAC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06" w:type="dxa"/>
            <w:vMerge w:val="restart"/>
            <w:vAlign w:val="center"/>
          </w:tcPr>
          <w:p w14:paraId="1565D477">
            <w:pPr>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企业综合实力（</w:t>
            </w:r>
            <w:r>
              <w:rPr>
                <w:rFonts w:hint="eastAsia" w:ascii="宋体" w:hAnsi="宋体" w:eastAsia="宋体" w:cs="宋体"/>
                <w:color w:val="000000"/>
                <w:kern w:val="0"/>
                <w:sz w:val="24"/>
                <w:szCs w:val="24"/>
                <w:lang w:val="en-US" w:eastAsia="zh-CN"/>
              </w:rPr>
              <w:t>9</w:t>
            </w:r>
            <w:r>
              <w:rPr>
                <w:rFonts w:hint="eastAsia" w:ascii="宋体" w:hAnsi="宋体" w:eastAsia="宋体" w:cs="宋体"/>
                <w:color w:val="000000"/>
                <w:kern w:val="0"/>
                <w:sz w:val="24"/>
                <w:szCs w:val="24"/>
              </w:rPr>
              <w:t>分）</w:t>
            </w:r>
          </w:p>
        </w:tc>
        <w:tc>
          <w:tcPr>
            <w:tcW w:w="1668" w:type="dxa"/>
            <w:vAlign w:val="center"/>
          </w:tcPr>
          <w:p w14:paraId="5AD997FD">
            <w:pPr>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售后服务机构</w:t>
            </w:r>
          </w:p>
          <w:p w14:paraId="706382BD">
            <w:pPr>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分）</w:t>
            </w:r>
          </w:p>
        </w:tc>
        <w:tc>
          <w:tcPr>
            <w:tcW w:w="7076" w:type="dxa"/>
            <w:vAlign w:val="center"/>
          </w:tcPr>
          <w:p w14:paraId="530DF7FD">
            <w:pPr>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hint="eastAsia" w:ascii="宋体" w:hAnsi="宋体" w:eastAsia="宋体" w:cs="宋体"/>
                <w:color w:val="000000"/>
                <w:kern w:val="0"/>
                <w:sz w:val="24"/>
                <w:szCs w:val="24"/>
                <w:lang w:val="en-US" w:eastAsia="zh-CN"/>
              </w:rPr>
              <w:t>中标</w:t>
            </w:r>
            <w:r>
              <w:rPr>
                <w:rFonts w:hint="eastAsia" w:ascii="宋体" w:hAnsi="宋体" w:eastAsia="宋体" w:cs="宋体"/>
                <w:color w:val="000000"/>
                <w:kern w:val="0"/>
                <w:sz w:val="24"/>
                <w:szCs w:val="24"/>
              </w:rPr>
              <w:t>后在扬州本地有安装及售后服务公司或与扬州本地的安装及售后服务公司有合作协议，且安装及售后服务公司在扬州市市场监督管理局备案得</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分；没有不得分。</w:t>
            </w:r>
            <w:r>
              <w:rPr>
                <w:rFonts w:hint="eastAsia" w:ascii="宋体" w:hAnsi="宋体" w:eastAsia="宋体" w:cs="宋体"/>
                <w:b/>
                <w:bCs/>
                <w:color w:val="000000"/>
                <w:kern w:val="0"/>
                <w:sz w:val="24"/>
                <w:szCs w:val="24"/>
              </w:rPr>
              <w:t>（提供承诺书原件）</w:t>
            </w:r>
          </w:p>
        </w:tc>
      </w:tr>
      <w:tr w14:paraId="08A00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06" w:type="dxa"/>
            <w:vMerge w:val="continue"/>
            <w:vAlign w:val="center"/>
          </w:tcPr>
          <w:p w14:paraId="4279A2C2">
            <w:pPr>
              <w:spacing w:line="276" w:lineRule="auto"/>
              <w:jc w:val="center"/>
              <w:rPr>
                <w:rFonts w:ascii="宋体" w:hAnsi="宋体" w:eastAsia="宋体" w:cs="宋体"/>
                <w:color w:val="000000"/>
                <w:kern w:val="0"/>
                <w:sz w:val="24"/>
                <w:szCs w:val="24"/>
              </w:rPr>
            </w:pPr>
          </w:p>
        </w:tc>
        <w:tc>
          <w:tcPr>
            <w:tcW w:w="1668" w:type="dxa"/>
            <w:vAlign w:val="center"/>
          </w:tcPr>
          <w:p w14:paraId="6A995FFC">
            <w:pPr>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体系认证证书（</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分）</w:t>
            </w:r>
          </w:p>
        </w:tc>
        <w:tc>
          <w:tcPr>
            <w:tcW w:w="7076" w:type="dxa"/>
            <w:vAlign w:val="center"/>
          </w:tcPr>
          <w:p w14:paraId="4B8D1C85">
            <w:pPr>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投标人</w:t>
            </w:r>
            <w:r>
              <w:rPr>
                <w:rFonts w:hint="eastAsia" w:ascii="宋体" w:hAnsi="宋体" w:eastAsia="宋体" w:cs="宋体"/>
                <w:color w:val="000000"/>
                <w:kern w:val="0"/>
                <w:sz w:val="24"/>
                <w:szCs w:val="24"/>
              </w:rPr>
              <w:t>具备ISO9001质量管理体系认证证书、ISO14001环境管理体系认证证书、IS045001职业健康安全管理体系认证证书、</w:t>
            </w:r>
            <w:r>
              <w:rPr>
                <w:rFonts w:hint="eastAsia" w:ascii="宋体" w:hAnsi="宋体" w:eastAsia="宋体" w:cs="宋体"/>
                <w:kern w:val="0"/>
                <w:sz w:val="24"/>
                <w:szCs w:val="24"/>
              </w:rPr>
              <w:t>GB/T27922售后服务评价体系认证证书五星，</w:t>
            </w:r>
            <w:r>
              <w:rPr>
                <w:rFonts w:hint="eastAsia" w:ascii="宋体" w:hAnsi="宋体" w:eastAsia="宋体" w:cs="宋体"/>
                <w:color w:val="000000"/>
                <w:kern w:val="0"/>
                <w:sz w:val="24"/>
                <w:szCs w:val="24"/>
              </w:rPr>
              <w:t>每提供一项得</w:t>
            </w:r>
            <w:r>
              <w:rPr>
                <w:rFonts w:hint="eastAsia" w:ascii="宋体" w:hAnsi="宋体" w:eastAsia="宋体" w:cs="宋体"/>
                <w:color w:val="000000"/>
                <w:kern w:val="0"/>
                <w:sz w:val="24"/>
                <w:szCs w:val="24"/>
                <w:lang w:val="en-US" w:eastAsia="zh-CN"/>
              </w:rPr>
              <w:t>0.5</w:t>
            </w:r>
            <w:r>
              <w:rPr>
                <w:rFonts w:hint="eastAsia" w:ascii="宋体" w:hAnsi="宋体" w:eastAsia="宋体" w:cs="宋体"/>
                <w:color w:val="000000"/>
                <w:kern w:val="0"/>
                <w:sz w:val="24"/>
                <w:szCs w:val="24"/>
              </w:rPr>
              <w:t>分，满分</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分。</w:t>
            </w:r>
            <w:r>
              <w:rPr>
                <w:rFonts w:hint="eastAsia" w:ascii="宋体" w:hAnsi="宋体" w:eastAsia="宋体" w:cs="宋体"/>
                <w:b/>
                <w:bCs/>
                <w:color w:val="000000"/>
                <w:kern w:val="0"/>
                <w:sz w:val="24"/>
                <w:szCs w:val="24"/>
              </w:rPr>
              <w:t>（须提供复印件加盖</w:t>
            </w:r>
            <w:r>
              <w:rPr>
                <w:rFonts w:hint="eastAsia" w:ascii="宋体" w:hAnsi="宋体" w:eastAsia="宋体" w:cs="宋体"/>
                <w:b/>
                <w:bCs/>
                <w:color w:val="000000"/>
                <w:kern w:val="0"/>
                <w:sz w:val="24"/>
                <w:szCs w:val="24"/>
                <w:lang w:val="en-US" w:eastAsia="zh-CN"/>
              </w:rPr>
              <w:t>投标人</w:t>
            </w:r>
            <w:r>
              <w:rPr>
                <w:rFonts w:hint="eastAsia" w:ascii="宋体" w:hAnsi="宋体" w:eastAsia="宋体" w:cs="宋体"/>
                <w:b/>
                <w:bCs/>
                <w:color w:val="000000"/>
                <w:kern w:val="0"/>
                <w:sz w:val="24"/>
                <w:szCs w:val="24"/>
              </w:rPr>
              <w:t>公章，原件备查）</w:t>
            </w:r>
          </w:p>
        </w:tc>
      </w:tr>
      <w:tr w14:paraId="2C0A8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206" w:type="dxa"/>
            <w:vMerge w:val="continue"/>
            <w:vAlign w:val="center"/>
          </w:tcPr>
          <w:p w14:paraId="46458276">
            <w:pPr>
              <w:spacing w:line="276" w:lineRule="auto"/>
              <w:jc w:val="center"/>
              <w:rPr>
                <w:rFonts w:ascii="宋体" w:hAnsi="宋体" w:eastAsia="宋体" w:cs="宋体"/>
                <w:color w:val="000000"/>
                <w:kern w:val="0"/>
                <w:sz w:val="24"/>
                <w:szCs w:val="24"/>
              </w:rPr>
            </w:pPr>
          </w:p>
        </w:tc>
        <w:tc>
          <w:tcPr>
            <w:tcW w:w="1668" w:type="dxa"/>
            <w:vAlign w:val="center"/>
          </w:tcPr>
          <w:p w14:paraId="02C6589D">
            <w:pPr>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企业维保星级</w:t>
            </w:r>
          </w:p>
          <w:p w14:paraId="1CFC4BEF">
            <w:pPr>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分）</w:t>
            </w:r>
          </w:p>
        </w:tc>
        <w:tc>
          <w:tcPr>
            <w:tcW w:w="7076" w:type="dxa"/>
            <w:vAlign w:val="center"/>
          </w:tcPr>
          <w:p w14:paraId="68861E98">
            <w:pPr>
              <w:spacing w:line="276" w:lineRule="auto"/>
              <w:rPr>
                <w:rFonts w:ascii="宋体" w:hAnsi="宋体" w:eastAsia="宋体" w:cs="宋体"/>
                <w:color w:val="000000"/>
                <w:kern w:val="0"/>
                <w:sz w:val="24"/>
                <w:szCs w:val="24"/>
              </w:rPr>
            </w:pPr>
            <w:r>
              <w:rPr>
                <w:rFonts w:hint="eastAsia" w:ascii="宋体" w:hAnsi="宋体" w:eastAsia="宋体" w:cs="宋体"/>
                <w:color w:val="000000"/>
                <w:sz w:val="24"/>
                <w:szCs w:val="24"/>
                <w:lang w:val="en-US" w:eastAsia="zh-CN"/>
              </w:rPr>
              <w:t>投标人</w:t>
            </w:r>
            <w:r>
              <w:rPr>
                <w:rFonts w:hint="eastAsia" w:ascii="宋体" w:hAnsi="宋体" w:eastAsia="宋体" w:cs="宋体"/>
                <w:color w:val="000000"/>
                <w:sz w:val="24"/>
                <w:szCs w:val="24"/>
              </w:rPr>
              <w:t>获得省级及以上行业主管部门颁发的维保单位星级证书（近三年度</w:t>
            </w:r>
            <w:r>
              <w:rPr>
                <w:rFonts w:hint="eastAsia" w:ascii="宋体" w:hAnsi="宋体" w:eastAsia="宋体" w:cs="宋体"/>
                <w:color w:val="000000"/>
                <w:kern w:val="0"/>
                <w:sz w:val="24"/>
                <w:szCs w:val="24"/>
              </w:rPr>
              <w:t>202</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年1月1日至今</w:t>
            </w:r>
            <w:r>
              <w:rPr>
                <w:rFonts w:hint="eastAsia" w:ascii="宋体" w:hAnsi="宋体" w:eastAsia="宋体" w:cs="宋体"/>
                <w:color w:val="000000"/>
                <w:sz w:val="24"/>
                <w:szCs w:val="24"/>
              </w:rPr>
              <w:t>）在四星及以上的得</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分，三星得</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分，二</w:t>
            </w:r>
            <w:r>
              <w:rPr>
                <w:rFonts w:hint="eastAsia" w:ascii="宋体" w:hAnsi="宋体" w:eastAsia="宋体" w:cs="宋体"/>
                <w:color w:val="000000"/>
                <w:kern w:val="0"/>
                <w:sz w:val="24"/>
                <w:szCs w:val="24"/>
              </w:rPr>
              <w:t>星及以下不得分。</w:t>
            </w:r>
            <w:r>
              <w:rPr>
                <w:rFonts w:hint="eastAsia" w:ascii="宋体" w:hAnsi="宋体" w:eastAsia="宋体" w:cs="宋体"/>
                <w:b/>
                <w:bCs/>
                <w:color w:val="000000"/>
                <w:kern w:val="0"/>
                <w:sz w:val="24"/>
                <w:szCs w:val="24"/>
              </w:rPr>
              <w:t>（须提供复印件加盖</w:t>
            </w:r>
            <w:r>
              <w:rPr>
                <w:rFonts w:hint="eastAsia" w:ascii="宋体" w:hAnsi="宋体" w:eastAsia="宋体" w:cs="宋体"/>
                <w:b/>
                <w:bCs/>
                <w:color w:val="000000"/>
                <w:kern w:val="0"/>
                <w:sz w:val="24"/>
                <w:szCs w:val="24"/>
                <w:lang w:val="en-US" w:eastAsia="zh-CN"/>
              </w:rPr>
              <w:t>投标人</w:t>
            </w:r>
            <w:r>
              <w:rPr>
                <w:rFonts w:hint="eastAsia" w:ascii="宋体" w:hAnsi="宋体" w:eastAsia="宋体" w:cs="宋体"/>
                <w:b/>
                <w:bCs/>
                <w:color w:val="000000"/>
                <w:kern w:val="0"/>
                <w:sz w:val="24"/>
                <w:szCs w:val="24"/>
              </w:rPr>
              <w:t>公章，原件备查）</w:t>
            </w:r>
          </w:p>
        </w:tc>
      </w:tr>
    </w:tbl>
    <w:p w14:paraId="6BE293B2">
      <w:pPr>
        <w:widowControl w:val="0"/>
        <w:numPr>
          <w:ilvl w:val="0"/>
          <w:numId w:val="0"/>
        </w:numPr>
        <w:spacing w:line="360" w:lineRule="auto"/>
        <w:jc w:val="both"/>
        <w:rPr>
          <w:rFonts w:hint="eastAsia" w:ascii="宋体" w:hAnsi="宋体" w:eastAsia="宋体" w:cs="宋体"/>
          <w:b/>
          <w:sz w:val="24"/>
          <w:szCs w:val="24"/>
        </w:rPr>
      </w:pPr>
    </w:p>
    <w:p w14:paraId="000478ED">
      <w:pPr>
        <w:spacing w:line="360" w:lineRule="auto"/>
        <w:rPr>
          <w:rFonts w:ascii="宋体" w:hAnsi="宋体" w:eastAsia="宋体" w:cs="宋体"/>
          <w:b/>
          <w:color w:val="000000"/>
          <w:sz w:val="24"/>
          <w:szCs w:val="24"/>
        </w:rPr>
      </w:pPr>
      <w:r>
        <w:rPr>
          <w:rFonts w:hint="eastAsia" w:ascii="宋体" w:hAnsi="宋体" w:eastAsia="宋体" w:cs="宋体"/>
          <w:b/>
          <w:sz w:val="24"/>
          <w:szCs w:val="24"/>
        </w:rPr>
        <w:t xml:space="preserve">注： </w:t>
      </w:r>
      <w:r>
        <w:rPr>
          <w:rFonts w:hint="eastAsia" w:ascii="宋体" w:hAnsi="宋体" w:eastAsia="宋体" w:cs="宋体"/>
          <w:b/>
          <w:color w:val="000000"/>
          <w:sz w:val="24"/>
          <w:szCs w:val="24"/>
        </w:rPr>
        <w:t>1、评分细则中要求提供的证明文件及资料等在投标文件中提供复印件，要求“原件备查”的须在投标截止前将相关原件或公证件带至开评标现场并按要求提交评委会审查。</w:t>
      </w:r>
    </w:p>
    <w:p w14:paraId="686D2EA7">
      <w:pPr>
        <w:spacing w:line="360" w:lineRule="auto"/>
        <w:rPr>
          <w:rFonts w:ascii="宋体" w:hAnsi="宋体" w:eastAsia="宋体" w:cs="宋体"/>
          <w:b/>
          <w:bCs/>
          <w:kern w:val="0"/>
          <w:sz w:val="24"/>
          <w:szCs w:val="24"/>
        </w:rPr>
        <w:sectPr>
          <w:footerReference r:id="rId5" w:type="default"/>
          <w:pgSz w:w="11906" w:h="16838"/>
          <w:pgMar w:top="1440" w:right="1800" w:bottom="1440" w:left="1800" w:header="851" w:footer="992" w:gutter="0"/>
          <w:pgNumType w:start="1"/>
          <w:cols w:space="720" w:num="1"/>
          <w:docGrid w:type="lines" w:linePitch="312" w:charSpace="0"/>
        </w:sectPr>
      </w:pPr>
      <w:r>
        <w:rPr>
          <w:rFonts w:hint="eastAsia" w:ascii="宋体" w:hAnsi="宋体" w:eastAsia="宋体" w:cs="宋体"/>
          <w:b/>
          <w:color w:val="000000"/>
          <w:sz w:val="24"/>
          <w:szCs w:val="24"/>
          <w:lang w:val="en-US" w:eastAsia="zh-CN"/>
        </w:rPr>
        <w:t>2、</w:t>
      </w:r>
      <w:r>
        <w:rPr>
          <w:rFonts w:hint="eastAsia" w:ascii="宋体" w:hAnsi="宋体" w:eastAsia="宋体" w:cs="宋体"/>
          <w:b/>
          <w:color w:val="000000"/>
          <w:sz w:val="24"/>
          <w:szCs w:val="24"/>
        </w:rPr>
        <w:t>评标时，未能按以上要求提供相应证明（复印件和原件、公证件）的，不作为评标依据，不得分。</w:t>
      </w:r>
    </w:p>
    <w:p w14:paraId="56AEC2CB">
      <w:pPr>
        <w:keepNext/>
        <w:keepLines/>
        <w:spacing w:before="312" w:beforeLines="100" w:after="312" w:afterLines="100" w:line="360" w:lineRule="auto"/>
        <w:jc w:val="center"/>
        <w:outlineLvl w:val="0"/>
        <w:rPr>
          <w:rFonts w:ascii="宋体" w:hAnsi="宋体" w:eastAsia="宋体" w:cs="宋体"/>
          <w:kern w:val="44"/>
          <w:sz w:val="36"/>
          <w:szCs w:val="36"/>
          <w:u w:color="000000"/>
          <w:lang w:val="zh-TW" w:eastAsia="zh-TW"/>
        </w:rPr>
      </w:pPr>
      <w:bookmarkStart w:id="15" w:name="_Toc5120"/>
      <w:r>
        <w:rPr>
          <w:rFonts w:hint="eastAsia" w:ascii="宋体" w:hAnsi="宋体" w:eastAsia="宋体" w:cs="宋体"/>
          <w:kern w:val="44"/>
          <w:sz w:val="36"/>
          <w:szCs w:val="36"/>
          <w:u w:color="000000"/>
          <w:lang w:val="zh-TW" w:eastAsia="zh-TW"/>
        </w:rPr>
        <w:t>第</w:t>
      </w:r>
      <w:r>
        <w:rPr>
          <w:rFonts w:hint="eastAsia" w:ascii="宋体" w:hAnsi="宋体" w:eastAsia="宋体" w:cs="宋体"/>
          <w:kern w:val="44"/>
          <w:sz w:val="36"/>
          <w:szCs w:val="36"/>
          <w:u w:color="000000"/>
          <w:lang w:val="zh-TW"/>
        </w:rPr>
        <w:t>六</w:t>
      </w:r>
      <w:r>
        <w:rPr>
          <w:rFonts w:hint="eastAsia" w:ascii="宋体" w:hAnsi="宋体" w:eastAsia="宋体" w:cs="宋体"/>
          <w:kern w:val="44"/>
          <w:sz w:val="36"/>
          <w:szCs w:val="36"/>
          <w:u w:color="000000"/>
          <w:lang w:val="zh-TW" w:eastAsia="zh-TW"/>
        </w:rPr>
        <w:t>章  投标文件格式</w:t>
      </w:r>
      <w:bookmarkEnd w:id="15"/>
    </w:p>
    <w:p w14:paraId="16903BF3">
      <w:pPr>
        <w:spacing w:line="360" w:lineRule="auto"/>
        <w:jc w:val="right"/>
        <w:rPr>
          <w:rFonts w:ascii="宋体" w:hAnsi="宋体" w:eastAsia="宋体" w:cs="宋体"/>
          <w:sz w:val="36"/>
          <w:szCs w:val="36"/>
          <w:lang w:val="zh-TW" w:eastAsia="zh-TW"/>
        </w:rPr>
      </w:pPr>
      <w:r>
        <w:rPr>
          <w:rFonts w:hint="eastAsia" w:ascii="宋体" w:hAnsi="宋体" w:eastAsia="宋体" w:cs="宋体"/>
          <w:sz w:val="36"/>
          <w:szCs w:val="36"/>
          <w:lang w:val="zh-TW"/>
        </w:rPr>
        <w:t>正本/副本</w:t>
      </w:r>
    </w:p>
    <w:p w14:paraId="1EB27DA4">
      <w:pPr>
        <w:spacing w:line="360" w:lineRule="auto"/>
        <w:rPr>
          <w:rFonts w:ascii="宋体" w:hAnsi="宋体" w:eastAsia="宋体" w:cs="宋体"/>
          <w:sz w:val="36"/>
          <w:szCs w:val="36"/>
          <w:u w:val="single" w:color="000000"/>
          <w:lang w:val="zh-TW" w:eastAsia="zh-TW"/>
        </w:rPr>
      </w:pPr>
    </w:p>
    <w:p w14:paraId="2143DA37">
      <w:pPr>
        <w:spacing w:line="360" w:lineRule="auto"/>
        <w:rPr>
          <w:rFonts w:ascii="宋体" w:hAnsi="宋体" w:eastAsia="宋体" w:cs="宋体"/>
          <w:sz w:val="36"/>
          <w:szCs w:val="36"/>
          <w:u w:val="single" w:color="000000"/>
          <w:lang w:val="zh-TW" w:eastAsia="zh-TW"/>
        </w:rPr>
      </w:pPr>
    </w:p>
    <w:p w14:paraId="4F80BC5C">
      <w:pPr>
        <w:spacing w:line="360" w:lineRule="auto"/>
        <w:rPr>
          <w:rFonts w:ascii="宋体" w:hAnsi="宋体" w:eastAsia="宋体" w:cs="宋体"/>
          <w:sz w:val="36"/>
          <w:szCs w:val="36"/>
          <w:u w:val="single" w:color="000000"/>
          <w:lang w:val="zh-TW" w:eastAsia="zh-TW"/>
        </w:rPr>
      </w:pPr>
    </w:p>
    <w:p w14:paraId="40AA3EAC">
      <w:pPr>
        <w:spacing w:line="360" w:lineRule="auto"/>
        <w:jc w:val="center"/>
        <w:rPr>
          <w:rFonts w:ascii="宋体" w:hAnsi="宋体" w:eastAsia="宋体" w:cs="宋体"/>
          <w:sz w:val="36"/>
          <w:szCs w:val="36"/>
          <w:lang w:val="zh-TW"/>
        </w:rPr>
      </w:pPr>
      <w:r>
        <w:rPr>
          <w:rFonts w:hint="eastAsia" w:ascii="宋体" w:hAnsi="宋体" w:eastAsia="宋体" w:cs="宋体"/>
          <w:sz w:val="36"/>
          <w:szCs w:val="36"/>
          <w:lang w:val="zh-TW" w:eastAsia="zh-CN"/>
        </w:rPr>
        <w:t>南京邮电大学通达学院2025年5月-2027年5月电梯维保服务采购</w:t>
      </w:r>
      <w:r>
        <w:rPr>
          <w:rFonts w:hint="eastAsia" w:ascii="宋体" w:hAnsi="宋体" w:eastAsia="宋体" w:cs="宋体"/>
          <w:sz w:val="36"/>
          <w:szCs w:val="36"/>
          <w:lang w:val="zh-TW"/>
        </w:rPr>
        <w:t>项目</w:t>
      </w:r>
    </w:p>
    <w:p w14:paraId="53778C3F">
      <w:pPr>
        <w:spacing w:line="360" w:lineRule="auto"/>
        <w:jc w:val="center"/>
        <w:rPr>
          <w:rFonts w:ascii="宋体" w:hAnsi="宋体" w:eastAsia="宋体" w:cs="宋体"/>
          <w:sz w:val="36"/>
          <w:szCs w:val="36"/>
          <w:u w:color="000000"/>
        </w:rPr>
      </w:pPr>
      <w:r>
        <w:rPr>
          <w:rFonts w:hint="eastAsia" w:ascii="宋体" w:hAnsi="宋体" w:eastAsia="宋体" w:cs="宋体"/>
          <w:sz w:val="36"/>
          <w:szCs w:val="36"/>
          <w:u w:color="000000"/>
        </w:rPr>
        <w:t>项目编号：</w:t>
      </w:r>
    </w:p>
    <w:p w14:paraId="7F558E0A">
      <w:pPr>
        <w:spacing w:line="360" w:lineRule="auto"/>
        <w:rPr>
          <w:rFonts w:ascii="宋体" w:hAnsi="宋体" w:eastAsia="宋体" w:cs="宋体"/>
          <w:sz w:val="36"/>
          <w:szCs w:val="36"/>
          <w:u w:color="000000"/>
        </w:rPr>
      </w:pPr>
    </w:p>
    <w:p w14:paraId="1A5FFD9A">
      <w:pPr>
        <w:spacing w:line="360" w:lineRule="auto"/>
        <w:jc w:val="center"/>
        <w:rPr>
          <w:rFonts w:ascii="宋体" w:hAnsi="宋体" w:eastAsia="宋体" w:cs="宋体"/>
          <w:sz w:val="36"/>
          <w:szCs w:val="36"/>
          <w:u w:color="000000"/>
        </w:rPr>
      </w:pPr>
    </w:p>
    <w:p w14:paraId="645C1AD0">
      <w:pPr>
        <w:spacing w:after="120"/>
        <w:jc w:val="center"/>
        <w:rPr>
          <w:rFonts w:ascii="宋体" w:hAnsi="宋体" w:eastAsia="宋体" w:cs="宋体"/>
          <w:sz w:val="52"/>
          <w:szCs w:val="52"/>
          <w:u w:color="000000"/>
        </w:rPr>
      </w:pPr>
      <w:r>
        <w:rPr>
          <w:rFonts w:hint="eastAsia" w:ascii="宋体" w:hAnsi="宋体" w:eastAsia="宋体" w:cs="宋体"/>
          <w:sz w:val="52"/>
          <w:szCs w:val="52"/>
          <w:u w:color="000000"/>
          <w:lang w:val="zh-TW"/>
        </w:rPr>
        <w:t>投标</w:t>
      </w:r>
      <w:r>
        <w:rPr>
          <w:rFonts w:hint="eastAsia" w:ascii="宋体" w:hAnsi="宋体" w:eastAsia="宋体" w:cs="宋体"/>
          <w:sz w:val="52"/>
          <w:szCs w:val="52"/>
          <w:u w:color="000000"/>
          <w:lang w:val="zh-TW" w:eastAsia="zh-TW"/>
        </w:rPr>
        <w:t>文件</w:t>
      </w:r>
    </w:p>
    <w:p w14:paraId="14F95D6A">
      <w:pPr>
        <w:spacing w:line="360" w:lineRule="auto"/>
        <w:jc w:val="center"/>
        <w:rPr>
          <w:rFonts w:ascii="宋体" w:hAnsi="宋体" w:eastAsia="宋体" w:cs="宋体"/>
          <w:b/>
          <w:bCs/>
          <w:sz w:val="28"/>
          <w:szCs w:val="28"/>
          <w:u w:color="000000"/>
        </w:rPr>
      </w:pPr>
    </w:p>
    <w:p w14:paraId="4C75F6E2">
      <w:pPr>
        <w:spacing w:line="360" w:lineRule="auto"/>
        <w:jc w:val="center"/>
        <w:rPr>
          <w:rFonts w:ascii="宋体" w:hAnsi="宋体" w:eastAsia="宋体" w:cs="宋体"/>
          <w:b/>
          <w:bCs/>
          <w:sz w:val="28"/>
          <w:szCs w:val="28"/>
          <w:u w:color="000000"/>
        </w:rPr>
      </w:pPr>
    </w:p>
    <w:p w14:paraId="216A8772">
      <w:pPr>
        <w:spacing w:line="360" w:lineRule="auto"/>
        <w:jc w:val="center"/>
        <w:rPr>
          <w:rFonts w:ascii="宋体" w:hAnsi="宋体" w:eastAsia="宋体" w:cs="宋体"/>
          <w:b/>
          <w:bCs/>
          <w:sz w:val="28"/>
          <w:szCs w:val="28"/>
          <w:u w:color="000000"/>
        </w:rPr>
      </w:pPr>
    </w:p>
    <w:p w14:paraId="089C54ED">
      <w:pPr>
        <w:spacing w:line="360" w:lineRule="auto"/>
        <w:jc w:val="center"/>
        <w:rPr>
          <w:rFonts w:ascii="宋体" w:hAnsi="宋体" w:eastAsia="宋体" w:cs="宋体"/>
          <w:b/>
          <w:bCs/>
          <w:sz w:val="28"/>
          <w:szCs w:val="28"/>
          <w:u w:color="000000"/>
        </w:rPr>
      </w:pPr>
    </w:p>
    <w:p w14:paraId="3B561810">
      <w:pPr>
        <w:spacing w:line="360" w:lineRule="auto"/>
        <w:jc w:val="center"/>
        <w:rPr>
          <w:rFonts w:ascii="宋体" w:hAnsi="宋体" w:eastAsia="宋体" w:cs="宋体"/>
          <w:b/>
          <w:bCs/>
          <w:sz w:val="28"/>
          <w:szCs w:val="28"/>
          <w:u w:color="000000"/>
        </w:rPr>
      </w:pPr>
    </w:p>
    <w:p w14:paraId="245300DA">
      <w:pPr>
        <w:spacing w:line="360" w:lineRule="auto"/>
        <w:jc w:val="center"/>
        <w:rPr>
          <w:rFonts w:ascii="宋体" w:hAnsi="宋体" w:eastAsia="宋体" w:cs="宋体"/>
          <w:sz w:val="28"/>
          <w:szCs w:val="28"/>
          <w:u w:color="000000"/>
        </w:rPr>
      </w:pPr>
      <w:r>
        <w:rPr>
          <w:rFonts w:hint="eastAsia" w:ascii="宋体" w:hAnsi="宋体" w:eastAsia="宋体" w:cs="宋体"/>
          <w:sz w:val="28"/>
          <w:szCs w:val="28"/>
          <w:u w:color="000000"/>
          <w:lang w:val="zh-TW"/>
        </w:rPr>
        <w:t>投标人</w:t>
      </w:r>
      <w:r>
        <w:rPr>
          <w:rFonts w:hint="eastAsia" w:ascii="宋体" w:hAnsi="宋体" w:eastAsia="宋体" w:cs="宋体"/>
          <w:sz w:val="28"/>
          <w:szCs w:val="28"/>
          <w:u w:color="000000"/>
          <w:lang w:val="zh-TW" w:eastAsia="zh-TW"/>
        </w:rPr>
        <w:t>：</w:t>
      </w:r>
      <w:r>
        <w:rPr>
          <w:rFonts w:hint="eastAsia" w:ascii="宋体" w:hAnsi="宋体" w:eastAsia="宋体" w:cs="宋体"/>
          <w:sz w:val="28"/>
          <w:szCs w:val="28"/>
          <w:u w:val="single"/>
          <w:lang w:val="zh-TW"/>
        </w:rPr>
        <w:t xml:space="preserve">     </w:t>
      </w:r>
      <w:r>
        <w:rPr>
          <w:rFonts w:hint="eastAsia" w:ascii="宋体" w:hAnsi="宋体" w:eastAsia="宋体" w:cs="宋体"/>
          <w:sz w:val="28"/>
          <w:szCs w:val="28"/>
          <w:u w:val="single"/>
          <w:lang w:val="zh-TW" w:eastAsia="zh-TW"/>
        </w:rPr>
        <w:t xml:space="preserve">   </w:t>
      </w:r>
      <w:r>
        <w:rPr>
          <w:rFonts w:hint="eastAsia" w:ascii="宋体" w:hAnsi="宋体" w:eastAsia="宋体" w:cs="宋体"/>
          <w:sz w:val="28"/>
          <w:szCs w:val="28"/>
          <w:u w:val="single"/>
          <w:lang w:val="zh-TW"/>
        </w:rPr>
        <w:t xml:space="preserve">               </w:t>
      </w:r>
      <w:r>
        <w:rPr>
          <w:rFonts w:hint="eastAsia" w:ascii="宋体" w:hAnsi="宋体" w:eastAsia="宋体" w:cs="宋体"/>
          <w:sz w:val="28"/>
          <w:szCs w:val="28"/>
          <w:u w:color="000000"/>
          <w:lang w:val="zh-TW" w:eastAsia="zh-TW"/>
        </w:rPr>
        <w:t>（盖单位章）</w:t>
      </w:r>
    </w:p>
    <w:p w14:paraId="3EEFB1B4">
      <w:pPr>
        <w:spacing w:line="360" w:lineRule="auto"/>
        <w:jc w:val="center"/>
        <w:rPr>
          <w:rFonts w:ascii="宋体" w:hAnsi="宋体" w:eastAsia="宋体" w:cs="宋体"/>
          <w:sz w:val="28"/>
          <w:szCs w:val="28"/>
          <w:u w:val="single" w:color="000000"/>
        </w:rPr>
      </w:pPr>
      <w:r>
        <w:rPr>
          <w:rFonts w:hint="eastAsia" w:ascii="宋体" w:hAnsi="宋体" w:eastAsia="宋体" w:cs="宋体"/>
          <w:sz w:val="28"/>
          <w:szCs w:val="28"/>
          <w:u w:color="000000"/>
          <w:lang w:val="zh-TW" w:eastAsia="zh-TW"/>
        </w:rPr>
        <w:t>法定代表人或其委托代理人：</w:t>
      </w:r>
      <w:r>
        <w:rPr>
          <w:rFonts w:hint="eastAsia" w:ascii="宋体" w:hAnsi="宋体" w:eastAsia="宋体" w:cs="宋体"/>
          <w:sz w:val="28"/>
          <w:szCs w:val="28"/>
          <w:u w:val="single"/>
          <w:lang w:val="zh-TW"/>
        </w:rPr>
        <w:t xml:space="preserve">         </w:t>
      </w:r>
      <w:r>
        <w:rPr>
          <w:rFonts w:hint="eastAsia" w:ascii="宋体" w:hAnsi="宋体" w:eastAsia="宋体" w:cs="宋体"/>
          <w:sz w:val="28"/>
          <w:szCs w:val="28"/>
          <w:u w:color="000000"/>
          <w:lang w:val="zh-TW" w:eastAsia="zh-TW"/>
        </w:rPr>
        <w:t>（签字）</w:t>
      </w:r>
    </w:p>
    <w:p w14:paraId="62BC1272">
      <w:pPr>
        <w:spacing w:line="360" w:lineRule="auto"/>
        <w:jc w:val="center"/>
        <w:rPr>
          <w:rFonts w:ascii="宋体" w:hAnsi="宋体" w:eastAsia="宋体" w:cs="宋体"/>
        </w:rPr>
      </w:pPr>
      <w:r>
        <w:rPr>
          <w:rFonts w:hint="eastAsia" w:ascii="宋体" w:hAnsi="宋体" w:eastAsia="宋体" w:cs="宋体"/>
          <w:sz w:val="28"/>
          <w:szCs w:val="28"/>
          <w:u w:val="single" w:color="000000"/>
        </w:rPr>
        <w:t xml:space="preserve">       </w:t>
      </w:r>
      <w:r>
        <w:rPr>
          <w:rFonts w:hint="eastAsia" w:ascii="宋体" w:hAnsi="宋体" w:eastAsia="宋体" w:cs="宋体"/>
          <w:sz w:val="28"/>
          <w:szCs w:val="28"/>
          <w:u w:color="000000"/>
          <w:lang w:val="zh-TW" w:eastAsia="zh-TW"/>
        </w:rPr>
        <w:t>年</w:t>
      </w:r>
      <w:r>
        <w:rPr>
          <w:rFonts w:hint="eastAsia" w:ascii="宋体" w:hAnsi="宋体" w:eastAsia="宋体" w:cs="宋体"/>
          <w:sz w:val="28"/>
          <w:szCs w:val="28"/>
          <w:u w:val="single"/>
          <w:lang w:val="zh-TW"/>
        </w:rPr>
        <w:t xml:space="preserve">    </w:t>
      </w:r>
      <w:r>
        <w:rPr>
          <w:rFonts w:hint="eastAsia" w:ascii="宋体" w:hAnsi="宋体" w:eastAsia="宋体" w:cs="宋体"/>
          <w:sz w:val="28"/>
          <w:szCs w:val="28"/>
          <w:u w:color="000000"/>
          <w:lang w:val="zh-TW" w:eastAsia="zh-TW"/>
        </w:rPr>
        <w:t>月</w:t>
      </w:r>
      <w:r>
        <w:rPr>
          <w:rFonts w:hint="eastAsia" w:ascii="宋体" w:hAnsi="宋体" w:eastAsia="宋体" w:cs="宋体"/>
          <w:sz w:val="28"/>
          <w:szCs w:val="28"/>
          <w:u w:val="single"/>
          <w:lang w:val="zh-TW"/>
        </w:rPr>
        <w:t xml:space="preserve">     </w:t>
      </w:r>
      <w:r>
        <w:rPr>
          <w:rFonts w:hint="eastAsia" w:ascii="宋体" w:hAnsi="宋体" w:eastAsia="宋体" w:cs="宋体"/>
          <w:sz w:val="28"/>
          <w:szCs w:val="28"/>
          <w:u w:color="000000"/>
          <w:lang w:val="zh-TW" w:eastAsia="zh-TW"/>
        </w:rPr>
        <w:t>日</w:t>
      </w:r>
      <w:r>
        <w:rPr>
          <w:rFonts w:hint="eastAsia" w:ascii="宋体" w:hAnsi="宋体" w:eastAsia="宋体" w:cs="宋体"/>
        </w:rPr>
        <w:br w:type="page"/>
      </w:r>
    </w:p>
    <w:p w14:paraId="02FFDDD1">
      <w:pPr>
        <w:spacing w:line="360" w:lineRule="auto"/>
        <w:jc w:val="center"/>
        <w:rPr>
          <w:rFonts w:ascii="宋体" w:hAnsi="宋体" w:eastAsia="宋体" w:cs="宋体"/>
          <w:sz w:val="28"/>
          <w:szCs w:val="28"/>
        </w:rPr>
      </w:pPr>
      <w:r>
        <w:rPr>
          <w:rFonts w:hint="eastAsia" w:ascii="宋体" w:hAnsi="宋体" w:eastAsia="宋体" w:cs="宋体"/>
          <w:sz w:val="28"/>
          <w:szCs w:val="28"/>
        </w:rPr>
        <w:t>资格性和符合性检查响应对照及评分索引表</w:t>
      </w:r>
    </w:p>
    <w:p w14:paraId="3AEB137C">
      <w:pPr>
        <w:spacing w:before="156" w:beforeLines="50" w:after="156" w:afterLines="50" w:line="360" w:lineRule="auto"/>
        <w:jc w:val="left"/>
        <w:rPr>
          <w:rFonts w:ascii="宋体" w:hAnsi="宋体" w:eastAsia="宋体" w:cs="宋体"/>
          <w:sz w:val="24"/>
          <w:szCs w:val="24"/>
        </w:rPr>
      </w:pPr>
      <w:r>
        <w:rPr>
          <w:rFonts w:hint="eastAsia" w:ascii="宋体" w:hAnsi="宋体" w:eastAsia="宋体" w:cs="宋体"/>
          <w:sz w:val="24"/>
          <w:szCs w:val="24"/>
        </w:rPr>
        <w:t>投标人全称（加盖公章）：</w:t>
      </w:r>
      <w:r>
        <w:rPr>
          <w:rFonts w:hint="eastAsia" w:ascii="宋体" w:hAnsi="宋体" w:eastAsia="宋体" w:cs="宋体"/>
          <w:sz w:val="24"/>
          <w:szCs w:val="24"/>
          <w:u w:val="single"/>
        </w:rPr>
        <w:t xml:space="preserve">                            </w:t>
      </w:r>
    </w:p>
    <w:tbl>
      <w:tblPr>
        <w:tblStyle w:val="26"/>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4838"/>
        <w:gridCol w:w="1756"/>
        <w:gridCol w:w="1738"/>
      </w:tblGrid>
      <w:tr w14:paraId="5CF81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71" w:type="dxa"/>
            <w:vAlign w:val="center"/>
          </w:tcPr>
          <w:p w14:paraId="584DF353">
            <w:pPr>
              <w:snapToGrid w:val="0"/>
              <w:spacing w:line="240" w:lineRule="atLeast"/>
              <w:jc w:val="center"/>
              <w:rPr>
                <w:rFonts w:ascii="宋体" w:hAnsi="宋体" w:eastAsia="宋体" w:cs="宋体"/>
                <w:b/>
              </w:rPr>
            </w:pPr>
            <w:r>
              <w:rPr>
                <w:rFonts w:hint="eastAsia" w:ascii="宋体" w:hAnsi="宋体" w:eastAsia="宋体" w:cs="宋体"/>
                <w:b/>
              </w:rPr>
              <w:t>序号</w:t>
            </w:r>
          </w:p>
        </w:tc>
        <w:tc>
          <w:tcPr>
            <w:tcW w:w="4838" w:type="dxa"/>
            <w:vAlign w:val="center"/>
          </w:tcPr>
          <w:p w14:paraId="1AEBB863">
            <w:pPr>
              <w:snapToGrid w:val="0"/>
              <w:spacing w:line="240" w:lineRule="atLeast"/>
              <w:jc w:val="center"/>
              <w:rPr>
                <w:rFonts w:ascii="宋体" w:hAnsi="宋体" w:eastAsia="宋体" w:cs="宋体"/>
                <w:b/>
              </w:rPr>
            </w:pPr>
            <w:r>
              <w:rPr>
                <w:rFonts w:hint="eastAsia" w:ascii="宋体" w:hAnsi="宋体" w:eastAsia="宋体" w:cs="宋体"/>
                <w:b/>
              </w:rPr>
              <w:t>资格性和符合性检查响应内容</w:t>
            </w:r>
          </w:p>
        </w:tc>
        <w:tc>
          <w:tcPr>
            <w:tcW w:w="1756" w:type="dxa"/>
            <w:vAlign w:val="center"/>
          </w:tcPr>
          <w:p w14:paraId="03E85712">
            <w:pPr>
              <w:snapToGrid w:val="0"/>
              <w:spacing w:line="240" w:lineRule="atLeast"/>
              <w:jc w:val="center"/>
              <w:rPr>
                <w:rFonts w:ascii="宋体" w:hAnsi="宋体" w:eastAsia="宋体" w:cs="宋体"/>
                <w:b/>
              </w:rPr>
            </w:pPr>
            <w:r>
              <w:rPr>
                <w:rFonts w:hint="eastAsia" w:ascii="宋体" w:hAnsi="宋体" w:eastAsia="宋体" w:cs="宋体"/>
                <w:b/>
              </w:rPr>
              <w:t>是否响应</w:t>
            </w:r>
          </w:p>
          <w:p w14:paraId="6AE74A10">
            <w:pPr>
              <w:snapToGrid w:val="0"/>
              <w:spacing w:line="240" w:lineRule="atLeast"/>
              <w:jc w:val="center"/>
              <w:rPr>
                <w:rFonts w:ascii="宋体" w:hAnsi="宋体" w:eastAsia="宋体" w:cs="宋体"/>
                <w:b/>
              </w:rPr>
            </w:pPr>
            <w:r>
              <w:rPr>
                <w:rFonts w:hint="eastAsia" w:ascii="宋体" w:hAnsi="宋体" w:eastAsia="宋体" w:cs="宋体"/>
                <w:b/>
              </w:rPr>
              <w:t>（填是或者否）</w:t>
            </w:r>
          </w:p>
        </w:tc>
        <w:tc>
          <w:tcPr>
            <w:tcW w:w="1738" w:type="dxa"/>
            <w:vAlign w:val="center"/>
          </w:tcPr>
          <w:p w14:paraId="35CB75A2">
            <w:pPr>
              <w:snapToGrid w:val="0"/>
              <w:spacing w:line="240" w:lineRule="atLeast"/>
              <w:jc w:val="center"/>
              <w:rPr>
                <w:rFonts w:ascii="宋体" w:hAnsi="宋体" w:eastAsia="宋体" w:cs="宋体"/>
                <w:b/>
              </w:rPr>
            </w:pPr>
            <w:r>
              <w:rPr>
                <w:rFonts w:hint="eastAsia" w:ascii="宋体" w:hAnsi="宋体" w:eastAsia="宋体" w:cs="宋体"/>
                <w:b/>
              </w:rPr>
              <w:t>投标文件中的</w:t>
            </w:r>
          </w:p>
          <w:p w14:paraId="405AC418">
            <w:pPr>
              <w:snapToGrid w:val="0"/>
              <w:spacing w:line="240" w:lineRule="atLeast"/>
              <w:jc w:val="center"/>
              <w:rPr>
                <w:rFonts w:ascii="宋体" w:hAnsi="宋体" w:eastAsia="宋体" w:cs="宋体"/>
                <w:b/>
              </w:rPr>
            </w:pPr>
            <w:r>
              <w:rPr>
                <w:rFonts w:hint="eastAsia" w:ascii="宋体" w:hAnsi="宋体" w:eastAsia="宋体" w:cs="宋体"/>
                <w:b/>
              </w:rPr>
              <w:t>页码位置</w:t>
            </w:r>
          </w:p>
        </w:tc>
      </w:tr>
      <w:tr w14:paraId="7D97A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1" w:type="dxa"/>
            <w:vAlign w:val="center"/>
          </w:tcPr>
          <w:p w14:paraId="70F8FDB9">
            <w:pPr>
              <w:jc w:val="center"/>
              <w:rPr>
                <w:rFonts w:ascii="宋体" w:hAnsi="宋体" w:eastAsia="宋体" w:cs="宋体"/>
              </w:rPr>
            </w:pPr>
            <w:r>
              <w:rPr>
                <w:rFonts w:hint="eastAsia" w:ascii="宋体" w:hAnsi="宋体" w:eastAsia="宋体" w:cs="宋体"/>
              </w:rPr>
              <w:t>1</w:t>
            </w:r>
          </w:p>
        </w:tc>
        <w:tc>
          <w:tcPr>
            <w:tcW w:w="4838" w:type="dxa"/>
            <w:vAlign w:val="center"/>
          </w:tcPr>
          <w:p w14:paraId="05147931">
            <w:pPr>
              <w:spacing w:line="480" w:lineRule="exact"/>
              <w:rPr>
                <w:rFonts w:ascii="宋体" w:hAnsi="宋体" w:eastAsia="宋体" w:cs="宋体"/>
                <w:iCs/>
              </w:rPr>
            </w:pPr>
          </w:p>
        </w:tc>
        <w:tc>
          <w:tcPr>
            <w:tcW w:w="1756" w:type="dxa"/>
            <w:vAlign w:val="center"/>
          </w:tcPr>
          <w:p w14:paraId="72E1B698">
            <w:pPr>
              <w:rPr>
                <w:rFonts w:ascii="宋体" w:hAnsi="宋体" w:eastAsia="宋体" w:cs="宋体"/>
                <w:b/>
              </w:rPr>
            </w:pPr>
          </w:p>
        </w:tc>
        <w:tc>
          <w:tcPr>
            <w:tcW w:w="1738" w:type="dxa"/>
            <w:vAlign w:val="center"/>
          </w:tcPr>
          <w:p w14:paraId="4D5366FF">
            <w:pPr>
              <w:rPr>
                <w:rFonts w:ascii="宋体" w:hAnsi="宋体" w:eastAsia="宋体" w:cs="宋体"/>
                <w:b/>
              </w:rPr>
            </w:pPr>
          </w:p>
        </w:tc>
      </w:tr>
      <w:tr w14:paraId="399E3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1" w:type="dxa"/>
            <w:vAlign w:val="center"/>
          </w:tcPr>
          <w:p w14:paraId="0490E3D9">
            <w:pPr>
              <w:jc w:val="center"/>
              <w:rPr>
                <w:rFonts w:ascii="宋体" w:hAnsi="宋体" w:eastAsia="宋体" w:cs="宋体"/>
              </w:rPr>
            </w:pPr>
            <w:r>
              <w:rPr>
                <w:rFonts w:hint="eastAsia" w:ascii="宋体" w:hAnsi="宋体" w:eastAsia="宋体" w:cs="宋体"/>
              </w:rPr>
              <w:t>2</w:t>
            </w:r>
          </w:p>
        </w:tc>
        <w:tc>
          <w:tcPr>
            <w:tcW w:w="4838" w:type="dxa"/>
            <w:vAlign w:val="center"/>
          </w:tcPr>
          <w:p w14:paraId="024FCA70">
            <w:pPr>
              <w:snapToGrid w:val="0"/>
              <w:spacing w:before="50" w:after="156" w:afterLines="50"/>
              <w:rPr>
                <w:rFonts w:ascii="宋体" w:hAnsi="宋体" w:eastAsia="宋体" w:cs="宋体"/>
                <w:b/>
                <w:sz w:val="28"/>
                <w:szCs w:val="28"/>
              </w:rPr>
            </w:pPr>
          </w:p>
        </w:tc>
        <w:tc>
          <w:tcPr>
            <w:tcW w:w="1756" w:type="dxa"/>
            <w:vAlign w:val="center"/>
          </w:tcPr>
          <w:p w14:paraId="05BF9DE1">
            <w:pPr>
              <w:rPr>
                <w:rFonts w:ascii="宋体" w:hAnsi="宋体" w:eastAsia="宋体" w:cs="宋体"/>
              </w:rPr>
            </w:pPr>
          </w:p>
        </w:tc>
        <w:tc>
          <w:tcPr>
            <w:tcW w:w="1738" w:type="dxa"/>
            <w:vAlign w:val="center"/>
          </w:tcPr>
          <w:p w14:paraId="397FA6F4">
            <w:pPr>
              <w:rPr>
                <w:rFonts w:ascii="宋体" w:hAnsi="宋体" w:eastAsia="宋体" w:cs="宋体"/>
              </w:rPr>
            </w:pPr>
          </w:p>
        </w:tc>
      </w:tr>
      <w:tr w14:paraId="276DB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1" w:type="dxa"/>
            <w:vAlign w:val="center"/>
          </w:tcPr>
          <w:p w14:paraId="1B0C271B">
            <w:pPr>
              <w:jc w:val="center"/>
              <w:rPr>
                <w:rFonts w:ascii="宋体" w:hAnsi="宋体" w:eastAsia="宋体" w:cs="宋体"/>
              </w:rPr>
            </w:pPr>
            <w:r>
              <w:rPr>
                <w:rFonts w:hint="eastAsia" w:ascii="宋体" w:hAnsi="宋体" w:eastAsia="宋体" w:cs="宋体"/>
              </w:rPr>
              <w:t>3</w:t>
            </w:r>
          </w:p>
        </w:tc>
        <w:tc>
          <w:tcPr>
            <w:tcW w:w="4838" w:type="dxa"/>
            <w:vAlign w:val="center"/>
          </w:tcPr>
          <w:p w14:paraId="0ADDC2FD">
            <w:pPr>
              <w:spacing w:line="480" w:lineRule="exact"/>
              <w:rPr>
                <w:rFonts w:ascii="宋体" w:hAnsi="宋体" w:eastAsia="宋体" w:cs="宋体"/>
                <w:iCs/>
              </w:rPr>
            </w:pPr>
          </w:p>
        </w:tc>
        <w:tc>
          <w:tcPr>
            <w:tcW w:w="1756" w:type="dxa"/>
            <w:vAlign w:val="center"/>
          </w:tcPr>
          <w:p w14:paraId="0DB10E4B">
            <w:pPr>
              <w:rPr>
                <w:rFonts w:ascii="宋体" w:hAnsi="宋体" w:eastAsia="宋体" w:cs="宋体"/>
              </w:rPr>
            </w:pPr>
          </w:p>
        </w:tc>
        <w:tc>
          <w:tcPr>
            <w:tcW w:w="1738" w:type="dxa"/>
            <w:vAlign w:val="center"/>
          </w:tcPr>
          <w:p w14:paraId="5A4C8EDD">
            <w:pPr>
              <w:rPr>
                <w:rFonts w:ascii="宋体" w:hAnsi="宋体" w:eastAsia="宋体" w:cs="宋体"/>
              </w:rPr>
            </w:pPr>
          </w:p>
        </w:tc>
      </w:tr>
      <w:tr w14:paraId="0092A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1" w:type="dxa"/>
            <w:vAlign w:val="center"/>
          </w:tcPr>
          <w:p w14:paraId="15733C45">
            <w:pPr>
              <w:jc w:val="center"/>
              <w:rPr>
                <w:rFonts w:ascii="宋体" w:hAnsi="宋体" w:eastAsia="宋体" w:cs="宋体"/>
              </w:rPr>
            </w:pPr>
            <w:r>
              <w:rPr>
                <w:rFonts w:hint="eastAsia" w:ascii="宋体" w:hAnsi="宋体" w:eastAsia="宋体" w:cs="宋体"/>
              </w:rPr>
              <w:t>4</w:t>
            </w:r>
          </w:p>
        </w:tc>
        <w:tc>
          <w:tcPr>
            <w:tcW w:w="4838" w:type="dxa"/>
            <w:vAlign w:val="center"/>
          </w:tcPr>
          <w:p w14:paraId="2A5E0E53">
            <w:pPr>
              <w:spacing w:line="360" w:lineRule="auto"/>
              <w:rPr>
                <w:rFonts w:ascii="宋体" w:hAnsi="宋体" w:eastAsia="宋体" w:cs="宋体"/>
                <w:iCs/>
              </w:rPr>
            </w:pPr>
          </w:p>
        </w:tc>
        <w:tc>
          <w:tcPr>
            <w:tcW w:w="1756" w:type="dxa"/>
            <w:vAlign w:val="center"/>
          </w:tcPr>
          <w:p w14:paraId="4A959FF1">
            <w:pPr>
              <w:rPr>
                <w:rFonts w:ascii="宋体" w:hAnsi="宋体" w:eastAsia="宋体" w:cs="宋体"/>
              </w:rPr>
            </w:pPr>
          </w:p>
        </w:tc>
        <w:tc>
          <w:tcPr>
            <w:tcW w:w="1738" w:type="dxa"/>
            <w:vAlign w:val="center"/>
          </w:tcPr>
          <w:p w14:paraId="5F34AA61">
            <w:pPr>
              <w:rPr>
                <w:rFonts w:ascii="宋体" w:hAnsi="宋体" w:eastAsia="宋体" w:cs="宋体"/>
              </w:rPr>
            </w:pPr>
          </w:p>
        </w:tc>
      </w:tr>
      <w:tr w14:paraId="02DB5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1" w:type="dxa"/>
            <w:vAlign w:val="center"/>
          </w:tcPr>
          <w:p w14:paraId="439FF4DD">
            <w:pPr>
              <w:jc w:val="center"/>
              <w:rPr>
                <w:rFonts w:ascii="宋体" w:hAnsi="宋体" w:eastAsia="宋体" w:cs="宋体"/>
              </w:rPr>
            </w:pPr>
            <w:r>
              <w:rPr>
                <w:rFonts w:hint="eastAsia" w:ascii="宋体" w:hAnsi="宋体" w:eastAsia="宋体" w:cs="宋体"/>
              </w:rPr>
              <w:t>5</w:t>
            </w:r>
          </w:p>
        </w:tc>
        <w:tc>
          <w:tcPr>
            <w:tcW w:w="4838" w:type="dxa"/>
            <w:vAlign w:val="center"/>
          </w:tcPr>
          <w:p w14:paraId="74B7B61B">
            <w:pPr>
              <w:snapToGrid w:val="0"/>
              <w:spacing w:line="590" w:lineRule="atLeast"/>
              <w:rPr>
                <w:rFonts w:ascii="宋体" w:hAnsi="宋体" w:eastAsia="宋体" w:cs="宋体"/>
                <w:iCs/>
              </w:rPr>
            </w:pPr>
          </w:p>
        </w:tc>
        <w:tc>
          <w:tcPr>
            <w:tcW w:w="1756" w:type="dxa"/>
            <w:vAlign w:val="center"/>
          </w:tcPr>
          <w:p w14:paraId="6B6484A4">
            <w:pPr>
              <w:rPr>
                <w:rFonts w:ascii="宋体" w:hAnsi="宋体" w:eastAsia="宋体" w:cs="宋体"/>
              </w:rPr>
            </w:pPr>
          </w:p>
        </w:tc>
        <w:tc>
          <w:tcPr>
            <w:tcW w:w="1738" w:type="dxa"/>
            <w:vAlign w:val="center"/>
          </w:tcPr>
          <w:p w14:paraId="35DF3FA0">
            <w:pPr>
              <w:rPr>
                <w:rFonts w:ascii="宋体" w:hAnsi="宋体" w:eastAsia="宋体" w:cs="宋体"/>
              </w:rPr>
            </w:pPr>
          </w:p>
        </w:tc>
      </w:tr>
      <w:tr w14:paraId="755C6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5509" w:type="dxa"/>
            <w:gridSpan w:val="2"/>
            <w:tcBorders>
              <w:top w:val="single" w:color="000000" w:sz="4" w:space="0"/>
              <w:left w:val="single" w:color="000000" w:sz="4" w:space="0"/>
              <w:bottom w:val="single" w:color="000000" w:sz="4" w:space="0"/>
              <w:right w:val="single" w:color="000000" w:sz="4" w:space="0"/>
            </w:tcBorders>
            <w:vAlign w:val="center"/>
          </w:tcPr>
          <w:p w14:paraId="12C29A8B">
            <w:pPr>
              <w:spacing w:line="360" w:lineRule="auto"/>
              <w:jc w:val="center"/>
              <w:rPr>
                <w:rFonts w:ascii="宋体" w:hAnsi="宋体" w:eastAsia="宋体" w:cs="宋体"/>
                <w:b/>
                <w:bCs/>
              </w:rPr>
            </w:pPr>
            <w:r>
              <w:rPr>
                <w:rFonts w:hint="eastAsia" w:ascii="宋体" w:hAnsi="宋体" w:eastAsia="宋体" w:cs="宋体"/>
                <w:b/>
                <w:bCs/>
              </w:rPr>
              <w:t>评分项</w:t>
            </w:r>
          </w:p>
        </w:tc>
        <w:tc>
          <w:tcPr>
            <w:tcW w:w="3494" w:type="dxa"/>
            <w:gridSpan w:val="2"/>
            <w:tcBorders>
              <w:top w:val="single" w:color="000000" w:sz="4" w:space="0"/>
              <w:left w:val="nil"/>
              <w:bottom w:val="single" w:color="000000" w:sz="4" w:space="0"/>
              <w:right w:val="single" w:color="000000" w:sz="4" w:space="0"/>
            </w:tcBorders>
            <w:vAlign w:val="center"/>
          </w:tcPr>
          <w:p w14:paraId="16F22C18">
            <w:pPr>
              <w:spacing w:line="360" w:lineRule="auto"/>
              <w:jc w:val="center"/>
              <w:rPr>
                <w:rFonts w:ascii="宋体" w:hAnsi="宋体" w:eastAsia="宋体" w:cs="宋体"/>
                <w:b/>
                <w:bCs/>
              </w:rPr>
            </w:pPr>
            <w:r>
              <w:rPr>
                <w:rFonts w:hint="eastAsia" w:ascii="宋体" w:hAnsi="宋体" w:eastAsia="宋体" w:cs="宋体"/>
                <w:b/>
                <w:bCs/>
              </w:rPr>
              <w:t>在投标文件中的页码位置</w:t>
            </w:r>
          </w:p>
        </w:tc>
      </w:tr>
      <w:tr w14:paraId="05A57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5509" w:type="dxa"/>
            <w:gridSpan w:val="2"/>
            <w:tcBorders>
              <w:top w:val="single" w:color="000000" w:sz="4" w:space="0"/>
              <w:left w:val="single" w:color="000000" w:sz="4" w:space="0"/>
              <w:bottom w:val="single" w:color="000000" w:sz="4" w:space="0"/>
              <w:right w:val="single" w:color="000000" w:sz="4" w:space="0"/>
            </w:tcBorders>
            <w:vAlign w:val="center"/>
          </w:tcPr>
          <w:p w14:paraId="097D5514">
            <w:pPr>
              <w:spacing w:line="360" w:lineRule="auto"/>
              <w:rPr>
                <w:rFonts w:ascii="宋体" w:hAnsi="宋体" w:eastAsia="宋体" w:cs="宋体"/>
              </w:rPr>
            </w:pPr>
          </w:p>
        </w:tc>
        <w:tc>
          <w:tcPr>
            <w:tcW w:w="3494" w:type="dxa"/>
            <w:gridSpan w:val="2"/>
            <w:tcBorders>
              <w:top w:val="single" w:color="000000" w:sz="4" w:space="0"/>
              <w:left w:val="nil"/>
              <w:bottom w:val="single" w:color="000000" w:sz="4" w:space="0"/>
              <w:right w:val="single" w:color="000000" w:sz="4" w:space="0"/>
            </w:tcBorders>
            <w:vAlign w:val="center"/>
          </w:tcPr>
          <w:p w14:paraId="76F95F41">
            <w:pPr>
              <w:spacing w:line="360" w:lineRule="auto"/>
              <w:ind w:firstLine="420"/>
              <w:jc w:val="center"/>
              <w:rPr>
                <w:rFonts w:ascii="宋体" w:hAnsi="宋体" w:eastAsia="宋体" w:cs="宋体"/>
                <w:b/>
                <w:bCs/>
              </w:rPr>
            </w:pPr>
          </w:p>
        </w:tc>
      </w:tr>
      <w:tr w14:paraId="278BB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1" w:type="dxa"/>
            <w:vMerge w:val="restart"/>
            <w:tcBorders>
              <w:top w:val="nil"/>
              <w:left w:val="single" w:color="000000" w:sz="4" w:space="0"/>
              <w:bottom w:val="single" w:color="000000" w:sz="4" w:space="0"/>
              <w:right w:val="single" w:color="000000" w:sz="4" w:space="0"/>
            </w:tcBorders>
            <w:vAlign w:val="center"/>
          </w:tcPr>
          <w:p w14:paraId="13EF7D5A">
            <w:pPr>
              <w:spacing w:line="360" w:lineRule="auto"/>
              <w:jc w:val="center"/>
              <w:rPr>
                <w:rFonts w:ascii="宋体" w:hAnsi="宋体" w:eastAsia="宋体" w:cs="宋体"/>
                <w:b/>
                <w:bCs/>
              </w:rPr>
            </w:pPr>
          </w:p>
        </w:tc>
        <w:tc>
          <w:tcPr>
            <w:tcW w:w="4838" w:type="dxa"/>
            <w:tcBorders>
              <w:top w:val="single" w:color="000000" w:sz="4" w:space="0"/>
              <w:left w:val="nil"/>
              <w:bottom w:val="single" w:color="000000" w:sz="4" w:space="0"/>
              <w:right w:val="single" w:color="000000" w:sz="4" w:space="0"/>
            </w:tcBorders>
            <w:vAlign w:val="center"/>
          </w:tcPr>
          <w:p w14:paraId="78B2256A">
            <w:pPr>
              <w:spacing w:line="360" w:lineRule="auto"/>
              <w:rPr>
                <w:rFonts w:ascii="宋体" w:hAnsi="宋体" w:eastAsia="宋体" w:cs="宋体"/>
              </w:rPr>
            </w:pPr>
          </w:p>
        </w:tc>
        <w:tc>
          <w:tcPr>
            <w:tcW w:w="3494" w:type="dxa"/>
            <w:gridSpan w:val="2"/>
            <w:tcBorders>
              <w:top w:val="single" w:color="000000" w:sz="4" w:space="0"/>
              <w:left w:val="nil"/>
              <w:bottom w:val="single" w:color="000000" w:sz="4" w:space="0"/>
              <w:right w:val="single" w:color="000000" w:sz="4" w:space="0"/>
            </w:tcBorders>
            <w:vAlign w:val="center"/>
          </w:tcPr>
          <w:p w14:paraId="19A349BD">
            <w:pPr>
              <w:spacing w:line="360" w:lineRule="auto"/>
              <w:ind w:firstLine="420"/>
              <w:jc w:val="center"/>
              <w:rPr>
                <w:rFonts w:ascii="宋体" w:hAnsi="宋体" w:eastAsia="宋体" w:cs="宋体"/>
                <w:b/>
                <w:bCs/>
              </w:rPr>
            </w:pPr>
          </w:p>
        </w:tc>
      </w:tr>
      <w:tr w14:paraId="32071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1" w:type="dxa"/>
            <w:vMerge w:val="continue"/>
            <w:tcBorders>
              <w:top w:val="nil"/>
              <w:left w:val="single" w:color="000000" w:sz="4" w:space="0"/>
              <w:bottom w:val="single" w:color="000000" w:sz="4" w:space="0"/>
              <w:right w:val="single" w:color="000000" w:sz="4" w:space="0"/>
            </w:tcBorders>
            <w:vAlign w:val="center"/>
          </w:tcPr>
          <w:p w14:paraId="7CEAA829">
            <w:pPr>
              <w:spacing w:line="360" w:lineRule="auto"/>
              <w:rPr>
                <w:rFonts w:ascii="宋体" w:hAnsi="宋体" w:eastAsia="宋体" w:cs="宋体"/>
                <w:b/>
                <w:bCs/>
              </w:rPr>
            </w:pPr>
          </w:p>
        </w:tc>
        <w:tc>
          <w:tcPr>
            <w:tcW w:w="4838" w:type="dxa"/>
            <w:tcBorders>
              <w:top w:val="single" w:color="000000" w:sz="4" w:space="0"/>
              <w:left w:val="nil"/>
              <w:bottom w:val="single" w:color="000000" w:sz="4" w:space="0"/>
              <w:right w:val="single" w:color="000000" w:sz="4" w:space="0"/>
            </w:tcBorders>
            <w:vAlign w:val="center"/>
          </w:tcPr>
          <w:p w14:paraId="4A8DFD89">
            <w:pPr>
              <w:spacing w:line="360" w:lineRule="auto"/>
              <w:rPr>
                <w:rFonts w:ascii="宋体" w:hAnsi="宋体" w:eastAsia="宋体" w:cs="宋体"/>
              </w:rPr>
            </w:pPr>
          </w:p>
        </w:tc>
        <w:tc>
          <w:tcPr>
            <w:tcW w:w="3494" w:type="dxa"/>
            <w:gridSpan w:val="2"/>
            <w:tcBorders>
              <w:top w:val="single" w:color="000000" w:sz="4" w:space="0"/>
              <w:left w:val="nil"/>
              <w:bottom w:val="single" w:color="000000" w:sz="4" w:space="0"/>
              <w:right w:val="single" w:color="000000" w:sz="4" w:space="0"/>
            </w:tcBorders>
            <w:vAlign w:val="center"/>
          </w:tcPr>
          <w:p w14:paraId="4ECC380A">
            <w:pPr>
              <w:spacing w:line="360" w:lineRule="auto"/>
              <w:ind w:firstLine="420"/>
              <w:jc w:val="center"/>
              <w:rPr>
                <w:rFonts w:ascii="宋体" w:hAnsi="宋体" w:eastAsia="宋体" w:cs="宋体"/>
                <w:b/>
                <w:bCs/>
              </w:rPr>
            </w:pPr>
          </w:p>
        </w:tc>
      </w:tr>
      <w:tr w14:paraId="4FD60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1" w:type="dxa"/>
            <w:vMerge w:val="continue"/>
            <w:tcBorders>
              <w:top w:val="nil"/>
              <w:left w:val="single" w:color="000000" w:sz="4" w:space="0"/>
              <w:bottom w:val="single" w:color="000000" w:sz="4" w:space="0"/>
              <w:right w:val="single" w:color="000000" w:sz="4" w:space="0"/>
            </w:tcBorders>
            <w:vAlign w:val="center"/>
          </w:tcPr>
          <w:p w14:paraId="0BBFB501">
            <w:pPr>
              <w:spacing w:line="360" w:lineRule="auto"/>
              <w:rPr>
                <w:rFonts w:ascii="宋体" w:hAnsi="宋体" w:eastAsia="宋体" w:cs="宋体"/>
                <w:b/>
                <w:bCs/>
              </w:rPr>
            </w:pPr>
          </w:p>
        </w:tc>
        <w:tc>
          <w:tcPr>
            <w:tcW w:w="4838" w:type="dxa"/>
            <w:tcBorders>
              <w:top w:val="single" w:color="000000" w:sz="4" w:space="0"/>
              <w:left w:val="nil"/>
              <w:bottom w:val="single" w:color="000000" w:sz="4" w:space="0"/>
              <w:right w:val="single" w:color="000000" w:sz="4" w:space="0"/>
            </w:tcBorders>
            <w:vAlign w:val="center"/>
          </w:tcPr>
          <w:p w14:paraId="71CC866A">
            <w:pPr>
              <w:spacing w:line="360" w:lineRule="auto"/>
              <w:rPr>
                <w:rFonts w:ascii="宋体" w:hAnsi="宋体" w:eastAsia="宋体" w:cs="宋体"/>
              </w:rPr>
            </w:pPr>
          </w:p>
        </w:tc>
        <w:tc>
          <w:tcPr>
            <w:tcW w:w="3494" w:type="dxa"/>
            <w:gridSpan w:val="2"/>
            <w:tcBorders>
              <w:top w:val="single" w:color="000000" w:sz="4" w:space="0"/>
              <w:left w:val="nil"/>
              <w:bottom w:val="single" w:color="000000" w:sz="4" w:space="0"/>
              <w:right w:val="single" w:color="000000" w:sz="4" w:space="0"/>
            </w:tcBorders>
            <w:vAlign w:val="center"/>
          </w:tcPr>
          <w:p w14:paraId="2CC82F99">
            <w:pPr>
              <w:spacing w:line="360" w:lineRule="auto"/>
              <w:ind w:firstLine="420"/>
              <w:jc w:val="center"/>
              <w:rPr>
                <w:rFonts w:ascii="宋体" w:hAnsi="宋体" w:eastAsia="宋体" w:cs="宋体"/>
                <w:b/>
                <w:bCs/>
              </w:rPr>
            </w:pPr>
          </w:p>
        </w:tc>
      </w:tr>
      <w:tr w14:paraId="5E3EB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1" w:type="dxa"/>
            <w:vMerge w:val="restart"/>
            <w:tcBorders>
              <w:top w:val="nil"/>
              <w:left w:val="single" w:color="000000" w:sz="4" w:space="0"/>
              <w:bottom w:val="single" w:color="000000" w:sz="4" w:space="0"/>
              <w:right w:val="single" w:color="000000" w:sz="4" w:space="0"/>
            </w:tcBorders>
            <w:vAlign w:val="center"/>
          </w:tcPr>
          <w:p w14:paraId="3FAD154D">
            <w:pPr>
              <w:spacing w:line="360" w:lineRule="auto"/>
              <w:jc w:val="center"/>
              <w:rPr>
                <w:rFonts w:ascii="宋体" w:hAnsi="宋体" w:eastAsia="宋体" w:cs="宋体"/>
                <w:b/>
                <w:bCs/>
              </w:rPr>
            </w:pPr>
          </w:p>
        </w:tc>
        <w:tc>
          <w:tcPr>
            <w:tcW w:w="4838" w:type="dxa"/>
            <w:tcBorders>
              <w:top w:val="single" w:color="000000" w:sz="4" w:space="0"/>
              <w:left w:val="nil"/>
              <w:bottom w:val="single" w:color="000000" w:sz="4" w:space="0"/>
              <w:right w:val="single" w:color="000000" w:sz="4" w:space="0"/>
            </w:tcBorders>
            <w:vAlign w:val="center"/>
          </w:tcPr>
          <w:p w14:paraId="0D6A5949">
            <w:pPr>
              <w:spacing w:line="360" w:lineRule="auto"/>
              <w:rPr>
                <w:rFonts w:ascii="宋体" w:hAnsi="宋体" w:eastAsia="宋体" w:cs="宋体"/>
              </w:rPr>
            </w:pPr>
          </w:p>
        </w:tc>
        <w:tc>
          <w:tcPr>
            <w:tcW w:w="3494" w:type="dxa"/>
            <w:gridSpan w:val="2"/>
            <w:tcBorders>
              <w:top w:val="single" w:color="000000" w:sz="4" w:space="0"/>
              <w:left w:val="nil"/>
              <w:bottom w:val="single" w:color="000000" w:sz="4" w:space="0"/>
              <w:right w:val="single" w:color="000000" w:sz="4" w:space="0"/>
            </w:tcBorders>
            <w:vAlign w:val="center"/>
          </w:tcPr>
          <w:p w14:paraId="65E611E0">
            <w:pPr>
              <w:spacing w:line="360" w:lineRule="auto"/>
              <w:ind w:firstLine="420"/>
              <w:jc w:val="center"/>
              <w:rPr>
                <w:rFonts w:ascii="宋体" w:hAnsi="宋体" w:eastAsia="宋体" w:cs="宋体"/>
                <w:b/>
                <w:bCs/>
              </w:rPr>
            </w:pPr>
          </w:p>
        </w:tc>
      </w:tr>
      <w:tr w14:paraId="091F4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1" w:type="dxa"/>
            <w:vMerge w:val="continue"/>
            <w:tcBorders>
              <w:top w:val="nil"/>
              <w:left w:val="single" w:color="000000" w:sz="4" w:space="0"/>
              <w:bottom w:val="single" w:color="000000" w:sz="4" w:space="0"/>
              <w:right w:val="single" w:color="000000" w:sz="4" w:space="0"/>
            </w:tcBorders>
            <w:vAlign w:val="center"/>
          </w:tcPr>
          <w:p w14:paraId="19756162">
            <w:pPr>
              <w:spacing w:line="360" w:lineRule="auto"/>
              <w:rPr>
                <w:rFonts w:ascii="宋体" w:hAnsi="宋体" w:eastAsia="宋体" w:cs="宋体"/>
                <w:b/>
                <w:bCs/>
              </w:rPr>
            </w:pPr>
          </w:p>
        </w:tc>
        <w:tc>
          <w:tcPr>
            <w:tcW w:w="4838" w:type="dxa"/>
            <w:tcBorders>
              <w:top w:val="single" w:color="000000" w:sz="4" w:space="0"/>
              <w:left w:val="nil"/>
              <w:bottom w:val="single" w:color="000000" w:sz="4" w:space="0"/>
              <w:right w:val="single" w:color="000000" w:sz="4" w:space="0"/>
            </w:tcBorders>
            <w:vAlign w:val="center"/>
          </w:tcPr>
          <w:p w14:paraId="1831B90B">
            <w:pPr>
              <w:spacing w:line="360" w:lineRule="auto"/>
              <w:rPr>
                <w:rFonts w:ascii="宋体" w:hAnsi="宋体" w:eastAsia="宋体" w:cs="宋体"/>
              </w:rPr>
            </w:pPr>
          </w:p>
        </w:tc>
        <w:tc>
          <w:tcPr>
            <w:tcW w:w="3494" w:type="dxa"/>
            <w:gridSpan w:val="2"/>
            <w:tcBorders>
              <w:top w:val="single" w:color="000000" w:sz="4" w:space="0"/>
              <w:left w:val="nil"/>
              <w:bottom w:val="single" w:color="000000" w:sz="4" w:space="0"/>
              <w:right w:val="single" w:color="000000" w:sz="4" w:space="0"/>
            </w:tcBorders>
            <w:vAlign w:val="center"/>
          </w:tcPr>
          <w:p w14:paraId="69F17A49">
            <w:pPr>
              <w:spacing w:line="360" w:lineRule="auto"/>
              <w:ind w:firstLine="420"/>
              <w:jc w:val="center"/>
              <w:rPr>
                <w:rFonts w:ascii="宋体" w:hAnsi="宋体" w:eastAsia="宋体" w:cs="宋体"/>
                <w:b/>
                <w:bCs/>
              </w:rPr>
            </w:pPr>
          </w:p>
        </w:tc>
      </w:tr>
      <w:tr w14:paraId="733D1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1" w:type="dxa"/>
            <w:vMerge w:val="continue"/>
            <w:tcBorders>
              <w:top w:val="nil"/>
              <w:left w:val="single" w:color="000000" w:sz="4" w:space="0"/>
              <w:bottom w:val="single" w:color="000000" w:sz="4" w:space="0"/>
              <w:right w:val="single" w:color="000000" w:sz="4" w:space="0"/>
            </w:tcBorders>
            <w:vAlign w:val="center"/>
          </w:tcPr>
          <w:p w14:paraId="2FCEDBD1">
            <w:pPr>
              <w:spacing w:line="360" w:lineRule="auto"/>
              <w:rPr>
                <w:rFonts w:ascii="宋体" w:hAnsi="宋体" w:eastAsia="宋体" w:cs="宋体"/>
                <w:b/>
                <w:bCs/>
              </w:rPr>
            </w:pPr>
          </w:p>
        </w:tc>
        <w:tc>
          <w:tcPr>
            <w:tcW w:w="4838" w:type="dxa"/>
            <w:tcBorders>
              <w:top w:val="single" w:color="000000" w:sz="4" w:space="0"/>
              <w:left w:val="nil"/>
              <w:bottom w:val="single" w:color="000000" w:sz="4" w:space="0"/>
              <w:right w:val="single" w:color="000000" w:sz="4" w:space="0"/>
            </w:tcBorders>
            <w:vAlign w:val="center"/>
          </w:tcPr>
          <w:p w14:paraId="424EC3FB">
            <w:pPr>
              <w:spacing w:line="360" w:lineRule="auto"/>
              <w:rPr>
                <w:rFonts w:ascii="宋体" w:hAnsi="宋体" w:eastAsia="宋体" w:cs="宋体"/>
              </w:rPr>
            </w:pPr>
          </w:p>
        </w:tc>
        <w:tc>
          <w:tcPr>
            <w:tcW w:w="3494" w:type="dxa"/>
            <w:gridSpan w:val="2"/>
            <w:tcBorders>
              <w:top w:val="single" w:color="000000" w:sz="4" w:space="0"/>
              <w:left w:val="nil"/>
              <w:bottom w:val="single" w:color="000000" w:sz="4" w:space="0"/>
              <w:right w:val="single" w:color="000000" w:sz="4" w:space="0"/>
            </w:tcBorders>
            <w:vAlign w:val="center"/>
          </w:tcPr>
          <w:p w14:paraId="5303E0F9">
            <w:pPr>
              <w:spacing w:line="360" w:lineRule="auto"/>
              <w:ind w:firstLine="420"/>
              <w:jc w:val="center"/>
              <w:rPr>
                <w:rFonts w:ascii="宋体" w:hAnsi="宋体" w:eastAsia="宋体" w:cs="宋体"/>
                <w:b/>
                <w:bCs/>
              </w:rPr>
            </w:pPr>
          </w:p>
        </w:tc>
      </w:tr>
    </w:tbl>
    <w:p w14:paraId="2E940352">
      <w:pPr>
        <w:spacing w:line="360" w:lineRule="auto"/>
        <w:jc w:val="left"/>
        <w:rPr>
          <w:rFonts w:ascii="宋体" w:hAnsi="宋体" w:eastAsia="宋体" w:cs="宋体"/>
        </w:rPr>
      </w:pPr>
    </w:p>
    <w:p w14:paraId="78F9D529">
      <w:pPr>
        <w:spacing w:line="360" w:lineRule="auto"/>
        <w:jc w:val="left"/>
        <w:rPr>
          <w:rFonts w:ascii="宋体" w:hAnsi="宋体" w:eastAsia="宋体" w:cs="宋体"/>
        </w:rPr>
      </w:pPr>
    </w:p>
    <w:p w14:paraId="416106EE">
      <w:pPr>
        <w:jc w:val="left"/>
        <w:rPr>
          <w:rFonts w:ascii="宋体" w:hAnsi="宋体" w:eastAsia="宋体" w:cs="宋体"/>
        </w:rPr>
      </w:pPr>
      <w:r>
        <w:rPr>
          <w:rFonts w:hint="eastAsia" w:ascii="宋体" w:hAnsi="宋体" w:eastAsia="宋体" w:cs="宋体"/>
        </w:rPr>
        <w:br w:type="page"/>
      </w:r>
    </w:p>
    <w:p w14:paraId="4639DEA8">
      <w:pPr>
        <w:spacing w:before="312" w:beforeLines="100" w:after="312" w:afterLines="100" w:line="360" w:lineRule="auto"/>
        <w:jc w:val="center"/>
        <w:rPr>
          <w:rFonts w:ascii="宋体" w:hAnsi="宋体" w:eastAsia="宋体" w:cs="宋体"/>
          <w:sz w:val="36"/>
          <w:szCs w:val="36"/>
          <w:u w:color="000000"/>
        </w:rPr>
      </w:pPr>
      <w:r>
        <w:rPr>
          <w:rFonts w:hint="eastAsia" w:ascii="宋体" w:hAnsi="宋体" w:eastAsia="宋体" w:cs="宋体"/>
          <w:sz w:val="36"/>
          <w:szCs w:val="36"/>
          <w:u w:color="000000"/>
          <w:lang w:val="zh-TW" w:eastAsia="zh-TW"/>
        </w:rPr>
        <w:t>目</w:t>
      </w:r>
      <w:r>
        <w:rPr>
          <w:rFonts w:hint="eastAsia" w:ascii="宋体" w:hAnsi="宋体" w:eastAsia="宋体" w:cs="宋体"/>
          <w:sz w:val="36"/>
          <w:szCs w:val="36"/>
          <w:u w:color="000000"/>
          <w:lang w:val="zh-TW"/>
        </w:rPr>
        <w:t xml:space="preserve">  </w:t>
      </w:r>
      <w:r>
        <w:rPr>
          <w:rFonts w:hint="eastAsia" w:ascii="宋体" w:hAnsi="宋体" w:eastAsia="宋体" w:cs="宋体"/>
          <w:sz w:val="36"/>
          <w:szCs w:val="36"/>
          <w:u w:color="000000"/>
          <w:lang w:val="zh-TW" w:eastAsia="zh-TW"/>
        </w:rPr>
        <w:t>录</w:t>
      </w:r>
    </w:p>
    <w:p w14:paraId="58C8FAFB">
      <w:pPr>
        <w:spacing w:line="360" w:lineRule="auto"/>
        <w:rPr>
          <w:rFonts w:ascii="宋体" w:hAnsi="宋体" w:eastAsia="宋体" w:cs="宋体"/>
          <w:sz w:val="24"/>
          <w:szCs w:val="24"/>
          <w:u w:color="000000"/>
        </w:rPr>
      </w:pPr>
      <w:r>
        <w:rPr>
          <w:rFonts w:hint="eastAsia" w:ascii="宋体" w:hAnsi="宋体" w:eastAsia="宋体" w:cs="宋体"/>
          <w:sz w:val="24"/>
          <w:szCs w:val="24"/>
          <w:u w:color="000000"/>
        </w:rPr>
        <w:t>一、投标函</w:t>
      </w:r>
    </w:p>
    <w:p w14:paraId="0F234A5D">
      <w:pPr>
        <w:spacing w:line="360" w:lineRule="auto"/>
        <w:rPr>
          <w:rFonts w:ascii="宋体" w:hAnsi="宋体" w:eastAsia="宋体" w:cs="宋体"/>
          <w:sz w:val="24"/>
          <w:szCs w:val="24"/>
          <w:u w:color="000000"/>
        </w:rPr>
      </w:pPr>
      <w:r>
        <w:rPr>
          <w:rFonts w:hint="eastAsia" w:ascii="宋体" w:hAnsi="宋体" w:eastAsia="宋体" w:cs="宋体"/>
          <w:sz w:val="24"/>
          <w:szCs w:val="24"/>
          <w:u w:color="000000"/>
        </w:rPr>
        <w:t>二、投标一览表</w:t>
      </w:r>
    </w:p>
    <w:p w14:paraId="0BFFC7BE">
      <w:pPr>
        <w:spacing w:line="360" w:lineRule="auto"/>
        <w:rPr>
          <w:rFonts w:ascii="宋体" w:hAnsi="宋体" w:eastAsia="宋体" w:cs="宋体"/>
          <w:sz w:val="24"/>
          <w:szCs w:val="24"/>
          <w:u w:color="000000"/>
        </w:rPr>
      </w:pPr>
      <w:r>
        <w:rPr>
          <w:rFonts w:hint="eastAsia" w:ascii="宋体" w:hAnsi="宋体" w:eastAsia="宋体" w:cs="宋体"/>
          <w:sz w:val="24"/>
          <w:szCs w:val="24"/>
          <w:u w:color="000000"/>
        </w:rPr>
        <w:t>三、法人授权书</w:t>
      </w:r>
    </w:p>
    <w:p w14:paraId="1BF879CF">
      <w:pPr>
        <w:spacing w:line="360" w:lineRule="auto"/>
        <w:rPr>
          <w:rFonts w:ascii="宋体" w:hAnsi="宋体" w:eastAsia="宋体" w:cs="宋体"/>
          <w:sz w:val="24"/>
          <w:szCs w:val="24"/>
          <w:u w:color="000000"/>
        </w:rPr>
      </w:pPr>
      <w:r>
        <w:rPr>
          <w:rFonts w:hint="eastAsia" w:ascii="宋体" w:hAnsi="宋体" w:eastAsia="宋体" w:cs="宋体"/>
          <w:sz w:val="24"/>
          <w:szCs w:val="24"/>
          <w:u w:color="000000"/>
        </w:rPr>
        <w:t>四、资格证明文件</w:t>
      </w:r>
    </w:p>
    <w:p w14:paraId="54D1AEFE">
      <w:pPr>
        <w:spacing w:line="360" w:lineRule="auto"/>
        <w:rPr>
          <w:rFonts w:ascii="宋体" w:hAnsi="宋体" w:eastAsia="宋体" w:cs="宋体"/>
          <w:sz w:val="24"/>
          <w:szCs w:val="24"/>
          <w:u w:color="000000"/>
        </w:rPr>
      </w:pPr>
      <w:r>
        <w:rPr>
          <w:rFonts w:hint="eastAsia" w:ascii="宋体" w:hAnsi="宋体" w:eastAsia="宋体" w:cs="宋体"/>
          <w:sz w:val="24"/>
          <w:szCs w:val="24"/>
          <w:u w:color="000000"/>
        </w:rPr>
        <w:t>五、商务条款响应及偏离表</w:t>
      </w:r>
    </w:p>
    <w:p w14:paraId="1110D18E">
      <w:pPr>
        <w:spacing w:line="360" w:lineRule="auto"/>
        <w:rPr>
          <w:rFonts w:ascii="宋体" w:hAnsi="宋体" w:eastAsia="宋体" w:cs="宋体"/>
          <w:sz w:val="24"/>
          <w:szCs w:val="24"/>
          <w:u w:color="000000"/>
        </w:rPr>
      </w:pPr>
      <w:r>
        <w:rPr>
          <w:rFonts w:hint="eastAsia" w:ascii="宋体" w:hAnsi="宋体" w:eastAsia="宋体" w:cs="宋体"/>
          <w:sz w:val="24"/>
          <w:szCs w:val="24"/>
          <w:u w:color="000000"/>
        </w:rPr>
        <w:t>六、技术参数响应及偏离表</w:t>
      </w:r>
    </w:p>
    <w:p w14:paraId="407B9C53">
      <w:pPr>
        <w:spacing w:line="360" w:lineRule="auto"/>
        <w:rPr>
          <w:rFonts w:ascii="宋体" w:hAnsi="宋体" w:eastAsia="宋体" w:cs="宋体"/>
          <w:sz w:val="24"/>
          <w:szCs w:val="24"/>
          <w:u w:color="000000"/>
        </w:rPr>
      </w:pPr>
      <w:r>
        <w:rPr>
          <w:rFonts w:hint="eastAsia" w:ascii="宋体" w:hAnsi="宋体" w:eastAsia="宋体" w:cs="宋体"/>
          <w:sz w:val="24"/>
          <w:szCs w:val="24"/>
          <w:u w:color="000000"/>
        </w:rPr>
        <w:t>七、技术规范点对点应答</w:t>
      </w:r>
    </w:p>
    <w:p w14:paraId="627139C5">
      <w:pPr>
        <w:spacing w:line="360" w:lineRule="auto"/>
        <w:rPr>
          <w:rFonts w:ascii="宋体" w:hAnsi="宋体" w:eastAsia="宋体" w:cs="宋体"/>
          <w:sz w:val="24"/>
          <w:szCs w:val="24"/>
          <w:u w:color="000000"/>
        </w:rPr>
      </w:pPr>
      <w:r>
        <w:rPr>
          <w:rFonts w:hint="eastAsia" w:ascii="宋体" w:hAnsi="宋体" w:eastAsia="宋体" w:cs="宋体"/>
          <w:sz w:val="24"/>
          <w:szCs w:val="24"/>
          <w:u w:color="000000"/>
        </w:rPr>
        <w:t>八、综合实力证明</w:t>
      </w:r>
    </w:p>
    <w:p w14:paraId="5633F48A">
      <w:pPr>
        <w:spacing w:line="360" w:lineRule="auto"/>
        <w:rPr>
          <w:rFonts w:ascii="宋体" w:hAnsi="宋体" w:eastAsia="宋体" w:cs="宋体"/>
          <w:sz w:val="24"/>
          <w:szCs w:val="24"/>
          <w:u w:color="000000"/>
        </w:rPr>
      </w:pPr>
      <w:r>
        <w:rPr>
          <w:rFonts w:hint="eastAsia" w:ascii="宋体" w:hAnsi="宋体" w:eastAsia="宋体" w:cs="宋体"/>
          <w:sz w:val="24"/>
          <w:szCs w:val="24"/>
          <w:u w:color="000000"/>
        </w:rPr>
        <w:t>九、技术方案</w:t>
      </w:r>
    </w:p>
    <w:p w14:paraId="6011A704">
      <w:pPr>
        <w:spacing w:line="360" w:lineRule="auto"/>
        <w:rPr>
          <w:rFonts w:ascii="宋体" w:hAnsi="宋体" w:eastAsia="宋体" w:cs="宋体"/>
          <w:sz w:val="24"/>
          <w:szCs w:val="24"/>
          <w:u w:color="000000"/>
        </w:rPr>
      </w:pPr>
      <w:r>
        <w:rPr>
          <w:rFonts w:hint="eastAsia" w:ascii="宋体" w:hAnsi="宋体" w:eastAsia="宋体" w:cs="宋体"/>
          <w:sz w:val="24"/>
          <w:szCs w:val="24"/>
          <w:u w:color="000000"/>
        </w:rPr>
        <w:t>十、投标人其它声明及材料</w:t>
      </w:r>
    </w:p>
    <w:p w14:paraId="1B89F646">
      <w:pPr>
        <w:spacing w:line="360" w:lineRule="auto"/>
        <w:rPr>
          <w:rFonts w:ascii="宋体" w:hAnsi="宋体" w:eastAsia="宋体" w:cs="宋体"/>
          <w:sz w:val="28"/>
          <w:szCs w:val="28"/>
          <w:u w:color="000000"/>
        </w:rPr>
      </w:pPr>
    </w:p>
    <w:p w14:paraId="5CBAB4EF">
      <w:pPr>
        <w:jc w:val="left"/>
        <w:rPr>
          <w:rFonts w:ascii="宋体" w:hAnsi="宋体" w:eastAsia="宋体" w:cs="宋体"/>
        </w:rPr>
      </w:pPr>
      <w:r>
        <w:rPr>
          <w:rFonts w:hint="eastAsia" w:ascii="宋体" w:hAnsi="宋体" w:eastAsia="宋体" w:cs="宋体"/>
        </w:rPr>
        <w:br w:type="page"/>
      </w:r>
    </w:p>
    <w:p w14:paraId="54F73340">
      <w:pPr>
        <w:tabs>
          <w:tab w:val="left" w:pos="576"/>
        </w:tabs>
        <w:spacing w:before="156" w:beforeLines="50" w:after="156" w:afterLines="50" w:line="360" w:lineRule="auto"/>
        <w:outlineLvl w:val="2"/>
        <w:rPr>
          <w:rFonts w:ascii="宋体" w:hAnsi="宋体" w:eastAsia="宋体" w:cs="宋体"/>
          <w:sz w:val="24"/>
          <w:szCs w:val="24"/>
          <w:u w:color="000000"/>
        </w:rPr>
      </w:pPr>
      <w:bookmarkStart w:id="16" w:name="_Toc448069988"/>
      <w:bookmarkStart w:id="17" w:name="_Toc415494574"/>
      <w:bookmarkStart w:id="18" w:name="_Toc50"/>
      <w:bookmarkStart w:id="19" w:name="_Toc20393"/>
      <w:bookmarkStart w:id="20" w:name="_Toc11859491"/>
      <w:r>
        <w:rPr>
          <w:rFonts w:hint="eastAsia" w:ascii="宋体" w:hAnsi="宋体" w:eastAsia="宋体" w:cs="宋体"/>
          <w:sz w:val="24"/>
          <w:szCs w:val="24"/>
          <w:u w:color="000000"/>
        </w:rPr>
        <w:t xml:space="preserve">6.1 </w:t>
      </w:r>
      <w:bookmarkEnd w:id="16"/>
      <w:bookmarkEnd w:id="17"/>
      <w:bookmarkEnd w:id="18"/>
      <w:r>
        <w:rPr>
          <w:rFonts w:hint="eastAsia" w:ascii="宋体" w:hAnsi="宋体" w:eastAsia="宋体" w:cs="宋体"/>
          <w:sz w:val="24"/>
          <w:szCs w:val="24"/>
          <w:u w:color="000000"/>
        </w:rPr>
        <w:t>投标函</w:t>
      </w:r>
      <w:bookmarkEnd w:id="19"/>
      <w:bookmarkEnd w:id="20"/>
    </w:p>
    <w:p w14:paraId="1EA311B9">
      <w:pPr>
        <w:snapToGrid w:val="0"/>
        <w:spacing w:line="360" w:lineRule="auto"/>
        <w:jc w:val="center"/>
        <w:rPr>
          <w:rFonts w:ascii="宋体" w:hAnsi="宋体" w:eastAsia="宋体" w:cs="宋体"/>
          <w:sz w:val="28"/>
          <w:szCs w:val="24"/>
          <w:u w:color="000000"/>
          <w:lang w:val="zh-TW" w:eastAsia="zh-TW"/>
        </w:rPr>
      </w:pPr>
      <w:r>
        <w:rPr>
          <w:rFonts w:hint="eastAsia" w:ascii="宋体" w:hAnsi="宋体" w:eastAsia="宋体" w:cs="宋体"/>
          <w:sz w:val="28"/>
          <w:szCs w:val="24"/>
          <w:u w:color="000000"/>
          <w:lang w:val="zh-TW" w:eastAsia="zh-TW"/>
        </w:rPr>
        <w:t>投标函</w:t>
      </w:r>
    </w:p>
    <w:p w14:paraId="71B74473">
      <w:pPr>
        <w:pStyle w:val="48"/>
        <w:spacing w:before="0" w:after="0" w:line="300" w:lineRule="auto"/>
        <w:ind w:firstLine="0"/>
        <w:rPr>
          <w:rFonts w:ascii="宋体" w:hAnsi="宋体" w:cs="宋体"/>
          <w:kern w:val="2"/>
          <w:szCs w:val="21"/>
        </w:rPr>
      </w:pPr>
      <w:r>
        <w:rPr>
          <w:rFonts w:hint="eastAsia" w:ascii="宋体" w:hAnsi="宋体" w:cs="宋体"/>
          <w:kern w:val="2"/>
          <w:szCs w:val="21"/>
        </w:rPr>
        <w:t>致：南京邮电大学通达学院</w:t>
      </w:r>
    </w:p>
    <w:p w14:paraId="159E8691">
      <w:pPr>
        <w:pStyle w:val="48"/>
        <w:spacing w:before="0" w:after="0" w:line="300" w:lineRule="auto"/>
        <w:ind w:firstLineChars="200"/>
        <w:rPr>
          <w:rFonts w:ascii="宋体" w:hAnsi="宋体" w:cs="宋体"/>
          <w:kern w:val="2"/>
          <w:szCs w:val="21"/>
        </w:rPr>
      </w:pPr>
      <w:r>
        <w:rPr>
          <w:rFonts w:hint="eastAsia" w:ascii="宋体" w:hAnsi="宋体" w:cs="宋体"/>
          <w:kern w:val="2"/>
          <w:szCs w:val="21"/>
        </w:rPr>
        <w:t>根据贵方</w:t>
      </w:r>
      <w:r>
        <w:rPr>
          <w:rFonts w:hint="eastAsia" w:ascii="宋体" w:hAnsi="宋体" w:cs="宋体"/>
          <w:kern w:val="2"/>
          <w:szCs w:val="21"/>
          <w:u w:val="single"/>
          <w:lang w:eastAsia="zh-CN"/>
        </w:rPr>
        <w:t>南京邮电大学通达学院2025年5月-2027年5月电梯维保服务采购</w:t>
      </w:r>
      <w:r>
        <w:rPr>
          <w:rFonts w:hint="eastAsia" w:ascii="宋体" w:hAnsi="宋体" w:cs="宋体"/>
          <w:kern w:val="2"/>
          <w:szCs w:val="21"/>
          <w:u w:val="single"/>
        </w:rPr>
        <w:t>项目（项目编号：</w:t>
      </w:r>
      <w:r>
        <w:rPr>
          <w:rFonts w:hint="eastAsia" w:ascii="宋体" w:hAnsi="宋体" w:cs="宋体"/>
          <w:kern w:val="2"/>
          <w:szCs w:val="21"/>
          <w:u w:val="single"/>
          <w:lang w:eastAsia="zh-CN"/>
        </w:rPr>
        <w:t>TDCG2025007</w:t>
      </w:r>
      <w:r>
        <w:rPr>
          <w:rFonts w:hint="eastAsia" w:ascii="宋体" w:hAnsi="宋体" w:cs="宋体"/>
          <w:kern w:val="2"/>
          <w:szCs w:val="21"/>
          <w:u w:val="single"/>
        </w:rPr>
        <w:t>）</w:t>
      </w:r>
      <w:r>
        <w:rPr>
          <w:rFonts w:hint="eastAsia" w:ascii="宋体" w:hAnsi="宋体" w:cs="宋体"/>
          <w:kern w:val="2"/>
          <w:szCs w:val="21"/>
        </w:rPr>
        <w:t>的招标文件，正式授权下述签字人____________（姓名和职务）代表我方____________（投标人的名称），全权处理本次项目投标的有关事宜。</w:t>
      </w:r>
    </w:p>
    <w:p w14:paraId="3D970680">
      <w:pPr>
        <w:pStyle w:val="48"/>
        <w:spacing w:before="0" w:after="0" w:line="300" w:lineRule="auto"/>
        <w:ind w:firstLineChars="200"/>
        <w:rPr>
          <w:rFonts w:ascii="宋体" w:hAnsi="宋体" w:cs="宋体"/>
          <w:kern w:val="2"/>
          <w:szCs w:val="21"/>
        </w:rPr>
      </w:pPr>
      <w:r>
        <w:rPr>
          <w:rFonts w:hint="eastAsia" w:ascii="宋体" w:hAnsi="宋体" w:cs="宋体"/>
          <w:kern w:val="2"/>
          <w:szCs w:val="21"/>
        </w:rPr>
        <w:t>据此函，投标人宣布同意如下：</w:t>
      </w:r>
    </w:p>
    <w:p w14:paraId="16E00870">
      <w:pPr>
        <w:pStyle w:val="48"/>
        <w:spacing w:before="0" w:after="0" w:line="300" w:lineRule="auto"/>
        <w:rPr>
          <w:rFonts w:ascii="宋体" w:hAnsi="宋体" w:cs="宋体"/>
          <w:kern w:val="2"/>
          <w:szCs w:val="21"/>
        </w:rPr>
      </w:pPr>
      <w:r>
        <w:rPr>
          <w:rFonts w:hint="eastAsia" w:ascii="宋体" w:hAnsi="宋体" w:cs="宋体"/>
          <w:kern w:val="2"/>
          <w:szCs w:val="21"/>
        </w:rPr>
        <w:t>1.按招标文件规定的各项要求，向买方提供所需货物与服务。</w:t>
      </w:r>
    </w:p>
    <w:p w14:paraId="752BC295">
      <w:pPr>
        <w:pStyle w:val="48"/>
        <w:spacing w:before="0" w:after="0" w:line="300" w:lineRule="auto"/>
        <w:ind w:firstLineChars="200"/>
        <w:rPr>
          <w:rFonts w:ascii="宋体" w:hAnsi="宋体" w:cs="宋体"/>
          <w:kern w:val="2"/>
          <w:szCs w:val="21"/>
        </w:rPr>
      </w:pPr>
      <w:r>
        <w:rPr>
          <w:rFonts w:hint="eastAsia" w:ascii="宋体" w:hAnsi="宋体" w:cs="宋体"/>
          <w:kern w:val="2"/>
          <w:szCs w:val="21"/>
        </w:rPr>
        <w:t>2.我们完全理解贵方不一定将合同授予最低报价的投标人。</w:t>
      </w:r>
    </w:p>
    <w:p w14:paraId="68E1D309">
      <w:pPr>
        <w:pStyle w:val="48"/>
        <w:spacing w:before="0" w:after="0" w:line="300" w:lineRule="auto"/>
        <w:ind w:firstLineChars="200"/>
        <w:rPr>
          <w:rFonts w:ascii="宋体" w:hAnsi="宋体" w:cs="宋体"/>
          <w:kern w:val="2"/>
          <w:szCs w:val="21"/>
        </w:rPr>
      </w:pPr>
      <w:r>
        <w:rPr>
          <w:rFonts w:hint="eastAsia" w:ascii="宋体" w:hAnsi="宋体" w:cs="宋体"/>
          <w:kern w:val="2"/>
          <w:szCs w:val="21"/>
        </w:rPr>
        <w:t>3.我们已详细审核全部招标文件及其有效补充文件，我们知道必须放弃提出含糊不清或误解问题的权利。</w:t>
      </w:r>
    </w:p>
    <w:p w14:paraId="45253B0B">
      <w:pPr>
        <w:pStyle w:val="48"/>
        <w:spacing w:before="0" w:after="0" w:line="300" w:lineRule="auto"/>
        <w:rPr>
          <w:rFonts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14:paraId="4C2B49C4">
      <w:pPr>
        <w:pStyle w:val="48"/>
        <w:spacing w:before="0" w:after="0" w:line="300" w:lineRule="auto"/>
        <w:rPr>
          <w:rFonts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14:paraId="7CB3577B">
      <w:pPr>
        <w:pStyle w:val="48"/>
        <w:spacing w:before="0" w:after="0" w:line="300" w:lineRule="auto"/>
        <w:rPr>
          <w:rFonts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14:paraId="5113B43D">
      <w:pPr>
        <w:pStyle w:val="48"/>
        <w:spacing w:before="0" w:after="0" w:line="300" w:lineRule="auto"/>
        <w:rPr>
          <w:rFonts w:ascii="宋体" w:hAnsi="宋体" w:cs="宋体"/>
          <w:kern w:val="2"/>
          <w:szCs w:val="21"/>
        </w:rPr>
      </w:pPr>
      <w:r>
        <w:rPr>
          <w:rFonts w:hint="eastAsia" w:ascii="宋体" w:hAnsi="宋体" w:cs="宋体"/>
          <w:kern w:val="2"/>
          <w:szCs w:val="21"/>
        </w:rPr>
        <w:t>7.一旦我方中标,我方将根据招标文件的规定，严格履行合同的责任和义务,并保证在招标文件规定的时间完成项目，交付买方验收、使用。</w:t>
      </w:r>
    </w:p>
    <w:p w14:paraId="1E64EB8B">
      <w:pPr>
        <w:pStyle w:val="48"/>
        <w:spacing w:before="0" w:after="0" w:line="300" w:lineRule="auto"/>
        <w:ind w:firstLineChars="200"/>
        <w:rPr>
          <w:rFonts w:ascii="宋体" w:hAnsi="宋体" w:cs="宋体"/>
          <w:kern w:val="2"/>
          <w:szCs w:val="21"/>
        </w:rPr>
      </w:pPr>
      <w:r>
        <w:rPr>
          <w:rFonts w:hint="eastAsia" w:ascii="宋体" w:hAnsi="宋体" w:cs="宋体"/>
          <w:kern w:val="2"/>
          <w:szCs w:val="21"/>
        </w:rPr>
        <w:t>8.遵守招标文件中要求的收费项目和标准。</w:t>
      </w:r>
    </w:p>
    <w:p w14:paraId="29CE20FF">
      <w:pPr>
        <w:pStyle w:val="48"/>
        <w:spacing w:before="0" w:after="0" w:line="300" w:lineRule="auto"/>
        <w:ind w:firstLineChars="200"/>
        <w:rPr>
          <w:rFonts w:ascii="宋体" w:hAnsi="宋体" w:cs="宋体"/>
          <w:kern w:val="2"/>
          <w:szCs w:val="21"/>
        </w:rPr>
      </w:pPr>
      <w:r>
        <w:rPr>
          <w:rFonts w:hint="eastAsia" w:ascii="宋体" w:hAnsi="宋体" w:cs="宋体"/>
          <w:kern w:val="2"/>
          <w:szCs w:val="21"/>
        </w:rPr>
        <w:t>9.与本投标有关的正式通讯地址为：</w:t>
      </w:r>
    </w:p>
    <w:p w14:paraId="5C6E1654">
      <w:pPr>
        <w:pStyle w:val="48"/>
        <w:spacing w:before="0" w:after="0" w:line="300" w:lineRule="auto"/>
        <w:ind w:left="420" w:leftChars="200" w:firstLineChars="200"/>
        <w:rPr>
          <w:rFonts w:ascii="宋体" w:hAnsi="宋体" w:cs="宋体"/>
          <w:kern w:val="2"/>
          <w:szCs w:val="21"/>
        </w:rPr>
      </w:pPr>
      <w:r>
        <w:rPr>
          <w:rFonts w:hint="eastAsia" w:ascii="宋体" w:hAnsi="宋体" w:cs="宋体"/>
          <w:kern w:val="2"/>
          <w:szCs w:val="21"/>
        </w:rPr>
        <w:t>地        址：</w:t>
      </w:r>
    </w:p>
    <w:p w14:paraId="4F994095">
      <w:pPr>
        <w:pStyle w:val="48"/>
        <w:spacing w:before="0" w:after="0" w:line="300" w:lineRule="auto"/>
        <w:ind w:left="420" w:leftChars="200" w:firstLineChars="200"/>
        <w:rPr>
          <w:rFonts w:ascii="宋体" w:hAnsi="宋体" w:cs="宋体"/>
          <w:kern w:val="2"/>
          <w:szCs w:val="21"/>
        </w:rPr>
      </w:pPr>
      <w:r>
        <w:rPr>
          <w:rFonts w:hint="eastAsia" w:ascii="宋体" w:hAnsi="宋体" w:cs="宋体"/>
          <w:kern w:val="2"/>
          <w:szCs w:val="21"/>
        </w:rPr>
        <w:t>邮        编：</w:t>
      </w:r>
    </w:p>
    <w:p w14:paraId="4FECA407">
      <w:pPr>
        <w:pStyle w:val="48"/>
        <w:spacing w:before="0" w:after="0" w:line="300" w:lineRule="auto"/>
        <w:ind w:left="420" w:leftChars="200" w:firstLineChars="200"/>
        <w:rPr>
          <w:rFonts w:ascii="宋体" w:hAnsi="宋体" w:cs="宋体"/>
          <w:kern w:val="2"/>
          <w:szCs w:val="21"/>
        </w:rPr>
      </w:pPr>
      <w:r>
        <w:rPr>
          <w:rFonts w:hint="eastAsia" w:ascii="宋体" w:hAnsi="宋体" w:cs="宋体"/>
          <w:kern w:val="2"/>
          <w:szCs w:val="21"/>
        </w:rPr>
        <w:t>电        话：</w:t>
      </w:r>
    </w:p>
    <w:p w14:paraId="3BFA26B5">
      <w:pPr>
        <w:pStyle w:val="48"/>
        <w:spacing w:before="0" w:after="0" w:line="300" w:lineRule="auto"/>
        <w:ind w:left="420" w:leftChars="200" w:firstLineChars="200"/>
        <w:rPr>
          <w:rFonts w:ascii="宋体" w:hAnsi="宋体" w:cs="宋体"/>
          <w:kern w:val="2"/>
          <w:szCs w:val="21"/>
        </w:rPr>
      </w:pPr>
      <w:r>
        <w:rPr>
          <w:rFonts w:hint="eastAsia" w:ascii="宋体" w:hAnsi="宋体" w:cs="宋体"/>
          <w:kern w:val="2"/>
          <w:szCs w:val="21"/>
        </w:rPr>
        <w:t>传        真：</w:t>
      </w:r>
    </w:p>
    <w:p w14:paraId="557E1A94">
      <w:pPr>
        <w:pStyle w:val="48"/>
        <w:spacing w:before="0" w:after="0" w:line="300" w:lineRule="auto"/>
        <w:ind w:left="420" w:leftChars="200" w:firstLineChars="200"/>
        <w:rPr>
          <w:rFonts w:ascii="宋体" w:hAnsi="宋体" w:cs="宋体"/>
          <w:kern w:val="2"/>
          <w:szCs w:val="21"/>
        </w:rPr>
      </w:pPr>
      <w:r>
        <w:rPr>
          <w:rFonts w:hint="eastAsia" w:ascii="宋体" w:hAnsi="宋体" w:cs="宋体"/>
          <w:kern w:val="2"/>
          <w:szCs w:val="21"/>
        </w:rPr>
        <w:t>投标人开户行：</w:t>
      </w:r>
    </w:p>
    <w:p w14:paraId="2D1F2675">
      <w:pPr>
        <w:pStyle w:val="48"/>
        <w:spacing w:before="0" w:after="0" w:line="300" w:lineRule="auto"/>
        <w:ind w:left="420" w:leftChars="200" w:firstLineChars="200"/>
        <w:rPr>
          <w:rFonts w:ascii="宋体" w:hAnsi="宋体" w:cs="宋体"/>
          <w:kern w:val="2"/>
          <w:szCs w:val="21"/>
        </w:rPr>
      </w:pPr>
      <w:r>
        <w:rPr>
          <w:rFonts w:hint="eastAsia" w:ascii="宋体" w:hAnsi="宋体" w:cs="宋体"/>
          <w:kern w:val="2"/>
          <w:szCs w:val="21"/>
        </w:rPr>
        <w:t xml:space="preserve">账        户： </w:t>
      </w:r>
    </w:p>
    <w:p w14:paraId="73B2E9AF">
      <w:pPr>
        <w:pStyle w:val="48"/>
        <w:spacing w:before="0" w:after="0" w:line="300" w:lineRule="auto"/>
        <w:ind w:left="420" w:leftChars="200" w:firstLineChars="200"/>
        <w:rPr>
          <w:rFonts w:ascii="宋体" w:hAnsi="宋体" w:cs="宋体"/>
          <w:kern w:val="2"/>
          <w:szCs w:val="21"/>
        </w:rPr>
      </w:pPr>
      <w:r>
        <w:rPr>
          <w:rFonts w:hint="eastAsia" w:ascii="宋体" w:hAnsi="宋体" w:cs="宋体"/>
          <w:kern w:val="2"/>
          <w:szCs w:val="21"/>
        </w:rPr>
        <w:t xml:space="preserve">投标人授权代表姓名（签字）： </w:t>
      </w:r>
    </w:p>
    <w:p w14:paraId="7B10050C">
      <w:pPr>
        <w:pStyle w:val="48"/>
        <w:spacing w:before="0" w:after="0" w:line="300" w:lineRule="auto"/>
        <w:ind w:left="420" w:leftChars="200" w:firstLineChars="200"/>
        <w:rPr>
          <w:rFonts w:ascii="宋体" w:hAnsi="宋体" w:cs="宋体"/>
          <w:kern w:val="2"/>
          <w:szCs w:val="21"/>
        </w:rPr>
      </w:pPr>
      <w:r>
        <w:rPr>
          <w:rFonts w:hint="eastAsia" w:ascii="宋体" w:hAnsi="宋体" w:cs="宋体"/>
          <w:kern w:val="2"/>
          <w:szCs w:val="21"/>
        </w:rPr>
        <w:t xml:space="preserve">投标人名称（公章）： </w:t>
      </w:r>
    </w:p>
    <w:p w14:paraId="5FDFE2AD">
      <w:pPr>
        <w:pStyle w:val="48"/>
        <w:spacing w:before="0" w:after="0" w:line="300" w:lineRule="auto"/>
        <w:ind w:left="420" w:leftChars="200" w:firstLineChars="200"/>
        <w:rPr>
          <w:rFonts w:ascii="宋体" w:hAnsi="宋体" w:cs="宋体"/>
          <w:kern w:val="2"/>
          <w:szCs w:val="21"/>
        </w:rPr>
      </w:pPr>
      <w:r>
        <w:rPr>
          <w:rFonts w:hint="eastAsia" w:ascii="宋体" w:hAnsi="宋体" w:cs="宋体"/>
          <w:kern w:val="2"/>
          <w:szCs w:val="21"/>
        </w:rPr>
        <w:t>日        期：________年____月____日</w:t>
      </w:r>
    </w:p>
    <w:p w14:paraId="34E4B213">
      <w:pPr>
        <w:snapToGrid w:val="0"/>
        <w:spacing w:line="360" w:lineRule="auto"/>
        <w:jc w:val="right"/>
        <w:rPr>
          <w:rFonts w:ascii="宋体" w:hAnsi="宋体" w:eastAsia="宋体" w:cs="宋体"/>
          <w:szCs w:val="21"/>
          <w:u w:color="000000"/>
        </w:rPr>
      </w:pPr>
    </w:p>
    <w:p w14:paraId="79640814">
      <w:pPr>
        <w:spacing w:line="360" w:lineRule="auto"/>
        <w:jc w:val="right"/>
        <w:rPr>
          <w:rFonts w:ascii="宋体" w:hAnsi="宋体" w:eastAsia="宋体" w:cs="宋体"/>
          <w:szCs w:val="21"/>
          <w:u w:color="000000"/>
        </w:rPr>
      </w:pPr>
    </w:p>
    <w:p w14:paraId="68706685">
      <w:pPr>
        <w:jc w:val="left"/>
        <w:rPr>
          <w:rFonts w:ascii="宋体" w:hAnsi="宋体" w:eastAsia="宋体" w:cs="宋体"/>
        </w:rPr>
      </w:pPr>
      <w:r>
        <w:rPr>
          <w:rFonts w:hint="eastAsia" w:ascii="宋体" w:hAnsi="宋体" w:eastAsia="宋体" w:cs="宋体"/>
        </w:rPr>
        <w:br w:type="page"/>
      </w:r>
    </w:p>
    <w:p w14:paraId="733707C5">
      <w:pPr>
        <w:tabs>
          <w:tab w:val="left" w:pos="576"/>
        </w:tabs>
        <w:spacing w:before="156" w:beforeLines="50" w:after="156" w:afterLines="50" w:line="360" w:lineRule="auto"/>
        <w:outlineLvl w:val="2"/>
        <w:rPr>
          <w:rFonts w:ascii="宋体" w:hAnsi="宋体" w:eastAsia="宋体" w:cs="宋体"/>
          <w:sz w:val="24"/>
          <w:szCs w:val="24"/>
          <w:u w:color="000000"/>
        </w:rPr>
      </w:pPr>
      <w:bookmarkStart w:id="21" w:name="_Toc11859492"/>
      <w:bookmarkStart w:id="22" w:name="_Toc12813"/>
      <w:bookmarkStart w:id="23" w:name="_Toc415494579"/>
      <w:bookmarkStart w:id="24" w:name="_Toc448069992"/>
      <w:bookmarkStart w:id="25" w:name="_Toc415494575"/>
      <w:bookmarkStart w:id="26" w:name="_Toc452541709"/>
      <w:bookmarkStart w:id="27" w:name="_Toc51"/>
      <w:bookmarkStart w:id="28" w:name="_Toc448069989"/>
      <w:r>
        <w:rPr>
          <w:rFonts w:hint="eastAsia" w:ascii="宋体" w:hAnsi="宋体" w:eastAsia="宋体" w:cs="宋体"/>
          <w:sz w:val="24"/>
          <w:szCs w:val="24"/>
          <w:u w:color="000000"/>
        </w:rPr>
        <w:t>6.2 投标一览表</w:t>
      </w:r>
      <w:bookmarkEnd w:id="21"/>
      <w:bookmarkEnd w:id="22"/>
      <w:bookmarkEnd w:id="23"/>
      <w:bookmarkEnd w:id="24"/>
    </w:p>
    <w:p w14:paraId="6D572F7E">
      <w:pPr>
        <w:snapToGrid w:val="0"/>
        <w:spacing w:line="360" w:lineRule="auto"/>
        <w:jc w:val="center"/>
        <w:rPr>
          <w:rFonts w:ascii="宋体" w:hAnsi="宋体" w:eastAsia="宋体" w:cs="宋体"/>
          <w:sz w:val="28"/>
          <w:szCs w:val="24"/>
          <w:u w:color="000000"/>
          <w:lang w:val="zh-TW" w:eastAsia="zh-TW"/>
        </w:rPr>
      </w:pPr>
      <w:r>
        <w:rPr>
          <w:rFonts w:hint="eastAsia" w:ascii="宋体" w:hAnsi="宋体" w:eastAsia="宋体" w:cs="宋体"/>
          <w:sz w:val="28"/>
          <w:szCs w:val="24"/>
          <w:u w:color="000000"/>
          <w:lang w:val="zh-TW" w:eastAsia="zh-TW"/>
        </w:rPr>
        <w:t>投标一览表</w:t>
      </w:r>
    </w:p>
    <w:p w14:paraId="6212F6BD">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投标人全称（加盖公章）：</w:t>
      </w:r>
    </w:p>
    <w:p w14:paraId="2693815D">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lang w:eastAsia="zh-CN"/>
        </w:rPr>
        <w:t>南京邮电大学通达学院2025年5月-2027年5月电梯维保服务采购</w:t>
      </w:r>
      <w:r>
        <w:rPr>
          <w:rFonts w:hint="eastAsia" w:ascii="宋体" w:hAnsi="宋体" w:eastAsia="宋体" w:cs="宋体"/>
          <w:sz w:val="24"/>
          <w:szCs w:val="24"/>
        </w:rPr>
        <w:t>项目</w:t>
      </w:r>
    </w:p>
    <w:p w14:paraId="3476B207">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项目编号：</w:t>
      </w:r>
    </w:p>
    <w:tbl>
      <w:tblPr>
        <w:tblStyle w:val="26"/>
        <w:tblW w:w="8537" w:type="dxa"/>
        <w:tblInd w:w="-21" w:type="dxa"/>
        <w:tblLayout w:type="fixed"/>
        <w:tblCellMar>
          <w:top w:w="0" w:type="dxa"/>
          <w:left w:w="108" w:type="dxa"/>
          <w:bottom w:w="0" w:type="dxa"/>
          <w:right w:w="108" w:type="dxa"/>
        </w:tblCellMar>
      </w:tblPr>
      <w:tblGrid>
        <w:gridCol w:w="2423"/>
        <w:gridCol w:w="6114"/>
      </w:tblGrid>
      <w:tr w14:paraId="349F1A3F">
        <w:tblPrEx>
          <w:tblCellMar>
            <w:top w:w="0" w:type="dxa"/>
            <w:left w:w="108" w:type="dxa"/>
            <w:bottom w:w="0" w:type="dxa"/>
            <w:right w:w="108" w:type="dxa"/>
          </w:tblCellMar>
        </w:tblPrEx>
        <w:trPr>
          <w:trHeight w:val="787" w:hRule="atLeast"/>
        </w:trPr>
        <w:tc>
          <w:tcPr>
            <w:tcW w:w="2423" w:type="dxa"/>
            <w:tcBorders>
              <w:top w:val="single" w:color="000000" w:sz="4" w:space="0"/>
              <w:left w:val="single" w:color="000000" w:sz="4" w:space="0"/>
              <w:bottom w:val="single" w:color="000000" w:sz="4" w:space="0"/>
              <w:right w:val="single" w:color="000000" w:sz="4" w:space="0"/>
            </w:tcBorders>
            <w:vAlign w:val="center"/>
          </w:tcPr>
          <w:p w14:paraId="31672BA9">
            <w:pPr>
              <w:widowControl/>
              <w:jc w:val="center"/>
              <w:rPr>
                <w:rFonts w:ascii="宋体" w:hAnsi="宋体" w:eastAsia="宋体" w:cs="宋体"/>
                <w:kern w:val="0"/>
                <w:sz w:val="28"/>
                <w:szCs w:val="28"/>
              </w:rPr>
            </w:pPr>
            <w:r>
              <w:rPr>
                <w:rFonts w:hint="eastAsia" w:ascii="宋体" w:hAnsi="宋体" w:eastAsia="宋体" w:cs="宋体"/>
                <w:kern w:val="0"/>
                <w:sz w:val="28"/>
                <w:szCs w:val="28"/>
              </w:rPr>
              <w:t>项目名称</w:t>
            </w:r>
          </w:p>
        </w:tc>
        <w:tc>
          <w:tcPr>
            <w:tcW w:w="6114" w:type="dxa"/>
            <w:tcBorders>
              <w:top w:val="single" w:color="000000" w:sz="4" w:space="0"/>
              <w:left w:val="single" w:color="000000" w:sz="4" w:space="0"/>
              <w:bottom w:val="single" w:color="000000" w:sz="4" w:space="0"/>
              <w:right w:val="single" w:color="000000" w:sz="4" w:space="0"/>
            </w:tcBorders>
            <w:vAlign w:val="center"/>
          </w:tcPr>
          <w:p w14:paraId="6519069A">
            <w:pPr>
              <w:widowControl/>
              <w:jc w:val="left"/>
              <w:rPr>
                <w:rFonts w:ascii="宋体" w:hAnsi="宋体" w:eastAsia="宋体" w:cs="宋体"/>
                <w:kern w:val="0"/>
                <w:sz w:val="28"/>
                <w:szCs w:val="28"/>
              </w:rPr>
            </w:pPr>
            <w:r>
              <w:rPr>
                <w:rFonts w:hint="eastAsia" w:ascii="宋体" w:hAnsi="宋体" w:eastAsia="宋体" w:cs="宋体"/>
                <w:b/>
                <w:bCs/>
                <w:kern w:val="0"/>
                <w:sz w:val="28"/>
                <w:szCs w:val="28"/>
              </w:rPr>
              <w:t xml:space="preserve">  </w:t>
            </w:r>
          </w:p>
        </w:tc>
      </w:tr>
      <w:tr w14:paraId="1DFA87B8">
        <w:tblPrEx>
          <w:tblCellMar>
            <w:top w:w="0" w:type="dxa"/>
            <w:left w:w="108" w:type="dxa"/>
            <w:bottom w:w="0" w:type="dxa"/>
            <w:right w:w="108" w:type="dxa"/>
          </w:tblCellMar>
        </w:tblPrEx>
        <w:trPr>
          <w:trHeight w:val="787" w:hRule="atLeast"/>
        </w:trPr>
        <w:tc>
          <w:tcPr>
            <w:tcW w:w="2423" w:type="dxa"/>
            <w:tcBorders>
              <w:top w:val="single" w:color="000000" w:sz="4" w:space="0"/>
              <w:left w:val="single" w:color="000000" w:sz="4" w:space="0"/>
              <w:bottom w:val="single" w:color="000000" w:sz="4" w:space="0"/>
              <w:right w:val="single" w:color="000000" w:sz="4" w:space="0"/>
            </w:tcBorders>
            <w:vAlign w:val="center"/>
          </w:tcPr>
          <w:p w14:paraId="1BA86AEC">
            <w:pPr>
              <w:widowControl/>
              <w:jc w:val="center"/>
              <w:rPr>
                <w:rFonts w:ascii="宋体" w:hAnsi="宋体" w:eastAsia="宋体" w:cs="宋体"/>
                <w:kern w:val="0"/>
                <w:sz w:val="28"/>
                <w:szCs w:val="28"/>
              </w:rPr>
            </w:pPr>
            <w:r>
              <w:rPr>
                <w:rFonts w:hint="eastAsia" w:ascii="宋体" w:hAnsi="宋体" w:eastAsia="宋体" w:cs="宋体"/>
                <w:kern w:val="0"/>
                <w:sz w:val="28"/>
                <w:szCs w:val="28"/>
              </w:rPr>
              <w:t>项目编号</w:t>
            </w:r>
          </w:p>
        </w:tc>
        <w:tc>
          <w:tcPr>
            <w:tcW w:w="6114" w:type="dxa"/>
            <w:tcBorders>
              <w:top w:val="single" w:color="000000" w:sz="4" w:space="0"/>
              <w:left w:val="single" w:color="000000" w:sz="4" w:space="0"/>
              <w:bottom w:val="single" w:color="000000" w:sz="4" w:space="0"/>
              <w:right w:val="single" w:color="000000" w:sz="4" w:space="0"/>
            </w:tcBorders>
            <w:vAlign w:val="center"/>
          </w:tcPr>
          <w:p w14:paraId="13072407">
            <w:pPr>
              <w:widowControl/>
              <w:spacing w:line="360" w:lineRule="auto"/>
              <w:ind w:firstLine="36" w:firstLineChars="13"/>
              <w:rPr>
                <w:rFonts w:ascii="宋体" w:hAnsi="宋体" w:eastAsia="宋体" w:cs="宋体"/>
                <w:kern w:val="0"/>
                <w:sz w:val="28"/>
                <w:szCs w:val="28"/>
              </w:rPr>
            </w:pPr>
          </w:p>
        </w:tc>
      </w:tr>
      <w:tr w14:paraId="46F96B83">
        <w:tblPrEx>
          <w:tblCellMar>
            <w:top w:w="0" w:type="dxa"/>
            <w:left w:w="108" w:type="dxa"/>
            <w:bottom w:w="0" w:type="dxa"/>
            <w:right w:w="108" w:type="dxa"/>
          </w:tblCellMar>
        </w:tblPrEx>
        <w:trPr>
          <w:trHeight w:val="3764" w:hRule="atLeast"/>
        </w:trPr>
        <w:tc>
          <w:tcPr>
            <w:tcW w:w="2423" w:type="dxa"/>
            <w:tcBorders>
              <w:top w:val="single" w:color="000000" w:sz="4" w:space="0"/>
              <w:left w:val="single" w:color="000000" w:sz="4" w:space="0"/>
              <w:bottom w:val="single" w:color="000000" w:sz="4" w:space="0"/>
              <w:right w:val="single" w:color="000000" w:sz="4" w:space="0"/>
            </w:tcBorders>
            <w:vAlign w:val="center"/>
          </w:tcPr>
          <w:p w14:paraId="4B7C35FB">
            <w:pPr>
              <w:jc w:val="center"/>
              <w:rPr>
                <w:rFonts w:ascii="宋体" w:hAnsi="宋体" w:eastAsia="宋体" w:cs="宋体"/>
                <w:bCs/>
                <w:sz w:val="28"/>
                <w:szCs w:val="28"/>
              </w:rPr>
            </w:pPr>
            <w:r>
              <w:rPr>
                <w:rFonts w:hint="eastAsia" w:ascii="宋体" w:hAnsi="宋体" w:eastAsia="宋体" w:cs="宋体"/>
                <w:bCs/>
                <w:sz w:val="28"/>
                <w:szCs w:val="28"/>
              </w:rPr>
              <w:t>投标报价（元</w:t>
            </w:r>
            <w:r>
              <w:rPr>
                <w:rFonts w:hint="eastAsia" w:ascii="宋体" w:hAnsi="宋体" w:eastAsia="宋体" w:cs="宋体"/>
                <w:bCs/>
                <w:sz w:val="28"/>
                <w:szCs w:val="28"/>
                <w:lang w:val="en-US" w:eastAsia="zh-CN"/>
              </w:rPr>
              <w:t>/年</w:t>
            </w:r>
            <w:r>
              <w:rPr>
                <w:rFonts w:hint="eastAsia" w:ascii="宋体" w:hAnsi="宋体" w:eastAsia="宋体" w:cs="宋体"/>
                <w:bCs/>
                <w:sz w:val="28"/>
                <w:szCs w:val="28"/>
              </w:rPr>
              <w:t>）</w:t>
            </w:r>
          </w:p>
          <w:p w14:paraId="21309588">
            <w:pPr>
              <w:jc w:val="center"/>
              <w:rPr>
                <w:rFonts w:ascii="宋体" w:hAnsi="宋体" w:eastAsia="宋体" w:cs="宋体"/>
                <w:bCs/>
                <w:sz w:val="28"/>
                <w:szCs w:val="28"/>
              </w:rPr>
            </w:pPr>
          </w:p>
        </w:tc>
        <w:tc>
          <w:tcPr>
            <w:tcW w:w="6114" w:type="dxa"/>
            <w:tcBorders>
              <w:top w:val="single" w:color="000000" w:sz="4" w:space="0"/>
              <w:left w:val="single" w:color="000000" w:sz="4" w:space="0"/>
              <w:bottom w:val="single" w:color="000000" w:sz="4" w:space="0"/>
              <w:right w:val="single" w:color="000000" w:sz="4" w:space="0"/>
            </w:tcBorders>
            <w:vAlign w:val="center"/>
          </w:tcPr>
          <w:p w14:paraId="0080605E">
            <w:pPr>
              <w:rPr>
                <w:rFonts w:hint="eastAsia"/>
                <w:sz w:val="28"/>
                <w:szCs w:val="32"/>
                <w:lang w:val="en-US" w:eastAsia="zh-CN"/>
              </w:rPr>
            </w:pPr>
            <w:r>
              <w:rPr>
                <w:rFonts w:hint="eastAsia"/>
                <w:sz w:val="28"/>
                <w:szCs w:val="32"/>
                <w:lang w:val="en-US" w:eastAsia="zh-CN"/>
              </w:rPr>
              <w:t>大写：</w:t>
            </w:r>
          </w:p>
          <w:p w14:paraId="23E8F1C8">
            <w:pPr>
              <w:rPr>
                <w:rFonts w:hint="eastAsia"/>
                <w:sz w:val="28"/>
                <w:szCs w:val="32"/>
                <w:lang w:val="en-US" w:eastAsia="zh-CN"/>
              </w:rPr>
            </w:pPr>
          </w:p>
          <w:p w14:paraId="2642DF18">
            <w:pPr>
              <w:rPr>
                <w:rFonts w:hint="default"/>
                <w:lang w:val="en-US" w:eastAsia="zh-CN"/>
              </w:rPr>
            </w:pPr>
            <w:r>
              <w:rPr>
                <w:rFonts w:hint="eastAsia"/>
                <w:sz w:val="28"/>
                <w:szCs w:val="32"/>
                <w:lang w:val="en-US" w:eastAsia="zh-CN"/>
              </w:rPr>
              <w:t>小写：</w:t>
            </w:r>
          </w:p>
        </w:tc>
      </w:tr>
    </w:tbl>
    <w:p w14:paraId="7772EAD9">
      <w:pPr>
        <w:adjustRightInd w:val="0"/>
        <w:snapToGrid w:val="0"/>
        <w:spacing w:line="360" w:lineRule="auto"/>
        <w:ind w:firstLine="480" w:firstLineChars="200"/>
        <w:rPr>
          <w:rFonts w:ascii="宋体" w:hAnsi="宋体" w:eastAsia="宋体" w:cs="宋体"/>
          <w:sz w:val="24"/>
          <w:szCs w:val="24"/>
        </w:rPr>
      </w:pPr>
    </w:p>
    <w:p w14:paraId="3C77561C">
      <w:pPr>
        <w:adjustRightInd w:val="0"/>
        <w:snapToGrid w:val="0"/>
        <w:jc w:val="right"/>
        <w:rPr>
          <w:rFonts w:ascii="宋体" w:hAnsi="宋体" w:eastAsia="宋体" w:cs="宋体"/>
          <w:sz w:val="24"/>
          <w:szCs w:val="24"/>
        </w:rPr>
      </w:pPr>
    </w:p>
    <w:p w14:paraId="3D568034">
      <w:pPr>
        <w:adjustRightInd w:val="0"/>
        <w:snapToGrid w:val="0"/>
        <w:spacing w:line="360" w:lineRule="auto"/>
        <w:jc w:val="right"/>
        <w:rPr>
          <w:rFonts w:ascii="宋体" w:hAnsi="宋体" w:eastAsia="宋体" w:cs="宋体"/>
          <w:sz w:val="24"/>
          <w:szCs w:val="24"/>
        </w:rPr>
      </w:pPr>
      <w:r>
        <w:rPr>
          <w:rFonts w:hint="eastAsia" w:ascii="宋体" w:hAnsi="宋体" w:eastAsia="宋体" w:cs="宋体"/>
          <w:sz w:val="24"/>
          <w:szCs w:val="24"/>
        </w:rPr>
        <w:t>法定代表人（授权代表）签字：</w:t>
      </w:r>
      <w:r>
        <w:rPr>
          <w:rFonts w:hint="eastAsia" w:ascii="宋体" w:hAnsi="宋体" w:eastAsia="宋体" w:cs="宋体"/>
          <w:sz w:val="24"/>
          <w:szCs w:val="24"/>
          <w:u w:val="single"/>
        </w:rPr>
        <w:t xml:space="preserve"> </w:t>
      </w:r>
    </w:p>
    <w:p w14:paraId="42EB1062">
      <w:pPr>
        <w:adjustRightInd w:val="0"/>
        <w:snapToGrid w:val="0"/>
        <w:spacing w:line="360" w:lineRule="auto"/>
        <w:ind w:firstLine="5880" w:firstLineChars="2450"/>
        <w:rPr>
          <w:rFonts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1754DBCB">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填写说明：</w:t>
      </w:r>
    </w:p>
    <w:p w14:paraId="35E8A9CB">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1、投标一览表必须加盖投标单位公章，并单独装在小信封内于投标截止时间前与投标文件一起递交。</w:t>
      </w:r>
    </w:p>
    <w:p w14:paraId="16E840BE">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2、投标报价不得高于最高限价，超过最高限价将否决投标。报价保留小数点后两位。</w:t>
      </w:r>
    </w:p>
    <w:p w14:paraId="3413C09C">
      <w:pPr>
        <w:widowControl/>
        <w:jc w:val="left"/>
        <w:rPr>
          <w:rFonts w:ascii="宋体" w:hAnsi="宋体" w:eastAsia="宋体" w:cs="宋体"/>
          <w:sz w:val="24"/>
          <w:szCs w:val="24"/>
        </w:rPr>
      </w:pPr>
      <w:r>
        <w:rPr>
          <w:rFonts w:hint="eastAsia" w:ascii="宋体" w:hAnsi="宋体" w:eastAsia="宋体" w:cs="宋体"/>
          <w:sz w:val="24"/>
          <w:szCs w:val="24"/>
        </w:rPr>
        <w:br w:type="page"/>
      </w:r>
    </w:p>
    <w:p w14:paraId="094E0DD0">
      <w:pPr>
        <w:jc w:val="left"/>
        <w:rPr>
          <w:rFonts w:ascii="宋体" w:hAnsi="宋体" w:eastAsia="宋体" w:cs="宋体"/>
          <w:sz w:val="24"/>
          <w:szCs w:val="24"/>
          <w:u w:color="000000"/>
        </w:rPr>
      </w:pPr>
      <w:bookmarkStart w:id="29" w:name="_Toc448069993"/>
      <w:bookmarkStart w:id="30" w:name="_Toc8435"/>
      <w:bookmarkStart w:id="31" w:name="_Toc415494580"/>
      <w:bookmarkStart w:id="32" w:name="_Toc11859493"/>
      <w:bookmarkStart w:id="33" w:name="_Toc55"/>
      <w:r>
        <w:rPr>
          <w:rFonts w:hint="eastAsia" w:ascii="宋体" w:hAnsi="宋体" w:eastAsia="宋体" w:cs="宋体"/>
          <w:sz w:val="24"/>
          <w:szCs w:val="24"/>
          <w:u w:color="000000"/>
        </w:rPr>
        <w:t>6.3 法定代表人授权委托书</w:t>
      </w:r>
      <w:bookmarkEnd w:id="29"/>
      <w:bookmarkEnd w:id="30"/>
      <w:bookmarkEnd w:id="31"/>
      <w:bookmarkEnd w:id="32"/>
      <w:bookmarkEnd w:id="33"/>
    </w:p>
    <w:p w14:paraId="380840E2">
      <w:pPr>
        <w:spacing w:before="312" w:beforeLines="100" w:after="312" w:afterLines="100" w:line="360" w:lineRule="auto"/>
        <w:jc w:val="center"/>
        <w:rPr>
          <w:rFonts w:ascii="宋体" w:hAnsi="宋体" w:eastAsia="宋体" w:cs="宋体"/>
          <w:sz w:val="28"/>
          <w:szCs w:val="28"/>
          <w:u w:color="000000"/>
        </w:rPr>
      </w:pPr>
      <w:r>
        <w:rPr>
          <w:rFonts w:hint="eastAsia" w:ascii="宋体" w:hAnsi="宋体" w:eastAsia="宋体" w:cs="宋体"/>
          <w:bCs/>
          <w:sz w:val="28"/>
          <w:szCs w:val="28"/>
          <w:u w:color="000000"/>
          <w:lang w:val="zh-TW"/>
        </w:rPr>
        <w:t>法定代表人</w:t>
      </w:r>
      <w:r>
        <w:rPr>
          <w:rFonts w:hint="eastAsia" w:ascii="宋体" w:hAnsi="宋体" w:eastAsia="宋体" w:cs="宋体"/>
          <w:bCs/>
          <w:sz w:val="28"/>
          <w:szCs w:val="28"/>
          <w:u w:color="000000"/>
          <w:lang w:val="zh-TW" w:eastAsia="zh-TW"/>
        </w:rPr>
        <w:t>授权</w:t>
      </w:r>
      <w:r>
        <w:rPr>
          <w:rFonts w:hint="eastAsia" w:ascii="宋体" w:hAnsi="宋体" w:eastAsia="宋体" w:cs="宋体"/>
          <w:bCs/>
          <w:sz w:val="28"/>
          <w:szCs w:val="28"/>
          <w:u w:color="000000"/>
          <w:lang w:val="zh-TW"/>
        </w:rPr>
        <w:t>委托</w:t>
      </w:r>
      <w:r>
        <w:rPr>
          <w:rFonts w:hint="eastAsia" w:ascii="宋体" w:hAnsi="宋体" w:eastAsia="宋体" w:cs="宋体"/>
          <w:bCs/>
          <w:sz w:val="28"/>
          <w:szCs w:val="28"/>
          <w:u w:color="000000"/>
          <w:lang w:val="zh-TW" w:eastAsia="zh-TW"/>
        </w:rPr>
        <w:t>书</w:t>
      </w:r>
    </w:p>
    <w:p w14:paraId="44F4FC99">
      <w:pPr>
        <w:shd w:val="clear" w:color="auto" w:fill="FFFFFF"/>
        <w:snapToGrid w:val="0"/>
        <w:spacing w:line="360" w:lineRule="auto"/>
        <w:ind w:firstLine="482"/>
        <w:rPr>
          <w:rFonts w:ascii="宋体" w:hAnsi="宋体" w:eastAsia="宋体" w:cs="宋体"/>
          <w:bCs/>
          <w:sz w:val="24"/>
          <w:szCs w:val="24"/>
        </w:rPr>
      </w:pPr>
      <w:r>
        <w:rPr>
          <w:rFonts w:hint="eastAsia" w:ascii="宋体" w:hAnsi="宋体" w:eastAsia="宋体" w:cs="宋体"/>
          <w:bCs/>
          <w:sz w:val="24"/>
          <w:szCs w:val="24"/>
        </w:rPr>
        <w:t>本授权书声明：____________（投标人名称）授权________________（被授权人的姓名、职务）为我方就</w:t>
      </w:r>
      <w:r>
        <w:rPr>
          <w:rFonts w:hint="eastAsia" w:ascii="宋体" w:hAnsi="宋体" w:eastAsia="宋体" w:cs="宋体"/>
          <w:bCs/>
          <w:sz w:val="24"/>
          <w:szCs w:val="24"/>
          <w:u w:val="single"/>
          <w:lang w:eastAsia="zh-CN"/>
        </w:rPr>
        <w:t>南京邮电大学通达学院2025年5月-2027年5月电梯维保服务采购</w:t>
      </w:r>
      <w:r>
        <w:rPr>
          <w:rFonts w:hint="eastAsia" w:ascii="宋体" w:hAnsi="宋体" w:eastAsia="宋体" w:cs="宋体"/>
          <w:bCs/>
          <w:sz w:val="24"/>
          <w:szCs w:val="24"/>
          <w:u w:val="single"/>
        </w:rPr>
        <w:t>项目</w:t>
      </w:r>
      <w:r>
        <w:rPr>
          <w:rFonts w:hint="eastAsia" w:ascii="宋体" w:hAnsi="宋体" w:eastAsia="宋体" w:cs="宋体"/>
          <w:bCs/>
          <w:sz w:val="24"/>
          <w:szCs w:val="24"/>
        </w:rPr>
        <w:t>（项目编号：</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）采购活动的合法代理人，以本单位名义全权处理一切与该项目采购有关的事务。</w:t>
      </w:r>
    </w:p>
    <w:p w14:paraId="69173114">
      <w:pPr>
        <w:shd w:val="clear" w:color="auto" w:fill="FFFFFF"/>
        <w:snapToGrid w:val="0"/>
        <w:spacing w:line="360" w:lineRule="auto"/>
        <w:ind w:firstLine="482"/>
        <w:rPr>
          <w:rFonts w:ascii="宋体" w:hAnsi="宋体" w:eastAsia="宋体" w:cs="宋体"/>
          <w:bCs/>
          <w:sz w:val="24"/>
          <w:szCs w:val="24"/>
        </w:rPr>
      </w:pPr>
      <w:r>
        <w:rPr>
          <w:rFonts w:hint="eastAsia" w:ascii="宋体" w:hAnsi="宋体" w:eastAsia="宋体" w:cs="宋体"/>
          <w:bCs/>
          <w:sz w:val="24"/>
          <w:szCs w:val="24"/>
        </w:rPr>
        <w:t>本授权书于______年____月____日起生效，特此声明。</w:t>
      </w:r>
    </w:p>
    <w:p w14:paraId="56D4B218">
      <w:pPr>
        <w:shd w:val="clear" w:color="auto" w:fill="FFFFFF"/>
        <w:snapToGrid w:val="0"/>
        <w:spacing w:line="360" w:lineRule="auto"/>
        <w:ind w:firstLine="480"/>
        <w:rPr>
          <w:rFonts w:ascii="宋体" w:hAnsi="宋体" w:eastAsia="宋体" w:cs="宋体"/>
          <w:bCs/>
        </w:rPr>
      </w:pPr>
    </w:p>
    <w:p w14:paraId="3896A73F">
      <w:pPr>
        <w:shd w:val="clear" w:color="auto" w:fill="FFFFFF"/>
        <w:snapToGrid w:val="0"/>
        <w:spacing w:line="360" w:lineRule="auto"/>
        <w:rPr>
          <w:rFonts w:ascii="宋体" w:hAnsi="宋体" w:eastAsia="宋体" w:cs="宋体"/>
          <w:bCs/>
          <w:sz w:val="24"/>
          <w:szCs w:val="24"/>
        </w:rPr>
      </w:pPr>
      <w:r>
        <w:rPr>
          <w:rFonts w:hint="eastAsia" w:ascii="宋体" w:hAnsi="宋体" w:eastAsia="宋体" w:cs="宋体"/>
          <w:bCs/>
          <w:sz w:val="24"/>
          <w:szCs w:val="24"/>
        </w:rPr>
        <w:t xml:space="preserve">         授权单位盖章：_________________________________</w:t>
      </w:r>
    </w:p>
    <w:p w14:paraId="56A51014">
      <w:pPr>
        <w:shd w:val="clear" w:color="auto" w:fill="FFFFFF"/>
        <w:snapToGrid w:val="0"/>
        <w:spacing w:line="360" w:lineRule="auto"/>
        <w:rPr>
          <w:rFonts w:ascii="宋体" w:hAnsi="宋体" w:eastAsia="宋体" w:cs="宋体"/>
          <w:bCs/>
          <w:sz w:val="24"/>
          <w:szCs w:val="24"/>
        </w:rPr>
      </w:pPr>
      <w:r>
        <w:rPr>
          <w:rFonts w:hint="eastAsia" w:ascii="宋体" w:hAnsi="宋体" w:eastAsia="宋体" w:cs="宋体"/>
          <w:bCs/>
          <w:sz w:val="24"/>
          <w:szCs w:val="24"/>
        </w:rPr>
        <w:t xml:space="preserve">         单位名称：_____________________________________</w:t>
      </w:r>
    </w:p>
    <w:p w14:paraId="7B928BDD">
      <w:pPr>
        <w:shd w:val="clear" w:color="auto" w:fill="FFFFFF"/>
        <w:snapToGrid w:val="0"/>
        <w:spacing w:line="360" w:lineRule="auto"/>
        <w:rPr>
          <w:rFonts w:ascii="宋体" w:hAnsi="宋体" w:eastAsia="宋体" w:cs="宋体"/>
          <w:bCs/>
          <w:sz w:val="24"/>
          <w:szCs w:val="24"/>
        </w:rPr>
      </w:pPr>
      <w:r>
        <w:rPr>
          <w:rFonts w:hint="eastAsia" w:ascii="宋体" w:hAnsi="宋体" w:eastAsia="宋体" w:cs="宋体"/>
          <w:bCs/>
          <w:sz w:val="24"/>
          <w:szCs w:val="24"/>
        </w:rPr>
        <w:t xml:space="preserve">         法人签字：_____________________________________</w:t>
      </w:r>
    </w:p>
    <w:p w14:paraId="55CADA7B">
      <w:pPr>
        <w:shd w:val="clear" w:color="auto" w:fill="FFFFFF"/>
        <w:snapToGrid w:val="0"/>
        <w:spacing w:line="360" w:lineRule="auto"/>
        <w:rPr>
          <w:rFonts w:ascii="宋体" w:hAnsi="宋体" w:eastAsia="宋体" w:cs="宋体"/>
          <w:bCs/>
          <w:sz w:val="24"/>
          <w:szCs w:val="24"/>
        </w:rPr>
      </w:pPr>
      <w:r>
        <w:rPr>
          <w:rFonts w:hint="eastAsia" w:ascii="宋体" w:hAnsi="宋体" w:eastAsia="宋体" w:cs="宋体"/>
          <w:bCs/>
          <w:sz w:val="24"/>
          <w:szCs w:val="24"/>
        </w:rPr>
        <w:t xml:space="preserve">         代理人（被授权人）签字：_______________________</w:t>
      </w:r>
    </w:p>
    <w:p w14:paraId="40A8BE1D">
      <w:pPr>
        <w:shd w:val="clear" w:color="auto" w:fill="FFFFFF"/>
        <w:snapToGrid w:val="0"/>
        <w:spacing w:line="360" w:lineRule="auto"/>
        <w:rPr>
          <w:rFonts w:ascii="宋体" w:hAnsi="宋体" w:eastAsia="宋体" w:cs="宋体"/>
          <w:bCs/>
          <w:sz w:val="24"/>
          <w:szCs w:val="24"/>
        </w:rPr>
      </w:pPr>
      <w:r>
        <w:rPr>
          <w:rFonts w:hint="eastAsia" w:ascii="宋体" w:hAnsi="宋体" w:eastAsia="宋体" w:cs="宋体"/>
          <w:bCs/>
          <w:sz w:val="24"/>
          <w:szCs w:val="24"/>
        </w:rPr>
        <w:t xml:space="preserve">         职    务：_____________________________________</w:t>
      </w:r>
    </w:p>
    <w:p w14:paraId="059F5E3A">
      <w:pPr>
        <w:shd w:val="clear" w:color="auto" w:fill="FFFFFF"/>
        <w:snapToGrid w:val="0"/>
        <w:spacing w:line="360" w:lineRule="auto"/>
        <w:rPr>
          <w:rFonts w:ascii="宋体" w:hAnsi="宋体" w:eastAsia="宋体" w:cs="宋体"/>
          <w:bCs/>
          <w:sz w:val="24"/>
          <w:szCs w:val="24"/>
        </w:rPr>
      </w:pPr>
      <w:r>
        <w:rPr>
          <w:rFonts w:hint="eastAsia" w:ascii="宋体" w:hAnsi="宋体" w:eastAsia="宋体" w:cs="宋体"/>
          <w:bCs/>
          <w:sz w:val="24"/>
          <w:szCs w:val="24"/>
        </w:rPr>
        <w:t xml:space="preserve">         地址：</w:t>
      </w:r>
      <w:r>
        <w:rPr>
          <w:rFonts w:hint="eastAsia" w:ascii="宋体" w:hAnsi="宋体" w:eastAsia="宋体" w:cs="宋体"/>
          <w:bCs/>
          <w:sz w:val="24"/>
          <w:szCs w:val="24"/>
          <w:u w:val="single"/>
        </w:rPr>
        <w:t xml:space="preserve">                                         </w:t>
      </w:r>
    </w:p>
    <w:p w14:paraId="34A3133D">
      <w:pPr>
        <w:shd w:val="clear" w:color="auto" w:fill="FFFFFF"/>
        <w:snapToGrid w:val="0"/>
        <w:spacing w:line="360" w:lineRule="auto"/>
        <w:rPr>
          <w:rFonts w:ascii="宋体" w:hAnsi="宋体" w:eastAsia="宋体" w:cs="宋体"/>
          <w:sz w:val="24"/>
          <w:szCs w:val="24"/>
        </w:rPr>
      </w:pPr>
      <w:r>
        <w:rPr>
          <w:rFonts w:hint="eastAsia" w:ascii="宋体" w:hAnsi="宋体" w:eastAsia="宋体" w:cs="宋体"/>
          <w:bCs/>
          <w:sz w:val="24"/>
          <w:szCs w:val="24"/>
        </w:rPr>
        <w:t xml:space="preserve">         日期：______年____月____日</w:t>
      </w:r>
    </w:p>
    <w:p w14:paraId="3FAC7B0A">
      <w:pPr>
        <w:spacing w:line="360" w:lineRule="auto"/>
        <w:rPr>
          <w:rFonts w:ascii="宋体" w:hAnsi="宋体" w:eastAsia="宋体" w:cs="宋体"/>
          <w:b/>
          <w:bCs/>
          <w:kern w:val="11"/>
          <w:szCs w:val="21"/>
          <w:u w:val="single" w:color="000000"/>
          <w:lang w:val="zh-TW"/>
        </w:rPr>
      </w:pPr>
    </w:p>
    <w:p w14:paraId="725D5FB4">
      <w:pPr>
        <w:spacing w:line="360" w:lineRule="auto"/>
        <w:ind w:right="420"/>
        <w:rPr>
          <w:rFonts w:ascii="宋体" w:hAnsi="宋体" w:eastAsia="宋体" w:cs="宋体"/>
          <w:szCs w:val="21"/>
          <w:u w:color="000000"/>
          <w:lang w:val="zh-TW" w:eastAsia="zh-TW"/>
        </w:rPr>
      </w:pPr>
    </w:p>
    <w:p w14:paraId="641CC634">
      <w:pPr>
        <w:spacing w:line="360" w:lineRule="auto"/>
        <w:ind w:right="420"/>
        <w:rPr>
          <w:rFonts w:ascii="宋体" w:hAnsi="宋体" w:eastAsia="宋体" w:cs="宋体"/>
          <w:b/>
          <w:szCs w:val="21"/>
          <w:u w:color="000000"/>
          <w:lang w:val="zh-TW"/>
        </w:rPr>
      </w:pPr>
      <w:r>
        <w:rPr>
          <w:rFonts w:hint="eastAsia" w:ascii="宋体" w:hAnsi="宋体" w:eastAsia="宋体" w:cs="宋体"/>
          <w:b/>
          <w:szCs w:val="21"/>
          <w:u w:color="000000"/>
          <w:lang w:val="zh-TW" w:eastAsia="zh-TW"/>
        </w:rPr>
        <w:t>注：</w:t>
      </w:r>
      <w:r>
        <w:rPr>
          <w:rFonts w:hint="eastAsia" w:ascii="宋体" w:hAnsi="宋体" w:eastAsia="宋体" w:cs="宋体"/>
          <w:b/>
          <w:szCs w:val="21"/>
          <w:u w:color="000000"/>
          <w:lang w:val="zh-TW"/>
        </w:rPr>
        <w:t>代理</w:t>
      </w:r>
      <w:r>
        <w:rPr>
          <w:rFonts w:hint="eastAsia" w:ascii="宋体" w:hAnsi="宋体" w:eastAsia="宋体" w:cs="宋体"/>
          <w:b/>
          <w:szCs w:val="21"/>
          <w:u w:color="000000"/>
          <w:lang w:val="zh-TW" w:eastAsia="zh-TW"/>
        </w:rPr>
        <w:t>人应持本</w:t>
      </w:r>
      <w:r>
        <w:rPr>
          <w:rFonts w:hint="eastAsia" w:ascii="宋体" w:hAnsi="宋体" w:eastAsia="宋体" w:cs="宋体"/>
          <w:b/>
          <w:szCs w:val="21"/>
          <w:u w:color="000000"/>
          <w:lang w:val="zh-TW"/>
        </w:rPr>
        <w:t>授权书</w:t>
      </w:r>
      <w:r>
        <w:rPr>
          <w:rFonts w:hint="eastAsia" w:ascii="宋体" w:hAnsi="宋体" w:eastAsia="宋体" w:cs="宋体"/>
          <w:b/>
          <w:szCs w:val="21"/>
          <w:u w:color="000000"/>
          <w:lang w:val="zh-TW" w:eastAsia="zh-TW"/>
        </w:rPr>
        <w:t>参加</w:t>
      </w:r>
      <w:r>
        <w:rPr>
          <w:rFonts w:hint="eastAsia" w:ascii="宋体" w:hAnsi="宋体" w:eastAsia="宋体" w:cs="宋体"/>
          <w:b/>
          <w:szCs w:val="21"/>
          <w:u w:color="000000"/>
          <w:lang w:val="zh-TW"/>
        </w:rPr>
        <w:t>投标</w:t>
      </w:r>
      <w:r>
        <w:rPr>
          <w:rFonts w:hint="eastAsia" w:ascii="宋体" w:hAnsi="宋体" w:eastAsia="宋体" w:cs="宋体"/>
          <w:b/>
          <w:szCs w:val="21"/>
          <w:u w:color="000000"/>
          <w:lang w:val="zh-TW" w:eastAsia="zh-TW"/>
        </w:rPr>
        <w:t>，并提供一份原件在</w:t>
      </w:r>
      <w:r>
        <w:rPr>
          <w:rFonts w:hint="eastAsia" w:ascii="宋体" w:hAnsi="宋体" w:eastAsia="宋体" w:cs="宋体"/>
          <w:b/>
          <w:szCs w:val="21"/>
          <w:u w:color="000000"/>
          <w:lang w:val="zh-TW"/>
        </w:rPr>
        <w:t>投标</w:t>
      </w:r>
      <w:r>
        <w:rPr>
          <w:rFonts w:hint="eastAsia" w:ascii="宋体" w:hAnsi="宋体" w:eastAsia="宋体" w:cs="宋体"/>
          <w:b/>
          <w:szCs w:val="21"/>
          <w:u w:color="000000"/>
          <w:lang w:val="zh-TW" w:eastAsia="zh-TW"/>
        </w:rPr>
        <w:t>文件中</w:t>
      </w:r>
      <w:r>
        <w:rPr>
          <w:rFonts w:hint="eastAsia" w:ascii="宋体" w:hAnsi="宋体" w:eastAsia="宋体" w:cs="宋体"/>
          <w:b/>
          <w:szCs w:val="21"/>
          <w:u w:color="000000"/>
          <w:lang w:val="zh-TW"/>
        </w:rPr>
        <w:t>。</w:t>
      </w:r>
    </w:p>
    <w:p w14:paraId="05ED769D">
      <w:pPr>
        <w:spacing w:line="360" w:lineRule="auto"/>
        <w:ind w:right="420"/>
        <w:rPr>
          <w:rFonts w:ascii="宋体" w:hAnsi="宋体" w:eastAsia="宋体" w:cs="宋体"/>
          <w:szCs w:val="21"/>
          <w:u w:color="000000"/>
        </w:rPr>
      </w:pPr>
    </w:p>
    <w:p w14:paraId="44EA6325">
      <w:pPr>
        <w:jc w:val="left"/>
        <w:rPr>
          <w:rFonts w:ascii="宋体" w:hAnsi="宋体" w:eastAsia="宋体" w:cs="宋体"/>
          <w:szCs w:val="21"/>
          <w:u w:color="000000"/>
        </w:rPr>
      </w:pPr>
      <w:r>
        <w:rPr>
          <w:rFonts w:hint="eastAsia" w:ascii="宋体" w:hAnsi="宋体" w:eastAsia="宋体" w:cs="宋体"/>
          <w:szCs w:val="21"/>
          <w:u w:color="000000"/>
        </w:rPr>
        <w:br w:type="page"/>
      </w:r>
    </w:p>
    <w:p w14:paraId="38ABE3A7">
      <w:pPr>
        <w:snapToGrid w:val="0"/>
        <w:spacing w:line="360" w:lineRule="auto"/>
        <w:ind w:firstLine="482"/>
        <w:rPr>
          <w:rFonts w:ascii="宋体" w:hAnsi="宋体" w:eastAsia="宋体" w:cs="宋体"/>
          <w:sz w:val="24"/>
          <w:szCs w:val="24"/>
          <w:u w:color="000000"/>
          <w:lang w:val="zh-TW"/>
        </w:rPr>
      </w:pPr>
      <w:r>
        <w:rPr>
          <w:rFonts w:hint="eastAsia" w:ascii="宋体" w:hAnsi="宋体" w:eastAsia="宋体" w:cs="宋体"/>
          <w:sz w:val="24"/>
          <w:szCs w:val="24"/>
          <w:u w:color="000000"/>
          <w:lang w:val="zh-TW" w:eastAsia="zh-TW"/>
        </w:rPr>
        <w:t>附：</w:t>
      </w:r>
      <w:r>
        <w:rPr>
          <w:rFonts w:hint="eastAsia" w:ascii="宋体" w:hAnsi="宋体" w:eastAsia="宋体" w:cs="宋体"/>
          <w:bCs/>
          <w:sz w:val="24"/>
          <w:szCs w:val="24"/>
        </w:rPr>
        <w:t>法人</w:t>
      </w:r>
      <w:r>
        <w:rPr>
          <w:rFonts w:hint="eastAsia" w:ascii="宋体" w:hAnsi="宋体" w:eastAsia="宋体" w:cs="宋体"/>
          <w:sz w:val="24"/>
          <w:szCs w:val="24"/>
          <w:u w:color="000000"/>
          <w:lang w:val="zh-TW" w:eastAsia="zh-TW"/>
        </w:rPr>
        <w:t>身份证复印件</w:t>
      </w:r>
      <w:r>
        <w:rPr>
          <w:rFonts w:hint="eastAsia" w:ascii="宋体" w:hAnsi="宋体" w:eastAsia="宋体" w:cs="宋体"/>
          <w:sz w:val="24"/>
          <w:szCs w:val="24"/>
          <w:u w:color="000000"/>
          <w:lang w:val="zh-TW"/>
        </w:rPr>
        <w:t>（</w:t>
      </w:r>
      <w:r>
        <w:rPr>
          <w:rFonts w:hint="eastAsia" w:ascii="宋体" w:hAnsi="宋体" w:eastAsia="宋体" w:cs="宋体"/>
          <w:sz w:val="24"/>
          <w:szCs w:val="24"/>
          <w:u w:color="000000"/>
          <w:lang w:val="zh-TW" w:eastAsia="zh-TW"/>
        </w:rPr>
        <w:t>需同时提供正面及背面</w:t>
      </w:r>
      <w:r>
        <w:rPr>
          <w:rFonts w:hint="eastAsia" w:ascii="宋体" w:hAnsi="宋体" w:eastAsia="宋体" w:cs="宋体"/>
          <w:sz w:val="24"/>
          <w:szCs w:val="24"/>
          <w:u w:color="000000"/>
          <w:lang w:val="zh-TW"/>
        </w:rPr>
        <w:t>）</w:t>
      </w:r>
    </w:p>
    <w:tbl>
      <w:tblPr>
        <w:tblStyle w:val="26"/>
        <w:tblW w:w="8002"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01"/>
        <w:gridCol w:w="4001"/>
      </w:tblGrid>
      <w:tr w14:paraId="3BCBCEB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00" w:hRule="atLeast"/>
          <w:jc w:val="center"/>
        </w:trPr>
        <w:tc>
          <w:tcPr>
            <w:tcW w:w="4001" w:type="dxa"/>
            <w:vAlign w:val="center"/>
          </w:tcPr>
          <w:p w14:paraId="29B8E1B5">
            <w:pPr>
              <w:jc w:val="center"/>
              <w:rPr>
                <w:rFonts w:ascii="宋体" w:hAnsi="宋体" w:eastAsia="宋体" w:cs="宋体"/>
                <w:sz w:val="24"/>
                <w:szCs w:val="24"/>
              </w:rPr>
            </w:pPr>
            <w:r>
              <w:rPr>
                <w:rFonts w:hint="eastAsia" w:ascii="宋体" w:hAnsi="宋体" w:eastAsia="宋体" w:cs="宋体"/>
                <w:bCs/>
                <w:sz w:val="24"/>
                <w:szCs w:val="24"/>
              </w:rPr>
              <w:t>法人</w:t>
            </w:r>
            <w:r>
              <w:rPr>
                <w:rFonts w:hint="eastAsia" w:ascii="宋体" w:hAnsi="宋体" w:eastAsia="宋体" w:cs="宋体"/>
                <w:sz w:val="24"/>
                <w:szCs w:val="24"/>
              </w:rPr>
              <w:t>身份证复印件正面</w:t>
            </w:r>
          </w:p>
        </w:tc>
        <w:tc>
          <w:tcPr>
            <w:tcW w:w="4001" w:type="dxa"/>
            <w:vAlign w:val="center"/>
          </w:tcPr>
          <w:p w14:paraId="07EE4C2F">
            <w:pPr>
              <w:jc w:val="center"/>
              <w:rPr>
                <w:rFonts w:ascii="宋体" w:hAnsi="宋体" w:eastAsia="宋体" w:cs="宋体"/>
                <w:sz w:val="24"/>
                <w:szCs w:val="24"/>
              </w:rPr>
            </w:pPr>
            <w:r>
              <w:rPr>
                <w:rFonts w:hint="eastAsia" w:ascii="宋体" w:hAnsi="宋体" w:eastAsia="宋体" w:cs="宋体"/>
                <w:bCs/>
                <w:sz w:val="24"/>
                <w:szCs w:val="24"/>
              </w:rPr>
              <w:t>法人</w:t>
            </w:r>
            <w:r>
              <w:rPr>
                <w:rFonts w:hint="eastAsia" w:ascii="宋体" w:hAnsi="宋体" w:eastAsia="宋体" w:cs="宋体"/>
                <w:sz w:val="24"/>
                <w:szCs w:val="24"/>
              </w:rPr>
              <w:t>身份证复印件背面</w:t>
            </w:r>
          </w:p>
        </w:tc>
      </w:tr>
    </w:tbl>
    <w:p w14:paraId="3AE04650">
      <w:pPr>
        <w:snapToGrid w:val="0"/>
        <w:spacing w:line="360" w:lineRule="auto"/>
        <w:ind w:firstLine="482"/>
        <w:rPr>
          <w:rFonts w:ascii="宋体" w:hAnsi="宋体" w:eastAsia="宋体" w:cs="宋体"/>
          <w:sz w:val="24"/>
          <w:szCs w:val="24"/>
          <w:u w:color="000000"/>
          <w:lang w:eastAsia="zh-TW"/>
        </w:rPr>
      </w:pPr>
    </w:p>
    <w:p w14:paraId="6D06FB5D">
      <w:pPr>
        <w:snapToGrid w:val="0"/>
        <w:spacing w:line="360" w:lineRule="auto"/>
        <w:ind w:firstLine="482"/>
        <w:rPr>
          <w:rFonts w:ascii="宋体" w:hAnsi="宋体" w:eastAsia="宋体" w:cs="宋体"/>
          <w:sz w:val="24"/>
          <w:szCs w:val="24"/>
          <w:u w:color="000000"/>
          <w:lang w:eastAsia="zh-TW"/>
        </w:rPr>
      </w:pPr>
    </w:p>
    <w:p w14:paraId="071E7E10">
      <w:pPr>
        <w:snapToGrid w:val="0"/>
        <w:spacing w:line="360" w:lineRule="auto"/>
        <w:ind w:firstLine="482"/>
        <w:rPr>
          <w:rFonts w:ascii="宋体" w:hAnsi="宋体" w:eastAsia="宋体" w:cs="宋体"/>
          <w:sz w:val="24"/>
          <w:szCs w:val="24"/>
          <w:u w:color="000000"/>
          <w:lang w:val="zh-TW"/>
        </w:rPr>
      </w:pPr>
      <w:r>
        <w:rPr>
          <w:rFonts w:hint="eastAsia" w:ascii="宋体" w:hAnsi="宋体" w:eastAsia="宋体" w:cs="宋体"/>
          <w:sz w:val="24"/>
          <w:szCs w:val="24"/>
          <w:u w:color="000000"/>
          <w:lang w:val="zh-TW" w:eastAsia="zh-TW"/>
        </w:rPr>
        <w:t>附：委托代理人身份证复印件</w:t>
      </w:r>
      <w:r>
        <w:rPr>
          <w:rFonts w:hint="eastAsia" w:ascii="宋体" w:hAnsi="宋体" w:eastAsia="宋体" w:cs="宋体"/>
          <w:sz w:val="24"/>
          <w:szCs w:val="24"/>
          <w:u w:color="000000"/>
          <w:lang w:val="zh-TW"/>
        </w:rPr>
        <w:t>（</w:t>
      </w:r>
      <w:r>
        <w:rPr>
          <w:rFonts w:hint="eastAsia" w:ascii="宋体" w:hAnsi="宋体" w:eastAsia="宋体" w:cs="宋体"/>
          <w:sz w:val="24"/>
          <w:szCs w:val="24"/>
          <w:u w:color="000000"/>
          <w:lang w:val="zh-TW" w:eastAsia="zh-TW"/>
        </w:rPr>
        <w:t>需同时提供正面及背面</w:t>
      </w:r>
      <w:r>
        <w:rPr>
          <w:rFonts w:hint="eastAsia" w:ascii="宋体" w:hAnsi="宋体" w:eastAsia="宋体" w:cs="宋体"/>
          <w:sz w:val="24"/>
          <w:szCs w:val="24"/>
          <w:u w:color="000000"/>
          <w:lang w:val="zh-TW"/>
        </w:rPr>
        <w:t>）</w:t>
      </w:r>
    </w:p>
    <w:tbl>
      <w:tblPr>
        <w:tblStyle w:val="26"/>
        <w:tblW w:w="8002"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01"/>
        <w:gridCol w:w="4001"/>
      </w:tblGrid>
      <w:tr w14:paraId="39D8D6E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93" w:hRule="atLeast"/>
          <w:jc w:val="center"/>
        </w:trPr>
        <w:tc>
          <w:tcPr>
            <w:tcW w:w="4001" w:type="dxa"/>
            <w:vAlign w:val="center"/>
          </w:tcPr>
          <w:p w14:paraId="7D224BA8">
            <w:pPr>
              <w:jc w:val="center"/>
              <w:rPr>
                <w:rFonts w:ascii="宋体" w:hAnsi="宋体" w:eastAsia="宋体" w:cs="宋体"/>
                <w:sz w:val="24"/>
                <w:szCs w:val="24"/>
              </w:rPr>
            </w:pPr>
            <w:r>
              <w:rPr>
                <w:rFonts w:hint="eastAsia" w:ascii="宋体" w:hAnsi="宋体" w:eastAsia="宋体" w:cs="宋体"/>
                <w:sz w:val="24"/>
                <w:szCs w:val="24"/>
                <w:u w:color="000000"/>
                <w:lang w:val="zh-TW" w:eastAsia="zh-TW"/>
              </w:rPr>
              <w:t>代理人</w:t>
            </w:r>
            <w:r>
              <w:rPr>
                <w:rFonts w:hint="eastAsia" w:ascii="宋体" w:hAnsi="宋体" w:eastAsia="宋体" w:cs="宋体"/>
                <w:sz w:val="24"/>
                <w:szCs w:val="24"/>
              </w:rPr>
              <w:t>身份证复印件正面</w:t>
            </w:r>
          </w:p>
        </w:tc>
        <w:tc>
          <w:tcPr>
            <w:tcW w:w="4001" w:type="dxa"/>
            <w:vAlign w:val="center"/>
          </w:tcPr>
          <w:p w14:paraId="54185773">
            <w:pPr>
              <w:jc w:val="center"/>
              <w:rPr>
                <w:rFonts w:ascii="宋体" w:hAnsi="宋体" w:eastAsia="宋体" w:cs="宋体"/>
                <w:sz w:val="24"/>
                <w:szCs w:val="24"/>
              </w:rPr>
            </w:pPr>
            <w:r>
              <w:rPr>
                <w:rFonts w:hint="eastAsia" w:ascii="宋体" w:hAnsi="宋体" w:eastAsia="宋体" w:cs="宋体"/>
                <w:sz w:val="24"/>
                <w:szCs w:val="24"/>
                <w:u w:color="000000"/>
                <w:lang w:val="zh-TW" w:eastAsia="zh-TW"/>
              </w:rPr>
              <w:t>代理人</w:t>
            </w:r>
            <w:r>
              <w:rPr>
                <w:rFonts w:hint="eastAsia" w:ascii="宋体" w:hAnsi="宋体" w:eastAsia="宋体" w:cs="宋体"/>
                <w:sz w:val="24"/>
                <w:szCs w:val="24"/>
              </w:rPr>
              <w:t>身份证复印件背面</w:t>
            </w:r>
          </w:p>
        </w:tc>
      </w:tr>
    </w:tbl>
    <w:p w14:paraId="1FB4B4B5">
      <w:pPr>
        <w:spacing w:line="360" w:lineRule="auto"/>
        <w:ind w:right="420"/>
        <w:rPr>
          <w:rFonts w:ascii="宋体" w:hAnsi="宋体" w:eastAsia="宋体" w:cs="宋体"/>
          <w:szCs w:val="21"/>
          <w:u w:color="000000"/>
        </w:rPr>
      </w:pPr>
    </w:p>
    <w:p w14:paraId="39DDADD5">
      <w:pPr>
        <w:spacing w:line="360" w:lineRule="auto"/>
        <w:ind w:right="420"/>
        <w:rPr>
          <w:rFonts w:ascii="宋体" w:hAnsi="宋体" w:eastAsia="宋体" w:cs="宋体"/>
          <w:szCs w:val="21"/>
          <w:u w:color="000000"/>
        </w:rPr>
      </w:pPr>
    </w:p>
    <w:p w14:paraId="6D765116">
      <w:pPr>
        <w:jc w:val="left"/>
        <w:rPr>
          <w:rFonts w:ascii="宋体" w:hAnsi="宋体" w:eastAsia="宋体" w:cs="宋体"/>
        </w:rPr>
      </w:pPr>
      <w:r>
        <w:rPr>
          <w:rFonts w:hint="eastAsia" w:ascii="宋体" w:hAnsi="宋体" w:eastAsia="宋体" w:cs="宋体"/>
        </w:rPr>
        <w:br w:type="page"/>
      </w:r>
    </w:p>
    <w:p w14:paraId="1699272C">
      <w:pPr>
        <w:tabs>
          <w:tab w:val="left" w:pos="576"/>
        </w:tabs>
        <w:spacing w:before="156" w:beforeLines="50" w:after="156" w:afterLines="50" w:line="360" w:lineRule="auto"/>
        <w:outlineLvl w:val="2"/>
        <w:rPr>
          <w:rFonts w:ascii="宋体" w:hAnsi="宋体" w:eastAsia="宋体" w:cs="宋体"/>
          <w:sz w:val="24"/>
          <w:szCs w:val="24"/>
          <w:u w:color="000000"/>
        </w:rPr>
      </w:pPr>
      <w:bookmarkStart w:id="34" w:name="_Toc56"/>
      <w:bookmarkStart w:id="35" w:name="_Toc11859494"/>
      <w:bookmarkStart w:id="36" w:name="_Toc415494581"/>
      <w:bookmarkStart w:id="37" w:name="_Toc448069994"/>
      <w:bookmarkStart w:id="38" w:name="_Toc20352"/>
      <w:r>
        <w:rPr>
          <w:rFonts w:hint="eastAsia" w:ascii="宋体" w:hAnsi="宋体" w:eastAsia="宋体" w:cs="宋体"/>
          <w:sz w:val="24"/>
          <w:szCs w:val="24"/>
          <w:u w:color="000000"/>
        </w:rPr>
        <w:t>6.4 资格证明文件</w:t>
      </w:r>
      <w:bookmarkEnd w:id="34"/>
      <w:bookmarkEnd w:id="35"/>
      <w:bookmarkEnd w:id="36"/>
      <w:bookmarkEnd w:id="37"/>
      <w:bookmarkEnd w:id="38"/>
    </w:p>
    <w:p w14:paraId="70DBD95F">
      <w:pPr>
        <w:pStyle w:val="25"/>
        <w:ind w:left="0" w:firstLine="0"/>
        <w:rPr>
          <w:rFonts w:ascii="宋体" w:hAnsi="宋体" w:eastAsia="宋体" w:cs="宋体"/>
          <w:bCs/>
          <w:kern w:val="2"/>
          <w:sz w:val="24"/>
          <w:szCs w:val="24"/>
        </w:rPr>
      </w:pPr>
      <w:r>
        <w:rPr>
          <w:rFonts w:hint="eastAsia" w:ascii="宋体" w:hAnsi="宋体" w:eastAsia="宋体" w:cs="宋体"/>
          <w:bCs/>
          <w:kern w:val="2"/>
          <w:sz w:val="24"/>
          <w:szCs w:val="24"/>
        </w:rPr>
        <w:t>（详见招标公告：二、申请人的资格要求）</w:t>
      </w:r>
    </w:p>
    <w:p w14:paraId="3FD1B5A9">
      <w:pPr>
        <w:spacing w:before="156" w:beforeLines="50" w:after="156" w:afterLines="50" w:line="360" w:lineRule="auto"/>
        <w:jc w:val="center"/>
        <w:rPr>
          <w:rFonts w:ascii="宋体" w:hAnsi="宋体" w:eastAsia="宋体" w:cs="宋体"/>
          <w:sz w:val="28"/>
          <w:szCs w:val="21"/>
          <w:u w:color="FF0000"/>
        </w:rPr>
      </w:pPr>
      <w:r>
        <w:rPr>
          <w:rFonts w:hint="eastAsia" w:ascii="宋体" w:hAnsi="宋体" w:eastAsia="宋体" w:cs="宋体"/>
          <w:sz w:val="28"/>
          <w:szCs w:val="21"/>
          <w:u w:color="FF0000"/>
        </w:rPr>
        <w:t>具备履行合同所必需的设备和专业技术能力的书面声明</w:t>
      </w:r>
    </w:p>
    <w:p w14:paraId="6D5AE9F7">
      <w:pPr>
        <w:spacing w:line="460" w:lineRule="exact"/>
        <w:ind w:firstLine="492"/>
        <w:rPr>
          <w:rFonts w:ascii="宋体" w:hAnsi="宋体" w:eastAsia="宋体" w:cs="宋体"/>
          <w:bCs/>
          <w:sz w:val="24"/>
          <w:szCs w:val="24"/>
        </w:rPr>
      </w:pPr>
      <w:r>
        <w:rPr>
          <w:rFonts w:hint="eastAsia" w:ascii="宋体" w:hAnsi="宋体" w:eastAsia="宋体" w:cs="宋体"/>
          <w:bCs/>
          <w:sz w:val="24"/>
          <w:szCs w:val="24"/>
        </w:rPr>
        <w:t>我公司郑重声明：我公司具备履行本项采购合同所必需的设备和专业技术能力，为履行本项采购合同我公司具备如下主要设备和主要专业技术能力：</w:t>
      </w:r>
    </w:p>
    <w:p w14:paraId="1187249B">
      <w:pPr>
        <w:spacing w:line="460" w:lineRule="exact"/>
        <w:ind w:firstLine="492"/>
        <w:rPr>
          <w:rFonts w:ascii="宋体" w:hAnsi="宋体" w:eastAsia="宋体" w:cs="宋体"/>
          <w:bCs/>
          <w:sz w:val="24"/>
          <w:szCs w:val="24"/>
        </w:rPr>
      </w:pPr>
      <w:r>
        <w:rPr>
          <w:rFonts w:hint="eastAsia" w:ascii="宋体" w:hAnsi="宋体" w:eastAsia="宋体" w:cs="宋体"/>
          <w:bCs/>
          <w:sz w:val="24"/>
          <w:szCs w:val="24"/>
        </w:rPr>
        <w:t>主要设备有：  。</w:t>
      </w:r>
    </w:p>
    <w:p w14:paraId="087262BD">
      <w:pPr>
        <w:spacing w:line="460" w:lineRule="exact"/>
        <w:ind w:firstLine="492"/>
        <w:rPr>
          <w:rFonts w:ascii="宋体" w:hAnsi="宋体" w:eastAsia="宋体" w:cs="宋体"/>
          <w:bCs/>
          <w:sz w:val="24"/>
          <w:szCs w:val="24"/>
        </w:rPr>
      </w:pPr>
      <w:r>
        <w:rPr>
          <w:rFonts w:hint="eastAsia" w:ascii="宋体" w:hAnsi="宋体" w:eastAsia="宋体" w:cs="宋体"/>
          <w:bCs/>
          <w:sz w:val="24"/>
          <w:szCs w:val="24"/>
        </w:rPr>
        <w:t>主要专业技术能力有：   。</w:t>
      </w:r>
    </w:p>
    <w:p w14:paraId="0D9F2981">
      <w:pPr>
        <w:spacing w:line="460" w:lineRule="exact"/>
        <w:ind w:firstLine="492"/>
        <w:rPr>
          <w:rFonts w:ascii="宋体" w:hAnsi="宋体" w:eastAsia="宋体" w:cs="宋体"/>
          <w:bCs/>
          <w:sz w:val="24"/>
          <w:szCs w:val="24"/>
        </w:rPr>
      </w:pPr>
    </w:p>
    <w:p w14:paraId="2B71A9B0">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bCs/>
          <w:sz w:val="24"/>
          <w:szCs w:val="24"/>
        </w:rPr>
        <w:t xml:space="preserve">                             </w:t>
      </w:r>
      <w:r>
        <w:rPr>
          <w:rFonts w:hint="eastAsia" w:ascii="宋体" w:hAnsi="宋体" w:eastAsia="宋体" w:cs="宋体"/>
          <w:sz w:val="24"/>
          <w:szCs w:val="24"/>
        </w:rPr>
        <w:t>声明人：</w:t>
      </w:r>
      <w:r>
        <w:rPr>
          <w:rFonts w:hint="eastAsia" w:ascii="宋体" w:hAnsi="宋体" w:eastAsia="宋体" w:cs="宋体"/>
          <w:sz w:val="24"/>
          <w:szCs w:val="24"/>
          <w:u w:val="single"/>
        </w:rPr>
        <w:t xml:space="preserve">                            </w:t>
      </w:r>
    </w:p>
    <w:p w14:paraId="46E08597">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                             法定代表人</w:t>
      </w:r>
      <w:r>
        <w:rPr>
          <w:rFonts w:hint="eastAsia" w:ascii="宋体" w:hAnsi="宋体" w:eastAsia="宋体" w:cs="宋体"/>
          <w:bCs/>
          <w:sz w:val="24"/>
          <w:szCs w:val="24"/>
        </w:rPr>
        <w:t>（被授权人）</w:t>
      </w:r>
      <w:r>
        <w:rPr>
          <w:rFonts w:hint="eastAsia" w:ascii="宋体" w:hAnsi="宋体" w:eastAsia="宋体" w:cs="宋体"/>
          <w:sz w:val="24"/>
          <w:szCs w:val="24"/>
        </w:rPr>
        <w:t>签字：</w:t>
      </w:r>
      <w:r>
        <w:rPr>
          <w:rFonts w:hint="eastAsia" w:ascii="宋体" w:hAnsi="宋体" w:eastAsia="宋体" w:cs="宋体"/>
          <w:sz w:val="24"/>
          <w:szCs w:val="24"/>
          <w:u w:val="single"/>
        </w:rPr>
        <w:t xml:space="preserve">             </w:t>
      </w:r>
    </w:p>
    <w:p w14:paraId="252FB553">
      <w:pPr>
        <w:spacing w:line="460" w:lineRule="exact"/>
        <w:ind w:firstLine="3960" w:firstLineChars="1650"/>
        <w:rPr>
          <w:rFonts w:ascii="宋体" w:hAnsi="宋体" w:eastAsia="宋体" w:cs="宋体"/>
          <w:bCs/>
          <w:sz w:val="24"/>
          <w:szCs w:val="24"/>
        </w:rPr>
      </w:pPr>
      <w:r>
        <w:rPr>
          <w:rFonts w:hint="eastAsia" w:ascii="宋体" w:hAnsi="宋体" w:eastAsia="宋体" w:cs="宋体"/>
          <w:bCs/>
          <w:sz w:val="24"/>
          <w:szCs w:val="24"/>
        </w:rPr>
        <w:t>日期：</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w:t>
      </w:r>
    </w:p>
    <w:p w14:paraId="1F83C657">
      <w:pPr>
        <w:spacing w:line="460" w:lineRule="exact"/>
        <w:rPr>
          <w:rFonts w:ascii="宋体" w:hAnsi="宋体" w:eastAsia="宋体" w:cs="宋体"/>
          <w:bCs/>
          <w:sz w:val="24"/>
          <w:szCs w:val="24"/>
        </w:rPr>
      </w:pPr>
    </w:p>
    <w:p w14:paraId="7F5F5398">
      <w:pPr>
        <w:spacing w:line="360" w:lineRule="auto"/>
        <w:ind w:firstLine="480" w:firstLineChars="200"/>
        <w:rPr>
          <w:rFonts w:ascii="宋体" w:hAnsi="宋体" w:eastAsia="宋体" w:cs="宋体"/>
          <w:sz w:val="24"/>
          <w:szCs w:val="24"/>
          <w:u w:color="FF0000"/>
        </w:rPr>
      </w:pPr>
    </w:p>
    <w:p w14:paraId="12226F47">
      <w:pPr>
        <w:spacing w:line="360" w:lineRule="auto"/>
        <w:ind w:firstLine="420" w:firstLineChars="200"/>
        <w:rPr>
          <w:rFonts w:ascii="宋体" w:hAnsi="宋体" w:eastAsia="宋体" w:cs="宋体"/>
          <w:szCs w:val="21"/>
          <w:u w:color="FF0000"/>
        </w:rPr>
      </w:pPr>
    </w:p>
    <w:p w14:paraId="0A6809B1">
      <w:pPr>
        <w:jc w:val="left"/>
        <w:rPr>
          <w:rFonts w:ascii="宋体" w:hAnsi="宋体" w:eastAsia="宋体" w:cs="宋体"/>
          <w:szCs w:val="21"/>
          <w:u w:color="FF0000"/>
        </w:rPr>
      </w:pPr>
      <w:r>
        <w:rPr>
          <w:rFonts w:hint="eastAsia" w:ascii="宋体" w:hAnsi="宋体" w:eastAsia="宋体" w:cs="宋体"/>
          <w:szCs w:val="21"/>
          <w:u w:color="FF0000"/>
        </w:rPr>
        <w:br w:type="page"/>
      </w:r>
    </w:p>
    <w:p w14:paraId="0D505A4B">
      <w:pPr>
        <w:adjustRightInd w:val="0"/>
        <w:snapToGrid w:val="0"/>
        <w:spacing w:before="156" w:beforeLines="50" w:after="156" w:afterLines="50" w:line="360" w:lineRule="auto"/>
        <w:jc w:val="center"/>
        <w:rPr>
          <w:rFonts w:ascii="宋体" w:hAnsi="宋体" w:eastAsia="宋体" w:cs="宋体"/>
          <w:sz w:val="28"/>
          <w:szCs w:val="28"/>
        </w:rPr>
      </w:pPr>
      <w:r>
        <w:rPr>
          <w:rFonts w:hint="eastAsia" w:ascii="宋体" w:hAnsi="宋体" w:eastAsia="宋体" w:cs="宋体"/>
          <w:sz w:val="28"/>
          <w:szCs w:val="28"/>
        </w:rPr>
        <w:t>无违法违规记录声明</w:t>
      </w:r>
    </w:p>
    <w:p w14:paraId="7F31D214">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本单位在经营活动中没有违法违规记录，近三年内没有被司法部门或行业主管部门处罚，无被政府职能部门认定有行贿和欺诈行为。</w:t>
      </w:r>
    </w:p>
    <w:p w14:paraId="05437C29">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特此声明。</w:t>
      </w:r>
    </w:p>
    <w:p w14:paraId="1BBFFF0E">
      <w:pPr>
        <w:adjustRightInd w:val="0"/>
        <w:snapToGrid w:val="0"/>
        <w:spacing w:line="420" w:lineRule="exact"/>
        <w:ind w:firstLine="480" w:firstLineChars="200"/>
        <w:rPr>
          <w:rFonts w:ascii="宋体" w:hAnsi="宋体" w:eastAsia="宋体" w:cs="宋体"/>
          <w:sz w:val="24"/>
          <w:szCs w:val="24"/>
        </w:rPr>
      </w:pPr>
    </w:p>
    <w:p w14:paraId="5CAEFB1C">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bCs/>
          <w:sz w:val="24"/>
          <w:szCs w:val="24"/>
        </w:rPr>
        <w:t xml:space="preserve">                             </w:t>
      </w:r>
      <w:r>
        <w:rPr>
          <w:rFonts w:hint="eastAsia" w:ascii="宋体" w:hAnsi="宋体" w:eastAsia="宋体" w:cs="宋体"/>
          <w:sz w:val="24"/>
          <w:szCs w:val="24"/>
        </w:rPr>
        <w:t>声明人：</w:t>
      </w:r>
      <w:r>
        <w:rPr>
          <w:rFonts w:hint="eastAsia" w:ascii="宋体" w:hAnsi="宋体" w:eastAsia="宋体" w:cs="宋体"/>
          <w:sz w:val="24"/>
          <w:szCs w:val="24"/>
          <w:u w:val="single"/>
        </w:rPr>
        <w:t xml:space="preserve">                            </w:t>
      </w:r>
    </w:p>
    <w:p w14:paraId="0929931D">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                             法定代表人</w:t>
      </w:r>
      <w:r>
        <w:rPr>
          <w:rFonts w:hint="eastAsia" w:ascii="宋体" w:hAnsi="宋体" w:eastAsia="宋体" w:cs="宋体"/>
          <w:bCs/>
          <w:sz w:val="24"/>
          <w:szCs w:val="24"/>
        </w:rPr>
        <w:t>（被授权人）</w:t>
      </w:r>
      <w:r>
        <w:rPr>
          <w:rFonts w:hint="eastAsia" w:ascii="宋体" w:hAnsi="宋体" w:eastAsia="宋体" w:cs="宋体"/>
          <w:sz w:val="24"/>
          <w:szCs w:val="24"/>
        </w:rPr>
        <w:t>签字：</w:t>
      </w:r>
      <w:r>
        <w:rPr>
          <w:rFonts w:hint="eastAsia" w:ascii="宋体" w:hAnsi="宋体" w:eastAsia="宋体" w:cs="宋体"/>
          <w:sz w:val="24"/>
          <w:szCs w:val="24"/>
          <w:u w:val="single"/>
        </w:rPr>
        <w:t xml:space="preserve">             </w:t>
      </w:r>
    </w:p>
    <w:p w14:paraId="19CB17E7">
      <w:pPr>
        <w:spacing w:line="460" w:lineRule="exact"/>
        <w:ind w:firstLine="3960" w:firstLineChars="1650"/>
        <w:rPr>
          <w:rFonts w:ascii="宋体" w:hAnsi="宋体" w:eastAsia="宋体" w:cs="宋体"/>
          <w:bCs/>
          <w:sz w:val="24"/>
          <w:szCs w:val="24"/>
        </w:rPr>
      </w:pPr>
      <w:r>
        <w:rPr>
          <w:rFonts w:hint="eastAsia" w:ascii="宋体" w:hAnsi="宋体" w:eastAsia="宋体" w:cs="宋体"/>
          <w:bCs/>
          <w:sz w:val="24"/>
          <w:szCs w:val="24"/>
        </w:rPr>
        <w:t>日期：</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w:t>
      </w:r>
    </w:p>
    <w:p w14:paraId="44241ABD">
      <w:pPr>
        <w:spacing w:line="360" w:lineRule="auto"/>
        <w:ind w:firstLine="420" w:firstLineChars="200"/>
        <w:rPr>
          <w:rFonts w:ascii="宋体" w:hAnsi="宋体" w:eastAsia="宋体" w:cs="宋体"/>
          <w:szCs w:val="21"/>
          <w:u w:color="FF0000"/>
        </w:rPr>
      </w:pPr>
    </w:p>
    <w:p w14:paraId="2E3F798F">
      <w:pPr>
        <w:spacing w:line="360" w:lineRule="auto"/>
        <w:ind w:firstLine="420" w:firstLineChars="200"/>
        <w:rPr>
          <w:rFonts w:ascii="宋体" w:hAnsi="宋体" w:eastAsia="宋体" w:cs="宋体"/>
          <w:szCs w:val="21"/>
          <w:u w:color="FF0000"/>
        </w:rPr>
      </w:pPr>
    </w:p>
    <w:p w14:paraId="4FD58740">
      <w:pPr>
        <w:spacing w:line="360" w:lineRule="auto"/>
        <w:ind w:firstLine="420" w:firstLineChars="200"/>
        <w:rPr>
          <w:rFonts w:ascii="宋体" w:hAnsi="宋体" w:eastAsia="宋体" w:cs="宋体"/>
          <w:szCs w:val="21"/>
          <w:u w:color="FF0000"/>
        </w:rPr>
      </w:pPr>
    </w:p>
    <w:p w14:paraId="555496C5">
      <w:pPr>
        <w:spacing w:line="500" w:lineRule="exact"/>
        <w:jc w:val="center"/>
        <w:rPr>
          <w:rFonts w:ascii="宋体" w:hAnsi="宋体" w:eastAsia="宋体" w:cs="Times New Roman"/>
          <w:b/>
          <w:szCs w:val="21"/>
        </w:rPr>
      </w:pPr>
      <w:r>
        <w:rPr>
          <w:rFonts w:hint="eastAsia" w:ascii="宋体" w:hAnsi="宋体" w:eastAsia="宋体" w:cs="宋体"/>
          <w:sz w:val="24"/>
          <w:szCs w:val="24"/>
          <w:u w:color="000000"/>
        </w:rPr>
        <w:br w:type="page"/>
      </w:r>
      <w:r>
        <w:rPr>
          <w:rFonts w:hint="eastAsia" w:ascii="宋体" w:hAnsi="宋体" w:eastAsia="宋体" w:cs="宋体"/>
          <w:sz w:val="28"/>
          <w:szCs w:val="28"/>
        </w:rPr>
        <w:t>供应商信用承诺书</w:t>
      </w:r>
    </w:p>
    <w:p w14:paraId="29B376B3">
      <w:pPr>
        <w:spacing w:line="500" w:lineRule="exact"/>
        <w:rPr>
          <w:rFonts w:ascii="方正仿宋_GBK" w:hAnsi="Calibri" w:eastAsia="宋体" w:cs="Times New Roman"/>
          <w:szCs w:val="32"/>
        </w:rPr>
      </w:pPr>
    </w:p>
    <w:p w14:paraId="5E1E37B2">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承诺主体名称：</w:t>
      </w:r>
    </w:p>
    <w:p w14:paraId="4E335BFC">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统一社会信用代码：</w:t>
      </w:r>
    </w:p>
    <w:p w14:paraId="019F3319">
      <w:pPr>
        <w:adjustRightInd w:val="0"/>
        <w:snapToGrid w:val="0"/>
        <w:spacing w:line="420" w:lineRule="exact"/>
        <w:ind w:firstLine="480" w:firstLineChars="200"/>
        <w:rPr>
          <w:rFonts w:ascii="宋体" w:hAnsi="宋体" w:eastAsia="宋体" w:cs="宋体"/>
          <w:sz w:val="24"/>
          <w:szCs w:val="24"/>
        </w:rPr>
      </w:pPr>
    </w:p>
    <w:p w14:paraId="168A6828">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为维护公平竞争、规范有序的市场秩序，营造诚实守信的信用环境，共同推进社会信用体系建设完善，树立企业诚信守法形象，本企业对________________________项目政府采购活动郑重承诺如下:</w:t>
      </w:r>
    </w:p>
    <w:p w14:paraId="14D0FBC9">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一、对提供给注册登记部门、行业管理部门、司法部门、行业组织以及在政府采购活动中提交的所有资料的合法性、真实性、准确性和有效性负责；</w:t>
      </w:r>
    </w:p>
    <w:p w14:paraId="01F53BBB">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二、严格按照国家法律、法规和规章开展采购活动，全面履行应尽的责任和义务，全面做到履约守信，具备《中华人民共和国政府采购法》第二十二条第一款规定的条件;</w:t>
      </w:r>
    </w:p>
    <w:p w14:paraId="7FCB39C0">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三、严格依法开展生产经营活动，主动接受行业监管，自愿接受依法开展的日常检查；违法失信经营后将自愿接受约束和惩戒，并依法承担相应责任；</w:t>
      </w:r>
    </w:p>
    <w:p w14:paraId="0F3E33F7">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四、自觉接受行政管理部门、行业组织、社会公众、新闻舆论的监督；</w:t>
      </w:r>
    </w:p>
    <w:p w14:paraId="4124B720">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五、自觉做到自我约束、自我管理，不制假售假、商标侵权、虚假宣传、违约毁约、恶意逃债、偷税漏税、垄断和不正当竞争，维护经营者、消费者的合法权益；</w:t>
      </w:r>
    </w:p>
    <w:p w14:paraId="03F97249">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六、提出政府采购质疑和投诉坚持依法依规、诚实信用原则，在全国范围12个月内没有三次以上查无实据的政府采购投诉；</w:t>
      </w:r>
    </w:p>
    <w:p w14:paraId="7ED16E9E">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七、严格遵守信用信息公示相关规定，向社会公示信用信息；</w:t>
      </w:r>
    </w:p>
    <w:p w14:paraId="7A6FFFE4">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八、在“信用中国”和“中国政府采购网”网站中无违法违规、较重或严重失信记录；</w:t>
      </w:r>
    </w:p>
    <w:p w14:paraId="43F0EE95">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九、如违反承诺，自愿接受管理部门依法给予的行政处罚，同意将违反承诺的行为作为不良记录记入信用档案，依法依规进行信息公示，并承担所产生的一切法律责任和经济损失。</w:t>
      </w:r>
    </w:p>
    <w:p w14:paraId="61BD1BDE">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十、本承诺书自签订之日起生效。</w:t>
      </w:r>
    </w:p>
    <w:p w14:paraId="3FD58C62">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 （注：法定代表人或负责人、主体名称发生变更的应当重新做出承诺。）</w:t>
      </w:r>
    </w:p>
    <w:p w14:paraId="7F90211A">
      <w:pPr>
        <w:spacing w:line="560" w:lineRule="exact"/>
        <w:rPr>
          <w:rFonts w:ascii="宋体" w:hAnsi="宋体" w:eastAsia="宋体" w:cs="Times New Roman"/>
          <w:szCs w:val="21"/>
        </w:rPr>
      </w:pPr>
    </w:p>
    <w:p w14:paraId="1AD5B7C5">
      <w:pPr>
        <w:adjustRightInd w:val="0"/>
        <w:snapToGrid w:val="0"/>
        <w:spacing w:line="420" w:lineRule="exact"/>
        <w:ind w:firstLine="420" w:firstLineChars="200"/>
        <w:rPr>
          <w:rFonts w:ascii="宋体" w:hAnsi="宋体" w:eastAsia="宋体" w:cs="宋体"/>
          <w:sz w:val="24"/>
          <w:szCs w:val="24"/>
        </w:rPr>
      </w:pPr>
      <w:r>
        <w:rPr>
          <w:rFonts w:hint="eastAsia" w:ascii="宋体" w:hAnsi="宋体" w:eastAsia="宋体" w:cs="Times New Roman"/>
          <w:szCs w:val="21"/>
        </w:rPr>
        <w:t xml:space="preserve">　　　　　　　　　　      </w:t>
      </w:r>
      <w:r>
        <w:rPr>
          <w:rFonts w:hint="eastAsia" w:ascii="宋体" w:hAnsi="宋体" w:eastAsia="宋体" w:cs="宋体"/>
          <w:sz w:val="24"/>
          <w:szCs w:val="24"/>
        </w:rPr>
        <w:t xml:space="preserve">   承诺单位（签章）：           </w:t>
      </w:r>
    </w:p>
    <w:p w14:paraId="35B8C80D">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　　　　　　　　　   　   法定代表人（负责人）：</w:t>
      </w:r>
    </w:p>
    <w:p w14:paraId="455D17B4">
      <w:pPr>
        <w:spacing w:line="560" w:lineRule="exact"/>
        <w:jc w:val="center"/>
        <w:rPr>
          <w:rFonts w:ascii="宋体" w:hAnsi="宋体" w:eastAsia="宋体" w:cs="Times New Roman"/>
          <w:szCs w:val="21"/>
        </w:rPr>
      </w:pPr>
      <w:r>
        <w:rPr>
          <w:rFonts w:hint="eastAsia" w:ascii="宋体" w:hAnsi="宋体" w:eastAsia="宋体" w:cs="Times New Roman"/>
          <w:szCs w:val="21"/>
        </w:rPr>
        <w:t>　　　　　　　　　      　</w:t>
      </w:r>
      <w:r>
        <w:rPr>
          <w:rFonts w:hint="eastAsia" w:ascii="宋体" w:hAnsi="宋体" w:eastAsia="宋体" w:cs="宋体"/>
          <w:sz w:val="24"/>
          <w:szCs w:val="24"/>
        </w:rPr>
        <w:t>年    月    日</w:t>
      </w:r>
    </w:p>
    <w:p w14:paraId="1E2C7E30">
      <w:pPr>
        <w:jc w:val="left"/>
        <w:rPr>
          <w:rFonts w:ascii="宋体" w:hAnsi="宋体" w:eastAsia="宋体" w:cs="宋体"/>
          <w:szCs w:val="21"/>
          <w:u w:color="FF0000"/>
        </w:rPr>
      </w:pPr>
    </w:p>
    <w:p w14:paraId="546049C9">
      <w:pPr>
        <w:tabs>
          <w:tab w:val="left" w:pos="576"/>
        </w:tabs>
        <w:spacing w:before="156" w:beforeLines="50" w:after="156" w:afterLines="50" w:line="360" w:lineRule="auto"/>
        <w:outlineLvl w:val="2"/>
        <w:rPr>
          <w:rFonts w:ascii="宋体" w:hAnsi="宋体" w:eastAsia="宋体" w:cs="宋体"/>
          <w:sz w:val="24"/>
          <w:szCs w:val="24"/>
          <w:u w:color="000000"/>
        </w:rPr>
      </w:pPr>
      <w:bookmarkStart w:id="39" w:name="_Toc11859495"/>
      <w:bookmarkStart w:id="40" w:name="_Toc22989"/>
      <w:r>
        <w:rPr>
          <w:rFonts w:hint="eastAsia" w:ascii="宋体" w:hAnsi="宋体" w:eastAsia="宋体" w:cs="宋体"/>
          <w:sz w:val="24"/>
          <w:szCs w:val="24"/>
          <w:u w:color="000000"/>
        </w:rPr>
        <w:t>6.5 商务条款响应及偏离表</w:t>
      </w:r>
      <w:bookmarkEnd w:id="39"/>
      <w:bookmarkEnd w:id="40"/>
    </w:p>
    <w:p w14:paraId="37A786E8">
      <w:pPr>
        <w:spacing w:before="156" w:beforeLines="50" w:after="156" w:afterLines="50" w:line="360" w:lineRule="auto"/>
        <w:jc w:val="center"/>
        <w:rPr>
          <w:rFonts w:ascii="宋体" w:hAnsi="宋体" w:eastAsia="宋体" w:cs="宋体"/>
          <w:bCs/>
          <w:sz w:val="28"/>
          <w:szCs w:val="28"/>
          <w:u w:color="000000"/>
          <w:lang w:val="zh-TW" w:eastAsia="zh-TW"/>
        </w:rPr>
      </w:pPr>
      <w:r>
        <w:rPr>
          <w:rFonts w:hint="eastAsia" w:ascii="宋体" w:hAnsi="宋体" w:eastAsia="宋体" w:cs="宋体"/>
          <w:bCs/>
          <w:sz w:val="28"/>
          <w:szCs w:val="28"/>
          <w:u w:color="000000"/>
          <w:lang w:val="zh-TW"/>
        </w:rPr>
        <w:t>商务条款响应及偏离表</w:t>
      </w:r>
    </w:p>
    <w:p w14:paraId="0EE7C10E">
      <w:pPr>
        <w:spacing w:line="360" w:lineRule="auto"/>
        <w:rPr>
          <w:rFonts w:ascii="宋体" w:hAnsi="宋体" w:eastAsia="宋体" w:cs="宋体"/>
          <w:sz w:val="24"/>
          <w:szCs w:val="24"/>
        </w:rPr>
      </w:pPr>
      <w:r>
        <w:rPr>
          <w:rFonts w:hint="eastAsia" w:ascii="宋体" w:hAnsi="宋体" w:eastAsia="宋体" w:cs="宋体"/>
          <w:sz w:val="24"/>
          <w:szCs w:val="24"/>
        </w:rPr>
        <w:t>投标人全称（公章）：</w:t>
      </w:r>
      <w:r>
        <w:rPr>
          <w:rFonts w:hint="eastAsia" w:ascii="宋体" w:hAnsi="宋体" w:eastAsia="宋体" w:cs="宋体"/>
          <w:sz w:val="24"/>
          <w:szCs w:val="24"/>
          <w:u w:val="single"/>
        </w:rPr>
        <w:t xml:space="preserve">                     </w:t>
      </w:r>
    </w:p>
    <w:p w14:paraId="4525C94F">
      <w:pPr>
        <w:spacing w:line="360" w:lineRule="auto"/>
        <w:rPr>
          <w:rFonts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lang w:eastAsia="zh-CN"/>
        </w:rPr>
        <w:t>南京邮电大学通达学院2025年5月-2027年5月电梯维保服务采购</w:t>
      </w:r>
      <w:r>
        <w:rPr>
          <w:rFonts w:hint="eastAsia" w:ascii="宋体" w:hAnsi="宋体" w:eastAsia="宋体" w:cs="宋体"/>
          <w:sz w:val="24"/>
          <w:szCs w:val="24"/>
          <w:u w:val="single"/>
        </w:rPr>
        <w:t>项目</w:t>
      </w:r>
    </w:p>
    <w:tbl>
      <w:tblPr>
        <w:tblStyle w:val="26"/>
        <w:tblW w:w="93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14:paraId="2BA99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876" w:type="dxa"/>
            <w:vAlign w:val="center"/>
          </w:tcPr>
          <w:p w14:paraId="7620FCE7">
            <w:pPr>
              <w:pStyle w:val="34"/>
              <w:widowControl w:val="0"/>
              <w:snapToGrid w:val="0"/>
              <w:jc w:val="center"/>
              <w:rPr>
                <w:rFonts w:hAnsi="宋体"/>
                <w:color w:val="auto"/>
              </w:rPr>
            </w:pPr>
            <w:r>
              <w:rPr>
                <w:rFonts w:hint="eastAsia" w:hAnsi="宋体"/>
                <w:color w:val="auto"/>
              </w:rPr>
              <w:t>序号</w:t>
            </w:r>
          </w:p>
        </w:tc>
        <w:tc>
          <w:tcPr>
            <w:tcW w:w="2976" w:type="dxa"/>
            <w:vAlign w:val="center"/>
          </w:tcPr>
          <w:p w14:paraId="6263E0C9">
            <w:pPr>
              <w:pStyle w:val="34"/>
              <w:widowControl w:val="0"/>
              <w:snapToGrid w:val="0"/>
              <w:jc w:val="center"/>
              <w:rPr>
                <w:rFonts w:hAnsi="宋体"/>
                <w:color w:val="auto"/>
              </w:rPr>
            </w:pPr>
            <w:r>
              <w:rPr>
                <w:rFonts w:hint="eastAsia" w:hAnsi="宋体"/>
                <w:color w:val="auto"/>
              </w:rPr>
              <w:t>项目</w:t>
            </w:r>
          </w:p>
        </w:tc>
        <w:tc>
          <w:tcPr>
            <w:tcW w:w="1985" w:type="dxa"/>
            <w:vAlign w:val="center"/>
          </w:tcPr>
          <w:p w14:paraId="366445EB">
            <w:pPr>
              <w:pStyle w:val="34"/>
              <w:widowControl w:val="0"/>
              <w:snapToGrid w:val="0"/>
              <w:jc w:val="center"/>
              <w:rPr>
                <w:rFonts w:hAnsi="宋体"/>
                <w:color w:val="auto"/>
              </w:rPr>
            </w:pPr>
            <w:r>
              <w:rPr>
                <w:rFonts w:hint="eastAsia" w:hAnsi="宋体"/>
                <w:color w:val="auto"/>
              </w:rPr>
              <w:t>招标文件要求</w:t>
            </w:r>
          </w:p>
        </w:tc>
        <w:tc>
          <w:tcPr>
            <w:tcW w:w="1843" w:type="dxa"/>
            <w:vAlign w:val="center"/>
          </w:tcPr>
          <w:p w14:paraId="384998F0">
            <w:pPr>
              <w:pStyle w:val="34"/>
              <w:widowControl w:val="0"/>
              <w:snapToGrid w:val="0"/>
              <w:jc w:val="center"/>
              <w:rPr>
                <w:rFonts w:hAnsi="宋体"/>
                <w:color w:val="auto"/>
              </w:rPr>
            </w:pPr>
            <w:r>
              <w:rPr>
                <w:rFonts w:hint="eastAsia" w:hAnsi="宋体"/>
                <w:color w:val="auto"/>
              </w:rPr>
              <w:t>投标人的承诺或说明</w:t>
            </w:r>
          </w:p>
        </w:tc>
        <w:tc>
          <w:tcPr>
            <w:tcW w:w="1687" w:type="dxa"/>
            <w:vAlign w:val="center"/>
          </w:tcPr>
          <w:p w14:paraId="60C45C14">
            <w:pPr>
              <w:pStyle w:val="34"/>
              <w:widowControl w:val="0"/>
              <w:snapToGrid w:val="0"/>
              <w:jc w:val="center"/>
              <w:rPr>
                <w:rFonts w:hAnsi="宋体"/>
                <w:color w:val="auto"/>
              </w:rPr>
            </w:pPr>
            <w:r>
              <w:rPr>
                <w:rFonts w:hint="eastAsia" w:hAnsi="宋体"/>
                <w:color w:val="auto"/>
              </w:rPr>
              <w:t>偏离情况</w:t>
            </w:r>
          </w:p>
        </w:tc>
      </w:tr>
      <w:tr w14:paraId="0CDC5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14:paraId="34CDC941">
            <w:pPr>
              <w:pStyle w:val="34"/>
              <w:widowControl w:val="0"/>
              <w:snapToGrid w:val="0"/>
              <w:jc w:val="center"/>
              <w:rPr>
                <w:rFonts w:hAnsi="宋体"/>
                <w:color w:val="auto"/>
              </w:rPr>
            </w:pPr>
            <w:r>
              <w:rPr>
                <w:rFonts w:hint="eastAsia" w:hAnsi="宋体"/>
                <w:color w:val="auto"/>
              </w:rPr>
              <w:t>1</w:t>
            </w:r>
          </w:p>
        </w:tc>
        <w:tc>
          <w:tcPr>
            <w:tcW w:w="2976" w:type="dxa"/>
            <w:vAlign w:val="center"/>
          </w:tcPr>
          <w:p w14:paraId="05F30C73">
            <w:pPr>
              <w:pStyle w:val="34"/>
              <w:widowControl w:val="0"/>
              <w:snapToGrid w:val="0"/>
              <w:jc w:val="center"/>
              <w:rPr>
                <w:rFonts w:hAnsi="宋体"/>
                <w:color w:val="auto"/>
              </w:rPr>
            </w:pPr>
          </w:p>
        </w:tc>
        <w:tc>
          <w:tcPr>
            <w:tcW w:w="1985" w:type="dxa"/>
            <w:vAlign w:val="center"/>
          </w:tcPr>
          <w:p w14:paraId="50E63611">
            <w:pPr>
              <w:pStyle w:val="34"/>
              <w:widowControl w:val="0"/>
              <w:snapToGrid w:val="0"/>
              <w:jc w:val="center"/>
              <w:rPr>
                <w:rFonts w:hAnsi="宋体"/>
                <w:color w:val="auto"/>
              </w:rPr>
            </w:pPr>
          </w:p>
        </w:tc>
        <w:tc>
          <w:tcPr>
            <w:tcW w:w="1843" w:type="dxa"/>
            <w:vAlign w:val="center"/>
          </w:tcPr>
          <w:p w14:paraId="45A9F2B0">
            <w:pPr>
              <w:pStyle w:val="34"/>
              <w:widowControl w:val="0"/>
              <w:snapToGrid w:val="0"/>
              <w:jc w:val="center"/>
              <w:rPr>
                <w:rFonts w:hAnsi="宋体"/>
                <w:color w:val="auto"/>
              </w:rPr>
            </w:pPr>
          </w:p>
        </w:tc>
        <w:tc>
          <w:tcPr>
            <w:tcW w:w="1687" w:type="dxa"/>
            <w:vAlign w:val="center"/>
          </w:tcPr>
          <w:p w14:paraId="6D494F79">
            <w:pPr>
              <w:pStyle w:val="34"/>
              <w:widowControl w:val="0"/>
              <w:snapToGrid w:val="0"/>
              <w:jc w:val="center"/>
              <w:rPr>
                <w:rFonts w:hAnsi="宋体"/>
                <w:color w:val="auto"/>
              </w:rPr>
            </w:pPr>
          </w:p>
        </w:tc>
      </w:tr>
      <w:tr w14:paraId="2D706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14:paraId="15688E0B">
            <w:pPr>
              <w:pStyle w:val="34"/>
              <w:widowControl w:val="0"/>
              <w:snapToGrid w:val="0"/>
              <w:jc w:val="center"/>
              <w:rPr>
                <w:rFonts w:hAnsi="宋体"/>
                <w:color w:val="auto"/>
              </w:rPr>
            </w:pPr>
            <w:r>
              <w:rPr>
                <w:rFonts w:hint="eastAsia" w:hAnsi="宋体"/>
                <w:color w:val="auto"/>
              </w:rPr>
              <w:t>2</w:t>
            </w:r>
          </w:p>
        </w:tc>
        <w:tc>
          <w:tcPr>
            <w:tcW w:w="2976" w:type="dxa"/>
            <w:vAlign w:val="center"/>
          </w:tcPr>
          <w:p w14:paraId="1936904C">
            <w:pPr>
              <w:pStyle w:val="34"/>
              <w:widowControl w:val="0"/>
              <w:snapToGrid w:val="0"/>
              <w:jc w:val="center"/>
              <w:rPr>
                <w:rFonts w:hAnsi="宋体"/>
                <w:color w:val="auto"/>
              </w:rPr>
            </w:pPr>
          </w:p>
        </w:tc>
        <w:tc>
          <w:tcPr>
            <w:tcW w:w="1985" w:type="dxa"/>
            <w:vAlign w:val="center"/>
          </w:tcPr>
          <w:p w14:paraId="3F1B63C1">
            <w:pPr>
              <w:pStyle w:val="34"/>
              <w:widowControl w:val="0"/>
              <w:snapToGrid w:val="0"/>
              <w:jc w:val="center"/>
              <w:rPr>
                <w:rFonts w:hAnsi="宋体"/>
                <w:color w:val="auto"/>
              </w:rPr>
            </w:pPr>
          </w:p>
        </w:tc>
        <w:tc>
          <w:tcPr>
            <w:tcW w:w="1843" w:type="dxa"/>
            <w:vAlign w:val="center"/>
          </w:tcPr>
          <w:p w14:paraId="2526944A">
            <w:pPr>
              <w:pStyle w:val="34"/>
              <w:widowControl w:val="0"/>
              <w:snapToGrid w:val="0"/>
              <w:jc w:val="center"/>
              <w:rPr>
                <w:rFonts w:hAnsi="宋体"/>
                <w:color w:val="auto"/>
              </w:rPr>
            </w:pPr>
          </w:p>
        </w:tc>
        <w:tc>
          <w:tcPr>
            <w:tcW w:w="1687" w:type="dxa"/>
            <w:vAlign w:val="center"/>
          </w:tcPr>
          <w:p w14:paraId="753B227D">
            <w:pPr>
              <w:pStyle w:val="34"/>
              <w:widowControl w:val="0"/>
              <w:snapToGrid w:val="0"/>
              <w:jc w:val="center"/>
              <w:rPr>
                <w:rFonts w:hAnsi="宋体"/>
                <w:color w:val="auto"/>
              </w:rPr>
            </w:pPr>
          </w:p>
        </w:tc>
      </w:tr>
      <w:tr w14:paraId="5E66B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14:paraId="736D307F">
            <w:pPr>
              <w:pStyle w:val="34"/>
              <w:widowControl w:val="0"/>
              <w:snapToGrid w:val="0"/>
              <w:jc w:val="center"/>
              <w:rPr>
                <w:rFonts w:hAnsi="宋体"/>
                <w:color w:val="auto"/>
              </w:rPr>
            </w:pPr>
            <w:r>
              <w:rPr>
                <w:rFonts w:hint="eastAsia" w:hAnsi="宋体"/>
                <w:color w:val="auto"/>
              </w:rPr>
              <w:t>3</w:t>
            </w:r>
          </w:p>
        </w:tc>
        <w:tc>
          <w:tcPr>
            <w:tcW w:w="2976" w:type="dxa"/>
            <w:vAlign w:val="center"/>
          </w:tcPr>
          <w:p w14:paraId="5581D6E5">
            <w:pPr>
              <w:pStyle w:val="34"/>
              <w:widowControl w:val="0"/>
              <w:snapToGrid w:val="0"/>
              <w:jc w:val="center"/>
              <w:rPr>
                <w:rFonts w:hAnsi="宋体"/>
                <w:color w:val="auto"/>
              </w:rPr>
            </w:pPr>
          </w:p>
        </w:tc>
        <w:tc>
          <w:tcPr>
            <w:tcW w:w="1985" w:type="dxa"/>
            <w:vAlign w:val="center"/>
          </w:tcPr>
          <w:p w14:paraId="0390B4BF">
            <w:pPr>
              <w:pStyle w:val="34"/>
              <w:widowControl w:val="0"/>
              <w:snapToGrid w:val="0"/>
              <w:jc w:val="center"/>
              <w:rPr>
                <w:rFonts w:hAnsi="宋体"/>
                <w:color w:val="auto"/>
              </w:rPr>
            </w:pPr>
          </w:p>
        </w:tc>
        <w:tc>
          <w:tcPr>
            <w:tcW w:w="1843" w:type="dxa"/>
            <w:vAlign w:val="center"/>
          </w:tcPr>
          <w:p w14:paraId="1EB2D6A6">
            <w:pPr>
              <w:pStyle w:val="34"/>
              <w:widowControl w:val="0"/>
              <w:snapToGrid w:val="0"/>
              <w:jc w:val="center"/>
              <w:rPr>
                <w:rFonts w:hAnsi="宋体"/>
                <w:color w:val="auto"/>
              </w:rPr>
            </w:pPr>
          </w:p>
        </w:tc>
        <w:tc>
          <w:tcPr>
            <w:tcW w:w="1687" w:type="dxa"/>
            <w:vAlign w:val="center"/>
          </w:tcPr>
          <w:p w14:paraId="5015A326">
            <w:pPr>
              <w:pStyle w:val="34"/>
              <w:widowControl w:val="0"/>
              <w:snapToGrid w:val="0"/>
              <w:jc w:val="center"/>
              <w:rPr>
                <w:rFonts w:hAnsi="宋体"/>
                <w:color w:val="auto"/>
              </w:rPr>
            </w:pPr>
          </w:p>
        </w:tc>
      </w:tr>
      <w:tr w14:paraId="7ED71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14:paraId="0685F8E7">
            <w:pPr>
              <w:pStyle w:val="34"/>
              <w:widowControl w:val="0"/>
              <w:snapToGrid w:val="0"/>
              <w:jc w:val="center"/>
              <w:rPr>
                <w:rFonts w:hAnsi="宋体"/>
                <w:color w:val="auto"/>
              </w:rPr>
            </w:pPr>
            <w:r>
              <w:rPr>
                <w:rFonts w:hint="eastAsia" w:hAnsi="宋体"/>
                <w:color w:val="auto"/>
              </w:rPr>
              <w:t>4</w:t>
            </w:r>
          </w:p>
        </w:tc>
        <w:tc>
          <w:tcPr>
            <w:tcW w:w="2976" w:type="dxa"/>
            <w:vAlign w:val="center"/>
          </w:tcPr>
          <w:p w14:paraId="13DC971E">
            <w:pPr>
              <w:pStyle w:val="34"/>
              <w:widowControl w:val="0"/>
              <w:snapToGrid w:val="0"/>
              <w:jc w:val="center"/>
              <w:rPr>
                <w:rFonts w:hAnsi="宋体"/>
                <w:color w:val="auto"/>
              </w:rPr>
            </w:pPr>
          </w:p>
        </w:tc>
        <w:tc>
          <w:tcPr>
            <w:tcW w:w="1985" w:type="dxa"/>
            <w:vAlign w:val="center"/>
          </w:tcPr>
          <w:p w14:paraId="501EFBBC">
            <w:pPr>
              <w:pStyle w:val="34"/>
              <w:widowControl w:val="0"/>
              <w:snapToGrid w:val="0"/>
              <w:jc w:val="center"/>
              <w:rPr>
                <w:rFonts w:hAnsi="宋体"/>
                <w:color w:val="auto"/>
              </w:rPr>
            </w:pPr>
          </w:p>
        </w:tc>
        <w:tc>
          <w:tcPr>
            <w:tcW w:w="1843" w:type="dxa"/>
            <w:vAlign w:val="center"/>
          </w:tcPr>
          <w:p w14:paraId="1F6304FB">
            <w:pPr>
              <w:pStyle w:val="34"/>
              <w:widowControl w:val="0"/>
              <w:snapToGrid w:val="0"/>
              <w:jc w:val="center"/>
              <w:rPr>
                <w:rFonts w:hAnsi="宋体"/>
                <w:color w:val="auto"/>
              </w:rPr>
            </w:pPr>
          </w:p>
        </w:tc>
        <w:tc>
          <w:tcPr>
            <w:tcW w:w="1687" w:type="dxa"/>
            <w:vAlign w:val="center"/>
          </w:tcPr>
          <w:p w14:paraId="3728A53E">
            <w:pPr>
              <w:pStyle w:val="34"/>
              <w:widowControl w:val="0"/>
              <w:snapToGrid w:val="0"/>
              <w:jc w:val="center"/>
              <w:rPr>
                <w:rFonts w:hAnsi="宋体"/>
                <w:color w:val="auto"/>
              </w:rPr>
            </w:pPr>
          </w:p>
        </w:tc>
      </w:tr>
      <w:tr w14:paraId="78828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14:paraId="5BA341DF">
            <w:pPr>
              <w:pStyle w:val="34"/>
              <w:widowControl w:val="0"/>
              <w:snapToGrid w:val="0"/>
              <w:jc w:val="center"/>
              <w:rPr>
                <w:rFonts w:hAnsi="宋体"/>
                <w:color w:val="auto"/>
              </w:rPr>
            </w:pPr>
            <w:r>
              <w:rPr>
                <w:rFonts w:hint="eastAsia" w:hAnsi="宋体"/>
                <w:color w:val="auto"/>
              </w:rPr>
              <w:t>5</w:t>
            </w:r>
          </w:p>
        </w:tc>
        <w:tc>
          <w:tcPr>
            <w:tcW w:w="2976" w:type="dxa"/>
            <w:vAlign w:val="center"/>
          </w:tcPr>
          <w:p w14:paraId="5E40D239">
            <w:pPr>
              <w:pStyle w:val="34"/>
              <w:widowControl w:val="0"/>
              <w:snapToGrid w:val="0"/>
              <w:jc w:val="center"/>
              <w:rPr>
                <w:rFonts w:hAnsi="宋体"/>
                <w:color w:val="auto"/>
              </w:rPr>
            </w:pPr>
          </w:p>
        </w:tc>
        <w:tc>
          <w:tcPr>
            <w:tcW w:w="1985" w:type="dxa"/>
            <w:vAlign w:val="center"/>
          </w:tcPr>
          <w:p w14:paraId="149E12AD">
            <w:pPr>
              <w:pStyle w:val="34"/>
              <w:widowControl w:val="0"/>
              <w:snapToGrid w:val="0"/>
              <w:jc w:val="center"/>
              <w:rPr>
                <w:rFonts w:hAnsi="宋体"/>
                <w:color w:val="auto"/>
              </w:rPr>
            </w:pPr>
          </w:p>
        </w:tc>
        <w:tc>
          <w:tcPr>
            <w:tcW w:w="1843" w:type="dxa"/>
            <w:vAlign w:val="center"/>
          </w:tcPr>
          <w:p w14:paraId="538A35F2">
            <w:pPr>
              <w:pStyle w:val="34"/>
              <w:widowControl w:val="0"/>
              <w:snapToGrid w:val="0"/>
              <w:jc w:val="center"/>
              <w:rPr>
                <w:rFonts w:hAnsi="宋体"/>
                <w:color w:val="auto"/>
              </w:rPr>
            </w:pPr>
          </w:p>
        </w:tc>
        <w:tc>
          <w:tcPr>
            <w:tcW w:w="1687" w:type="dxa"/>
            <w:vAlign w:val="center"/>
          </w:tcPr>
          <w:p w14:paraId="33929B41">
            <w:pPr>
              <w:pStyle w:val="34"/>
              <w:widowControl w:val="0"/>
              <w:snapToGrid w:val="0"/>
              <w:jc w:val="center"/>
              <w:rPr>
                <w:rFonts w:hAnsi="宋体"/>
                <w:color w:val="auto"/>
              </w:rPr>
            </w:pPr>
          </w:p>
        </w:tc>
      </w:tr>
      <w:tr w14:paraId="1EDC1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14:paraId="2A885D91">
            <w:pPr>
              <w:pStyle w:val="34"/>
              <w:widowControl w:val="0"/>
              <w:snapToGrid w:val="0"/>
              <w:jc w:val="center"/>
              <w:rPr>
                <w:rFonts w:hAnsi="宋体"/>
                <w:color w:val="auto"/>
              </w:rPr>
            </w:pPr>
            <w:r>
              <w:rPr>
                <w:rFonts w:hint="eastAsia" w:hAnsi="宋体"/>
                <w:color w:val="auto"/>
              </w:rPr>
              <w:t>6</w:t>
            </w:r>
          </w:p>
        </w:tc>
        <w:tc>
          <w:tcPr>
            <w:tcW w:w="2976" w:type="dxa"/>
            <w:vAlign w:val="center"/>
          </w:tcPr>
          <w:p w14:paraId="198F2094">
            <w:pPr>
              <w:pStyle w:val="34"/>
              <w:widowControl w:val="0"/>
              <w:snapToGrid w:val="0"/>
              <w:jc w:val="center"/>
              <w:rPr>
                <w:rFonts w:hAnsi="宋体"/>
                <w:color w:val="auto"/>
              </w:rPr>
            </w:pPr>
          </w:p>
        </w:tc>
        <w:tc>
          <w:tcPr>
            <w:tcW w:w="1985" w:type="dxa"/>
            <w:vAlign w:val="center"/>
          </w:tcPr>
          <w:p w14:paraId="7BBE7129">
            <w:pPr>
              <w:pStyle w:val="34"/>
              <w:widowControl w:val="0"/>
              <w:snapToGrid w:val="0"/>
              <w:jc w:val="center"/>
              <w:rPr>
                <w:rFonts w:hAnsi="宋体"/>
                <w:color w:val="auto"/>
              </w:rPr>
            </w:pPr>
          </w:p>
        </w:tc>
        <w:tc>
          <w:tcPr>
            <w:tcW w:w="1843" w:type="dxa"/>
            <w:vAlign w:val="center"/>
          </w:tcPr>
          <w:p w14:paraId="3CB7DC8E">
            <w:pPr>
              <w:pStyle w:val="34"/>
              <w:widowControl w:val="0"/>
              <w:snapToGrid w:val="0"/>
              <w:jc w:val="center"/>
              <w:rPr>
                <w:rFonts w:hAnsi="宋体"/>
                <w:color w:val="auto"/>
              </w:rPr>
            </w:pPr>
          </w:p>
        </w:tc>
        <w:tc>
          <w:tcPr>
            <w:tcW w:w="1687" w:type="dxa"/>
            <w:vAlign w:val="center"/>
          </w:tcPr>
          <w:p w14:paraId="18DDDFBE">
            <w:pPr>
              <w:pStyle w:val="34"/>
              <w:widowControl w:val="0"/>
              <w:snapToGrid w:val="0"/>
              <w:jc w:val="center"/>
              <w:rPr>
                <w:rFonts w:hAnsi="宋体"/>
                <w:color w:val="auto"/>
              </w:rPr>
            </w:pPr>
          </w:p>
        </w:tc>
      </w:tr>
      <w:tr w14:paraId="58E86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14:paraId="647BFE1F">
            <w:pPr>
              <w:pStyle w:val="34"/>
              <w:widowControl w:val="0"/>
              <w:snapToGrid w:val="0"/>
              <w:jc w:val="center"/>
              <w:rPr>
                <w:rFonts w:hAnsi="宋体"/>
                <w:color w:val="auto"/>
              </w:rPr>
            </w:pPr>
            <w:r>
              <w:rPr>
                <w:rFonts w:hint="eastAsia" w:hAnsi="宋体"/>
                <w:color w:val="auto"/>
              </w:rPr>
              <w:t>7</w:t>
            </w:r>
          </w:p>
        </w:tc>
        <w:tc>
          <w:tcPr>
            <w:tcW w:w="2976" w:type="dxa"/>
            <w:vAlign w:val="center"/>
          </w:tcPr>
          <w:p w14:paraId="777B243C">
            <w:pPr>
              <w:pStyle w:val="34"/>
              <w:widowControl w:val="0"/>
              <w:snapToGrid w:val="0"/>
              <w:jc w:val="center"/>
              <w:rPr>
                <w:rFonts w:hAnsi="宋体"/>
                <w:color w:val="auto"/>
              </w:rPr>
            </w:pPr>
          </w:p>
        </w:tc>
        <w:tc>
          <w:tcPr>
            <w:tcW w:w="1985" w:type="dxa"/>
            <w:vAlign w:val="center"/>
          </w:tcPr>
          <w:p w14:paraId="3BC99AF1">
            <w:pPr>
              <w:pStyle w:val="34"/>
              <w:widowControl w:val="0"/>
              <w:snapToGrid w:val="0"/>
              <w:jc w:val="center"/>
              <w:rPr>
                <w:rFonts w:hAnsi="宋体"/>
                <w:color w:val="auto"/>
              </w:rPr>
            </w:pPr>
          </w:p>
        </w:tc>
        <w:tc>
          <w:tcPr>
            <w:tcW w:w="1843" w:type="dxa"/>
            <w:vAlign w:val="center"/>
          </w:tcPr>
          <w:p w14:paraId="1B9B4127">
            <w:pPr>
              <w:pStyle w:val="34"/>
              <w:widowControl w:val="0"/>
              <w:snapToGrid w:val="0"/>
              <w:jc w:val="center"/>
              <w:rPr>
                <w:rFonts w:hAnsi="宋体"/>
                <w:color w:val="auto"/>
              </w:rPr>
            </w:pPr>
          </w:p>
        </w:tc>
        <w:tc>
          <w:tcPr>
            <w:tcW w:w="1687" w:type="dxa"/>
            <w:vAlign w:val="center"/>
          </w:tcPr>
          <w:p w14:paraId="5AE7A555">
            <w:pPr>
              <w:pStyle w:val="34"/>
              <w:widowControl w:val="0"/>
              <w:snapToGrid w:val="0"/>
              <w:jc w:val="center"/>
              <w:rPr>
                <w:rFonts w:hAnsi="宋体"/>
                <w:color w:val="auto"/>
              </w:rPr>
            </w:pPr>
          </w:p>
        </w:tc>
      </w:tr>
      <w:tr w14:paraId="03622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14:paraId="2D86A475">
            <w:pPr>
              <w:pStyle w:val="34"/>
              <w:widowControl w:val="0"/>
              <w:snapToGrid w:val="0"/>
              <w:jc w:val="center"/>
              <w:rPr>
                <w:rFonts w:hAnsi="宋体"/>
                <w:color w:val="auto"/>
              </w:rPr>
            </w:pPr>
            <w:r>
              <w:rPr>
                <w:rFonts w:hint="eastAsia" w:hAnsi="宋体"/>
                <w:color w:val="auto"/>
              </w:rPr>
              <w:t>8</w:t>
            </w:r>
          </w:p>
        </w:tc>
        <w:tc>
          <w:tcPr>
            <w:tcW w:w="2976" w:type="dxa"/>
            <w:vAlign w:val="center"/>
          </w:tcPr>
          <w:p w14:paraId="594E9190">
            <w:pPr>
              <w:pStyle w:val="34"/>
              <w:widowControl w:val="0"/>
              <w:snapToGrid w:val="0"/>
              <w:jc w:val="center"/>
              <w:rPr>
                <w:rFonts w:hAnsi="宋体"/>
                <w:color w:val="auto"/>
              </w:rPr>
            </w:pPr>
          </w:p>
        </w:tc>
        <w:tc>
          <w:tcPr>
            <w:tcW w:w="1985" w:type="dxa"/>
            <w:vAlign w:val="center"/>
          </w:tcPr>
          <w:p w14:paraId="005C42A3">
            <w:pPr>
              <w:pStyle w:val="34"/>
              <w:widowControl w:val="0"/>
              <w:snapToGrid w:val="0"/>
              <w:jc w:val="center"/>
              <w:rPr>
                <w:rFonts w:hAnsi="宋体"/>
                <w:color w:val="auto"/>
              </w:rPr>
            </w:pPr>
          </w:p>
        </w:tc>
        <w:tc>
          <w:tcPr>
            <w:tcW w:w="1843" w:type="dxa"/>
            <w:vAlign w:val="center"/>
          </w:tcPr>
          <w:p w14:paraId="70D6BB1E">
            <w:pPr>
              <w:pStyle w:val="34"/>
              <w:widowControl w:val="0"/>
              <w:snapToGrid w:val="0"/>
              <w:jc w:val="center"/>
              <w:rPr>
                <w:rFonts w:hAnsi="宋体"/>
                <w:color w:val="auto"/>
              </w:rPr>
            </w:pPr>
          </w:p>
        </w:tc>
        <w:tc>
          <w:tcPr>
            <w:tcW w:w="1687" w:type="dxa"/>
            <w:vAlign w:val="center"/>
          </w:tcPr>
          <w:p w14:paraId="2B12EAFF">
            <w:pPr>
              <w:pStyle w:val="34"/>
              <w:widowControl w:val="0"/>
              <w:snapToGrid w:val="0"/>
              <w:jc w:val="center"/>
              <w:rPr>
                <w:rFonts w:hAnsi="宋体"/>
                <w:color w:val="auto"/>
              </w:rPr>
            </w:pPr>
          </w:p>
        </w:tc>
      </w:tr>
      <w:tr w14:paraId="0B1AD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14:paraId="42B856D4">
            <w:pPr>
              <w:pStyle w:val="34"/>
              <w:widowControl w:val="0"/>
              <w:snapToGrid w:val="0"/>
              <w:jc w:val="center"/>
              <w:rPr>
                <w:rFonts w:hAnsi="宋体"/>
                <w:color w:val="auto"/>
              </w:rPr>
            </w:pPr>
            <w:r>
              <w:rPr>
                <w:rFonts w:hint="eastAsia" w:hAnsi="宋体"/>
                <w:color w:val="auto"/>
              </w:rPr>
              <w:t>9</w:t>
            </w:r>
          </w:p>
        </w:tc>
        <w:tc>
          <w:tcPr>
            <w:tcW w:w="2976" w:type="dxa"/>
            <w:vAlign w:val="center"/>
          </w:tcPr>
          <w:p w14:paraId="4A9A9F32">
            <w:pPr>
              <w:pStyle w:val="34"/>
              <w:widowControl w:val="0"/>
              <w:snapToGrid w:val="0"/>
              <w:jc w:val="center"/>
              <w:rPr>
                <w:rFonts w:hAnsi="宋体"/>
                <w:color w:val="auto"/>
              </w:rPr>
            </w:pPr>
          </w:p>
        </w:tc>
        <w:tc>
          <w:tcPr>
            <w:tcW w:w="1985" w:type="dxa"/>
            <w:vAlign w:val="center"/>
          </w:tcPr>
          <w:p w14:paraId="3CBC9E39">
            <w:pPr>
              <w:pStyle w:val="34"/>
              <w:widowControl w:val="0"/>
              <w:snapToGrid w:val="0"/>
              <w:jc w:val="center"/>
              <w:rPr>
                <w:rFonts w:hAnsi="宋体"/>
                <w:color w:val="auto"/>
              </w:rPr>
            </w:pPr>
          </w:p>
        </w:tc>
        <w:tc>
          <w:tcPr>
            <w:tcW w:w="1843" w:type="dxa"/>
            <w:vAlign w:val="center"/>
          </w:tcPr>
          <w:p w14:paraId="1FBDECCE">
            <w:pPr>
              <w:pStyle w:val="34"/>
              <w:widowControl w:val="0"/>
              <w:snapToGrid w:val="0"/>
              <w:jc w:val="center"/>
              <w:rPr>
                <w:rFonts w:hAnsi="宋体"/>
                <w:color w:val="auto"/>
              </w:rPr>
            </w:pPr>
          </w:p>
        </w:tc>
        <w:tc>
          <w:tcPr>
            <w:tcW w:w="1687" w:type="dxa"/>
            <w:vAlign w:val="center"/>
          </w:tcPr>
          <w:p w14:paraId="59DF8687">
            <w:pPr>
              <w:pStyle w:val="34"/>
              <w:widowControl w:val="0"/>
              <w:snapToGrid w:val="0"/>
              <w:jc w:val="center"/>
              <w:rPr>
                <w:rFonts w:hAnsi="宋体"/>
                <w:color w:val="auto"/>
              </w:rPr>
            </w:pPr>
          </w:p>
        </w:tc>
      </w:tr>
    </w:tbl>
    <w:p w14:paraId="4927BFD3">
      <w:pPr>
        <w:pStyle w:val="34"/>
        <w:widowControl w:val="0"/>
        <w:spacing w:line="360" w:lineRule="auto"/>
        <w:ind w:firstLine="4320" w:firstLineChars="1800"/>
        <w:rPr>
          <w:rFonts w:hAnsi="宋体"/>
          <w:color w:val="auto"/>
          <w:u w:val="single"/>
        </w:rPr>
      </w:pPr>
      <w:r>
        <w:rPr>
          <w:rFonts w:hint="eastAsia" w:hAnsi="宋体"/>
          <w:color w:val="auto"/>
        </w:rPr>
        <w:t>法定代表人（授权代表）签字：</w:t>
      </w:r>
      <w:r>
        <w:rPr>
          <w:rFonts w:hint="eastAsia" w:hAnsi="宋体"/>
          <w:color w:val="auto"/>
          <w:u w:val="single"/>
        </w:rPr>
        <w:t xml:space="preserve">         </w:t>
      </w:r>
    </w:p>
    <w:p w14:paraId="21DBA2E4">
      <w:pPr>
        <w:pStyle w:val="34"/>
        <w:widowControl w:val="0"/>
        <w:spacing w:line="360" w:lineRule="auto"/>
        <w:ind w:firstLine="5640" w:firstLineChars="2350"/>
        <w:rPr>
          <w:rFonts w:hAnsi="宋体"/>
          <w:color w:val="auto"/>
          <w:u w:val="single"/>
        </w:rPr>
      </w:pPr>
      <w:r>
        <w:rPr>
          <w:rFonts w:hint="eastAsia" w:hAnsi="宋体"/>
          <w:bCs/>
          <w:color w:val="auto"/>
        </w:rPr>
        <w:t>日期：</w:t>
      </w:r>
      <w:r>
        <w:rPr>
          <w:rFonts w:hint="eastAsia" w:hAnsi="宋体"/>
          <w:bCs/>
          <w:color w:val="auto"/>
          <w:u w:val="single"/>
        </w:rPr>
        <w:t xml:space="preserve">       </w:t>
      </w:r>
      <w:r>
        <w:rPr>
          <w:rFonts w:hint="eastAsia" w:hAnsi="宋体"/>
          <w:bCs/>
          <w:color w:val="auto"/>
        </w:rPr>
        <w:t>年</w:t>
      </w:r>
      <w:r>
        <w:rPr>
          <w:rFonts w:hint="eastAsia" w:hAnsi="宋体"/>
          <w:bCs/>
          <w:color w:val="auto"/>
          <w:u w:val="single"/>
        </w:rPr>
        <w:t xml:space="preserve">    </w:t>
      </w:r>
      <w:r>
        <w:rPr>
          <w:rFonts w:hint="eastAsia" w:hAnsi="宋体"/>
          <w:bCs/>
          <w:color w:val="auto"/>
        </w:rPr>
        <w:t>月</w:t>
      </w:r>
      <w:r>
        <w:rPr>
          <w:rFonts w:hint="eastAsia" w:hAnsi="宋体"/>
          <w:bCs/>
          <w:color w:val="auto"/>
          <w:u w:val="single"/>
        </w:rPr>
        <w:t xml:space="preserve">    </w:t>
      </w:r>
      <w:r>
        <w:rPr>
          <w:rFonts w:hint="eastAsia" w:hAnsi="宋体"/>
          <w:bCs/>
          <w:color w:val="auto"/>
        </w:rPr>
        <w:t>日</w:t>
      </w:r>
    </w:p>
    <w:p w14:paraId="4C652305">
      <w:pPr>
        <w:adjustRightInd w:val="0"/>
        <w:snapToGrid w:val="0"/>
        <w:spacing w:line="400" w:lineRule="exact"/>
        <w:ind w:left="693" w:hanging="693" w:hangingChars="330"/>
        <w:rPr>
          <w:rFonts w:ascii="宋体" w:hAnsi="宋体" w:eastAsia="宋体" w:cs="宋体"/>
          <w:szCs w:val="21"/>
        </w:rPr>
      </w:pPr>
      <w:r>
        <w:rPr>
          <w:rFonts w:hint="eastAsia" w:ascii="宋体" w:hAnsi="宋体" w:eastAsia="宋体" w:cs="宋体"/>
          <w:szCs w:val="21"/>
        </w:rPr>
        <w:t>注：</w:t>
      </w:r>
    </w:p>
    <w:p w14:paraId="666A54EF">
      <w:pPr>
        <w:pStyle w:val="47"/>
        <w:spacing w:line="400" w:lineRule="exact"/>
        <w:ind w:firstLine="420"/>
        <w:rPr>
          <w:rFonts w:ascii="宋体" w:hAnsi="宋体" w:cs="宋体"/>
          <w:sz w:val="21"/>
        </w:rPr>
      </w:pPr>
      <w:r>
        <w:rPr>
          <w:rFonts w:hint="eastAsia" w:ascii="宋体" w:hAnsi="宋体" w:cs="宋体"/>
          <w:sz w:val="21"/>
        </w:rPr>
        <w:t>1．投标人应当逐条对照招标文件合同条款，就投标文件对合同条款存在的偏差与例外逐条做出说明；</w:t>
      </w:r>
    </w:p>
    <w:p w14:paraId="6475B69E">
      <w:pPr>
        <w:pStyle w:val="47"/>
        <w:spacing w:line="400" w:lineRule="exact"/>
        <w:ind w:firstLine="420"/>
        <w:rPr>
          <w:rFonts w:ascii="宋体" w:hAnsi="宋体" w:cs="宋体"/>
          <w:sz w:val="21"/>
        </w:rPr>
      </w:pPr>
      <w:r>
        <w:rPr>
          <w:rFonts w:hint="eastAsia" w:ascii="宋体" w:hAnsi="宋体" w:cs="宋体"/>
          <w:sz w:val="21"/>
        </w:rPr>
        <w:t>2．如投标文件对合同条款无任何偏差，投标人仅需在本偏离表中填写“无偏离”即可。</w:t>
      </w:r>
    </w:p>
    <w:p w14:paraId="2A6F9203">
      <w:pPr>
        <w:pStyle w:val="47"/>
        <w:spacing w:line="400" w:lineRule="exact"/>
        <w:ind w:firstLine="420"/>
        <w:rPr>
          <w:rFonts w:ascii="宋体" w:hAnsi="宋体" w:cs="宋体"/>
          <w:sz w:val="21"/>
        </w:rPr>
      </w:pPr>
      <w:r>
        <w:rPr>
          <w:rFonts w:hint="eastAsia" w:ascii="宋体" w:hAnsi="宋体" w:cs="宋体"/>
          <w:sz w:val="21"/>
        </w:rPr>
        <w:t>3. 投标人未填写该表则表示完全满足招标文件合同条款要求。</w:t>
      </w:r>
    </w:p>
    <w:p w14:paraId="23B17626">
      <w:pPr>
        <w:spacing w:line="360" w:lineRule="auto"/>
        <w:ind w:firstLine="420" w:firstLineChars="200"/>
        <w:rPr>
          <w:rFonts w:ascii="宋体" w:hAnsi="宋体" w:eastAsia="宋体" w:cs="宋体"/>
          <w:szCs w:val="21"/>
          <w:u w:color="FF0000"/>
        </w:rPr>
      </w:pPr>
    </w:p>
    <w:p w14:paraId="3030D614">
      <w:pPr>
        <w:jc w:val="left"/>
        <w:rPr>
          <w:rFonts w:ascii="宋体" w:hAnsi="宋体" w:eastAsia="宋体" w:cs="宋体"/>
          <w:sz w:val="24"/>
          <w:szCs w:val="24"/>
          <w:u w:color="000000"/>
        </w:rPr>
      </w:pPr>
      <w:r>
        <w:rPr>
          <w:rFonts w:hint="eastAsia" w:ascii="宋体" w:hAnsi="宋体" w:eastAsia="宋体" w:cs="宋体"/>
          <w:sz w:val="24"/>
          <w:szCs w:val="24"/>
          <w:u w:color="000000"/>
        </w:rPr>
        <w:br w:type="page"/>
      </w:r>
    </w:p>
    <w:p w14:paraId="660F1350">
      <w:pPr>
        <w:tabs>
          <w:tab w:val="left" w:pos="576"/>
        </w:tabs>
        <w:spacing w:before="156" w:beforeLines="50" w:after="156" w:afterLines="50" w:line="360" w:lineRule="auto"/>
        <w:outlineLvl w:val="2"/>
        <w:rPr>
          <w:rFonts w:ascii="宋体" w:hAnsi="宋体" w:eastAsia="宋体" w:cs="宋体"/>
          <w:sz w:val="24"/>
          <w:szCs w:val="24"/>
          <w:u w:color="000000"/>
        </w:rPr>
      </w:pPr>
      <w:bookmarkStart w:id="41" w:name="_Toc11859496"/>
      <w:bookmarkStart w:id="42" w:name="_Toc8695"/>
      <w:r>
        <w:rPr>
          <w:rFonts w:hint="eastAsia" w:ascii="宋体" w:hAnsi="宋体" w:eastAsia="宋体" w:cs="宋体"/>
          <w:sz w:val="24"/>
          <w:szCs w:val="24"/>
          <w:u w:color="000000"/>
        </w:rPr>
        <w:t>6.6 技术参数响应及偏离表</w:t>
      </w:r>
      <w:bookmarkEnd w:id="41"/>
      <w:bookmarkEnd w:id="42"/>
    </w:p>
    <w:p w14:paraId="0BB0DF4C">
      <w:pPr>
        <w:spacing w:before="156" w:beforeLines="50" w:after="156" w:afterLines="50" w:line="360" w:lineRule="auto"/>
        <w:jc w:val="center"/>
        <w:rPr>
          <w:rFonts w:ascii="宋体" w:hAnsi="宋体" w:eastAsia="宋体" w:cs="宋体"/>
          <w:bCs/>
          <w:sz w:val="28"/>
          <w:szCs w:val="28"/>
          <w:u w:color="000000"/>
          <w:lang w:val="zh-TW" w:eastAsia="zh-TW"/>
        </w:rPr>
      </w:pPr>
      <w:r>
        <w:rPr>
          <w:rFonts w:hint="eastAsia" w:ascii="宋体" w:hAnsi="宋体" w:eastAsia="宋体" w:cs="宋体"/>
          <w:bCs/>
          <w:sz w:val="28"/>
          <w:szCs w:val="28"/>
          <w:u w:color="000000"/>
          <w:lang w:val="zh-TW"/>
        </w:rPr>
        <w:t>技术参数响应及偏离表</w:t>
      </w:r>
    </w:p>
    <w:p w14:paraId="2ACAE656">
      <w:pPr>
        <w:spacing w:line="360" w:lineRule="auto"/>
        <w:rPr>
          <w:rFonts w:ascii="宋体" w:hAnsi="宋体" w:eastAsia="宋体" w:cs="宋体"/>
          <w:sz w:val="24"/>
          <w:szCs w:val="24"/>
        </w:rPr>
      </w:pPr>
      <w:r>
        <w:rPr>
          <w:rFonts w:hint="eastAsia" w:ascii="宋体" w:hAnsi="宋体" w:eastAsia="宋体" w:cs="宋体"/>
          <w:sz w:val="24"/>
          <w:szCs w:val="24"/>
        </w:rPr>
        <w:t>投标人全称（公章）：</w:t>
      </w:r>
      <w:r>
        <w:rPr>
          <w:rFonts w:hint="eastAsia" w:ascii="宋体" w:hAnsi="宋体" w:eastAsia="宋体" w:cs="宋体"/>
          <w:sz w:val="24"/>
          <w:szCs w:val="24"/>
          <w:u w:val="single"/>
        </w:rPr>
        <w:t xml:space="preserve">                     </w:t>
      </w:r>
    </w:p>
    <w:p w14:paraId="14582A7C">
      <w:pPr>
        <w:spacing w:line="360" w:lineRule="auto"/>
        <w:rPr>
          <w:rFonts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lang w:eastAsia="zh-CN"/>
        </w:rPr>
        <w:t>南京邮电大学通达学院2025年5月-2027年5月电梯维保服务采购</w:t>
      </w:r>
      <w:r>
        <w:rPr>
          <w:rFonts w:hint="eastAsia" w:ascii="宋体" w:hAnsi="宋体" w:eastAsia="宋体" w:cs="宋体"/>
          <w:sz w:val="24"/>
          <w:szCs w:val="24"/>
          <w:u w:val="single"/>
        </w:rPr>
        <w:t>项目</w:t>
      </w:r>
    </w:p>
    <w:tbl>
      <w:tblPr>
        <w:tblStyle w:val="26"/>
        <w:tblW w:w="91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14:paraId="5A0883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2" w:hRule="atLeast"/>
          <w:jc w:val="center"/>
        </w:trPr>
        <w:tc>
          <w:tcPr>
            <w:tcW w:w="984" w:type="dxa"/>
            <w:tcBorders>
              <w:top w:val="single" w:color="auto" w:sz="4" w:space="0"/>
              <w:left w:val="single" w:color="auto" w:sz="4" w:space="0"/>
              <w:bottom w:val="single" w:color="auto" w:sz="4" w:space="0"/>
              <w:right w:val="single" w:color="auto" w:sz="4" w:space="0"/>
            </w:tcBorders>
            <w:vAlign w:val="center"/>
          </w:tcPr>
          <w:p w14:paraId="7CDF6BEA">
            <w:pPr>
              <w:adjustRightInd w:val="0"/>
              <w:snapToGrid w:val="0"/>
              <w:jc w:val="center"/>
              <w:rPr>
                <w:rFonts w:ascii="宋体" w:hAnsi="宋体" w:eastAsia="宋体" w:cs="宋体"/>
                <w:sz w:val="24"/>
                <w:szCs w:val="24"/>
              </w:rPr>
            </w:pPr>
            <w:r>
              <w:rPr>
                <w:rFonts w:hint="eastAsia" w:ascii="宋体" w:hAnsi="宋体" w:eastAsia="宋体" w:cs="宋体"/>
                <w:sz w:val="24"/>
                <w:szCs w:val="24"/>
              </w:rPr>
              <w:t>序号</w:t>
            </w:r>
          </w:p>
        </w:tc>
        <w:tc>
          <w:tcPr>
            <w:tcW w:w="4086" w:type="dxa"/>
            <w:tcBorders>
              <w:top w:val="single" w:color="auto" w:sz="4" w:space="0"/>
              <w:left w:val="single" w:color="auto" w:sz="4" w:space="0"/>
              <w:bottom w:val="single" w:color="auto" w:sz="4" w:space="0"/>
              <w:right w:val="single" w:color="auto" w:sz="4" w:space="0"/>
            </w:tcBorders>
            <w:vAlign w:val="center"/>
          </w:tcPr>
          <w:p w14:paraId="025C3978">
            <w:pPr>
              <w:adjustRightInd w:val="0"/>
              <w:snapToGrid w:val="0"/>
              <w:jc w:val="center"/>
              <w:rPr>
                <w:rFonts w:ascii="宋体" w:hAnsi="宋体" w:eastAsia="宋体" w:cs="宋体"/>
                <w:sz w:val="24"/>
                <w:szCs w:val="24"/>
              </w:rPr>
            </w:pPr>
            <w:r>
              <w:rPr>
                <w:rFonts w:hint="eastAsia" w:ascii="宋体" w:hAnsi="宋体" w:eastAsia="宋体" w:cs="宋体"/>
                <w:sz w:val="24"/>
                <w:szCs w:val="24"/>
              </w:rPr>
              <w:t>招标文件要求</w:t>
            </w:r>
          </w:p>
        </w:tc>
        <w:tc>
          <w:tcPr>
            <w:tcW w:w="1618" w:type="dxa"/>
            <w:tcBorders>
              <w:top w:val="single" w:color="auto" w:sz="4" w:space="0"/>
              <w:left w:val="single" w:color="auto" w:sz="4" w:space="0"/>
              <w:bottom w:val="single" w:color="auto" w:sz="4" w:space="0"/>
              <w:right w:val="single" w:color="auto" w:sz="4" w:space="0"/>
            </w:tcBorders>
            <w:vAlign w:val="center"/>
          </w:tcPr>
          <w:p w14:paraId="5CC3611E">
            <w:pPr>
              <w:adjustRightInd w:val="0"/>
              <w:snapToGrid w:val="0"/>
              <w:jc w:val="center"/>
              <w:rPr>
                <w:rFonts w:ascii="宋体" w:hAnsi="宋体" w:eastAsia="宋体" w:cs="宋体"/>
                <w:sz w:val="24"/>
                <w:szCs w:val="24"/>
              </w:rPr>
            </w:pPr>
            <w:r>
              <w:rPr>
                <w:rFonts w:hint="eastAsia" w:ascii="宋体" w:hAnsi="宋体" w:eastAsia="宋体" w:cs="宋体"/>
                <w:sz w:val="24"/>
                <w:szCs w:val="24"/>
              </w:rPr>
              <w:t>供应商响应</w:t>
            </w:r>
          </w:p>
        </w:tc>
        <w:tc>
          <w:tcPr>
            <w:tcW w:w="1308" w:type="dxa"/>
            <w:tcBorders>
              <w:top w:val="single" w:color="auto" w:sz="4" w:space="0"/>
              <w:left w:val="single" w:color="auto" w:sz="4" w:space="0"/>
              <w:bottom w:val="single" w:color="auto" w:sz="4" w:space="0"/>
              <w:right w:val="single" w:color="auto" w:sz="4" w:space="0"/>
            </w:tcBorders>
            <w:vAlign w:val="center"/>
          </w:tcPr>
          <w:p w14:paraId="009D7CDB">
            <w:pPr>
              <w:adjustRightInd w:val="0"/>
              <w:snapToGrid w:val="0"/>
              <w:jc w:val="center"/>
              <w:rPr>
                <w:rFonts w:ascii="宋体" w:hAnsi="宋体" w:eastAsia="宋体" w:cs="宋体"/>
                <w:sz w:val="24"/>
                <w:szCs w:val="24"/>
              </w:rPr>
            </w:pPr>
            <w:r>
              <w:rPr>
                <w:rFonts w:hint="eastAsia" w:ascii="宋体" w:hAnsi="宋体" w:eastAsia="宋体" w:cs="宋体"/>
                <w:sz w:val="24"/>
                <w:szCs w:val="24"/>
              </w:rPr>
              <w:t>超出、符合或偏离</w:t>
            </w:r>
          </w:p>
        </w:tc>
        <w:tc>
          <w:tcPr>
            <w:tcW w:w="1173" w:type="dxa"/>
            <w:tcBorders>
              <w:top w:val="single" w:color="auto" w:sz="4" w:space="0"/>
              <w:left w:val="single" w:color="auto" w:sz="4" w:space="0"/>
              <w:bottom w:val="single" w:color="auto" w:sz="4" w:space="0"/>
              <w:right w:val="single" w:color="auto" w:sz="4" w:space="0"/>
            </w:tcBorders>
            <w:vAlign w:val="center"/>
          </w:tcPr>
          <w:p w14:paraId="0D4C9135">
            <w:pPr>
              <w:adjustRightInd w:val="0"/>
              <w:snapToGrid w:val="0"/>
              <w:jc w:val="center"/>
              <w:rPr>
                <w:rFonts w:ascii="宋体" w:hAnsi="宋体" w:eastAsia="宋体" w:cs="宋体"/>
                <w:sz w:val="24"/>
                <w:szCs w:val="24"/>
              </w:rPr>
            </w:pPr>
            <w:r>
              <w:rPr>
                <w:rFonts w:hint="eastAsia" w:ascii="宋体" w:hAnsi="宋体" w:eastAsia="宋体" w:cs="宋体"/>
                <w:sz w:val="24"/>
                <w:szCs w:val="24"/>
              </w:rPr>
              <w:t>原因</w:t>
            </w:r>
          </w:p>
        </w:tc>
      </w:tr>
      <w:tr w14:paraId="75D5F9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14:paraId="063BBBE1">
            <w:pPr>
              <w:jc w:val="center"/>
              <w:rPr>
                <w:rFonts w:ascii="宋体" w:hAnsi="宋体" w:eastAsia="宋体" w:cs="宋体"/>
                <w:sz w:val="24"/>
                <w:szCs w:val="24"/>
              </w:rPr>
            </w:pPr>
          </w:p>
        </w:tc>
        <w:tc>
          <w:tcPr>
            <w:tcW w:w="4086" w:type="dxa"/>
            <w:tcBorders>
              <w:top w:val="single" w:color="auto" w:sz="4" w:space="0"/>
              <w:left w:val="single" w:color="auto" w:sz="4" w:space="0"/>
              <w:bottom w:val="single" w:color="auto" w:sz="4" w:space="0"/>
              <w:right w:val="single" w:color="auto" w:sz="4" w:space="0"/>
            </w:tcBorders>
          </w:tcPr>
          <w:p w14:paraId="06AF66D1">
            <w:pPr>
              <w:jc w:val="center"/>
              <w:rPr>
                <w:rFonts w:ascii="宋体" w:hAnsi="宋体" w:eastAsia="宋体" w:cs="宋体"/>
                <w:sz w:val="24"/>
                <w:szCs w:val="24"/>
              </w:rPr>
            </w:pPr>
          </w:p>
        </w:tc>
        <w:tc>
          <w:tcPr>
            <w:tcW w:w="1618" w:type="dxa"/>
            <w:tcBorders>
              <w:top w:val="single" w:color="auto" w:sz="4" w:space="0"/>
              <w:left w:val="single" w:color="auto" w:sz="4" w:space="0"/>
              <w:bottom w:val="single" w:color="auto" w:sz="4" w:space="0"/>
              <w:right w:val="single" w:color="auto" w:sz="4" w:space="0"/>
            </w:tcBorders>
          </w:tcPr>
          <w:p w14:paraId="6127D25C">
            <w:pPr>
              <w:jc w:val="center"/>
              <w:rPr>
                <w:rFonts w:ascii="宋体" w:hAnsi="宋体" w:eastAsia="宋体" w:cs="宋体"/>
                <w:sz w:val="24"/>
                <w:szCs w:val="24"/>
              </w:rPr>
            </w:pPr>
          </w:p>
        </w:tc>
        <w:tc>
          <w:tcPr>
            <w:tcW w:w="1308" w:type="dxa"/>
            <w:tcBorders>
              <w:top w:val="single" w:color="auto" w:sz="4" w:space="0"/>
              <w:left w:val="single" w:color="auto" w:sz="4" w:space="0"/>
              <w:bottom w:val="single" w:color="auto" w:sz="4" w:space="0"/>
              <w:right w:val="single" w:color="auto" w:sz="4" w:space="0"/>
            </w:tcBorders>
          </w:tcPr>
          <w:p w14:paraId="219B6CFF">
            <w:pPr>
              <w:jc w:val="center"/>
              <w:rPr>
                <w:rFonts w:ascii="宋体" w:hAnsi="宋体" w:eastAsia="宋体" w:cs="宋体"/>
                <w:sz w:val="24"/>
                <w:szCs w:val="24"/>
              </w:rPr>
            </w:pPr>
          </w:p>
        </w:tc>
        <w:tc>
          <w:tcPr>
            <w:tcW w:w="1173" w:type="dxa"/>
            <w:tcBorders>
              <w:top w:val="single" w:color="auto" w:sz="4" w:space="0"/>
              <w:left w:val="single" w:color="auto" w:sz="4" w:space="0"/>
              <w:bottom w:val="single" w:color="auto" w:sz="4" w:space="0"/>
              <w:right w:val="single" w:color="auto" w:sz="4" w:space="0"/>
            </w:tcBorders>
          </w:tcPr>
          <w:p w14:paraId="29B5409F">
            <w:pPr>
              <w:jc w:val="center"/>
              <w:rPr>
                <w:rFonts w:ascii="宋体" w:hAnsi="宋体" w:eastAsia="宋体" w:cs="宋体"/>
                <w:sz w:val="24"/>
                <w:szCs w:val="24"/>
              </w:rPr>
            </w:pPr>
          </w:p>
        </w:tc>
      </w:tr>
      <w:tr w14:paraId="0D8766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14:paraId="0CAED49F">
            <w:pPr>
              <w:jc w:val="center"/>
              <w:rPr>
                <w:rFonts w:ascii="宋体" w:hAnsi="宋体" w:eastAsia="宋体" w:cs="宋体"/>
                <w:sz w:val="24"/>
                <w:szCs w:val="24"/>
              </w:rPr>
            </w:pPr>
          </w:p>
        </w:tc>
        <w:tc>
          <w:tcPr>
            <w:tcW w:w="4086" w:type="dxa"/>
            <w:tcBorders>
              <w:top w:val="single" w:color="auto" w:sz="4" w:space="0"/>
              <w:left w:val="single" w:color="auto" w:sz="4" w:space="0"/>
              <w:bottom w:val="single" w:color="auto" w:sz="4" w:space="0"/>
              <w:right w:val="single" w:color="auto" w:sz="4" w:space="0"/>
            </w:tcBorders>
          </w:tcPr>
          <w:p w14:paraId="63DB581D">
            <w:pPr>
              <w:jc w:val="center"/>
              <w:rPr>
                <w:rFonts w:ascii="宋体" w:hAnsi="宋体" w:eastAsia="宋体" w:cs="宋体"/>
                <w:sz w:val="24"/>
                <w:szCs w:val="24"/>
              </w:rPr>
            </w:pPr>
          </w:p>
        </w:tc>
        <w:tc>
          <w:tcPr>
            <w:tcW w:w="1618" w:type="dxa"/>
            <w:tcBorders>
              <w:top w:val="single" w:color="auto" w:sz="4" w:space="0"/>
              <w:left w:val="single" w:color="auto" w:sz="4" w:space="0"/>
              <w:bottom w:val="single" w:color="auto" w:sz="4" w:space="0"/>
              <w:right w:val="single" w:color="auto" w:sz="4" w:space="0"/>
            </w:tcBorders>
          </w:tcPr>
          <w:p w14:paraId="269A4530">
            <w:pPr>
              <w:jc w:val="center"/>
              <w:rPr>
                <w:rFonts w:ascii="宋体" w:hAnsi="宋体" w:eastAsia="宋体" w:cs="宋体"/>
                <w:sz w:val="24"/>
                <w:szCs w:val="24"/>
              </w:rPr>
            </w:pPr>
          </w:p>
        </w:tc>
        <w:tc>
          <w:tcPr>
            <w:tcW w:w="1308" w:type="dxa"/>
            <w:tcBorders>
              <w:top w:val="single" w:color="auto" w:sz="4" w:space="0"/>
              <w:left w:val="single" w:color="auto" w:sz="4" w:space="0"/>
              <w:bottom w:val="single" w:color="auto" w:sz="4" w:space="0"/>
              <w:right w:val="single" w:color="auto" w:sz="4" w:space="0"/>
            </w:tcBorders>
          </w:tcPr>
          <w:p w14:paraId="6BD566E8">
            <w:pPr>
              <w:jc w:val="center"/>
              <w:rPr>
                <w:rFonts w:ascii="宋体" w:hAnsi="宋体" w:eastAsia="宋体" w:cs="宋体"/>
                <w:sz w:val="24"/>
                <w:szCs w:val="24"/>
              </w:rPr>
            </w:pPr>
          </w:p>
        </w:tc>
        <w:tc>
          <w:tcPr>
            <w:tcW w:w="1173" w:type="dxa"/>
            <w:tcBorders>
              <w:top w:val="single" w:color="auto" w:sz="4" w:space="0"/>
              <w:left w:val="single" w:color="auto" w:sz="4" w:space="0"/>
              <w:bottom w:val="single" w:color="auto" w:sz="4" w:space="0"/>
              <w:right w:val="single" w:color="auto" w:sz="4" w:space="0"/>
            </w:tcBorders>
          </w:tcPr>
          <w:p w14:paraId="33A67964">
            <w:pPr>
              <w:jc w:val="center"/>
              <w:rPr>
                <w:rFonts w:ascii="宋体" w:hAnsi="宋体" w:eastAsia="宋体" w:cs="宋体"/>
                <w:sz w:val="24"/>
                <w:szCs w:val="24"/>
              </w:rPr>
            </w:pPr>
          </w:p>
        </w:tc>
      </w:tr>
      <w:tr w14:paraId="53D44B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14:paraId="42C91981">
            <w:pPr>
              <w:jc w:val="center"/>
              <w:rPr>
                <w:rFonts w:ascii="宋体" w:hAnsi="宋体" w:eastAsia="宋体" w:cs="宋体"/>
                <w:sz w:val="24"/>
                <w:szCs w:val="24"/>
              </w:rPr>
            </w:pPr>
          </w:p>
        </w:tc>
        <w:tc>
          <w:tcPr>
            <w:tcW w:w="4086" w:type="dxa"/>
            <w:tcBorders>
              <w:top w:val="single" w:color="auto" w:sz="4" w:space="0"/>
              <w:left w:val="single" w:color="auto" w:sz="4" w:space="0"/>
              <w:bottom w:val="single" w:color="auto" w:sz="4" w:space="0"/>
              <w:right w:val="single" w:color="auto" w:sz="4" w:space="0"/>
            </w:tcBorders>
          </w:tcPr>
          <w:p w14:paraId="7E1D3A26">
            <w:pPr>
              <w:rPr>
                <w:rFonts w:ascii="宋体" w:hAnsi="宋体" w:eastAsia="宋体" w:cs="宋体"/>
                <w:sz w:val="24"/>
                <w:szCs w:val="24"/>
              </w:rPr>
            </w:pPr>
          </w:p>
        </w:tc>
        <w:tc>
          <w:tcPr>
            <w:tcW w:w="1618" w:type="dxa"/>
            <w:tcBorders>
              <w:top w:val="single" w:color="auto" w:sz="4" w:space="0"/>
              <w:left w:val="single" w:color="auto" w:sz="4" w:space="0"/>
              <w:bottom w:val="single" w:color="auto" w:sz="4" w:space="0"/>
              <w:right w:val="single" w:color="auto" w:sz="4" w:space="0"/>
            </w:tcBorders>
          </w:tcPr>
          <w:p w14:paraId="49ACCFB5">
            <w:pPr>
              <w:jc w:val="center"/>
              <w:rPr>
                <w:rFonts w:ascii="宋体" w:hAnsi="宋体" w:eastAsia="宋体" w:cs="宋体"/>
                <w:sz w:val="24"/>
                <w:szCs w:val="24"/>
              </w:rPr>
            </w:pPr>
          </w:p>
        </w:tc>
        <w:tc>
          <w:tcPr>
            <w:tcW w:w="1308" w:type="dxa"/>
            <w:tcBorders>
              <w:top w:val="single" w:color="auto" w:sz="4" w:space="0"/>
              <w:left w:val="single" w:color="auto" w:sz="4" w:space="0"/>
              <w:bottom w:val="single" w:color="auto" w:sz="4" w:space="0"/>
              <w:right w:val="single" w:color="auto" w:sz="4" w:space="0"/>
            </w:tcBorders>
          </w:tcPr>
          <w:p w14:paraId="17F8ED02">
            <w:pPr>
              <w:jc w:val="center"/>
              <w:rPr>
                <w:rFonts w:ascii="宋体" w:hAnsi="宋体" w:eastAsia="宋体" w:cs="宋体"/>
                <w:sz w:val="24"/>
                <w:szCs w:val="24"/>
              </w:rPr>
            </w:pPr>
          </w:p>
        </w:tc>
        <w:tc>
          <w:tcPr>
            <w:tcW w:w="1173" w:type="dxa"/>
            <w:tcBorders>
              <w:top w:val="single" w:color="auto" w:sz="4" w:space="0"/>
              <w:left w:val="single" w:color="auto" w:sz="4" w:space="0"/>
              <w:bottom w:val="single" w:color="auto" w:sz="4" w:space="0"/>
              <w:right w:val="single" w:color="auto" w:sz="4" w:space="0"/>
            </w:tcBorders>
          </w:tcPr>
          <w:p w14:paraId="6422CFF3">
            <w:pPr>
              <w:jc w:val="center"/>
              <w:rPr>
                <w:rFonts w:ascii="宋体" w:hAnsi="宋体" w:eastAsia="宋体" w:cs="宋体"/>
                <w:sz w:val="24"/>
                <w:szCs w:val="24"/>
              </w:rPr>
            </w:pPr>
          </w:p>
        </w:tc>
      </w:tr>
      <w:tr w14:paraId="678963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14:paraId="3776804F">
            <w:pPr>
              <w:jc w:val="center"/>
              <w:rPr>
                <w:rFonts w:ascii="宋体" w:hAnsi="宋体" w:eastAsia="宋体" w:cs="宋体"/>
                <w:sz w:val="24"/>
                <w:szCs w:val="24"/>
              </w:rPr>
            </w:pPr>
          </w:p>
        </w:tc>
        <w:tc>
          <w:tcPr>
            <w:tcW w:w="4086" w:type="dxa"/>
            <w:tcBorders>
              <w:top w:val="single" w:color="auto" w:sz="4" w:space="0"/>
              <w:left w:val="single" w:color="auto" w:sz="4" w:space="0"/>
              <w:bottom w:val="single" w:color="auto" w:sz="4" w:space="0"/>
              <w:right w:val="single" w:color="auto" w:sz="4" w:space="0"/>
            </w:tcBorders>
          </w:tcPr>
          <w:p w14:paraId="0AA8DF4B">
            <w:pPr>
              <w:rPr>
                <w:rFonts w:ascii="宋体" w:hAnsi="宋体" w:eastAsia="宋体" w:cs="宋体"/>
                <w:sz w:val="24"/>
                <w:szCs w:val="24"/>
              </w:rPr>
            </w:pPr>
          </w:p>
        </w:tc>
        <w:tc>
          <w:tcPr>
            <w:tcW w:w="1618" w:type="dxa"/>
            <w:tcBorders>
              <w:top w:val="single" w:color="auto" w:sz="4" w:space="0"/>
              <w:left w:val="single" w:color="auto" w:sz="4" w:space="0"/>
              <w:bottom w:val="single" w:color="auto" w:sz="4" w:space="0"/>
              <w:right w:val="single" w:color="auto" w:sz="4" w:space="0"/>
            </w:tcBorders>
          </w:tcPr>
          <w:p w14:paraId="54C1C788">
            <w:pPr>
              <w:jc w:val="center"/>
              <w:rPr>
                <w:rFonts w:ascii="宋体" w:hAnsi="宋体" w:eastAsia="宋体" w:cs="宋体"/>
                <w:sz w:val="24"/>
                <w:szCs w:val="24"/>
              </w:rPr>
            </w:pPr>
          </w:p>
        </w:tc>
        <w:tc>
          <w:tcPr>
            <w:tcW w:w="1308" w:type="dxa"/>
            <w:tcBorders>
              <w:top w:val="single" w:color="auto" w:sz="4" w:space="0"/>
              <w:left w:val="single" w:color="auto" w:sz="4" w:space="0"/>
              <w:bottom w:val="single" w:color="auto" w:sz="4" w:space="0"/>
              <w:right w:val="single" w:color="auto" w:sz="4" w:space="0"/>
            </w:tcBorders>
          </w:tcPr>
          <w:p w14:paraId="6C7817D2">
            <w:pPr>
              <w:jc w:val="center"/>
              <w:rPr>
                <w:rFonts w:ascii="宋体" w:hAnsi="宋体" w:eastAsia="宋体" w:cs="宋体"/>
                <w:sz w:val="24"/>
                <w:szCs w:val="24"/>
              </w:rPr>
            </w:pPr>
          </w:p>
        </w:tc>
        <w:tc>
          <w:tcPr>
            <w:tcW w:w="1173" w:type="dxa"/>
            <w:tcBorders>
              <w:top w:val="single" w:color="auto" w:sz="4" w:space="0"/>
              <w:left w:val="single" w:color="auto" w:sz="4" w:space="0"/>
              <w:bottom w:val="single" w:color="auto" w:sz="4" w:space="0"/>
              <w:right w:val="single" w:color="auto" w:sz="4" w:space="0"/>
            </w:tcBorders>
          </w:tcPr>
          <w:p w14:paraId="0E7A1EED">
            <w:pPr>
              <w:jc w:val="center"/>
              <w:rPr>
                <w:rFonts w:ascii="宋体" w:hAnsi="宋体" w:eastAsia="宋体" w:cs="宋体"/>
                <w:sz w:val="24"/>
                <w:szCs w:val="24"/>
              </w:rPr>
            </w:pPr>
          </w:p>
        </w:tc>
      </w:tr>
      <w:tr w14:paraId="2AB215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14:paraId="0A13E7BD">
            <w:pPr>
              <w:jc w:val="center"/>
              <w:rPr>
                <w:rFonts w:ascii="宋体" w:hAnsi="宋体" w:eastAsia="宋体" w:cs="宋体"/>
                <w:sz w:val="24"/>
                <w:szCs w:val="24"/>
              </w:rPr>
            </w:pPr>
          </w:p>
        </w:tc>
        <w:tc>
          <w:tcPr>
            <w:tcW w:w="4086" w:type="dxa"/>
            <w:tcBorders>
              <w:top w:val="single" w:color="auto" w:sz="4" w:space="0"/>
              <w:left w:val="single" w:color="auto" w:sz="4" w:space="0"/>
              <w:bottom w:val="single" w:color="auto" w:sz="4" w:space="0"/>
              <w:right w:val="single" w:color="auto" w:sz="4" w:space="0"/>
            </w:tcBorders>
          </w:tcPr>
          <w:p w14:paraId="4E2AA349">
            <w:pPr>
              <w:rPr>
                <w:rFonts w:ascii="宋体" w:hAnsi="宋体" w:eastAsia="宋体" w:cs="宋体"/>
                <w:sz w:val="24"/>
                <w:szCs w:val="24"/>
              </w:rPr>
            </w:pPr>
          </w:p>
        </w:tc>
        <w:tc>
          <w:tcPr>
            <w:tcW w:w="1618" w:type="dxa"/>
            <w:tcBorders>
              <w:top w:val="single" w:color="auto" w:sz="4" w:space="0"/>
              <w:left w:val="single" w:color="auto" w:sz="4" w:space="0"/>
              <w:bottom w:val="single" w:color="auto" w:sz="4" w:space="0"/>
              <w:right w:val="single" w:color="auto" w:sz="4" w:space="0"/>
            </w:tcBorders>
          </w:tcPr>
          <w:p w14:paraId="7251B2B2">
            <w:pPr>
              <w:jc w:val="center"/>
              <w:rPr>
                <w:rFonts w:ascii="宋体" w:hAnsi="宋体" w:eastAsia="宋体" w:cs="宋体"/>
                <w:sz w:val="24"/>
                <w:szCs w:val="24"/>
              </w:rPr>
            </w:pPr>
          </w:p>
        </w:tc>
        <w:tc>
          <w:tcPr>
            <w:tcW w:w="1308" w:type="dxa"/>
            <w:tcBorders>
              <w:top w:val="single" w:color="auto" w:sz="4" w:space="0"/>
              <w:left w:val="single" w:color="auto" w:sz="4" w:space="0"/>
              <w:bottom w:val="single" w:color="auto" w:sz="4" w:space="0"/>
              <w:right w:val="single" w:color="auto" w:sz="4" w:space="0"/>
            </w:tcBorders>
          </w:tcPr>
          <w:p w14:paraId="698565F2">
            <w:pPr>
              <w:jc w:val="center"/>
              <w:rPr>
                <w:rFonts w:ascii="宋体" w:hAnsi="宋体" w:eastAsia="宋体" w:cs="宋体"/>
                <w:sz w:val="24"/>
                <w:szCs w:val="24"/>
              </w:rPr>
            </w:pPr>
          </w:p>
        </w:tc>
        <w:tc>
          <w:tcPr>
            <w:tcW w:w="1173" w:type="dxa"/>
            <w:tcBorders>
              <w:top w:val="single" w:color="auto" w:sz="4" w:space="0"/>
              <w:left w:val="single" w:color="auto" w:sz="4" w:space="0"/>
              <w:bottom w:val="single" w:color="auto" w:sz="4" w:space="0"/>
              <w:right w:val="single" w:color="auto" w:sz="4" w:space="0"/>
            </w:tcBorders>
          </w:tcPr>
          <w:p w14:paraId="7D16ABD8">
            <w:pPr>
              <w:jc w:val="center"/>
              <w:rPr>
                <w:rFonts w:ascii="宋体" w:hAnsi="宋体" w:eastAsia="宋体" w:cs="宋体"/>
                <w:sz w:val="24"/>
                <w:szCs w:val="24"/>
              </w:rPr>
            </w:pPr>
          </w:p>
        </w:tc>
      </w:tr>
      <w:tr w14:paraId="27D15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14:paraId="227ED238">
            <w:pPr>
              <w:jc w:val="center"/>
              <w:rPr>
                <w:rFonts w:ascii="宋体" w:hAnsi="宋体" w:eastAsia="宋体" w:cs="宋体"/>
                <w:sz w:val="24"/>
                <w:szCs w:val="24"/>
              </w:rPr>
            </w:pPr>
          </w:p>
        </w:tc>
        <w:tc>
          <w:tcPr>
            <w:tcW w:w="4086" w:type="dxa"/>
            <w:tcBorders>
              <w:top w:val="single" w:color="auto" w:sz="4" w:space="0"/>
              <w:left w:val="single" w:color="auto" w:sz="4" w:space="0"/>
              <w:bottom w:val="single" w:color="auto" w:sz="4" w:space="0"/>
              <w:right w:val="single" w:color="auto" w:sz="4" w:space="0"/>
            </w:tcBorders>
          </w:tcPr>
          <w:p w14:paraId="4A6FEE38">
            <w:pPr>
              <w:rPr>
                <w:rFonts w:ascii="宋体" w:hAnsi="宋体" w:eastAsia="宋体" w:cs="宋体"/>
                <w:sz w:val="24"/>
                <w:szCs w:val="24"/>
              </w:rPr>
            </w:pPr>
          </w:p>
        </w:tc>
        <w:tc>
          <w:tcPr>
            <w:tcW w:w="1618" w:type="dxa"/>
            <w:tcBorders>
              <w:top w:val="single" w:color="auto" w:sz="4" w:space="0"/>
              <w:left w:val="single" w:color="auto" w:sz="4" w:space="0"/>
              <w:bottom w:val="single" w:color="auto" w:sz="4" w:space="0"/>
              <w:right w:val="single" w:color="auto" w:sz="4" w:space="0"/>
            </w:tcBorders>
          </w:tcPr>
          <w:p w14:paraId="5D0F0A82">
            <w:pPr>
              <w:jc w:val="center"/>
              <w:rPr>
                <w:rFonts w:ascii="宋体" w:hAnsi="宋体" w:eastAsia="宋体" w:cs="宋体"/>
                <w:sz w:val="24"/>
                <w:szCs w:val="24"/>
              </w:rPr>
            </w:pPr>
          </w:p>
        </w:tc>
        <w:tc>
          <w:tcPr>
            <w:tcW w:w="1308" w:type="dxa"/>
            <w:tcBorders>
              <w:top w:val="single" w:color="auto" w:sz="4" w:space="0"/>
              <w:left w:val="single" w:color="auto" w:sz="4" w:space="0"/>
              <w:bottom w:val="single" w:color="auto" w:sz="4" w:space="0"/>
              <w:right w:val="single" w:color="auto" w:sz="4" w:space="0"/>
            </w:tcBorders>
          </w:tcPr>
          <w:p w14:paraId="1FFC74BD">
            <w:pPr>
              <w:jc w:val="center"/>
              <w:rPr>
                <w:rFonts w:ascii="宋体" w:hAnsi="宋体" w:eastAsia="宋体" w:cs="宋体"/>
                <w:sz w:val="24"/>
                <w:szCs w:val="24"/>
              </w:rPr>
            </w:pPr>
          </w:p>
        </w:tc>
        <w:tc>
          <w:tcPr>
            <w:tcW w:w="1173" w:type="dxa"/>
            <w:tcBorders>
              <w:top w:val="single" w:color="auto" w:sz="4" w:space="0"/>
              <w:left w:val="single" w:color="auto" w:sz="4" w:space="0"/>
              <w:bottom w:val="single" w:color="auto" w:sz="4" w:space="0"/>
              <w:right w:val="single" w:color="auto" w:sz="4" w:space="0"/>
            </w:tcBorders>
          </w:tcPr>
          <w:p w14:paraId="7F0EFFA1">
            <w:pPr>
              <w:jc w:val="center"/>
              <w:rPr>
                <w:rFonts w:ascii="宋体" w:hAnsi="宋体" w:eastAsia="宋体" w:cs="宋体"/>
                <w:sz w:val="24"/>
                <w:szCs w:val="24"/>
              </w:rPr>
            </w:pPr>
          </w:p>
        </w:tc>
      </w:tr>
      <w:tr w14:paraId="48DEF7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14:paraId="317FF180">
            <w:pPr>
              <w:jc w:val="center"/>
              <w:rPr>
                <w:rFonts w:ascii="宋体" w:hAnsi="宋体" w:eastAsia="宋体" w:cs="宋体"/>
                <w:sz w:val="24"/>
                <w:szCs w:val="24"/>
              </w:rPr>
            </w:pPr>
          </w:p>
        </w:tc>
        <w:tc>
          <w:tcPr>
            <w:tcW w:w="4086" w:type="dxa"/>
            <w:tcBorders>
              <w:top w:val="single" w:color="auto" w:sz="4" w:space="0"/>
              <w:left w:val="single" w:color="auto" w:sz="4" w:space="0"/>
              <w:bottom w:val="single" w:color="auto" w:sz="4" w:space="0"/>
              <w:right w:val="single" w:color="auto" w:sz="4" w:space="0"/>
            </w:tcBorders>
          </w:tcPr>
          <w:p w14:paraId="7D734170">
            <w:pPr>
              <w:rPr>
                <w:rFonts w:ascii="宋体" w:hAnsi="宋体" w:eastAsia="宋体" w:cs="宋体"/>
                <w:sz w:val="24"/>
                <w:szCs w:val="24"/>
              </w:rPr>
            </w:pPr>
          </w:p>
        </w:tc>
        <w:tc>
          <w:tcPr>
            <w:tcW w:w="1618" w:type="dxa"/>
            <w:tcBorders>
              <w:top w:val="single" w:color="auto" w:sz="4" w:space="0"/>
              <w:left w:val="single" w:color="auto" w:sz="4" w:space="0"/>
              <w:bottom w:val="single" w:color="auto" w:sz="4" w:space="0"/>
              <w:right w:val="single" w:color="auto" w:sz="4" w:space="0"/>
            </w:tcBorders>
          </w:tcPr>
          <w:p w14:paraId="4F084BD2">
            <w:pPr>
              <w:jc w:val="center"/>
              <w:rPr>
                <w:rFonts w:ascii="宋体" w:hAnsi="宋体" w:eastAsia="宋体" w:cs="宋体"/>
                <w:sz w:val="24"/>
                <w:szCs w:val="24"/>
              </w:rPr>
            </w:pPr>
          </w:p>
        </w:tc>
        <w:tc>
          <w:tcPr>
            <w:tcW w:w="1308" w:type="dxa"/>
            <w:tcBorders>
              <w:top w:val="single" w:color="auto" w:sz="4" w:space="0"/>
              <w:left w:val="single" w:color="auto" w:sz="4" w:space="0"/>
              <w:bottom w:val="single" w:color="auto" w:sz="4" w:space="0"/>
              <w:right w:val="single" w:color="auto" w:sz="4" w:space="0"/>
            </w:tcBorders>
          </w:tcPr>
          <w:p w14:paraId="38B2F31F">
            <w:pPr>
              <w:jc w:val="center"/>
              <w:rPr>
                <w:rFonts w:ascii="宋体" w:hAnsi="宋体" w:eastAsia="宋体" w:cs="宋体"/>
                <w:sz w:val="24"/>
                <w:szCs w:val="24"/>
              </w:rPr>
            </w:pPr>
          </w:p>
        </w:tc>
        <w:tc>
          <w:tcPr>
            <w:tcW w:w="1173" w:type="dxa"/>
            <w:tcBorders>
              <w:top w:val="single" w:color="auto" w:sz="4" w:space="0"/>
              <w:left w:val="single" w:color="auto" w:sz="4" w:space="0"/>
              <w:bottom w:val="single" w:color="auto" w:sz="4" w:space="0"/>
              <w:right w:val="single" w:color="auto" w:sz="4" w:space="0"/>
            </w:tcBorders>
          </w:tcPr>
          <w:p w14:paraId="4A1BF2A4">
            <w:pPr>
              <w:jc w:val="center"/>
              <w:rPr>
                <w:rFonts w:ascii="宋体" w:hAnsi="宋体" w:eastAsia="宋体" w:cs="宋体"/>
                <w:sz w:val="24"/>
                <w:szCs w:val="24"/>
              </w:rPr>
            </w:pPr>
          </w:p>
        </w:tc>
      </w:tr>
      <w:tr w14:paraId="111CDA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14:paraId="2AB704F8">
            <w:pPr>
              <w:jc w:val="center"/>
              <w:rPr>
                <w:rFonts w:ascii="宋体" w:hAnsi="宋体" w:eastAsia="宋体" w:cs="宋体"/>
                <w:sz w:val="24"/>
                <w:szCs w:val="24"/>
              </w:rPr>
            </w:pPr>
          </w:p>
        </w:tc>
        <w:tc>
          <w:tcPr>
            <w:tcW w:w="4086" w:type="dxa"/>
            <w:tcBorders>
              <w:top w:val="single" w:color="auto" w:sz="4" w:space="0"/>
              <w:left w:val="single" w:color="auto" w:sz="4" w:space="0"/>
              <w:bottom w:val="single" w:color="auto" w:sz="4" w:space="0"/>
              <w:right w:val="single" w:color="auto" w:sz="4" w:space="0"/>
            </w:tcBorders>
          </w:tcPr>
          <w:p w14:paraId="57190F3F">
            <w:pPr>
              <w:rPr>
                <w:rFonts w:ascii="宋体" w:hAnsi="宋体" w:eastAsia="宋体" w:cs="宋体"/>
                <w:sz w:val="24"/>
                <w:szCs w:val="24"/>
              </w:rPr>
            </w:pPr>
          </w:p>
        </w:tc>
        <w:tc>
          <w:tcPr>
            <w:tcW w:w="1618" w:type="dxa"/>
            <w:tcBorders>
              <w:top w:val="single" w:color="auto" w:sz="4" w:space="0"/>
              <w:left w:val="single" w:color="auto" w:sz="4" w:space="0"/>
              <w:bottom w:val="single" w:color="auto" w:sz="4" w:space="0"/>
              <w:right w:val="single" w:color="auto" w:sz="4" w:space="0"/>
            </w:tcBorders>
          </w:tcPr>
          <w:p w14:paraId="7C91F3CA">
            <w:pPr>
              <w:jc w:val="center"/>
              <w:rPr>
                <w:rFonts w:ascii="宋体" w:hAnsi="宋体" w:eastAsia="宋体" w:cs="宋体"/>
                <w:sz w:val="24"/>
                <w:szCs w:val="24"/>
              </w:rPr>
            </w:pPr>
          </w:p>
        </w:tc>
        <w:tc>
          <w:tcPr>
            <w:tcW w:w="1308" w:type="dxa"/>
            <w:tcBorders>
              <w:top w:val="single" w:color="auto" w:sz="4" w:space="0"/>
              <w:left w:val="single" w:color="auto" w:sz="4" w:space="0"/>
              <w:bottom w:val="single" w:color="auto" w:sz="4" w:space="0"/>
              <w:right w:val="single" w:color="auto" w:sz="4" w:space="0"/>
            </w:tcBorders>
          </w:tcPr>
          <w:p w14:paraId="11507393">
            <w:pPr>
              <w:jc w:val="center"/>
              <w:rPr>
                <w:rFonts w:ascii="宋体" w:hAnsi="宋体" w:eastAsia="宋体" w:cs="宋体"/>
                <w:sz w:val="24"/>
                <w:szCs w:val="24"/>
              </w:rPr>
            </w:pPr>
          </w:p>
        </w:tc>
        <w:tc>
          <w:tcPr>
            <w:tcW w:w="1173" w:type="dxa"/>
            <w:tcBorders>
              <w:top w:val="single" w:color="auto" w:sz="4" w:space="0"/>
              <w:left w:val="single" w:color="auto" w:sz="4" w:space="0"/>
              <w:bottom w:val="single" w:color="auto" w:sz="4" w:space="0"/>
              <w:right w:val="single" w:color="auto" w:sz="4" w:space="0"/>
            </w:tcBorders>
          </w:tcPr>
          <w:p w14:paraId="1C42C46F">
            <w:pPr>
              <w:jc w:val="center"/>
              <w:rPr>
                <w:rFonts w:ascii="宋体" w:hAnsi="宋体" w:eastAsia="宋体" w:cs="宋体"/>
                <w:sz w:val="24"/>
                <w:szCs w:val="24"/>
              </w:rPr>
            </w:pPr>
          </w:p>
        </w:tc>
      </w:tr>
      <w:tr w14:paraId="2EB21D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14:paraId="39D7E057">
            <w:pPr>
              <w:jc w:val="center"/>
              <w:rPr>
                <w:rFonts w:ascii="宋体" w:hAnsi="宋体" w:eastAsia="宋体" w:cs="宋体"/>
                <w:sz w:val="24"/>
                <w:szCs w:val="24"/>
              </w:rPr>
            </w:pPr>
          </w:p>
        </w:tc>
        <w:tc>
          <w:tcPr>
            <w:tcW w:w="4086" w:type="dxa"/>
            <w:tcBorders>
              <w:top w:val="single" w:color="auto" w:sz="4" w:space="0"/>
              <w:left w:val="single" w:color="auto" w:sz="4" w:space="0"/>
              <w:bottom w:val="single" w:color="auto" w:sz="4" w:space="0"/>
              <w:right w:val="single" w:color="auto" w:sz="4" w:space="0"/>
            </w:tcBorders>
          </w:tcPr>
          <w:p w14:paraId="379B2850">
            <w:pPr>
              <w:rPr>
                <w:rFonts w:ascii="宋体" w:hAnsi="宋体" w:eastAsia="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14:paraId="740F5553">
            <w:pPr>
              <w:jc w:val="center"/>
              <w:rPr>
                <w:rFonts w:ascii="宋体" w:hAnsi="宋体" w:eastAsia="宋体" w:cs="宋体"/>
                <w:sz w:val="24"/>
                <w:szCs w:val="24"/>
              </w:rPr>
            </w:pPr>
          </w:p>
        </w:tc>
        <w:tc>
          <w:tcPr>
            <w:tcW w:w="1308" w:type="dxa"/>
            <w:tcBorders>
              <w:top w:val="single" w:color="auto" w:sz="4" w:space="0"/>
              <w:left w:val="single" w:color="auto" w:sz="4" w:space="0"/>
              <w:bottom w:val="single" w:color="auto" w:sz="4" w:space="0"/>
              <w:right w:val="single" w:color="auto" w:sz="4" w:space="0"/>
            </w:tcBorders>
          </w:tcPr>
          <w:p w14:paraId="21830CC7">
            <w:pPr>
              <w:jc w:val="center"/>
              <w:rPr>
                <w:rFonts w:ascii="宋体" w:hAnsi="宋体" w:eastAsia="宋体" w:cs="宋体"/>
                <w:sz w:val="24"/>
                <w:szCs w:val="24"/>
              </w:rPr>
            </w:pPr>
          </w:p>
        </w:tc>
        <w:tc>
          <w:tcPr>
            <w:tcW w:w="1173" w:type="dxa"/>
            <w:tcBorders>
              <w:top w:val="single" w:color="auto" w:sz="4" w:space="0"/>
              <w:left w:val="single" w:color="auto" w:sz="4" w:space="0"/>
              <w:bottom w:val="single" w:color="auto" w:sz="4" w:space="0"/>
              <w:right w:val="single" w:color="auto" w:sz="4" w:space="0"/>
            </w:tcBorders>
          </w:tcPr>
          <w:p w14:paraId="42D160B9">
            <w:pPr>
              <w:jc w:val="center"/>
              <w:rPr>
                <w:rFonts w:ascii="宋体" w:hAnsi="宋体" w:eastAsia="宋体" w:cs="宋体"/>
                <w:sz w:val="24"/>
                <w:szCs w:val="24"/>
              </w:rPr>
            </w:pPr>
          </w:p>
        </w:tc>
      </w:tr>
      <w:tr w14:paraId="66145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14:paraId="7BFC9AAF">
            <w:pPr>
              <w:jc w:val="center"/>
              <w:rPr>
                <w:rFonts w:ascii="宋体" w:hAnsi="宋体" w:eastAsia="宋体" w:cs="宋体"/>
                <w:sz w:val="24"/>
                <w:szCs w:val="24"/>
              </w:rPr>
            </w:pPr>
          </w:p>
        </w:tc>
        <w:tc>
          <w:tcPr>
            <w:tcW w:w="4086" w:type="dxa"/>
            <w:tcBorders>
              <w:top w:val="single" w:color="auto" w:sz="4" w:space="0"/>
              <w:left w:val="single" w:color="auto" w:sz="4" w:space="0"/>
              <w:bottom w:val="single" w:color="auto" w:sz="4" w:space="0"/>
              <w:right w:val="single" w:color="auto" w:sz="4" w:space="0"/>
            </w:tcBorders>
          </w:tcPr>
          <w:p w14:paraId="30A5058F">
            <w:pPr>
              <w:rPr>
                <w:rFonts w:ascii="宋体" w:hAnsi="宋体" w:eastAsia="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14:paraId="289E7695">
            <w:pPr>
              <w:rPr>
                <w:rFonts w:ascii="宋体" w:hAnsi="宋体" w:eastAsia="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tcPr>
          <w:p w14:paraId="70772D71">
            <w:pPr>
              <w:jc w:val="center"/>
              <w:rPr>
                <w:rFonts w:ascii="宋体" w:hAnsi="宋体" w:eastAsia="宋体" w:cs="宋体"/>
                <w:sz w:val="24"/>
                <w:szCs w:val="24"/>
              </w:rPr>
            </w:pPr>
          </w:p>
        </w:tc>
        <w:tc>
          <w:tcPr>
            <w:tcW w:w="1173" w:type="dxa"/>
            <w:tcBorders>
              <w:top w:val="single" w:color="auto" w:sz="4" w:space="0"/>
              <w:left w:val="single" w:color="auto" w:sz="4" w:space="0"/>
              <w:bottom w:val="single" w:color="auto" w:sz="4" w:space="0"/>
              <w:right w:val="single" w:color="auto" w:sz="4" w:space="0"/>
            </w:tcBorders>
          </w:tcPr>
          <w:p w14:paraId="784FDF93">
            <w:pPr>
              <w:jc w:val="center"/>
              <w:rPr>
                <w:rFonts w:ascii="宋体" w:hAnsi="宋体" w:eastAsia="宋体" w:cs="宋体"/>
                <w:sz w:val="24"/>
                <w:szCs w:val="24"/>
              </w:rPr>
            </w:pPr>
          </w:p>
        </w:tc>
      </w:tr>
    </w:tbl>
    <w:p w14:paraId="32DF30AC">
      <w:pPr>
        <w:pStyle w:val="34"/>
        <w:widowControl w:val="0"/>
        <w:spacing w:line="360" w:lineRule="auto"/>
        <w:ind w:firstLine="4320" w:firstLineChars="1800"/>
        <w:rPr>
          <w:rFonts w:hAnsi="宋体"/>
          <w:color w:val="auto"/>
          <w:u w:val="single"/>
        </w:rPr>
      </w:pPr>
      <w:r>
        <w:rPr>
          <w:rFonts w:hint="eastAsia" w:hAnsi="宋体"/>
          <w:color w:val="auto"/>
        </w:rPr>
        <w:t>法定代表人（授权代表）签字：</w:t>
      </w:r>
      <w:r>
        <w:rPr>
          <w:rFonts w:hint="eastAsia" w:hAnsi="宋体"/>
          <w:color w:val="auto"/>
          <w:u w:val="single"/>
        </w:rPr>
        <w:t xml:space="preserve">         </w:t>
      </w:r>
    </w:p>
    <w:p w14:paraId="588B7F26">
      <w:pPr>
        <w:pStyle w:val="34"/>
        <w:widowControl w:val="0"/>
        <w:spacing w:line="360" w:lineRule="auto"/>
        <w:ind w:firstLine="5640" w:firstLineChars="2350"/>
        <w:rPr>
          <w:rFonts w:hAnsi="宋体"/>
          <w:color w:val="auto"/>
          <w:u w:val="single"/>
        </w:rPr>
      </w:pPr>
      <w:r>
        <w:rPr>
          <w:rFonts w:hint="eastAsia" w:hAnsi="宋体"/>
          <w:bCs/>
          <w:color w:val="auto"/>
        </w:rPr>
        <w:t>日期：</w:t>
      </w:r>
      <w:r>
        <w:rPr>
          <w:rFonts w:hint="eastAsia" w:hAnsi="宋体"/>
          <w:bCs/>
          <w:color w:val="auto"/>
          <w:u w:val="single"/>
        </w:rPr>
        <w:t xml:space="preserve">       </w:t>
      </w:r>
      <w:r>
        <w:rPr>
          <w:rFonts w:hint="eastAsia" w:hAnsi="宋体"/>
          <w:bCs/>
          <w:color w:val="auto"/>
        </w:rPr>
        <w:t>年</w:t>
      </w:r>
      <w:r>
        <w:rPr>
          <w:rFonts w:hint="eastAsia" w:hAnsi="宋体"/>
          <w:bCs/>
          <w:color w:val="auto"/>
          <w:u w:val="single"/>
        </w:rPr>
        <w:t xml:space="preserve">    </w:t>
      </w:r>
      <w:r>
        <w:rPr>
          <w:rFonts w:hint="eastAsia" w:hAnsi="宋体"/>
          <w:bCs/>
          <w:color w:val="auto"/>
        </w:rPr>
        <w:t>月</w:t>
      </w:r>
      <w:r>
        <w:rPr>
          <w:rFonts w:hint="eastAsia" w:hAnsi="宋体"/>
          <w:bCs/>
          <w:color w:val="auto"/>
          <w:u w:val="single"/>
        </w:rPr>
        <w:t xml:space="preserve">    </w:t>
      </w:r>
      <w:r>
        <w:rPr>
          <w:rFonts w:hint="eastAsia" w:hAnsi="宋体"/>
          <w:bCs/>
          <w:color w:val="auto"/>
        </w:rPr>
        <w:t>日</w:t>
      </w:r>
    </w:p>
    <w:p w14:paraId="49E4B057">
      <w:pPr>
        <w:pStyle w:val="47"/>
        <w:snapToGrid w:val="0"/>
        <w:spacing w:line="400" w:lineRule="exact"/>
        <w:ind w:firstLine="420"/>
        <w:rPr>
          <w:rFonts w:ascii="宋体" w:hAnsi="宋体" w:cs="宋体"/>
          <w:sz w:val="21"/>
        </w:rPr>
      </w:pPr>
    </w:p>
    <w:p w14:paraId="395E1D8B">
      <w:pPr>
        <w:pStyle w:val="47"/>
        <w:snapToGrid w:val="0"/>
        <w:spacing w:line="400" w:lineRule="exact"/>
        <w:ind w:firstLine="420"/>
        <w:rPr>
          <w:rFonts w:ascii="宋体" w:hAnsi="宋体" w:cs="宋体"/>
          <w:sz w:val="21"/>
        </w:rPr>
      </w:pPr>
      <w:r>
        <w:rPr>
          <w:rFonts w:hint="eastAsia" w:ascii="宋体" w:hAnsi="宋体" w:cs="宋体"/>
          <w:sz w:val="21"/>
        </w:rPr>
        <w:t>注：1．投标人应当逐条对照招标文件技术条款，就投标文件对技术条款存在的偏差与例外逐条做出说明；</w:t>
      </w:r>
    </w:p>
    <w:p w14:paraId="60310140">
      <w:pPr>
        <w:pStyle w:val="47"/>
        <w:snapToGrid w:val="0"/>
        <w:spacing w:line="400" w:lineRule="exact"/>
        <w:ind w:firstLine="420"/>
        <w:rPr>
          <w:rFonts w:ascii="宋体" w:hAnsi="宋体" w:cs="宋体"/>
          <w:sz w:val="21"/>
        </w:rPr>
      </w:pPr>
      <w:r>
        <w:rPr>
          <w:rFonts w:hint="eastAsia" w:ascii="宋体" w:hAnsi="宋体" w:cs="宋体"/>
          <w:sz w:val="21"/>
        </w:rPr>
        <w:t>2．如投标文件对技术条款无任何偏差，投标人仅需在本偏离表中填写“无偏离”即可。</w:t>
      </w:r>
    </w:p>
    <w:p w14:paraId="3F7DD054">
      <w:pPr>
        <w:shd w:val="clear" w:color="auto" w:fill="FFFFFF"/>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3. 投标人未填写该表则表示完全满足招标文件技术条款要求。</w:t>
      </w:r>
    </w:p>
    <w:p w14:paraId="666554AF">
      <w:pPr>
        <w:spacing w:line="360" w:lineRule="auto"/>
        <w:rPr>
          <w:rFonts w:ascii="宋体" w:hAnsi="宋体" w:eastAsia="宋体" w:cs="宋体"/>
          <w:szCs w:val="21"/>
          <w:u w:color="FF0000"/>
        </w:rPr>
      </w:pPr>
    </w:p>
    <w:p w14:paraId="56804A5E">
      <w:pPr>
        <w:widowControl/>
        <w:jc w:val="left"/>
        <w:rPr>
          <w:rFonts w:ascii="宋体" w:hAnsi="宋体" w:eastAsia="宋体" w:cs="宋体"/>
          <w:szCs w:val="21"/>
          <w:u w:color="FF0000"/>
        </w:rPr>
      </w:pPr>
      <w:r>
        <w:rPr>
          <w:rFonts w:hint="eastAsia" w:ascii="宋体" w:hAnsi="宋体" w:eastAsia="宋体" w:cs="宋体"/>
          <w:szCs w:val="21"/>
          <w:u w:color="FF0000"/>
        </w:rPr>
        <w:br w:type="page"/>
      </w:r>
    </w:p>
    <w:p w14:paraId="78F4A9A5">
      <w:pPr>
        <w:tabs>
          <w:tab w:val="left" w:pos="576"/>
        </w:tabs>
        <w:spacing w:before="156" w:beforeLines="50" w:after="156" w:afterLines="50" w:line="360" w:lineRule="auto"/>
        <w:outlineLvl w:val="2"/>
        <w:rPr>
          <w:rFonts w:ascii="宋体" w:hAnsi="宋体" w:eastAsia="宋体" w:cs="宋体"/>
          <w:sz w:val="24"/>
          <w:szCs w:val="24"/>
          <w:u w:color="000000"/>
        </w:rPr>
      </w:pPr>
      <w:bookmarkStart w:id="43" w:name="_Toc22906"/>
      <w:r>
        <w:rPr>
          <w:rFonts w:hint="eastAsia" w:ascii="宋体" w:hAnsi="宋体" w:eastAsia="宋体" w:cs="宋体"/>
          <w:sz w:val="24"/>
          <w:szCs w:val="24"/>
          <w:u w:color="000000"/>
        </w:rPr>
        <w:t>6.7 技术规范点对点应答</w:t>
      </w:r>
      <w:bookmarkEnd w:id="43"/>
    </w:p>
    <w:p w14:paraId="2EA17D03">
      <w:pPr>
        <w:spacing w:line="360" w:lineRule="auto"/>
        <w:rPr>
          <w:rFonts w:ascii="宋体" w:hAnsi="宋体" w:eastAsia="宋体" w:cs="宋体"/>
          <w:szCs w:val="21"/>
          <w:u w:color="FF0000"/>
        </w:rPr>
      </w:pPr>
    </w:p>
    <w:p w14:paraId="03B904A7">
      <w:pPr>
        <w:spacing w:line="360" w:lineRule="auto"/>
        <w:rPr>
          <w:rFonts w:ascii="宋体" w:hAnsi="宋体" w:eastAsia="宋体" w:cs="宋体"/>
          <w:szCs w:val="21"/>
          <w:u w:color="FF0000"/>
        </w:rPr>
      </w:pPr>
    </w:p>
    <w:p w14:paraId="4D6F8CDF">
      <w:pPr>
        <w:spacing w:line="360" w:lineRule="auto"/>
        <w:rPr>
          <w:rFonts w:ascii="宋体" w:hAnsi="宋体" w:eastAsia="宋体" w:cs="宋体"/>
          <w:szCs w:val="21"/>
          <w:u w:color="FF0000"/>
        </w:rPr>
      </w:pPr>
    </w:p>
    <w:p w14:paraId="4EBFFFAB">
      <w:pPr>
        <w:widowControl/>
        <w:jc w:val="left"/>
        <w:rPr>
          <w:rFonts w:ascii="宋体" w:hAnsi="宋体" w:eastAsia="宋体" w:cs="宋体"/>
          <w:sz w:val="24"/>
          <w:szCs w:val="24"/>
          <w:u w:color="000000"/>
        </w:rPr>
      </w:pPr>
      <w:r>
        <w:rPr>
          <w:rFonts w:hint="eastAsia" w:ascii="宋体" w:hAnsi="宋体" w:eastAsia="宋体" w:cs="宋体"/>
          <w:sz w:val="24"/>
          <w:szCs w:val="24"/>
          <w:u w:color="000000"/>
        </w:rPr>
        <w:br w:type="page"/>
      </w:r>
    </w:p>
    <w:p w14:paraId="37392413">
      <w:pPr>
        <w:tabs>
          <w:tab w:val="left" w:pos="576"/>
        </w:tabs>
        <w:spacing w:before="156" w:beforeLines="50" w:after="156" w:afterLines="50" w:line="360" w:lineRule="auto"/>
        <w:outlineLvl w:val="2"/>
        <w:rPr>
          <w:rFonts w:ascii="宋体" w:hAnsi="宋体" w:eastAsia="宋体" w:cs="宋体"/>
          <w:sz w:val="24"/>
          <w:szCs w:val="24"/>
          <w:u w:color="000000"/>
        </w:rPr>
      </w:pPr>
      <w:bookmarkStart w:id="44" w:name="_Toc29532"/>
      <w:r>
        <w:rPr>
          <w:rFonts w:hint="eastAsia" w:ascii="宋体" w:hAnsi="宋体" w:eastAsia="宋体" w:cs="宋体"/>
          <w:sz w:val="24"/>
          <w:szCs w:val="24"/>
          <w:u w:color="000000"/>
        </w:rPr>
        <w:t>6.8 综合实力证明</w:t>
      </w:r>
      <w:bookmarkEnd w:id="44"/>
    </w:p>
    <w:p w14:paraId="1D67878A">
      <w:pPr>
        <w:jc w:val="center"/>
        <w:rPr>
          <w:rFonts w:ascii="宋体" w:hAnsi="宋体" w:eastAsia="宋体" w:cs="宋体"/>
          <w:sz w:val="28"/>
          <w:szCs w:val="24"/>
          <w:u w:color="000000"/>
          <w:lang w:val="zh-TW" w:eastAsia="zh-TW"/>
        </w:rPr>
      </w:pPr>
      <w:r>
        <w:rPr>
          <w:rFonts w:hint="eastAsia" w:ascii="宋体" w:hAnsi="宋体" w:eastAsia="宋体" w:cs="宋体"/>
          <w:sz w:val="28"/>
          <w:szCs w:val="24"/>
          <w:u w:color="000000"/>
          <w:lang w:val="zh-TW" w:eastAsia="zh-TW"/>
        </w:rPr>
        <w:t>业绩情况表</w:t>
      </w:r>
    </w:p>
    <w:p w14:paraId="26C6A09F">
      <w:pPr>
        <w:pStyle w:val="33"/>
        <w:widowControl w:val="0"/>
        <w:ind w:firstLine="0" w:firstLineChars="0"/>
        <w:jc w:val="center"/>
        <w:rPr>
          <w:rFonts w:hint="default" w:ascii="宋体" w:hAnsi="宋体" w:eastAsia="宋体" w:cs="宋体"/>
          <w:bCs/>
          <w:color w:val="auto"/>
          <w:sz w:val="21"/>
          <w:szCs w:val="21"/>
          <w:lang w:eastAsia="zh-CN"/>
        </w:rPr>
      </w:pPr>
      <w:r>
        <w:rPr>
          <w:rFonts w:ascii="宋体" w:hAnsi="宋体" w:eastAsia="宋体" w:cs="宋体"/>
          <w:bCs/>
          <w:color w:val="auto"/>
          <w:sz w:val="21"/>
          <w:szCs w:val="21"/>
          <w:lang w:eastAsia="zh-CN"/>
        </w:rPr>
        <w:t>近年（</w:t>
      </w:r>
      <w:r>
        <w:rPr>
          <w:rFonts w:ascii="宋体" w:hAnsi="宋体" w:eastAsia="宋体" w:cs="宋体"/>
          <w:bCs/>
          <w:color w:val="auto"/>
          <w:sz w:val="21"/>
          <w:szCs w:val="21"/>
          <w:u w:val="single"/>
          <w:lang w:eastAsia="zh-CN"/>
        </w:rPr>
        <w:t xml:space="preserve">    </w:t>
      </w:r>
      <w:r>
        <w:rPr>
          <w:rFonts w:ascii="宋体" w:hAnsi="宋体" w:eastAsia="宋体" w:cs="宋体"/>
          <w:bCs/>
          <w:color w:val="auto"/>
          <w:sz w:val="21"/>
          <w:szCs w:val="21"/>
          <w:lang w:eastAsia="zh-CN"/>
        </w:rPr>
        <w:t>年</w:t>
      </w:r>
      <w:r>
        <w:rPr>
          <w:rFonts w:ascii="宋体" w:hAnsi="宋体" w:eastAsia="宋体" w:cs="宋体"/>
          <w:bCs/>
          <w:color w:val="auto"/>
          <w:sz w:val="21"/>
          <w:szCs w:val="21"/>
          <w:u w:val="single"/>
          <w:lang w:eastAsia="zh-CN"/>
        </w:rPr>
        <w:t xml:space="preserve">  </w:t>
      </w:r>
      <w:r>
        <w:rPr>
          <w:rFonts w:ascii="宋体" w:hAnsi="宋体" w:eastAsia="宋体" w:cs="宋体"/>
          <w:bCs/>
          <w:color w:val="auto"/>
          <w:sz w:val="21"/>
          <w:szCs w:val="21"/>
          <w:lang w:eastAsia="zh-CN"/>
        </w:rPr>
        <w:t>月</w:t>
      </w:r>
      <w:r>
        <w:rPr>
          <w:rFonts w:ascii="宋体" w:hAnsi="宋体" w:eastAsia="宋体" w:cs="宋体"/>
          <w:bCs/>
          <w:color w:val="auto"/>
          <w:sz w:val="21"/>
          <w:szCs w:val="21"/>
          <w:u w:val="single"/>
          <w:lang w:eastAsia="zh-CN"/>
        </w:rPr>
        <w:t xml:space="preserve">  </w:t>
      </w:r>
      <w:r>
        <w:rPr>
          <w:rFonts w:ascii="宋体" w:hAnsi="宋体" w:eastAsia="宋体" w:cs="宋体"/>
          <w:bCs/>
          <w:color w:val="auto"/>
          <w:sz w:val="21"/>
          <w:szCs w:val="21"/>
          <w:lang w:eastAsia="zh-CN"/>
        </w:rPr>
        <w:t>日至</w:t>
      </w:r>
      <w:r>
        <w:rPr>
          <w:rFonts w:ascii="宋体" w:hAnsi="宋体" w:eastAsia="宋体" w:cs="宋体"/>
          <w:bCs/>
          <w:color w:val="auto"/>
          <w:sz w:val="21"/>
          <w:szCs w:val="21"/>
          <w:u w:val="single"/>
          <w:lang w:eastAsia="zh-CN"/>
        </w:rPr>
        <w:t xml:space="preserve">    </w:t>
      </w:r>
      <w:r>
        <w:rPr>
          <w:rFonts w:ascii="宋体" w:hAnsi="宋体" w:eastAsia="宋体" w:cs="宋体"/>
          <w:bCs/>
          <w:color w:val="auto"/>
          <w:sz w:val="21"/>
          <w:szCs w:val="21"/>
          <w:lang w:eastAsia="zh-CN"/>
        </w:rPr>
        <w:t>年</w:t>
      </w:r>
      <w:r>
        <w:rPr>
          <w:rFonts w:ascii="宋体" w:hAnsi="宋体" w:eastAsia="宋体" w:cs="宋体"/>
          <w:bCs/>
          <w:color w:val="auto"/>
          <w:sz w:val="21"/>
          <w:szCs w:val="21"/>
          <w:u w:val="single"/>
          <w:lang w:eastAsia="zh-CN"/>
        </w:rPr>
        <w:t xml:space="preserve">  </w:t>
      </w:r>
      <w:r>
        <w:rPr>
          <w:rFonts w:ascii="宋体" w:hAnsi="宋体" w:eastAsia="宋体" w:cs="宋体"/>
          <w:bCs/>
          <w:color w:val="auto"/>
          <w:sz w:val="21"/>
          <w:szCs w:val="21"/>
          <w:lang w:eastAsia="zh-CN"/>
        </w:rPr>
        <w:t>月</w:t>
      </w:r>
      <w:r>
        <w:rPr>
          <w:rFonts w:ascii="宋体" w:hAnsi="宋体" w:eastAsia="宋体" w:cs="宋体"/>
          <w:bCs/>
          <w:color w:val="auto"/>
          <w:sz w:val="21"/>
          <w:szCs w:val="21"/>
          <w:u w:val="single"/>
          <w:lang w:eastAsia="zh-CN"/>
        </w:rPr>
        <w:t xml:space="preserve">  </w:t>
      </w:r>
      <w:r>
        <w:rPr>
          <w:rFonts w:ascii="宋体" w:hAnsi="宋体" w:eastAsia="宋体" w:cs="宋体"/>
          <w:bCs/>
          <w:color w:val="auto"/>
          <w:sz w:val="21"/>
          <w:szCs w:val="21"/>
          <w:lang w:eastAsia="zh-CN"/>
        </w:rPr>
        <w:t>日）业绩情况表</w:t>
      </w:r>
    </w:p>
    <w:tbl>
      <w:tblPr>
        <w:tblStyle w:val="26"/>
        <w:tblW w:w="9003" w:type="dxa"/>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095"/>
        <w:gridCol w:w="1095"/>
        <w:gridCol w:w="1003"/>
        <w:gridCol w:w="913"/>
        <w:gridCol w:w="731"/>
        <w:gridCol w:w="913"/>
        <w:gridCol w:w="913"/>
        <w:gridCol w:w="1005"/>
        <w:gridCol w:w="697"/>
      </w:tblGrid>
      <w:tr w14:paraId="2502246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07B3CF8A">
            <w:pPr>
              <w:spacing w:before="124" w:beforeLines="40" w:after="124" w:afterLines="40"/>
              <w:jc w:val="center"/>
              <w:rPr>
                <w:rFonts w:ascii="宋体" w:hAnsi="宋体" w:eastAsia="宋体" w:cs="宋体"/>
                <w:szCs w:val="21"/>
              </w:rPr>
            </w:pPr>
            <w:r>
              <w:rPr>
                <w:rFonts w:hint="eastAsia" w:ascii="宋体" w:hAnsi="宋体" w:eastAsia="宋体" w:cs="宋体"/>
                <w:szCs w:val="21"/>
              </w:rPr>
              <w:t>序号</w:t>
            </w:r>
          </w:p>
        </w:tc>
        <w:tc>
          <w:tcPr>
            <w:tcW w:w="1095" w:type="dxa"/>
            <w:vAlign w:val="center"/>
          </w:tcPr>
          <w:p w14:paraId="5DC87225">
            <w:pPr>
              <w:spacing w:before="124" w:beforeLines="40" w:after="124" w:afterLines="40"/>
              <w:jc w:val="center"/>
              <w:rPr>
                <w:rFonts w:ascii="宋体" w:hAnsi="宋体" w:eastAsia="宋体" w:cs="宋体"/>
                <w:szCs w:val="21"/>
              </w:rPr>
            </w:pPr>
            <w:r>
              <w:rPr>
                <w:rFonts w:hint="eastAsia" w:ascii="宋体" w:hAnsi="宋体" w:eastAsia="宋体" w:cs="宋体"/>
                <w:szCs w:val="21"/>
              </w:rPr>
              <w:t>合同名称</w:t>
            </w:r>
          </w:p>
        </w:tc>
        <w:tc>
          <w:tcPr>
            <w:tcW w:w="1095" w:type="dxa"/>
            <w:vAlign w:val="center"/>
          </w:tcPr>
          <w:p w14:paraId="3E170673">
            <w:pPr>
              <w:spacing w:before="124" w:beforeLines="40" w:after="124" w:afterLines="40"/>
              <w:jc w:val="center"/>
              <w:rPr>
                <w:rFonts w:ascii="宋体" w:hAnsi="宋体" w:eastAsia="宋体" w:cs="宋体"/>
                <w:szCs w:val="21"/>
              </w:rPr>
            </w:pPr>
            <w:r>
              <w:rPr>
                <w:rFonts w:hint="eastAsia" w:ascii="宋体" w:hAnsi="宋体" w:eastAsia="宋体" w:cs="宋体"/>
                <w:szCs w:val="21"/>
              </w:rPr>
              <w:t>合同编号</w:t>
            </w:r>
          </w:p>
        </w:tc>
        <w:tc>
          <w:tcPr>
            <w:tcW w:w="1003" w:type="dxa"/>
            <w:vAlign w:val="center"/>
          </w:tcPr>
          <w:p w14:paraId="1A147818">
            <w:pPr>
              <w:spacing w:before="124" w:beforeLines="40" w:after="124" w:afterLines="40"/>
              <w:jc w:val="center"/>
              <w:rPr>
                <w:rFonts w:ascii="宋体" w:hAnsi="宋体" w:eastAsia="宋体" w:cs="宋体"/>
                <w:szCs w:val="21"/>
              </w:rPr>
            </w:pPr>
            <w:r>
              <w:rPr>
                <w:rFonts w:hint="eastAsia" w:ascii="宋体" w:hAnsi="宋体" w:eastAsia="宋体" w:cs="宋体"/>
                <w:szCs w:val="21"/>
              </w:rPr>
              <w:t>合同签订时间</w:t>
            </w:r>
          </w:p>
        </w:tc>
        <w:tc>
          <w:tcPr>
            <w:tcW w:w="913" w:type="dxa"/>
            <w:vAlign w:val="center"/>
          </w:tcPr>
          <w:p w14:paraId="12DB330D">
            <w:pPr>
              <w:spacing w:before="124" w:beforeLines="40" w:after="124" w:afterLines="40"/>
              <w:jc w:val="center"/>
              <w:rPr>
                <w:rFonts w:ascii="宋体" w:hAnsi="宋体" w:eastAsia="宋体" w:cs="宋体"/>
                <w:szCs w:val="21"/>
              </w:rPr>
            </w:pPr>
            <w:r>
              <w:rPr>
                <w:rFonts w:hint="eastAsia" w:ascii="宋体" w:hAnsi="宋体" w:eastAsia="宋体" w:cs="宋体"/>
                <w:szCs w:val="21"/>
              </w:rPr>
              <w:t>采购内容</w:t>
            </w:r>
          </w:p>
        </w:tc>
        <w:tc>
          <w:tcPr>
            <w:tcW w:w="731" w:type="dxa"/>
            <w:vAlign w:val="center"/>
          </w:tcPr>
          <w:p w14:paraId="39A37363">
            <w:pPr>
              <w:spacing w:before="124" w:beforeLines="40" w:after="124" w:afterLines="40"/>
              <w:jc w:val="center"/>
              <w:rPr>
                <w:rFonts w:ascii="宋体" w:hAnsi="宋体" w:eastAsia="宋体" w:cs="宋体"/>
                <w:szCs w:val="21"/>
              </w:rPr>
            </w:pPr>
            <w:r>
              <w:rPr>
                <w:rFonts w:hint="eastAsia" w:ascii="宋体" w:hAnsi="宋体" w:eastAsia="宋体" w:cs="宋体"/>
                <w:szCs w:val="21"/>
              </w:rPr>
              <w:t>合同金额（万元）</w:t>
            </w:r>
          </w:p>
        </w:tc>
        <w:tc>
          <w:tcPr>
            <w:tcW w:w="913" w:type="dxa"/>
            <w:vAlign w:val="center"/>
          </w:tcPr>
          <w:p w14:paraId="5B01279A">
            <w:pPr>
              <w:spacing w:before="124" w:beforeLines="40" w:after="124" w:afterLines="40"/>
              <w:jc w:val="center"/>
              <w:rPr>
                <w:rFonts w:ascii="宋体" w:hAnsi="宋体" w:eastAsia="宋体" w:cs="宋体"/>
                <w:szCs w:val="21"/>
              </w:rPr>
            </w:pPr>
            <w:r>
              <w:rPr>
                <w:rFonts w:hint="eastAsia" w:ascii="宋体" w:hAnsi="宋体" w:eastAsia="宋体" w:cs="宋体"/>
                <w:szCs w:val="21"/>
              </w:rPr>
              <w:t>合同卖方</w:t>
            </w:r>
          </w:p>
        </w:tc>
        <w:tc>
          <w:tcPr>
            <w:tcW w:w="913" w:type="dxa"/>
            <w:vAlign w:val="center"/>
          </w:tcPr>
          <w:p w14:paraId="40D8DEDE">
            <w:pPr>
              <w:spacing w:before="124" w:beforeLines="40" w:after="124" w:afterLines="40"/>
              <w:jc w:val="center"/>
              <w:rPr>
                <w:rFonts w:ascii="宋体" w:hAnsi="宋体" w:eastAsia="宋体" w:cs="宋体"/>
                <w:szCs w:val="21"/>
              </w:rPr>
            </w:pPr>
            <w:r>
              <w:rPr>
                <w:rFonts w:hint="eastAsia" w:ascii="宋体" w:hAnsi="宋体" w:eastAsia="宋体" w:cs="宋体"/>
                <w:szCs w:val="21"/>
              </w:rPr>
              <w:t>合同买方</w:t>
            </w:r>
          </w:p>
        </w:tc>
        <w:tc>
          <w:tcPr>
            <w:tcW w:w="1005" w:type="dxa"/>
            <w:vAlign w:val="center"/>
          </w:tcPr>
          <w:p w14:paraId="49C9BB1A">
            <w:pPr>
              <w:spacing w:before="124" w:beforeLines="40" w:after="124" w:afterLines="40"/>
              <w:jc w:val="center"/>
              <w:rPr>
                <w:rFonts w:ascii="宋体" w:hAnsi="宋体" w:eastAsia="宋体" w:cs="宋体"/>
                <w:szCs w:val="21"/>
              </w:rPr>
            </w:pPr>
            <w:r>
              <w:rPr>
                <w:rFonts w:hint="eastAsia" w:ascii="宋体" w:hAnsi="宋体" w:eastAsia="宋体" w:cs="宋体"/>
                <w:szCs w:val="21"/>
              </w:rPr>
              <w:t>合同买方联系人及联系电话</w:t>
            </w:r>
          </w:p>
        </w:tc>
        <w:tc>
          <w:tcPr>
            <w:tcW w:w="697" w:type="dxa"/>
            <w:vAlign w:val="center"/>
          </w:tcPr>
          <w:p w14:paraId="18A22115">
            <w:pPr>
              <w:spacing w:before="124" w:beforeLines="40" w:after="124" w:afterLines="40"/>
              <w:jc w:val="center"/>
              <w:rPr>
                <w:rFonts w:ascii="宋体" w:hAnsi="宋体" w:eastAsia="宋体" w:cs="宋体"/>
                <w:szCs w:val="21"/>
              </w:rPr>
            </w:pPr>
            <w:r>
              <w:rPr>
                <w:rFonts w:hint="eastAsia" w:ascii="宋体" w:hAnsi="宋体" w:eastAsia="宋体" w:cs="宋体"/>
                <w:szCs w:val="21"/>
              </w:rPr>
              <w:t>备注</w:t>
            </w:r>
          </w:p>
        </w:tc>
      </w:tr>
      <w:tr w14:paraId="2B81A19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638" w:type="dxa"/>
          </w:tcPr>
          <w:p w14:paraId="6BA5B5FA">
            <w:pPr>
              <w:spacing w:before="124" w:beforeLines="40" w:after="124" w:afterLines="40"/>
              <w:jc w:val="center"/>
              <w:rPr>
                <w:rFonts w:ascii="宋体" w:hAnsi="宋体" w:eastAsia="宋体" w:cs="宋体"/>
                <w:szCs w:val="21"/>
              </w:rPr>
            </w:pPr>
          </w:p>
        </w:tc>
        <w:tc>
          <w:tcPr>
            <w:tcW w:w="1095" w:type="dxa"/>
          </w:tcPr>
          <w:p w14:paraId="46883EDF">
            <w:pPr>
              <w:spacing w:before="124" w:beforeLines="40" w:after="124" w:afterLines="40"/>
              <w:jc w:val="center"/>
              <w:rPr>
                <w:rFonts w:ascii="宋体" w:hAnsi="宋体" w:eastAsia="宋体" w:cs="宋体"/>
                <w:szCs w:val="21"/>
              </w:rPr>
            </w:pPr>
          </w:p>
        </w:tc>
        <w:tc>
          <w:tcPr>
            <w:tcW w:w="1095" w:type="dxa"/>
          </w:tcPr>
          <w:p w14:paraId="5012E7DD">
            <w:pPr>
              <w:spacing w:before="124" w:beforeLines="40" w:after="124" w:afterLines="40"/>
              <w:jc w:val="center"/>
              <w:rPr>
                <w:rFonts w:ascii="宋体" w:hAnsi="宋体" w:eastAsia="宋体" w:cs="宋体"/>
                <w:szCs w:val="21"/>
              </w:rPr>
            </w:pPr>
          </w:p>
        </w:tc>
        <w:tc>
          <w:tcPr>
            <w:tcW w:w="1003" w:type="dxa"/>
          </w:tcPr>
          <w:p w14:paraId="14729FD6">
            <w:pPr>
              <w:spacing w:before="124" w:beforeLines="40" w:after="124" w:afterLines="40"/>
              <w:jc w:val="center"/>
              <w:rPr>
                <w:rFonts w:ascii="宋体" w:hAnsi="宋体" w:eastAsia="宋体" w:cs="宋体"/>
                <w:szCs w:val="21"/>
              </w:rPr>
            </w:pPr>
          </w:p>
        </w:tc>
        <w:tc>
          <w:tcPr>
            <w:tcW w:w="913" w:type="dxa"/>
          </w:tcPr>
          <w:p w14:paraId="2F12B1F3">
            <w:pPr>
              <w:spacing w:before="124" w:beforeLines="40" w:after="124" w:afterLines="40"/>
              <w:jc w:val="center"/>
              <w:rPr>
                <w:rFonts w:ascii="宋体" w:hAnsi="宋体" w:eastAsia="宋体" w:cs="宋体"/>
                <w:szCs w:val="21"/>
              </w:rPr>
            </w:pPr>
          </w:p>
        </w:tc>
        <w:tc>
          <w:tcPr>
            <w:tcW w:w="731" w:type="dxa"/>
          </w:tcPr>
          <w:p w14:paraId="4E067ED0">
            <w:pPr>
              <w:spacing w:before="124" w:beforeLines="40" w:after="124" w:afterLines="40"/>
              <w:jc w:val="center"/>
              <w:rPr>
                <w:rFonts w:ascii="宋体" w:hAnsi="宋体" w:eastAsia="宋体" w:cs="宋体"/>
                <w:szCs w:val="21"/>
              </w:rPr>
            </w:pPr>
          </w:p>
        </w:tc>
        <w:tc>
          <w:tcPr>
            <w:tcW w:w="913" w:type="dxa"/>
          </w:tcPr>
          <w:p w14:paraId="206F0F10">
            <w:pPr>
              <w:spacing w:before="124" w:beforeLines="40" w:after="124" w:afterLines="40"/>
              <w:jc w:val="center"/>
              <w:rPr>
                <w:rFonts w:ascii="宋体" w:hAnsi="宋体" w:eastAsia="宋体" w:cs="宋体"/>
                <w:szCs w:val="21"/>
              </w:rPr>
            </w:pPr>
          </w:p>
        </w:tc>
        <w:tc>
          <w:tcPr>
            <w:tcW w:w="913" w:type="dxa"/>
          </w:tcPr>
          <w:p w14:paraId="4CC1FC1A">
            <w:pPr>
              <w:spacing w:before="124" w:beforeLines="40" w:after="124" w:afterLines="40"/>
              <w:jc w:val="center"/>
              <w:rPr>
                <w:rFonts w:ascii="宋体" w:hAnsi="宋体" w:eastAsia="宋体" w:cs="宋体"/>
                <w:szCs w:val="21"/>
              </w:rPr>
            </w:pPr>
          </w:p>
        </w:tc>
        <w:tc>
          <w:tcPr>
            <w:tcW w:w="1005" w:type="dxa"/>
          </w:tcPr>
          <w:p w14:paraId="7956E8B5">
            <w:pPr>
              <w:spacing w:before="124" w:beforeLines="40" w:after="124" w:afterLines="40"/>
              <w:jc w:val="center"/>
              <w:rPr>
                <w:rFonts w:ascii="宋体" w:hAnsi="宋体" w:eastAsia="宋体" w:cs="宋体"/>
                <w:szCs w:val="21"/>
              </w:rPr>
            </w:pPr>
          </w:p>
        </w:tc>
        <w:tc>
          <w:tcPr>
            <w:tcW w:w="697" w:type="dxa"/>
          </w:tcPr>
          <w:p w14:paraId="398876D8">
            <w:pPr>
              <w:spacing w:before="124" w:beforeLines="40" w:after="124" w:afterLines="40"/>
              <w:jc w:val="center"/>
              <w:rPr>
                <w:rFonts w:ascii="宋体" w:hAnsi="宋体" w:eastAsia="宋体" w:cs="宋体"/>
                <w:szCs w:val="21"/>
              </w:rPr>
            </w:pPr>
          </w:p>
        </w:tc>
      </w:tr>
      <w:tr w14:paraId="416E2F8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638" w:type="dxa"/>
          </w:tcPr>
          <w:p w14:paraId="653B4362">
            <w:pPr>
              <w:spacing w:before="124" w:beforeLines="40" w:after="124" w:afterLines="40"/>
              <w:jc w:val="center"/>
              <w:rPr>
                <w:rFonts w:ascii="宋体" w:hAnsi="宋体" w:eastAsia="宋体" w:cs="宋体"/>
                <w:szCs w:val="21"/>
              </w:rPr>
            </w:pPr>
          </w:p>
        </w:tc>
        <w:tc>
          <w:tcPr>
            <w:tcW w:w="1095" w:type="dxa"/>
          </w:tcPr>
          <w:p w14:paraId="22D9D2E2">
            <w:pPr>
              <w:spacing w:before="124" w:beforeLines="40" w:after="124" w:afterLines="40"/>
              <w:jc w:val="center"/>
              <w:rPr>
                <w:rFonts w:ascii="宋体" w:hAnsi="宋体" w:eastAsia="宋体" w:cs="宋体"/>
                <w:szCs w:val="21"/>
              </w:rPr>
            </w:pPr>
          </w:p>
        </w:tc>
        <w:tc>
          <w:tcPr>
            <w:tcW w:w="1095" w:type="dxa"/>
          </w:tcPr>
          <w:p w14:paraId="6F0E97D9">
            <w:pPr>
              <w:spacing w:before="124" w:beforeLines="40" w:after="124" w:afterLines="40"/>
              <w:jc w:val="center"/>
              <w:rPr>
                <w:rFonts w:ascii="宋体" w:hAnsi="宋体" w:eastAsia="宋体" w:cs="宋体"/>
                <w:szCs w:val="21"/>
              </w:rPr>
            </w:pPr>
          </w:p>
        </w:tc>
        <w:tc>
          <w:tcPr>
            <w:tcW w:w="1003" w:type="dxa"/>
          </w:tcPr>
          <w:p w14:paraId="4DCF71F1">
            <w:pPr>
              <w:spacing w:before="124" w:beforeLines="40" w:after="124" w:afterLines="40"/>
              <w:jc w:val="center"/>
              <w:rPr>
                <w:rFonts w:ascii="宋体" w:hAnsi="宋体" w:eastAsia="宋体" w:cs="宋体"/>
                <w:szCs w:val="21"/>
              </w:rPr>
            </w:pPr>
          </w:p>
        </w:tc>
        <w:tc>
          <w:tcPr>
            <w:tcW w:w="913" w:type="dxa"/>
          </w:tcPr>
          <w:p w14:paraId="4BA7D051">
            <w:pPr>
              <w:spacing w:before="124" w:beforeLines="40" w:after="124" w:afterLines="40"/>
              <w:jc w:val="center"/>
              <w:rPr>
                <w:rFonts w:ascii="宋体" w:hAnsi="宋体" w:eastAsia="宋体" w:cs="宋体"/>
                <w:szCs w:val="21"/>
              </w:rPr>
            </w:pPr>
          </w:p>
        </w:tc>
        <w:tc>
          <w:tcPr>
            <w:tcW w:w="731" w:type="dxa"/>
          </w:tcPr>
          <w:p w14:paraId="52FB09B4">
            <w:pPr>
              <w:spacing w:before="124" w:beforeLines="40" w:after="124" w:afterLines="40"/>
              <w:jc w:val="center"/>
              <w:rPr>
                <w:rFonts w:ascii="宋体" w:hAnsi="宋体" w:eastAsia="宋体" w:cs="宋体"/>
                <w:szCs w:val="21"/>
              </w:rPr>
            </w:pPr>
          </w:p>
        </w:tc>
        <w:tc>
          <w:tcPr>
            <w:tcW w:w="913" w:type="dxa"/>
          </w:tcPr>
          <w:p w14:paraId="42C92371">
            <w:pPr>
              <w:spacing w:before="124" w:beforeLines="40" w:after="124" w:afterLines="40"/>
              <w:jc w:val="center"/>
              <w:rPr>
                <w:rFonts w:ascii="宋体" w:hAnsi="宋体" w:eastAsia="宋体" w:cs="宋体"/>
                <w:szCs w:val="21"/>
              </w:rPr>
            </w:pPr>
          </w:p>
        </w:tc>
        <w:tc>
          <w:tcPr>
            <w:tcW w:w="913" w:type="dxa"/>
          </w:tcPr>
          <w:p w14:paraId="73766DF5">
            <w:pPr>
              <w:spacing w:before="124" w:beforeLines="40" w:after="124" w:afterLines="40"/>
              <w:jc w:val="center"/>
              <w:rPr>
                <w:rFonts w:ascii="宋体" w:hAnsi="宋体" w:eastAsia="宋体" w:cs="宋体"/>
                <w:szCs w:val="21"/>
              </w:rPr>
            </w:pPr>
          </w:p>
        </w:tc>
        <w:tc>
          <w:tcPr>
            <w:tcW w:w="1005" w:type="dxa"/>
          </w:tcPr>
          <w:p w14:paraId="65CF4FC5">
            <w:pPr>
              <w:spacing w:before="124" w:beforeLines="40" w:after="124" w:afterLines="40"/>
              <w:jc w:val="center"/>
              <w:rPr>
                <w:rFonts w:ascii="宋体" w:hAnsi="宋体" w:eastAsia="宋体" w:cs="宋体"/>
                <w:szCs w:val="21"/>
              </w:rPr>
            </w:pPr>
          </w:p>
        </w:tc>
        <w:tc>
          <w:tcPr>
            <w:tcW w:w="697" w:type="dxa"/>
          </w:tcPr>
          <w:p w14:paraId="1917FBDF">
            <w:pPr>
              <w:spacing w:before="124" w:beforeLines="40" w:after="124" w:afterLines="40"/>
              <w:jc w:val="center"/>
              <w:rPr>
                <w:rFonts w:ascii="宋体" w:hAnsi="宋体" w:eastAsia="宋体" w:cs="宋体"/>
                <w:szCs w:val="21"/>
              </w:rPr>
            </w:pPr>
          </w:p>
        </w:tc>
      </w:tr>
      <w:tr w14:paraId="2AA6A2B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638" w:type="dxa"/>
          </w:tcPr>
          <w:p w14:paraId="4421BB28">
            <w:pPr>
              <w:spacing w:before="124" w:beforeLines="40" w:after="124" w:afterLines="40"/>
              <w:jc w:val="center"/>
              <w:rPr>
                <w:rFonts w:ascii="宋体" w:hAnsi="宋体" w:eastAsia="宋体" w:cs="宋体"/>
                <w:szCs w:val="21"/>
              </w:rPr>
            </w:pPr>
          </w:p>
        </w:tc>
        <w:tc>
          <w:tcPr>
            <w:tcW w:w="1095" w:type="dxa"/>
          </w:tcPr>
          <w:p w14:paraId="67966281">
            <w:pPr>
              <w:spacing w:before="124" w:beforeLines="40" w:after="124" w:afterLines="40"/>
              <w:jc w:val="center"/>
              <w:rPr>
                <w:rFonts w:ascii="宋体" w:hAnsi="宋体" w:eastAsia="宋体" w:cs="宋体"/>
                <w:szCs w:val="21"/>
              </w:rPr>
            </w:pPr>
          </w:p>
        </w:tc>
        <w:tc>
          <w:tcPr>
            <w:tcW w:w="1095" w:type="dxa"/>
          </w:tcPr>
          <w:p w14:paraId="72B65623">
            <w:pPr>
              <w:spacing w:before="124" w:beforeLines="40" w:after="124" w:afterLines="40"/>
              <w:jc w:val="center"/>
              <w:rPr>
                <w:rFonts w:ascii="宋体" w:hAnsi="宋体" w:eastAsia="宋体" w:cs="宋体"/>
                <w:szCs w:val="21"/>
              </w:rPr>
            </w:pPr>
          </w:p>
        </w:tc>
        <w:tc>
          <w:tcPr>
            <w:tcW w:w="1003" w:type="dxa"/>
          </w:tcPr>
          <w:p w14:paraId="5B31C798">
            <w:pPr>
              <w:spacing w:before="124" w:beforeLines="40" w:after="124" w:afterLines="40"/>
              <w:jc w:val="center"/>
              <w:rPr>
                <w:rFonts w:ascii="宋体" w:hAnsi="宋体" w:eastAsia="宋体" w:cs="宋体"/>
                <w:szCs w:val="21"/>
              </w:rPr>
            </w:pPr>
          </w:p>
        </w:tc>
        <w:tc>
          <w:tcPr>
            <w:tcW w:w="913" w:type="dxa"/>
          </w:tcPr>
          <w:p w14:paraId="1D171FE5">
            <w:pPr>
              <w:spacing w:before="124" w:beforeLines="40" w:after="124" w:afterLines="40"/>
              <w:jc w:val="center"/>
              <w:rPr>
                <w:rFonts w:ascii="宋体" w:hAnsi="宋体" w:eastAsia="宋体" w:cs="宋体"/>
                <w:szCs w:val="21"/>
              </w:rPr>
            </w:pPr>
          </w:p>
        </w:tc>
        <w:tc>
          <w:tcPr>
            <w:tcW w:w="731" w:type="dxa"/>
          </w:tcPr>
          <w:p w14:paraId="23D1A709">
            <w:pPr>
              <w:spacing w:before="124" w:beforeLines="40" w:after="124" w:afterLines="40"/>
              <w:jc w:val="center"/>
              <w:rPr>
                <w:rFonts w:ascii="宋体" w:hAnsi="宋体" w:eastAsia="宋体" w:cs="宋体"/>
                <w:szCs w:val="21"/>
              </w:rPr>
            </w:pPr>
          </w:p>
        </w:tc>
        <w:tc>
          <w:tcPr>
            <w:tcW w:w="913" w:type="dxa"/>
          </w:tcPr>
          <w:p w14:paraId="4E9A41C1">
            <w:pPr>
              <w:spacing w:before="124" w:beforeLines="40" w:after="124" w:afterLines="40"/>
              <w:jc w:val="center"/>
              <w:rPr>
                <w:rFonts w:ascii="宋体" w:hAnsi="宋体" w:eastAsia="宋体" w:cs="宋体"/>
                <w:szCs w:val="21"/>
              </w:rPr>
            </w:pPr>
          </w:p>
        </w:tc>
        <w:tc>
          <w:tcPr>
            <w:tcW w:w="913" w:type="dxa"/>
          </w:tcPr>
          <w:p w14:paraId="13996A65">
            <w:pPr>
              <w:spacing w:before="124" w:beforeLines="40" w:after="124" w:afterLines="40"/>
              <w:jc w:val="center"/>
              <w:rPr>
                <w:rFonts w:ascii="宋体" w:hAnsi="宋体" w:eastAsia="宋体" w:cs="宋体"/>
                <w:szCs w:val="21"/>
              </w:rPr>
            </w:pPr>
          </w:p>
        </w:tc>
        <w:tc>
          <w:tcPr>
            <w:tcW w:w="1005" w:type="dxa"/>
          </w:tcPr>
          <w:p w14:paraId="67B31CEB">
            <w:pPr>
              <w:spacing w:before="124" w:beforeLines="40" w:after="124" w:afterLines="40"/>
              <w:jc w:val="center"/>
              <w:rPr>
                <w:rFonts w:ascii="宋体" w:hAnsi="宋体" w:eastAsia="宋体" w:cs="宋体"/>
                <w:szCs w:val="21"/>
              </w:rPr>
            </w:pPr>
          </w:p>
        </w:tc>
        <w:tc>
          <w:tcPr>
            <w:tcW w:w="697" w:type="dxa"/>
          </w:tcPr>
          <w:p w14:paraId="4340B411">
            <w:pPr>
              <w:spacing w:before="124" w:beforeLines="40" w:after="124" w:afterLines="40"/>
              <w:jc w:val="center"/>
              <w:rPr>
                <w:rFonts w:ascii="宋体" w:hAnsi="宋体" w:eastAsia="宋体" w:cs="宋体"/>
                <w:szCs w:val="21"/>
              </w:rPr>
            </w:pPr>
          </w:p>
        </w:tc>
      </w:tr>
      <w:tr w14:paraId="4AC6F3D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5475" w:type="dxa"/>
            <w:gridSpan w:val="6"/>
            <w:vAlign w:val="center"/>
          </w:tcPr>
          <w:p w14:paraId="088A666A">
            <w:pPr>
              <w:spacing w:before="124" w:beforeLines="40" w:after="124" w:afterLines="40"/>
              <w:jc w:val="center"/>
              <w:rPr>
                <w:rFonts w:ascii="宋体" w:hAnsi="宋体" w:eastAsia="宋体" w:cs="宋体"/>
                <w:szCs w:val="21"/>
              </w:rPr>
            </w:pPr>
            <w:r>
              <w:rPr>
                <w:rFonts w:hint="eastAsia" w:ascii="宋体" w:hAnsi="宋体" w:eastAsia="宋体" w:cs="宋体"/>
                <w:szCs w:val="21"/>
              </w:rPr>
              <w:t>合同金额合计：</w:t>
            </w:r>
          </w:p>
        </w:tc>
        <w:tc>
          <w:tcPr>
            <w:tcW w:w="3528" w:type="dxa"/>
            <w:gridSpan w:val="4"/>
            <w:vAlign w:val="center"/>
          </w:tcPr>
          <w:p w14:paraId="0336E42B">
            <w:pPr>
              <w:spacing w:before="124" w:beforeLines="40" w:after="124" w:afterLines="40"/>
              <w:jc w:val="center"/>
              <w:rPr>
                <w:rFonts w:ascii="宋体" w:hAnsi="宋体" w:eastAsia="宋体" w:cs="宋体"/>
                <w:szCs w:val="21"/>
                <w:u w:val="single"/>
              </w:rPr>
            </w:pPr>
            <w:r>
              <w:rPr>
                <w:rFonts w:hint="eastAsia" w:ascii="宋体" w:hAnsi="宋体" w:eastAsia="宋体" w:cs="宋体"/>
                <w:szCs w:val="21"/>
              </w:rPr>
              <w:t>人民币</w:t>
            </w:r>
            <w:r>
              <w:rPr>
                <w:rFonts w:hint="eastAsia" w:ascii="宋体" w:hAnsi="宋体" w:eastAsia="宋体" w:cs="宋体"/>
                <w:szCs w:val="21"/>
                <w:u w:val="single"/>
              </w:rPr>
              <w:t xml:space="preserve">        </w:t>
            </w:r>
            <w:r>
              <w:rPr>
                <w:rFonts w:hint="eastAsia" w:ascii="宋体" w:hAnsi="宋体" w:eastAsia="宋体" w:cs="宋体"/>
                <w:szCs w:val="21"/>
              </w:rPr>
              <w:t>万元</w:t>
            </w:r>
          </w:p>
        </w:tc>
      </w:tr>
    </w:tbl>
    <w:p w14:paraId="3E26694A">
      <w:pPr>
        <w:pStyle w:val="47"/>
        <w:ind w:left="315" w:hanging="315" w:hangingChars="150"/>
        <w:rPr>
          <w:rFonts w:ascii="宋体" w:hAnsi="宋体" w:cs="宋体"/>
          <w:sz w:val="21"/>
        </w:rPr>
      </w:pPr>
      <w:r>
        <w:rPr>
          <w:rFonts w:hint="eastAsia" w:ascii="宋体" w:hAnsi="宋体" w:cs="宋体"/>
          <w:sz w:val="21"/>
        </w:rPr>
        <w:t>注：若本项目对投标人业绩有要求，投标人应当如实填写本表并根据评分标准中的相关要求在本表后附相关合同关键页（须包括合同名称、服务内容、实施时间、合同金额、合同签字盖章页，如果提供的是框架合同，需提供对应框架合同结算的订单或结算单据）的复印件（加盖公章）或者其他相关证明材料。</w:t>
      </w:r>
    </w:p>
    <w:p w14:paraId="3A4C8E91">
      <w:pPr>
        <w:spacing w:line="360" w:lineRule="auto"/>
        <w:rPr>
          <w:rFonts w:ascii="宋体" w:hAnsi="宋体" w:eastAsia="宋体" w:cs="宋体"/>
          <w:szCs w:val="21"/>
          <w:u w:color="FF0000"/>
        </w:rPr>
      </w:pPr>
    </w:p>
    <w:p w14:paraId="4BB65BF8">
      <w:pPr>
        <w:spacing w:line="360" w:lineRule="auto"/>
        <w:rPr>
          <w:rFonts w:ascii="宋体" w:hAnsi="宋体" w:eastAsia="宋体" w:cs="宋体"/>
          <w:szCs w:val="21"/>
          <w:u w:color="FF0000"/>
        </w:rPr>
      </w:pPr>
    </w:p>
    <w:p w14:paraId="40F4A9FC">
      <w:pPr>
        <w:jc w:val="left"/>
        <w:rPr>
          <w:rFonts w:ascii="宋体" w:hAnsi="宋体" w:eastAsia="宋体" w:cs="宋体"/>
          <w:sz w:val="24"/>
          <w:szCs w:val="24"/>
          <w:u w:color="000000"/>
        </w:rPr>
      </w:pPr>
      <w:r>
        <w:rPr>
          <w:rFonts w:hint="eastAsia" w:ascii="宋体" w:hAnsi="宋体" w:eastAsia="宋体" w:cs="宋体"/>
          <w:sz w:val="24"/>
          <w:szCs w:val="24"/>
          <w:u w:color="000000"/>
        </w:rPr>
        <w:br w:type="page"/>
      </w:r>
    </w:p>
    <w:p w14:paraId="6BD62567">
      <w:pPr>
        <w:tabs>
          <w:tab w:val="left" w:pos="576"/>
        </w:tabs>
        <w:spacing w:before="156" w:beforeLines="50" w:after="156" w:afterLines="50" w:line="360" w:lineRule="auto"/>
        <w:outlineLvl w:val="2"/>
        <w:rPr>
          <w:rFonts w:ascii="宋体" w:hAnsi="宋体" w:eastAsia="宋体" w:cs="宋体"/>
          <w:sz w:val="24"/>
          <w:szCs w:val="24"/>
          <w:u w:color="000000"/>
        </w:rPr>
      </w:pPr>
      <w:bookmarkStart w:id="45" w:name="_Toc21283"/>
      <w:r>
        <w:rPr>
          <w:rFonts w:hint="eastAsia" w:ascii="宋体" w:hAnsi="宋体" w:eastAsia="宋体" w:cs="宋体"/>
          <w:sz w:val="24"/>
          <w:szCs w:val="24"/>
          <w:u w:color="000000"/>
        </w:rPr>
        <w:t>6.9 技术方案</w:t>
      </w:r>
      <w:bookmarkEnd w:id="45"/>
    </w:p>
    <w:p w14:paraId="0C9E0245">
      <w:pPr>
        <w:spacing w:line="360" w:lineRule="auto"/>
        <w:ind w:firstLine="480" w:firstLineChars="200"/>
        <w:rPr>
          <w:rFonts w:ascii="宋体" w:hAnsi="宋体" w:eastAsia="宋体" w:cs="宋体"/>
          <w:sz w:val="24"/>
          <w:szCs w:val="24"/>
          <w:u w:color="FF0000"/>
        </w:rPr>
      </w:pPr>
    </w:p>
    <w:p w14:paraId="2DE27C5E">
      <w:pPr>
        <w:widowControl/>
        <w:jc w:val="left"/>
        <w:rPr>
          <w:rFonts w:ascii="宋体" w:hAnsi="宋体" w:eastAsia="宋体" w:cs="宋体"/>
          <w:sz w:val="24"/>
          <w:szCs w:val="24"/>
          <w:u w:color="000000"/>
        </w:rPr>
      </w:pPr>
      <w:r>
        <w:rPr>
          <w:rFonts w:hint="eastAsia" w:ascii="宋体" w:hAnsi="宋体" w:eastAsia="宋体" w:cs="宋体"/>
          <w:sz w:val="24"/>
          <w:szCs w:val="24"/>
          <w:u w:color="000000"/>
        </w:rPr>
        <w:br w:type="page"/>
      </w:r>
    </w:p>
    <w:p w14:paraId="58249F80">
      <w:pPr>
        <w:tabs>
          <w:tab w:val="left" w:pos="576"/>
        </w:tabs>
        <w:spacing w:before="156" w:beforeLines="50" w:after="156" w:afterLines="50" w:line="360" w:lineRule="auto"/>
        <w:outlineLvl w:val="2"/>
        <w:rPr>
          <w:rFonts w:ascii="宋体" w:hAnsi="宋体" w:eastAsia="宋体" w:cs="宋体"/>
          <w:sz w:val="24"/>
          <w:szCs w:val="24"/>
          <w:u w:color="000000"/>
        </w:rPr>
      </w:pPr>
      <w:bookmarkStart w:id="46" w:name="_Toc11859499"/>
      <w:bookmarkStart w:id="47" w:name="_Toc8056"/>
      <w:r>
        <w:rPr>
          <w:rFonts w:hint="eastAsia" w:ascii="宋体" w:hAnsi="宋体" w:eastAsia="宋体" w:cs="宋体"/>
          <w:sz w:val="24"/>
          <w:szCs w:val="24"/>
          <w:u w:color="000000"/>
        </w:rPr>
        <w:t>6.10 投标人其它声明及材料</w:t>
      </w:r>
      <w:bookmarkEnd w:id="46"/>
      <w:bookmarkEnd w:id="47"/>
    </w:p>
    <w:p w14:paraId="56E85697">
      <w:pPr>
        <w:spacing w:before="156" w:beforeLines="50" w:after="156" w:afterLines="50" w:line="360" w:lineRule="auto"/>
        <w:jc w:val="center"/>
        <w:rPr>
          <w:rFonts w:ascii="宋体" w:hAnsi="宋体" w:eastAsia="宋体" w:cs="宋体"/>
          <w:sz w:val="28"/>
          <w:szCs w:val="28"/>
        </w:rPr>
      </w:pPr>
      <w:r>
        <w:rPr>
          <w:rFonts w:hint="eastAsia" w:ascii="宋体" w:hAnsi="宋体" w:eastAsia="宋体" w:cs="宋体"/>
          <w:sz w:val="28"/>
          <w:szCs w:val="28"/>
        </w:rPr>
        <w:t>投标人信息一览表</w:t>
      </w:r>
    </w:p>
    <w:tbl>
      <w:tblPr>
        <w:tblStyle w:val="26"/>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2446"/>
        <w:gridCol w:w="2447"/>
        <w:gridCol w:w="2446"/>
      </w:tblGrid>
      <w:tr w14:paraId="32B58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664" w:type="dxa"/>
            <w:shd w:val="clear" w:color="auto" w:fill="auto"/>
            <w:vAlign w:val="center"/>
          </w:tcPr>
          <w:p w14:paraId="573F19D7">
            <w:pPr>
              <w:spacing w:line="440" w:lineRule="exact"/>
              <w:jc w:val="center"/>
              <w:rPr>
                <w:rFonts w:ascii="宋体" w:hAnsi="宋体" w:eastAsia="宋体" w:cs="宋体"/>
                <w:sz w:val="24"/>
                <w:szCs w:val="24"/>
              </w:rPr>
            </w:pPr>
            <w:r>
              <w:rPr>
                <w:rFonts w:hint="eastAsia" w:ascii="宋体" w:hAnsi="宋体" w:eastAsia="宋体" w:cs="宋体"/>
                <w:sz w:val="24"/>
                <w:szCs w:val="24"/>
              </w:rPr>
              <w:t>投标人名称</w:t>
            </w:r>
          </w:p>
          <w:p w14:paraId="73515507">
            <w:pPr>
              <w:spacing w:line="440" w:lineRule="exact"/>
              <w:jc w:val="center"/>
              <w:rPr>
                <w:rFonts w:ascii="宋体" w:hAnsi="宋体" w:eastAsia="宋体" w:cs="宋体"/>
                <w:sz w:val="24"/>
                <w:szCs w:val="24"/>
              </w:rPr>
            </w:pPr>
            <w:r>
              <w:rPr>
                <w:rFonts w:hint="eastAsia" w:ascii="宋体" w:hAnsi="宋体" w:eastAsia="宋体" w:cs="宋体"/>
                <w:sz w:val="24"/>
                <w:szCs w:val="24"/>
              </w:rPr>
              <w:t>（加盖公章）</w:t>
            </w:r>
          </w:p>
        </w:tc>
        <w:tc>
          <w:tcPr>
            <w:tcW w:w="7339" w:type="dxa"/>
            <w:gridSpan w:val="3"/>
            <w:shd w:val="clear" w:color="auto" w:fill="auto"/>
            <w:vAlign w:val="center"/>
          </w:tcPr>
          <w:p w14:paraId="36FF50C8">
            <w:pPr>
              <w:spacing w:line="440" w:lineRule="exact"/>
              <w:jc w:val="center"/>
              <w:rPr>
                <w:rFonts w:ascii="宋体" w:hAnsi="宋体" w:eastAsia="宋体" w:cs="宋体"/>
                <w:sz w:val="24"/>
                <w:szCs w:val="24"/>
              </w:rPr>
            </w:pPr>
          </w:p>
        </w:tc>
      </w:tr>
      <w:tr w14:paraId="51233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664" w:type="dxa"/>
            <w:shd w:val="clear" w:color="auto" w:fill="auto"/>
            <w:vAlign w:val="center"/>
          </w:tcPr>
          <w:p w14:paraId="4AF106D2">
            <w:pPr>
              <w:spacing w:line="440" w:lineRule="exact"/>
              <w:jc w:val="center"/>
              <w:rPr>
                <w:rFonts w:ascii="宋体" w:hAnsi="宋体" w:eastAsia="宋体" w:cs="宋体"/>
                <w:sz w:val="24"/>
                <w:szCs w:val="24"/>
              </w:rPr>
            </w:pPr>
            <w:r>
              <w:rPr>
                <w:rFonts w:hint="eastAsia" w:ascii="宋体" w:hAnsi="宋体" w:eastAsia="宋体" w:cs="宋体"/>
                <w:sz w:val="24"/>
                <w:szCs w:val="24"/>
              </w:rPr>
              <w:t>注册地址</w:t>
            </w:r>
          </w:p>
        </w:tc>
        <w:tc>
          <w:tcPr>
            <w:tcW w:w="7339" w:type="dxa"/>
            <w:gridSpan w:val="3"/>
            <w:shd w:val="clear" w:color="auto" w:fill="auto"/>
            <w:vAlign w:val="center"/>
          </w:tcPr>
          <w:p w14:paraId="454B23AD">
            <w:pPr>
              <w:spacing w:line="440" w:lineRule="exact"/>
              <w:jc w:val="center"/>
              <w:rPr>
                <w:rFonts w:ascii="宋体" w:hAnsi="宋体" w:eastAsia="宋体" w:cs="宋体"/>
                <w:sz w:val="24"/>
                <w:szCs w:val="24"/>
              </w:rPr>
            </w:pPr>
          </w:p>
        </w:tc>
      </w:tr>
      <w:tr w14:paraId="1AF3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1664" w:type="dxa"/>
            <w:shd w:val="clear" w:color="auto" w:fill="auto"/>
            <w:vAlign w:val="center"/>
          </w:tcPr>
          <w:p w14:paraId="2DA48C86">
            <w:pPr>
              <w:spacing w:line="440" w:lineRule="exact"/>
              <w:jc w:val="center"/>
              <w:rPr>
                <w:rFonts w:ascii="宋体" w:hAnsi="宋体" w:eastAsia="宋体" w:cs="宋体"/>
                <w:sz w:val="24"/>
                <w:szCs w:val="24"/>
              </w:rPr>
            </w:pPr>
            <w:r>
              <w:rPr>
                <w:rFonts w:hint="eastAsia" w:ascii="宋体" w:hAnsi="宋体" w:eastAsia="宋体" w:cs="宋体"/>
                <w:sz w:val="24"/>
                <w:szCs w:val="24"/>
              </w:rPr>
              <w:t>企业类型</w:t>
            </w:r>
          </w:p>
          <w:p w14:paraId="3C278A76">
            <w:pPr>
              <w:spacing w:line="440" w:lineRule="exact"/>
              <w:jc w:val="center"/>
              <w:rPr>
                <w:rFonts w:ascii="宋体" w:hAnsi="宋体" w:eastAsia="宋体" w:cs="宋体"/>
                <w:sz w:val="24"/>
                <w:szCs w:val="24"/>
              </w:rPr>
            </w:pPr>
            <w:r>
              <w:rPr>
                <w:rFonts w:hint="eastAsia" w:ascii="宋体" w:hAnsi="宋体" w:eastAsia="宋体" w:cs="宋体"/>
                <w:sz w:val="24"/>
                <w:szCs w:val="24"/>
              </w:rPr>
              <w:t>（请勾选）</w:t>
            </w:r>
          </w:p>
        </w:tc>
        <w:tc>
          <w:tcPr>
            <w:tcW w:w="7339" w:type="dxa"/>
            <w:gridSpan w:val="3"/>
            <w:shd w:val="clear" w:color="auto" w:fill="auto"/>
            <w:vAlign w:val="center"/>
          </w:tcPr>
          <w:p w14:paraId="2608352D">
            <w:pPr>
              <w:spacing w:line="440" w:lineRule="exact"/>
              <w:jc w:val="center"/>
              <w:rPr>
                <w:rFonts w:ascii="宋体" w:hAnsi="宋体" w:eastAsia="宋体" w:cs="宋体"/>
                <w:sz w:val="24"/>
                <w:szCs w:val="24"/>
              </w:rPr>
            </w:pPr>
            <w:r>
              <w:rPr>
                <w:rFonts w:hint="eastAsia" w:ascii="宋体" w:hAnsi="宋体" w:eastAsia="宋体" w:cs="宋体"/>
                <w:sz w:val="24"/>
                <w:szCs w:val="24"/>
              </w:rPr>
              <w:t>□大型企业  □中型企业  □小型企业  □微型企业</w:t>
            </w:r>
          </w:p>
        </w:tc>
      </w:tr>
      <w:tr w14:paraId="761C3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1664" w:type="dxa"/>
            <w:shd w:val="clear" w:color="auto" w:fill="auto"/>
            <w:vAlign w:val="center"/>
          </w:tcPr>
          <w:p w14:paraId="360EA022">
            <w:pPr>
              <w:spacing w:line="440" w:lineRule="exact"/>
              <w:jc w:val="center"/>
              <w:rPr>
                <w:rFonts w:ascii="宋体" w:hAnsi="宋体" w:eastAsia="宋体" w:cs="宋体"/>
                <w:sz w:val="24"/>
                <w:szCs w:val="24"/>
              </w:rPr>
            </w:pPr>
            <w:r>
              <w:rPr>
                <w:rFonts w:hint="eastAsia" w:ascii="宋体" w:hAnsi="宋体" w:eastAsia="宋体" w:cs="宋体"/>
                <w:sz w:val="24"/>
                <w:szCs w:val="24"/>
              </w:rPr>
              <w:t>所投产品属性</w:t>
            </w:r>
          </w:p>
          <w:p w14:paraId="0B76B59C">
            <w:pPr>
              <w:spacing w:line="440" w:lineRule="exact"/>
              <w:jc w:val="center"/>
              <w:rPr>
                <w:rFonts w:ascii="宋体" w:hAnsi="宋体" w:eastAsia="宋体" w:cs="宋体"/>
                <w:sz w:val="24"/>
                <w:szCs w:val="24"/>
              </w:rPr>
            </w:pPr>
            <w:r>
              <w:rPr>
                <w:rFonts w:hint="eastAsia" w:ascii="宋体" w:hAnsi="宋体" w:eastAsia="宋体" w:cs="宋体"/>
                <w:sz w:val="24"/>
                <w:szCs w:val="24"/>
              </w:rPr>
              <w:t>（请勾选）</w:t>
            </w:r>
          </w:p>
        </w:tc>
        <w:tc>
          <w:tcPr>
            <w:tcW w:w="7339" w:type="dxa"/>
            <w:gridSpan w:val="3"/>
            <w:shd w:val="clear" w:color="auto" w:fill="auto"/>
            <w:vAlign w:val="center"/>
          </w:tcPr>
          <w:p w14:paraId="50865AB0">
            <w:pPr>
              <w:spacing w:line="440" w:lineRule="exact"/>
              <w:jc w:val="center"/>
              <w:rPr>
                <w:rFonts w:ascii="宋体" w:hAnsi="宋体" w:eastAsia="宋体" w:cs="宋体"/>
                <w:sz w:val="24"/>
                <w:szCs w:val="24"/>
              </w:rPr>
            </w:pPr>
            <w:r>
              <w:rPr>
                <w:rFonts w:hint="eastAsia" w:ascii="宋体" w:hAnsi="宋体" w:eastAsia="宋体" w:cs="宋体"/>
                <w:sz w:val="24"/>
                <w:szCs w:val="24"/>
              </w:rPr>
              <w:t>□节能  □节水  □环保  □节能环保  □节水环保</w:t>
            </w:r>
          </w:p>
          <w:p w14:paraId="3957DAF9">
            <w:pPr>
              <w:spacing w:line="440" w:lineRule="exact"/>
              <w:jc w:val="center"/>
              <w:rPr>
                <w:rFonts w:ascii="宋体" w:hAnsi="宋体" w:eastAsia="宋体" w:cs="宋体"/>
                <w:sz w:val="24"/>
                <w:szCs w:val="24"/>
              </w:rPr>
            </w:pPr>
            <w:r>
              <w:rPr>
                <w:rFonts w:hint="eastAsia" w:ascii="宋体" w:hAnsi="宋体" w:eastAsia="宋体" w:cs="宋体"/>
                <w:sz w:val="24"/>
                <w:szCs w:val="24"/>
              </w:rPr>
              <w:t>□普通产品（即非节能节水环保产品）</w:t>
            </w:r>
          </w:p>
        </w:tc>
      </w:tr>
      <w:tr w14:paraId="5B2BF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664" w:type="dxa"/>
            <w:shd w:val="clear" w:color="auto" w:fill="auto"/>
            <w:vAlign w:val="center"/>
          </w:tcPr>
          <w:p w14:paraId="12B89D98">
            <w:pPr>
              <w:spacing w:line="440" w:lineRule="exact"/>
              <w:jc w:val="center"/>
              <w:rPr>
                <w:rFonts w:ascii="宋体" w:hAnsi="宋体" w:eastAsia="宋体" w:cs="宋体"/>
                <w:sz w:val="24"/>
                <w:szCs w:val="24"/>
              </w:rPr>
            </w:pPr>
            <w:r>
              <w:rPr>
                <w:rFonts w:hint="eastAsia" w:ascii="宋体" w:hAnsi="宋体" w:eastAsia="宋体" w:cs="宋体"/>
                <w:sz w:val="24"/>
                <w:szCs w:val="24"/>
              </w:rPr>
              <w:t>授权代表姓名</w:t>
            </w:r>
          </w:p>
        </w:tc>
        <w:tc>
          <w:tcPr>
            <w:tcW w:w="2446" w:type="dxa"/>
            <w:shd w:val="clear" w:color="auto" w:fill="auto"/>
            <w:vAlign w:val="center"/>
          </w:tcPr>
          <w:p w14:paraId="4FA8AD4A">
            <w:pPr>
              <w:spacing w:line="440" w:lineRule="exact"/>
              <w:jc w:val="center"/>
              <w:rPr>
                <w:rFonts w:ascii="宋体" w:hAnsi="宋体" w:eastAsia="宋体" w:cs="宋体"/>
                <w:sz w:val="24"/>
                <w:szCs w:val="24"/>
              </w:rPr>
            </w:pPr>
          </w:p>
        </w:tc>
        <w:tc>
          <w:tcPr>
            <w:tcW w:w="2447" w:type="dxa"/>
            <w:shd w:val="clear" w:color="auto" w:fill="auto"/>
            <w:vAlign w:val="center"/>
          </w:tcPr>
          <w:p w14:paraId="14FA0E82">
            <w:pPr>
              <w:spacing w:line="440" w:lineRule="exact"/>
              <w:jc w:val="center"/>
              <w:rPr>
                <w:rFonts w:ascii="宋体" w:hAnsi="宋体" w:eastAsia="宋体" w:cs="宋体"/>
                <w:sz w:val="24"/>
                <w:szCs w:val="24"/>
              </w:rPr>
            </w:pPr>
            <w:r>
              <w:rPr>
                <w:rFonts w:hint="eastAsia" w:ascii="宋体" w:hAnsi="宋体" w:eastAsia="宋体" w:cs="宋体"/>
                <w:sz w:val="24"/>
                <w:szCs w:val="24"/>
              </w:rPr>
              <w:t>手机号码</w:t>
            </w:r>
          </w:p>
        </w:tc>
        <w:tc>
          <w:tcPr>
            <w:tcW w:w="2446" w:type="dxa"/>
            <w:shd w:val="clear" w:color="auto" w:fill="auto"/>
            <w:vAlign w:val="center"/>
          </w:tcPr>
          <w:p w14:paraId="214A7E2B">
            <w:pPr>
              <w:spacing w:line="440" w:lineRule="exact"/>
              <w:jc w:val="center"/>
              <w:rPr>
                <w:rFonts w:ascii="宋体" w:hAnsi="宋体" w:eastAsia="宋体" w:cs="宋体"/>
                <w:sz w:val="24"/>
                <w:szCs w:val="24"/>
              </w:rPr>
            </w:pPr>
          </w:p>
        </w:tc>
      </w:tr>
    </w:tbl>
    <w:p w14:paraId="4BC3383E">
      <w:pPr>
        <w:pStyle w:val="2"/>
        <w:kinsoku w:val="0"/>
        <w:overflowPunct w:val="0"/>
        <w:spacing w:after="0" w:line="360" w:lineRule="auto"/>
        <w:ind w:firstLine="420" w:firstLineChars="200"/>
        <w:rPr>
          <w:rFonts w:ascii="宋体" w:hAnsi="宋体" w:eastAsia="宋体" w:cs="宋体"/>
        </w:rPr>
      </w:pPr>
    </w:p>
    <w:p w14:paraId="3850C988">
      <w:pPr>
        <w:spacing w:line="360" w:lineRule="auto"/>
        <w:ind w:firstLine="420" w:firstLineChars="200"/>
        <w:rPr>
          <w:rFonts w:ascii="宋体" w:hAnsi="宋体" w:eastAsia="宋体" w:cs="宋体"/>
          <w:szCs w:val="21"/>
          <w:u w:color="FF0000"/>
        </w:rPr>
      </w:pPr>
    </w:p>
    <w:p w14:paraId="1D6225B8">
      <w:pPr>
        <w:spacing w:line="360" w:lineRule="auto"/>
        <w:ind w:firstLine="480" w:firstLineChars="200"/>
        <w:rPr>
          <w:rFonts w:ascii="宋体" w:hAnsi="宋体" w:eastAsia="宋体" w:cs="宋体"/>
          <w:sz w:val="24"/>
          <w:szCs w:val="24"/>
          <w:u w:color="FF0000"/>
        </w:rPr>
      </w:pPr>
    </w:p>
    <w:p w14:paraId="4412E443">
      <w:pPr>
        <w:rPr>
          <w:rFonts w:ascii="宋体" w:hAnsi="宋体" w:eastAsia="宋体" w:cs="宋体"/>
          <w:sz w:val="24"/>
          <w:szCs w:val="24"/>
          <w:u w:color="FF0000"/>
        </w:rPr>
      </w:pPr>
      <w:r>
        <w:rPr>
          <w:rFonts w:hint="eastAsia" w:ascii="宋体" w:hAnsi="宋体" w:eastAsia="宋体" w:cs="宋体"/>
          <w:sz w:val="24"/>
          <w:szCs w:val="24"/>
          <w:u w:color="FF0000"/>
        </w:rPr>
        <w:br w:type="page"/>
      </w:r>
    </w:p>
    <w:p w14:paraId="4BE44B32">
      <w:pPr>
        <w:spacing w:line="360" w:lineRule="auto"/>
        <w:rPr>
          <w:rFonts w:ascii="宋体" w:hAnsi="宋体" w:eastAsia="宋体" w:cs="宋体"/>
          <w:sz w:val="24"/>
          <w:szCs w:val="24"/>
          <w:u w:color="FF0000"/>
        </w:rPr>
      </w:pPr>
      <w:r>
        <w:rPr>
          <w:rFonts w:hint="eastAsia" w:ascii="宋体" w:hAnsi="宋体" w:eastAsia="宋体" w:cs="宋体"/>
          <w:sz w:val="24"/>
          <w:szCs w:val="24"/>
          <w:u w:color="FF0000"/>
        </w:rPr>
        <w:t>其他投标人认为需要提供的内容...</w:t>
      </w:r>
    </w:p>
    <w:bookmarkEnd w:id="25"/>
    <w:bookmarkEnd w:id="26"/>
    <w:bookmarkEnd w:id="27"/>
    <w:bookmarkEnd w:id="28"/>
    <w:p w14:paraId="7BAAABEB">
      <w:pPr>
        <w:widowControl/>
        <w:jc w:val="left"/>
        <w:rPr>
          <w:rFonts w:ascii="宋体" w:hAnsi="宋体" w:eastAsia="宋体" w:cs="宋体"/>
          <w:sz w:val="24"/>
          <w:szCs w:val="24"/>
          <w:u w:color="000000"/>
        </w:rPr>
      </w:pPr>
    </w:p>
    <w:sectPr>
      <w:headerReference r:id="rId6" w:type="default"/>
      <w:footerReference r:id="rId7" w:type="default"/>
      <w:pgSz w:w="11906" w:h="16838"/>
      <w:pgMar w:top="1418" w:right="1418"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5ED4B">
    <w:pPr>
      <w:pStyle w:val="16"/>
      <w:jc w:val="center"/>
      <w:rPr>
        <w:rFonts w:ascii="Times New Roman" w:hAnsi="Times New Roman" w:cs="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F90A7">
    <w:pPr>
      <w:pStyle w:val="16"/>
      <w:jc w:val="center"/>
      <w:rPr>
        <w:rFonts w:ascii="Times New Roman" w:hAnsi="Times New Roman" w:cs="Times New Roman"/>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830E95">
                          <w:pPr>
                            <w:pStyle w:val="16"/>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1830E95">
                    <w:pPr>
                      <w:pStyle w:val="16"/>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761AF">
    <w:pPr>
      <w:pStyle w:val="16"/>
      <w:jc w:val="center"/>
      <w:rPr>
        <w:rFonts w:ascii="Times New Roman" w:hAnsi="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B5B403">
                          <w:pPr>
                            <w:pStyle w:val="16"/>
                            <w:jc w:val="center"/>
                          </w:pPr>
                          <w:r>
                            <w:rPr>
                              <w:rFonts w:ascii="Times New Roman" w:hAnsi="Times New Roman" w:cs="Times New Roman"/>
                              <w:sz w:val="21"/>
                              <w:szCs w:val="21"/>
                            </w:rPr>
                            <w:t>第</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Arabic  \* MERGEFORMAT </w:instrText>
                          </w:r>
                          <w:r>
                            <w:rPr>
                              <w:rFonts w:ascii="Times New Roman" w:hAnsi="Times New Roman" w:cs="Times New Roman"/>
                              <w:sz w:val="21"/>
                              <w:szCs w:val="21"/>
                            </w:rPr>
                            <w:fldChar w:fldCharType="separate"/>
                          </w:r>
                          <w:r>
                            <w:rPr>
                              <w:rFonts w:ascii="Times New Roman" w:hAnsi="Times New Roman" w:cs="Times New Roman"/>
                              <w:sz w:val="21"/>
                              <w:szCs w:val="21"/>
                            </w:rPr>
                            <w:t>30</w:t>
                          </w:r>
                          <w:r>
                            <w:rPr>
                              <w:rFonts w:ascii="Times New Roman" w:hAnsi="Times New Roman" w:cs="Times New Roman"/>
                              <w:sz w:val="21"/>
                              <w:szCs w:val="21"/>
                            </w:rPr>
                            <w:fldChar w:fldCharType="end"/>
                          </w:r>
                          <w:r>
                            <w:rPr>
                              <w:rFonts w:ascii="Times New Roman" w:hAnsi="Times New Roman" w:cs="Times New Roman"/>
                              <w:sz w:val="21"/>
                              <w:szCs w:val="21"/>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EB5B403">
                    <w:pPr>
                      <w:pStyle w:val="16"/>
                      <w:jc w:val="center"/>
                    </w:pPr>
                    <w:r>
                      <w:rPr>
                        <w:rFonts w:ascii="Times New Roman" w:hAnsi="Times New Roman" w:cs="Times New Roman"/>
                        <w:sz w:val="21"/>
                        <w:szCs w:val="21"/>
                      </w:rPr>
                      <w:t>第</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Arabic  \* MERGEFORMAT </w:instrText>
                    </w:r>
                    <w:r>
                      <w:rPr>
                        <w:rFonts w:ascii="Times New Roman" w:hAnsi="Times New Roman" w:cs="Times New Roman"/>
                        <w:sz w:val="21"/>
                        <w:szCs w:val="21"/>
                      </w:rPr>
                      <w:fldChar w:fldCharType="separate"/>
                    </w:r>
                    <w:r>
                      <w:rPr>
                        <w:rFonts w:ascii="Times New Roman" w:hAnsi="Times New Roman" w:cs="Times New Roman"/>
                        <w:sz w:val="21"/>
                        <w:szCs w:val="21"/>
                      </w:rPr>
                      <w:t>30</w:t>
                    </w:r>
                    <w:r>
                      <w:rPr>
                        <w:rFonts w:ascii="Times New Roman" w:hAnsi="Times New Roman" w:cs="Times New Roman"/>
                        <w:sz w:val="21"/>
                        <w:szCs w:val="21"/>
                      </w:rPr>
                      <w:fldChar w:fldCharType="end"/>
                    </w:r>
                    <w:r>
                      <w:rPr>
                        <w:rFonts w:ascii="Times New Roman" w:hAnsi="Times New Roman" w:cs="Times New Roman"/>
                        <w:sz w:val="21"/>
                        <w:szCs w:val="21"/>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B4FDF">
    <w:pPr>
      <w:pStyle w:val="18"/>
      <w:jc w:val="right"/>
      <w:rPr>
        <w:rFonts w:ascii="Times New Roman" w:hAnsi="Times New Roman" w:cs="Times New Roman"/>
        <w:sz w:val="21"/>
        <w:szCs w:val="21"/>
      </w:rPr>
    </w:pPr>
    <w:r>
      <w:rPr>
        <w:rFonts w:hint="eastAsia" w:ascii="Times New Roman" w:hAnsi="Times New Roman" w:cs="Times New Roman"/>
        <w:sz w:val="21"/>
        <w:lang w:eastAsia="zh-CN"/>
      </w:rPr>
      <w:t>南京邮电大学通达学院2025年5月-2027年5月电梯维保服务采购</w:t>
    </w:r>
    <w:r>
      <w:rPr>
        <w:rFonts w:hint="eastAsia" w:ascii="Times New Roman" w:hAnsi="Times New Roman" w:cs="Times New Roman"/>
        <w:sz w:val="21"/>
      </w:rPr>
      <w:t>项目</w:t>
    </w:r>
    <w:r>
      <w:rPr>
        <w:rFonts w:ascii="Times New Roman" w:hAnsi="Times New Roman" w:cs="Times New Roman"/>
        <w:sz w:val="21"/>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01F11">
    <w:pPr>
      <w:pStyle w:val="18"/>
      <w:jc w:val="right"/>
      <w:rPr>
        <w:rFonts w:ascii="Times New Roman" w:hAnsi="Times New Roman" w:cs="Times New Roman"/>
      </w:rPr>
    </w:pPr>
    <w:r>
      <w:rPr>
        <w:rFonts w:hint="eastAsia" w:ascii="Times New Roman" w:hAnsi="Times New Roman" w:cs="Times New Roman"/>
        <w:sz w:val="21"/>
        <w:lang w:eastAsia="zh-CN"/>
      </w:rPr>
      <w:t>南京邮电大学通达学院2025年5月-2027年5月电梯维保服务采购</w:t>
    </w:r>
    <w:r>
      <w:rPr>
        <w:rFonts w:hint="eastAsia" w:ascii="Times New Roman" w:hAnsi="Times New Roman" w:cs="Times New Roman"/>
        <w:sz w:val="21"/>
      </w:rPr>
      <w:t>项目</w:t>
    </w:r>
    <w:r>
      <w:rPr>
        <w:rFonts w:ascii="Times New Roman" w:hAnsi="Times New Roman" w:cs="Times New Roman"/>
        <w:sz w:val="21"/>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136774"/>
    <w:multiLevelType w:val="singleLevel"/>
    <w:tmpl w:val="9C136774"/>
    <w:lvl w:ilvl="0" w:tentative="0">
      <w:start w:val="4"/>
      <w:numFmt w:val="chineseCounting"/>
      <w:suff w:val="space"/>
      <w:lvlText w:val="第%1章"/>
      <w:lvlJc w:val="left"/>
      <w:rPr>
        <w:rFonts w:hint="eastAsia"/>
      </w:rPr>
    </w:lvl>
  </w:abstractNum>
  <w:abstractNum w:abstractNumId="1">
    <w:nsid w:val="F55346D3"/>
    <w:multiLevelType w:val="singleLevel"/>
    <w:tmpl w:val="F55346D3"/>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jMDZlM2M4NDdjYWZkN2NkNjk3MjM2MGEyYmQ1YzcifQ=="/>
    <w:docVar w:name="KSO_WPS_MARK_KEY" w:val="ebfea73d-bd20-456b-9368-2d789621f607"/>
  </w:docVars>
  <w:rsids>
    <w:rsidRoot w:val="00D17229"/>
    <w:rsid w:val="000017D3"/>
    <w:rsid w:val="000022EF"/>
    <w:rsid w:val="000031D8"/>
    <w:rsid w:val="00005096"/>
    <w:rsid w:val="000056D9"/>
    <w:rsid w:val="000056E1"/>
    <w:rsid w:val="00006D84"/>
    <w:rsid w:val="00011C0C"/>
    <w:rsid w:val="00012CB3"/>
    <w:rsid w:val="000136D5"/>
    <w:rsid w:val="000138F2"/>
    <w:rsid w:val="000177AE"/>
    <w:rsid w:val="00020746"/>
    <w:rsid w:val="00021785"/>
    <w:rsid w:val="00022EE9"/>
    <w:rsid w:val="000243B6"/>
    <w:rsid w:val="0002477E"/>
    <w:rsid w:val="0002551A"/>
    <w:rsid w:val="00025649"/>
    <w:rsid w:val="00027040"/>
    <w:rsid w:val="0003047D"/>
    <w:rsid w:val="00031DD4"/>
    <w:rsid w:val="0003270F"/>
    <w:rsid w:val="00033710"/>
    <w:rsid w:val="00034684"/>
    <w:rsid w:val="00035C7F"/>
    <w:rsid w:val="0003780A"/>
    <w:rsid w:val="00041ECF"/>
    <w:rsid w:val="00042B97"/>
    <w:rsid w:val="0004378F"/>
    <w:rsid w:val="000519F3"/>
    <w:rsid w:val="00051C12"/>
    <w:rsid w:val="00051FF7"/>
    <w:rsid w:val="000529A7"/>
    <w:rsid w:val="00052F06"/>
    <w:rsid w:val="00055251"/>
    <w:rsid w:val="00057F21"/>
    <w:rsid w:val="00060CBE"/>
    <w:rsid w:val="00061742"/>
    <w:rsid w:val="00063293"/>
    <w:rsid w:val="00064072"/>
    <w:rsid w:val="00064B14"/>
    <w:rsid w:val="000654F4"/>
    <w:rsid w:val="00067BF9"/>
    <w:rsid w:val="00070161"/>
    <w:rsid w:val="00071D24"/>
    <w:rsid w:val="000733DD"/>
    <w:rsid w:val="0007376B"/>
    <w:rsid w:val="00074A07"/>
    <w:rsid w:val="00075C4E"/>
    <w:rsid w:val="00075C6A"/>
    <w:rsid w:val="00077862"/>
    <w:rsid w:val="00077C90"/>
    <w:rsid w:val="000818B3"/>
    <w:rsid w:val="000823B6"/>
    <w:rsid w:val="00082AA9"/>
    <w:rsid w:val="00083208"/>
    <w:rsid w:val="0008394A"/>
    <w:rsid w:val="000841BE"/>
    <w:rsid w:val="000847FF"/>
    <w:rsid w:val="00085C2A"/>
    <w:rsid w:val="00086855"/>
    <w:rsid w:val="00087768"/>
    <w:rsid w:val="0009049D"/>
    <w:rsid w:val="00090E2D"/>
    <w:rsid w:val="00090E45"/>
    <w:rsid w:val="00091794"/>
    <w:rsid w:val="0009742B"/>
    <w:rsid w:val="000977F6"/>
    <w:rsid w:val="000A0BDB"/>
    <w:rsid w:val="000A1531"/>
    <w:rsid w:val="000A24F8"/>
    <w:rsid w:val="000A721E"/>
    <w:rsid w:val="000B15BC"/>
    <w:rsid w:val="000B1A64"/>
    <w:rsid w:val="000B1C64"/>
    <w:rsid w:val="000B370E"/>
    <w:rsid w:val="000B5784"/>
    <w:rsid w:val="000C17DB"/>
    <w:rsid w:val="000C4D61"/>
    <w:rsid w:val="000C5960"/>
    <w:rsid w:val="000D0593"/>
    <w:rsid w:val="000D394A"/>
    <w:rsid w:val="000D5167"/>
    <w:rsid w:val="000E2443"/>
    <w:rsid w:val="000E40F0"/>
    <w:rsid w:val="000E5CA9"/>
    <w:rsid w:val="000E5D3A"/>
    <w:rsid w:val="000F0A11"/>
    <w:rsid w:val="000F1704"/>
    <w:rsid w:val="000F28A9"/>
    <w:rsid w:val="000F29AA"/>
    <w:rsid w:val="000F3038"/>
    <w:rsid w:val="000F4052"/>
    <w:rsid w:val="000F5248"/>
    <w:rsid w:val="000F6EF7"/>
    <w:rsid w:val="000F7662"/>
    <w:rsid w:val="000F7EFA"/>
    <w:rsid w:val="00101ED5"/>
    <w:rsid w:val="001041C8"/>
    <w:rsid w:val="001061CB"/>
    <w:rsid w:val="00106F06"/>
    <w:rsid w:val="00110081"/>
    <w:rsid w:val="00110CFB"/>
    <w:rsid w:val="001153B6"/>
    <w:rsid w:val="001211A1"/>
    <w:rsid w:val="001211F5"/>
    <w:rsid w:val="00121E0C"/>
    <w:rsid w:val="00122553"/>
    <w:rsid w:val="0012333F"/>
    <w:rsid w:val="00125E7A"/>
    <w:rsid w:val="00126333"/>
    <w:rsid w:val="00126F74"/>
    <w:rsid w:val="001273C6"/>
    <w:rsid w:val="00134ACB"/>
    <w:rsid w:val="00137345"/>
    <w:rsid w:val="001377E4"/>
    <w:rsid w:val="001401FB"/>
    <w:rsid w:val="001405B1"/>
    <w:rsid w:val="0014080E"/>
    <w:rsid w:val="0014146B"/>
    <w:rsid w:val="001435C0"/>
    <w:rsid w:val="0014418D"/>
    <w:rsid w:val="001501CB"/>
    <w:rsid w:val="001512A0"/>
    <w:rsid w:val="00152247"/>
    <w:rsid w:val="00156C30"/>
    <w:rsid w:val="001576D3"/>
    <w:rsid w:val="001624C7"/>
    <w:rsid w:val="00164B11"/>
    <w:rsid w:val="00164C1F"/>
    <w:rsid w:val="0017080F"/>
    <w:rsid w:val="0017171C"/>
    <w:rsid w:val="001717C1"/>
    <w:rsid w:val="00171CA7"/>
    <w:rsid w:val="001724E1"/>
    <w:rsid w:val="001727F4"/>
    <w:rsid w:val="00173C7E"/>
    <w:rsid w:val="00174139"/>
    <w:rsid w:val="001760AB"/>
    <w:rsid w:val="001769F4"/>
    <w:rsid w:val="001810D4"/>
    <w:rsid w:val="001857CA"/>
    <w:rsid w:val="001869BD"/>
    <w:rsid w:val="00190DBD"/>
    <w:rsid w:val="00192802"/>
    <w:rsid w:val="00195465"/>
    <w:rsid w:val="00195931"/>
    <w:rsid w:val="00196C25"/>
    <w:rsid w:val="00196F5A"/>
    <w:rsid w:val="001A049E"/>
    <w:rsid w:val="001A054F"/>
    <w:rsid w:val="001A5D25"/>
    <w:rsid w:val="001B033E"/>
    <w:rsid w:val="001B1F27"/>
    <w:rsid w:val="001B6844"/>
    <w:rsid w:val="001C01D0"/>
    <w:rsid w:val="001C080E"/>
    <w:rsid w:val="001C19FF"/>
    <w:rsid w:val="001C1CA1"/>
    <w:rsid w:val="001C2329"/>
    <w:rsid w:val="001C2F31"/>
    <w:rsid w:val="001C394B"/>
    <w:rsid w:val="001C6630"/>
    <w:rsid w:val="001C6A24"/>
    <w:rsid w:val="001D0C4E"/>
    <w:rsid w:val="001D26C9"/>
    <w:rsid w:val="001D40E3"/>
    <w:rsid w:val="001D4F9C"/>
    <w:rsid w:val="001D6E90"/>
    <w:rsid w:val="001E2BFC"/>
    <w:rsid w:val="001E5FB5"/>
    <w:rsid w:val="001E711D"/>
    <w:rsid w:val="001F06C5"/>
    <w:rsid w:val="001F154A"/>
    <w:rsid w:val="001F1A04"/>
    <w:rsid w:val="001F3E71"/>
    <w:rsid w:val="001F5348"/>
    <w:rsid w:val="001F553F"/>
    <w:rsid w:val="001F6616"/>
    <w:rsid w:val="002022F4"/>
    <w:rsid w:val="00204F29"/>
    <w:rsid w:val="002060D9"/>
    <w:rsid w:val="002114D6"/>
    <w:rsid w:val="00211FBE"/>
    <w:rsid w:val="00213E33"/>
    <w:rsid w:val="00217026"/>
    <w:rsid w:val="00220B2D"/>
    <w:rsid w:val="00223BEB"/>
    <w:rsid w:val="00223DC9"/>
    <w:rsid w:val="00225B81"/>
    <w:rsid w:val="00226B8F"/>
    <w:rsid w:val="00227613"/>
    <w:rsid w:val="0023233F"/>
    <w:rsid w:val="00232A96"/>
    <w:rsid w:val="002356AB"/>
    <w:rsid w:val="002371AE"/>
    <w:rsid w:val="00237254"/>
    <w:rsid w:val="00237700"/>
    <w:rsid w:val="00241588"/>
    <w:rsid w:val="0024346F"/>
    <w:rsid w:val="002434F2"/>
    <w:rsid w:val="00255A1C"/>
    <w:rsid w:val="00255C42"/>
    <w:rsid w:val="00255DCD"/>
    <w:rsid w:val="00255F0D"/>
    <w:rsid w:val="00257273"/>
    <w:rsid w:val="002603C3"/>
    <w:rsid w:val="00260626"/>
    <w:rsid w:val="002652A7"/>
    <w:rsid w:val="00267CF4"/>
    <w:rsid w:val="0027152D"/>
    <w:rsid w:val="00271948"/>
    <w:rsid w:val="00271E99"/>
    <w:rsid w:val="00272F19"/>
    <w:rsid w:val="00274370"/>
    <w:rsid w:val="00274DB5"/>
    <w:rsid w:val="00276455"/>
    <w:rsid w:val="00280795"/>
    <w:rsid w:val="00282712"/>
    <w:rsid w:val="0028294F"/>
    <w:rsid w:val="00282DB2"/>
    <w:rsid w:val="00282E2B"/>
    <w:rsid w:val="00284433"/>
    <w:rsid w:val="002852E4"/>
    <w:rsid w:val="002855FB"/>
    <w:rsid w:val="00285883"/>
    <w:rsid w:val="0028597D"/>
    <w:rsid w:val="00285E94"/>
    <w:rsid w:val="00287B18"/>
    <w:rsid w:val="002934A2"/>
    <w:rsid w:val="00293F58"/>
    <w:rsid w:val="00295012"/>
    <w:rsid w:val="00295A8D"/>
    <w:rsid w:val="00296FA2"/>
    <w:rsid w:val="00297A13"/>
    <w:rsid w:val="00297CF8"/>
    <w:rsid w:val="00297D7D"/>
    <w:rsid w:val="002A001A"/>
    <w:rsid w:val="002A0160"/>
    <w:rsid w:val="002A19D0"/>
    <w:rsid w:val="002A23C9"/>
    <w:rsid w:val="002A2B68"/>
    <w:rsid w:val="002A38E1"/>
    <w:rsid w:val="002A3902"/>
    <w:rsid w:val="002A3A8D"/>
    <w:rsid w:val="002A725D"/>
    <w:rsid w:val="002A7B58"/>
    <w:rsid w:val="002A7B5E"/>
    <w:rsid w:val="002B141F"/>
    <w:rsid w:val="002B2DD6"/>
    <w:rsid w:val="002B3C23"/>
    <w:rsid w:val="002B3E9D"/>
    <w:rsid w:val="002B4B51"/>
    <w:rsid w:val="002B5A10"/>
    <w:rsid w:val="002B5FA2"/>
    <w:rsid w:val="002C04A6"/>
    <w:rsid w:val="002C0B34"/>
    <w:rsid w:val="002C0F09"/>
    <w:rsid w:val="002C14C5"/>
    <w:rsid w:val="002C17D9"/>
    <w:rsid w:val="002C2F68"/>
    <w:rsid w:val="002C568F"/>
    <w:rsid w:val="002D1D9D"/>
    <w:rsid w:val="002D2076"/>
    <w:rsid w:val="002D266B"/>
    <w:rsid w:val="002D3BFF"/>
    <w:rsid w:val="002D4157"/>
    <w:rsid w:val="002D4AAC"/>
    <w:rsid w:val="002D5B39"/>
    <w:rsid w:val="002E16CD"/>
    <w:rsid w:val="002E6A01"/>
    <w:rsid w:val="002E7DDA"/>
    <w:rsid w:val="002F0AC0"/>
    <w:rsid w:val="002F36BD"/>
    <w:rsid w:val="002F37C1"/>
    <w:rsid w:val="002F3ABE"/>
    <w:rsid w:val="002F7A31"/>
    <w:rsid w:val="00302E57"/>
    <w:rsid w:val="00304A73"/>
    <w:rsid w:val="00305651"/>
    <w:rsid w:val="00312F7A"/>
    <w:rsid w:val="00313C03"/>
    <w:rsid w:val="00314D70"/>
    <w:rsid w:val="00315009"/>
    <w:rsid w:val="003176B9"/>
    <w:rsid w:val="00321C8E"/>
    <w:rsid w:val="00322E79"/>
    <w:rsid w:val="00324F65"/>
    <w:rsid w:val="003274B9"/>
    <w:rsid w:val="00333D35"/>
    <w:rsid w:val="0033460E"/>
    <w:rsid w:val="00340075"/>
    <w:rsid w:val="003405A1"/>
    <w:rsid w:val="00340657"/>
    <w:rsid w:val="00343DDF"/>
    <w:rsid w:val="0034502A"/>
    <w:rsid w:val="003453DF"/>
    <w:rsid w:val="00345EE9"/>
    <w:rsid w:val="003470C8"/>
    <w:rsid w:val="003526F5"/>
    <w:rsid w:val="00352DFA"/>
    <w:rsid w:val="00352F15"/>
    <w:rsid w:val="00353B35"/>
    <w:rsid w:val="0035446D"/>
    <w:rsid w:val="0035596A"/>
    <w:rsid w:val="00356F3F"/>
    <w:rsid w:val="00357288"/>
    <w:rsid w:val="003575A3"/>
    <w:rsid w:val="00364878"/>
    <w:rsid w:val="003659EF"/>
    <w:rsid w:val="003668F7"/>
    <w:rsid w:val="00371FF0"/>
    <w:rsid w:val="00372783"/>
    <w:rsid w:val="00372973"/>
    <w:rsid w:val="003746F1"/>
    <w:rsid w:val="00377CBF"/>
    <w:rsid w:val="0038057E"/>
    <w:rsid w:val="0038085B"/>
    <w:rsid w:val="003811AF"/>
    <w:rsid w:val="0038214E"/>
    <w:rsid w:val="00383FF1"/>
    <w:rsid w:val="00386FF7"/>
    <w:rsid w:val="00390C1B"/>
    <w:rsid w:val="00391B1F"/>
    <w:rsid w:val="00393A8B"/>
    <w:rsid w:val="0039544C"/>
    <w:rsid w:val="003955DD"/>
    <w:rsid w:val="003958B6"/>
    <w:rsid w:val="003A06BC"/>
    <w:rsid w:val="003A34B7"/>
    <w:rsid w:val="003B13B9"/>
    <w:rsid w:val="003B2BFB"/>
    <w:rsid w:val="003B3EB7"/>
    <w:rsid w:val="003B5C1C"/>
    <w:rsid w:val="003B5E39"/>
    <w:rsid w:val="003B6105"/>
    <w:rsid w:val="003B63A1"/>
    <w:rsid w:val="003B79B1"/>
    <w:rsid w:val="003C0334"/>
    <w:rsid w:val="003C08EB"/>
    <w:rsid w:val="003C3AAB"/>
    <w:rsid w:val="003C47E7"/>
    <w:rsid w:val="003D17A7"/>
    <w:rsid w:val="003D1A16"/>
    <w:rsid w:val="003D23C8"/>
    <w:rsid w:val="003D4745"/>
    <w:rsid w:val="003E482A"/>
    <w:rsid w:val="003E50A1"/>
    <w:rsid w:val="003E52AB"/>
    <w:rsid w:val="003E722A"/>
    <w:rsid w:val="003E7603"/>
    <w:rsid w:val="003F16D6"/>
    <w:rsid w:val="003F27A4"/>
    <w:rsid w:val="003F30FE"/>
    <w:rsid w:val="003F357F"/>
    <w:rsid w:val="003F3817"/>
    <w:rsid w:val="003F3C1E"/>
    <w:rsid w:val="003F3EAD"/>
    <w:rsid w:val="003F4815"/>
    <w:rsid w:val="003F560A"/>
    <w:rsid w:val="003F6B5C"/>
    <w:rsid w:val="003F7813"/>
    <w:rsid w:val="00400FF2"/>
    <w:rsid w:val="004024FC"/>
    <w:rsid w:val="00403BA9"/>
    <w:rsid w:val="00405454"/>
    <w:rsid w:val="004068F7"/>
    <w:rsid w:val="004112AB"/>
    <w:rsid w:val="00411354"/>
    <w:rsid w:val="00412E8E"/>
    <w:rsid w:val="00413316"/>
    <w:rsid w:val="00413F76"/>
    <w:rsid w:val="00413FB9"/>
    <w:rsid w:val="00414180"/>
    <w:rsid w:val="00414513"/>
    <w:rsid w:val="004150B4"/>
    <w:rsid w:val="004152B9"/>
    <w:rsid w:val="004169EA"/>
    <w:rsid w:val="00420274"/>
    <w:rsid w:val="00420EEF"/>
    <w:rsid w:val="004212E4"/>
    <w:rsid w:val="004216B5"/>
    <w:rsid w:val="00423E5E"/>
    <w:rsid w:val="00425681"/>
    <w:rsid w:val="00425D6C"/>
    <w:rsid w:val="00427193"/>
    <w:rsid w:val="00427855"/>
    <w:rsid w:val="00430650"/>
    <w:rsid w:val="004329BA"/>
    <w:rsid w:val="00434E02"/>
    <w:rsid w:val="00437B0E"/>
    <w:rsid w:val="0044129B"/>
    <w:rsid w:val="004424EF"/>
    <w:rsid w:val="0044282B"/>
    <w:rsid w:val="004433C7"/>
    <w:rsid w:val="00443675"/>
    <w:rsid w:val="004452F8"/>
    <w:rsid w:val="00450097"/>
    <w:rsid w:val="00451DBD"/>
    <w:rsid w:val="004521DA"/>
    <w:rsid w:val="004523D0"/>
    <w:rsid w:val="004527E1"/>
    <w:rsid w:val="00452BCD"/>
    <w:rsid w:val="00456760"/>
    <w:rsid w:val="00457A4F"/>
    <w:rsid w:val="00461AE8"/>
    <w:rsid w:val="004625C1"/>
    <w:rsid w:val="004641F1"/>
    <w:rsid w:val="00467381"/>
    <w:rsid w:val="00467451"/>
    <w:rsid w:val="004678BE"/>
    <w:rsid w:val="00470959"/>
    <w:rsid w:val="00471D8B"/>
    <w:rsid w:val="004724A1"/>
    <w:rsid w:val="00473234"/>
    <w:rsid w:val="00473BA3"/>
    <w:rsid w:val="00474A6B"/>
    <w:rsid w:val="00481E9F"/>
    <w:rsid w:val="00486130"/>
    <w:rsid w:val="00486BA8"/>
    <w:rsid w:val="00487D6E"/>
    <w:rsid w:val="00487EF5"/>
    <w:rsid w:val="00492B22"/>
    <w:rsid w:val="00494647"/>
    <w:rsid w:val="0049745C"/>
    <w:rsid w:val="00497726"/>
    <w:rsid w:val="00497B2E"/>
    <w:rsid w:val="00497E92"/>
    <w:rsid w:val="004A0B2D"/>
    <w:rsid w:val="004A1929"/>
    <w:rsid w:val="004A3472"/>
    <w:rsid w:val="004A49F0"/>
    <w:rsid w:val="004A5E73"/>
    <w:rsid w:val="004B13D2"/>
    <w:rsid w:val="004B36B9"/>
    <w:rsid w:val="004B3C67"/>
    <w:rsid w:val="004B637A"/>
    <w:rsid w:val="004B7673"/>
    <w:rsid w:val="004C1870"/>
    <w:rsid w:val="004C21C7"/>
    <w:rsid w:val="004C47A9"/>
    <w:rsid w:val="004C5B9C"/>
    <w:rsid w:val="004C762C"/>
    <w:rsid w:val="004C7AEE"/>
    <w:rsid w:val="004D07A8"/>
    <w:rsid w:val="004D2B8E"/>
    <w:rsid w:val="004D3765"/>
    <w:rsid w:val="004D4BE2"/>
    <w:rsid w:val="004D58C1"/>
    <w:rsid w:val="004D5AC3"/>
    <w:rsid w:val="004D7696"/>
    <w:rsid w:val="004E145D"/>
    <w:rsid w:val="004E1975"/>
    <w:rsid w:val="004E48DA"/>
    <w:rsid w:val="004E6F3B"/>
    <w:rsid w:val="004F02D2"/>
    <w:rsid w:val="004F1FC7"/>
    <w:rsid w:val="004F4326"/>
    <w:rsid w:val="004F6EE6"/>
    <w:rsid w:val="004F75A0"/>
    <w:rsid w:val="005004B1"/>
    <w:rsid w:val="00500823"/>
    <w:rsid w:val="00501412"/>
    <w:rsid w:val="00501877"/>
    <w:rsid w:val="00502C0C"/>
    <w:rsid w:val="00503971"/>
    <w:rsid w:val="00505E92"/>
    <w:rsid w:val="0050798D"/>
    <w:rsid w:val="0051287F"/>
    <w:rsid w:val="00512AED"/>
    <w:rsid w:val="00512DE6"/>
    <w:rsid w:val="00513BFA"/>
    <w:rsid w:val="0052238C"/>
    <w:rsid w:val="0052238F"/>
    <w:rsid w:val="0052308D"/>
    <w:rsid w:val="00524292"/>
    <w:rsid w:val="00525E16"/>
    <w:rsid w:val="005325CC"/>
    <w:rsid w:val="005342A4"/>
    <w:rsid w:val="00534C63"/>
    <w:rsid w:val="00536846"/>
    <w:rsid w:val="00540922"/>
    <w:rsid w:val="005438D1"/>
    <w:rsid w:val="00543CD1"/>
    <w:rsid w:val="00544C00"/>
    <w:rsid w:val="0054631B"/>
    <w:rsid w:val="0054744F"/>
    <w:rsid w:val="0054760E"/>
    <w:rsid w:val="0055016C"/>
    <w:rsid w:val="005522F2"/>
    <w:rsid w:val="005540D8"/>
    <w:rsid w:val="00557DC9"/>
    <w:rsid w:val="005635C9"/>
    <w:rsid w:val="005669FD"/>
    <w:rsid w:val="005675A5"/>
    <w:rsid w:val="00570959"/>
    <w:rsid w:val="00572357"/>
    <w:rsid w:val="005773A9"/>
    <w:rsid w:val="00577C8E"/>
    <w:rsid w:val="00582367"/>
    <w:rsid w:val="005823F5"/>
    <w:rsid w:val="0058395A"/>
    <w:rsid w:val="0058423D"/>
    <w:rsid w:val="00585A6E"/>
    <w:rsid w:val="005860E9"/>
    <w:rsid w:val="00590311"/>
    <w:rsid w:val="00590713"/>
    <w:rsid w:val="00590A1B"/>
    <w:rsid w:val="00590E0F"/>
    <w:rsid w:val="00592F21"/>
    <w:rsid w:val="005933FA"/>
    <w:rsid w:val="005943FD"/>
    <w:rsid w:val="005945AE"/>
    <w:rsid w:val="00594942"/>
    <w:rsid w:val="005968D1"/>
    <w:rsid w:val="005A04F3"/>
    <w:rsid w:val="005A10EC"/>
    <w:rsid w:val="005A12A8"/>
    <w:rsid w:val="005A41C0"/>
    <w:rsid w:val="005A45BD"/>
    <w:rsid w:val="005A47CE"/>
    <w:rsid w:val="005A52A9"/>
    <w:rsid w:val="005A6217"/>
    <w:rsid w:val="005A6481"/>
    <w:rsid w:val="005B0FEC"/>
    <w:rsid w:val="005B11EB"/>
    <w:rsid w:val="005B30ED"/>
    <w:rsid w:val="005B3470"/>
    <w:rsid w:val="005B37A1"/>
    <w:rsid w:val="005C0544"/>
    <w:rsid w:val="005C058A"/>
    <w:rsid w:val="005C0958"/>
    <w:rsid w:val="005C0A53"/>
    <w:rsid w:val="005C154F"/>
    <w:rsid w:val="005C1C9D"/>
    <w:rsid w:val="005C1EF4"/>
    <w:rsid w:val="005C2888"/>
    <w:rsid w:val="005C41A2"/>
    <w:rsid w:val="005C4E37"/>
    <w:rsid w:val="005C5156"/>
    <w:rsid w:val="005C60F3"/>
    <w:rsid w:val="005C67A2"/>
    <w:rsid w:val="005D1077"/>
    <w:rsid w:val="005D29E6"/>
    <w:rsid w:val="005D4F34"/>
    <w:rsid w:val="005D533D"/>
    <w:rsid w:val="005D5E5A"/>
    <w:rsid w:val="005D6AEC"/>
    <w:rsid w:val="005D7EE6"/>
    <w:rsid w:val="005E36C9"/>
    <w:rsid w:val="005E6044"/>
    <w:rsid w:val="005E63A8"/>
    <w:rsid w:val="005F14DA"/>
    <w:rsid w:val="005F257A"/>
    <w:rsid w:val="005F2B8A"/>
    <w:rsid w:val="005F3189"/>
    <w:rsid w:val="005F31AC"/>
    <w:rsid w:val="005F45B0"/>
    <w:rsid w:val="005F6414"/>
    <w:rsid w:val="005F6A89"/>
    <w:rsid w:val="005F6AFB"/>
    <w:rsid w:val="00600F96"/>
    <w:rsid w:val="00601664"/>
    <w:rsid w:val="00603A3D"/>
    <w:rsid w:val="00603C1D"/>
    <w:rsid w:val="00604373"/>
    <w:rsid w:val="0060641A"/>
    <w:rsid w:val="00606727"/>
    <w:rsid w:val="00612C15"/>
    <w:rsid w:val="006136E6"/>
    <w:rsid w:val="006143EA"/>
    <w:rsid w:val="0061553E"/>
    <w:rsid w:val="00616107"/>
    <w:rsid w:val="006235EE"/>
    <w:rsid w:val="006240C6"/>
    <w:rsid w:val="00627ED0"/>
    <w:rsid w:val="006302E2"/>
    <w:rsid w:val="00630438"/>
    <w:rsid w:val="00630AD6"/>
    <w:rsid w:val="00631C4B"/>
    <w:rsid w:val="006333FF"/>
    <w:rsid w:val="00634CFB"/>
    <w:rsid w:val="00635874"/>
    <w:rsid w:val="00642094"/>
    <w:rsid w:val="006424DB"/>
    <w:rsid w:val="00643A07"/>
    <w:rsid w:val="00644455"/>
    <w:rsid w:val="006470AE"/>
    <w:rsid w:val="006474FB"/>
    <w:rsid w:val="00651029"/>
    <w:rsid w:val="006517ED"/>
    <w:rsid w:val="00654F3C"/>
    <w:rsid w:val="00655D33"/>
    <w:rsid w:val="0065712D"/>
    <w:rsid w:val="00660F1D"/>
    <w:rsid w:val="00662B7D"/>
    <w:rsid w:val="00663AD1"/>
    <w:rsid w:val="00671CC2"/>
    <w:rsid w:val="00671D80"/>
    <w:rsid w:val="0067375A"/>
    <w:rsid w:val="00675D5F"/>
    <w:rsid w:val="006767C0"/>
    <w:rsid w:val="00676A92"/>
    <w:rsid w:val="00681E86"/>
    <w:rsid w:val="00685167"/>
    <w:rsid w:val="00685281"/>
    <w:rsid w:val="0069072E"/>
    <w:rsid w:val="00692A24"/>
    <w:rsid w:val="00694197"/>
    <w:rsid w:val="0069480A"/>
    <w:rsid w:val="006952F7"/>
    <w:rsid w:val="00696814"/>
    <w:rsid w:val="006976B6"/>
    <w:rsid w:val="00697B96"/>
    <w:rsid w:val="006A00C5"/>
    <w:rsid w:val="006A099E"/>
    <w:rsid w:val="006A12EA"/>
    <w:rsid w:val="006A14D5"/>
    <w:rsid w:val="006A1CC4"/>
    <w:rsid w:val="006A1E62"/>
    <w:rsid w:val="006A2AA2"/>
    <w:rsid w:val="006A30A3"/>
    <w:rsid w:val="006A33F0"/>
    <w:rsid w:val="006A361C"/>
    <w:rsid w:val="006A4239"/>
    <w:rsid w:val="006A5D02"/>
    <w:rsid w:val="006A5F5B"/>
    <w:rsid w:val="006B1127"/>
    <w:rsid w:val="006B1F3D"/>
    <w:rsid w:val="006B3516"/>
    <w:rsid w:val="006B3F6C"/>
    <w:rsid w:val="006B620E"/>
    <w:rsid w:val="006B6B31"/>
    <w:rsid w:val="006B6DD9"/>
    <w:rsid w:val="006B747D"/>
    <w:rsid w:val="006C0A33"/>
    <w:rsid w:val="006C0A4A"/>
    <w:rsid w:val="006C1F9E"/>
    <w:rsid w:val="006C3BFC"/>
    <w:rsid w:val="006C4CDB"/>
    <w:rsid w:val="006C7234"/>
    <w:rsid w:val="006D0F1D"/>
    <w:rsid w:val="006D3687"/>
    <w:rsid w:val="006D415F"/>
    <w:rsid w:val="006D72B8"/>
    <w:rsid w:val="006E18FD"/>
    <w:rsid w:val="006E190B"/>
    <w:rsid w:val="006E289E"/>
    <w:rsid w:val="006E3140"/>
    <w:rsid w:val="006E4DF8"/>
    <w:rsid w:val="006E5496"/>
    <w:rsid w:val="006E67D2"/>
    <w:rsid w:val="006E7C64"/>
    <w:rsid w:val="006F02ED"/>
    <w:rsid w:val="006F04DA"/>
    <w:rsid w:val="006F0D67"/>
    <w:rsid w:val="006F131B"/>
    <w:rsid w:val="006F1F64"/>
    <w:rsid w:val="006F315C"/>
    <w:rsid w:val="006F4EFB"/>
    <w:rsid w:val="006F74DF"/>
    <w:rsid w:val="006F7E4F"/>
    <w:rsid w:val="007004C2"/>
    <w:rsid w:val="00702242"/>
    <w:rsid w:val="00702455"/>
    <w:rsid w:val="007028F5"/>
    <w:rsid w:val="00702A56"/>
    <w:rsid w:val="007078CE"/>
    <w:rsid w:val="0071296E"/>
    <w:rsid w:val="00713111"/>
    <w:rsid w:val="00713D9E"/>
    <w:rsid w:val="00714E98"/>
    <w:rsid w:val="00715DF2"/>
    <w:rsid w:val="0071769D"/>
    <w:rsid w:val="00717AFE"/>
    <w:rsid w:val="00721837"/>
    <w:rsid w:val="0072202A"/>
    <w:rsid w:val="0072423B"/>
    <w:rsid w:val="007303AC"/>
    <w:rsid w:val="00731920"/>
    <w:rsid w:val="00731BA4"/>
    <w:rsid w:val="00731D0A"/>
    <w:rsid w:val="0073276B"/>
    <w:rsid w:val="00733300"/>
    <w:rsid w:val="00733882"/>
    <w:rsid w:val="0073483C"/>
    <w:rsid w:val="007371B8"/>
    <w:rsid w:val="0074125D"/>
    <w:rsid w:val="007421E4"/>
    <w:rsid w:val="007424D1"/>
    <w:rsid w:val="0074350D"/>
    <w:rsid w:val="00743BAA"/>
    <w:rsid w:val="00745539"/>
    <w:rsid w:val="00745F99"/>
    <w:rsid w:val="007462D9"/>
    <w:rsid w:val="00746F0D"/>
    <w:rsid w:val="00751E11"/>
    <w:rsid w:val="00752D07"/>
    <w:rsid w:val="00753C5E"/>
    <w:rsid w:val="00754099"/>
    <w:rsid w:val="007540A2"/>
    <w:rsid w:val="007543F9"/>
    <w:rsid w:val="0075615C"/>
    <w:rsid w:val="00756F8E"/>
    <w:rsid w:val="0075746A"/>
    <w:rsid w:val="00764891"/>
    <w:rsid w:val="00764C0C"/>
    <w:rsid w:val="00764D9C"/>
    <w:rsid w:val="007650EB"/>
    <w:rsid w:val="00765FE0"/>
    <w:rsid w:val="007677EE"/>
    <w:rsid w:val="00771C6A"/>
    <w:rsid w:val="00772202"/>
    <w:rsid w:val="007724C2"/>
    <w:rsid w:val="00772F76"/>
    <w:rsid w:val="00775FA0"/>
    <w:rsid w:val="00777137"/>
    <w:rsid w:val="0077728A"/>
    <w:rsid w:val="00781363"/>
    <w:rsid w:val="00782E36"/>
    <w:rsid w:val="007839CF"/>
    <w:rsid w:val="00783EEC"/>
    <w:rsid w:val="00786683"/>
    <w:rsid w:val="00786760"/>
    <w:rsid w:val="00787851"/>
    <w:rsid w:val="00791FD2"/>
    <w:rsid w:val="00792171"/>
    <w:rsid w:val="007943A5"/>
    <w:rsid w:val="007A0244"/>
    <w:rsid w:val="007A045F"/>
    <w:rsid w:val="007A0763"/>
    <w:rsid w:val="007A1B29"/>
    <w:rsid w:val="007A3588"/>
    <w:rsid w:val="007A4164"/>
    <w:rsid w:val="007A58D6"/>
    <w:rsid w:val="007A6874"/>
    <w:rsid w:val="007A6ECA"/>
    <w:rsid w:val="007B4254"/>
    <w:rsid w:val="007B6BB3"/>
    <w:rsid w:val="007C135E"/>
    <w:rsid w:val="007C31E2"/>
    <w:rsid w:val="007C36AC"/>
    <w:rsid w:val="007C44A0"/>
    <w:rsid w:val="007C466B"/>
    <w:rsid w:val="007C47D7"/>
    <w:rsid w:val="007C4A00"/>
    <w:rsid w:val="007D2565"/>
    <w:rsid w:val="007D2570"/>
    <w:rsid w:val="007D287D"/>
    <w:rsid w:val="007D3112"/>
    <w:rsid w:val="007D37F2"/>
    <w:rsid w:val="007D6C3C"/>
    <w:rsid w:val="007D6CA3"/>
    <w:rsid w:val="007D74FB"/>
    <w:rsid w:val="007D7F28"/>
    <w:rsid w:val="007D7F7A"/>
    <w:rsid w:val="007E1F95"/>
    <w:rsid w:val="007E2BEE"/>
    <w:rsid w:val="007E3352"/>
    <w:rsid w:val="007E450B"/>
    <w:rsid w:val="007E5217"/>
    <w:rsid w:val="007E52C3"/>
    <w:rsid w:val="007E6E25"/>
    <w:rsid w:val="007E716E"/>
    <w:rsid w:val="007F077B"/>
    <w:rsid w:val="007F1727"/>
    <w:rsid w:val="007F1FAA"/>
    <w:rsid w:val="007F219B"/>
    <w:rsid w:val="007F3E85"/>
    <w:rsid w:val="007F4D88"/>
    <w:rsid w:val="007F539A"/>
    <w:rsid w:val="007F6CCC"/>
    <w:rsid w:val="007F6CCE"/>
    <w:rsid w:val="007F7CCF"/>
    <w:rsid w:val="0080290D"/>
    <w:rsid w:val="008029C4"/>
    <w:rsid w:val="00802B9E"/>
    <w:rsid w:val="0080507F"/>
    <w:rsid w:val="00805E73"/>
    <w:rsid w:val="0080603D"/>
    <w:rsid w:val="0080620E"/>
    <w:rsid w:val="00807C51"/>
    <w:rsid w:val="00807F64"/>
    <w:rsid w:val="0081084A"/>
    <w:rsid w:val="008128B7"/>
    <w:rsid w:val="00813D9E"/>
    <w:rsid w:val="008144F3"/>
    <w:rsid w:val="00814829"/>
    <w:rsid w:val="0081699D"/>
    <w:rsid w:val="00820680"/>
    <w:rsid w:val="00821163"/>
    <w:rsid w:val="00821C0A"/>
    <w:rsid w:val="00822711"/>
    <w:rsid w:val="0082416D"/>
    <w:rsid w:val="00826199"/>
    <w:rsid w:val="00827D80"/>
    <w:rsid w:val="00831C1B"/>
    <w:rsid w:val="00832BCF"/>
    <w:rsid w:val="0083420A"/>
    <w:rsid w:val="00834AB5"/>
    <w:rsid w:val="008361B8"/>
    <w:rsid w:val="00836E96"/>
    <w:rsid w:val="0083724E"/>
    <w:rsid w:val="00844E3D"/>
    <w:rsid w:val="00845A41"/>
    <w:rsid w:val="00846CAC"/>
    <w:rsid w:val="00847BED"/>
    <w:rsid w:val="0085041A"/>
    <w:rsid w:val="00851CBC"/>
    <w:rsid w:val="0085621B"/>
    <w:rsid w:val="00856605"/>
    <w:rsid w:val="00857886"/>
    <w:rsid w:val="00857D15"/>
    <w:rsid w:val="008615C9"/>
    <w:rsid w:val="00861B30"/>
    <w:rsid w:val="00861B61"/>
    <w:rsid w:val="00862EDD"/>
    <w:rsid w:val="008637E2"/>
    <w:rsid w:val="00864621"/>
    <w:rsid w:val="00866D26"/>
    <w:rsid w:val="008702D6"/>
    <w:rsid w:val="00870AE9"/>
    <w:rsid w:val="00874FBF"/>
    <w:rsid w:val="00875B81"/>
    <w:rsid w:val="008770E5"/>
    <w:rsid w:val="00877A41"/>
    <w:rsid w:val="00881EF0"/>
    <w:rsid w:val="00882109"/>
    <w:rsid w:val="00882706"/>
    <w:rsid w:val="00882A57"/>
    <w:rsid w:val="0088462B"/>
    <w:rsid w:val="00887FB8"/>
    <w:rsid w:val="008915B5"/>
    <w:rsid w:val="0089397A"/>
    <w:rsid w:val="00894064"/>
    <w:rsid w:val="00895870"/>
    <w:rsid w:val="008A1F11"/>
    <w:rsid w:val="008A2099"/>
    <w:rsid w:val="008A4101"/>
    <w:rsid w:val="008A4989"/>
    <w:rsid w:val="008A4C74"/>
    <w:rsid w:val="008A4F7E"/>
    <w:rsid w:val="008A59B4"/>
    <w:rsid w:val="008A7288"/>
    <w:rsid w:val="008B0FFE"/>
    <w:rsid w:val="008B36A0"/>
    <w:rsid w:val="008C084F"/>
    <w:rsid w:val="008C087A"/>
    <w:rsid w:val="008C1940"/>
    <w:rsid w:val="008C68BE"/>
    <w:rsid w:val="008D0C99"/>
    <w:rsid w:val="008D1032"/>
    <w:rsid w:val="008D13BA"/>
    <w:rsid w:val="008D34D9"/>
    <w:rsid w:val="008D522D"/>
    <w:rsid w:val="008D5AB5"/>
    <w:rsid w:val="008E1373"/>
    <w:rsid w:val="008E2E2D"/>
    <w:rsid w:val="008E2FF7"/>
    <w:rsid w:val="008E3949"/>
    <w:rsid w:val="008E544D"/>
    <w:rsid w:val="008F083E"/>
    <w:rsid w:val="008F2DF0"/>
    <w:rsid w:val="008F3D63"/>
    <w:rsid w:val="008F5FFE"/>
    <w:rsid w:val="008F7795"/>
    <w:rsid w:val="009002F8"/>
    <w:rsid w:val="009029A6"/>
    <w:rsid w:val="00904D01"/>
    <w:rsid w:val="00905914"/>
    <w:rsid w:val="00905DA6"/>
    <w:rsid w:val="00906499"/>
    <w:rsid w:val="00906DEF"/>
    <w:rsid w:val="00910CB3"/>
    <w:rsid w:val="00911168"/>
    <w:rsid w:val="0091223E"/>
    <w:rsid w:val="009142B8"/>
    <w:rsid w:val="00917B18"/>
    <w:rsid w:val="00917C0B"/>
    <w:rsid w:val="00920218"/>
    <w:rsid w:val="009225B9"/>
    <w:rsid w:val="00922F59"/>
    <w:rsid w:val="00923EE7"/>
    <w:rsid w:val="00924A78"/>
    <w:rsid w:val="00925C13"/>
    <w:rsid w:val="009268BD"/>
    <w:rsid w:val="00927288"/>
    <w:rsid w:val="00930462"/>
    <w:rsid w:val="00935304"/>
    <w:rsid w:val="009363BF"/>
    <w:rsid w:val="00937D09"/>
    <w:rsid w:val="00942AC5"/>
    <w:rsid w:val="00950E03"/>
    <w:rsid w:val="00955250"/>
    <w:rsid w:val="00956F08"/>
    <w:rsid w:val="00957C5A"/>
    <w:rsid w:val="00957C6A"/>
    <w:rsid w:val="0096087C"/>
    <w:rsid w:val="00961629"/>
    <w:rsid w:val="009628DC"/>
    <w:rsid w:val="00964181"/>
    <w:rsid w:val="009645F2"/>
    <w:rsid w:val="0097002B"/>
    <w:rsid w:val="009706C6"/>
    <w:rsid w:val="00971100"/>
    <w:rsid w:val="00971E2B"/>
    <w:rsid w:val="00972DAD"/>
    <w:rsid w:val="0097322E"/>
    <w:rsid w:val="009775A6"/>
    <w:rsid w:val="00977CA6"/>
    <w:rsid w:val="009857EC"/>
    <w:rsid w:val="009860B0"/>
    <w:rsid w:val="00986BE8"/>
    <w:rsid w:val="00987498"/>
    <w:rsid w:val="0099238A"/>
    <w:rsid w:val="009947F4"/>
    <w:rsid w:val="00994E47"/>
    <w:rsid w:val="00995D56"/>
    <w:rsid w:val="009A051D"/>
    <w:rsid w:val="009A3265"/>
    <w:rsid w:val="009A53DE"/>
    <w:rsid w:val="009A6565"/>
    <w:rsid w:val="009A7760"/>
    <w:rsid w:val="009B0ACA"/>
    <w:rsid w:val="009B19A7"/>
    <w:rsid w:val="009B2098"/>
    <w:rsid w:val="009B28A8"/>
    <w:rsid w:val="009B39FF"/>
    <w:rsid w:val="009B4F59"/>
    <w:rsid w:val="009B6788"/>
    <w:rsid w:val="009B712F"/>
    <w:rsid w:val="009B7A2B"/>
    <w:rsid w:val="009C0AEC"/>
    <w:rsid w:val="009C0D34"/>
    <w:rsid w:val="009C18C7"/>
    <w:rsid w:val="009C3A9A"/>
    <w:rsid w:val="009C42DE"/>
    <w:rsid w:val="009C6DAC"/>
    <w:rsid w:val="009C7DC7"/>
    <w:rsid w:val="009C7F7E"/>
    <w:rsid w:val="009D07FD"/>
    <w:rsid w:val="009D08F0"/>
    <w:rsid w:val="009D0D3A"/>
    <w:rsid w:val="009D414F"/>
    <w:rsid w:val="009D58D8"/>
    <w:rsid w:val="009D6158"/>
    <w:rsid w:val="009E109C"/>
    <w:rsid w:val="009E38B7"/>
    <w:rsid w:val="009E3B3B"/>
    <w:rsid w:val="009E3C63"/>
    <w:rsid w:val="009E4718"/>
    <w:rsid w:val="009E6CF5"/>
    <w:rsid w:val="009F107B"/>
    <w:rsid w:val="009F1759"/>
    <w:rsid w:val="009F2006"/>
    <w:rsid w:val="009F3D28"/>
    <w:rsid w:val="009F4BA1"/>
    <w:rsid w:val="00A018A2"/>
    <w:rsid w:val="00A050EB"/>
    <w:rsid w:val="00A06DF3"/>
    <w:rsid w:val="00A07213"/>
    <w:rsid w:val="00A07F87"/>
    <w:rsid w:val="00A11CFC"/>
    <w:rsid w:val="00A1518B"/>
    <w:rsid w:val="00A2208E"/>
    <w:rsid w:val="00A235CD"/>
    <w:rsid w:val="00A240EC"/>
    <w:rsid w:val="00A24933"/>
    <w:rsid w:val="00A27391"/>
    <w:rsid w:val="00A30B64"/>
    <w:rsid w:val="00A315BB"/>
    <w:rsid w:val="00A31AB5"/>
    <w:rsid w:val="00A32256"/>
    <w:rsid w:val="00A352AE"/>
    <w:rsid w:val="00A3556B"/>
    <w:rsid w:val="00A35CAF"/>
    <w:rsid w:val="00A35CCD"/>
    <w:rsid w:val="00A36A6E"/>
    <w:rsid w:val="00A3740E"/>
    <w:rsid w:val="00A41B25"/>
    <w:rsid w:val="00A42971"/>
    <w:rsid w:val="00A435BB"/>
    <w:rsid w:val="00A4402D"/>
    <w:rsid w:val="00A441E3"/>
    <w:rsid w:val="00A44EDB"/>
    <w:rsid w:val="00A45B05"/>
    <w:rsid w:val="00A45DC9"/>
    <w:rsid w:val="00A466A5"/>
    <w:rsid w:val="00A47C88"/>
    <w:rsid w:val="00A51F83"/>
    <w:rsid w:val="00A53B98"/>
    <w:rsid w:val="00A54418"/>
    <w:rsid w:val="00A55563"/>
    <w:rsid w:val="00A5702D"/>
    <w:rsid w:val="00A5794F"/>
    <w:rsid w:val="00A57F70"/>
    <w:rsid w:val="00A617B5"/>
    <w:rsid w:val="00A61917"/>
    <w:rsid w:val="00A63285"/>
    <w:rsid w:val="00A63672"/>
    <w:rsid w:val="00A66223"/>
    <w:rsid w:val="00A7000D"/>
    <w:rsid w:val="00A726EF"/>
    <w:rsid w:val="00A7411F"/>
    <w:rsid w:val="00A74E1C"/>
    <w:rsid w:val="00A7688E"/>
    <w:rsid w:val="00A814F9"/>
    <w:rsid w:val="00A818EE"/>
    <w:rsid w:val="00A8384A"/>
    <w:rsid w:val="00A9162E"/>
    <w:rsid w:val="00A916AD"/>
    <w:rsid w:val="00A92A61"/>
    <w:rsid w:val="00A93AA1"/>
    <w:rsid w:val="00A93F22"/>
    <w:rsid w:val="00A951AD"/>
    <w:rsid w:val="00A951DB"/>
    <w:rsid w:val="00A953D8"/>
    <w:rsid w:val="00A96608"/>
    <w:rsid w:val="00A9700B"/>
    <w:rsid w:val="00A97C63"/>
    <w:rsid w:val="00AA02A8"/>
    <w:rsid w:val="00AA0CF0"/>
    <w:rsid w:val="00AA2D92"/>
    <w:rsid w:val="00AA5B8D"/>
    <w:rsid w:val="00AA5E8F"/>
    <w:rsid w:val="00AB155C"/>
    <w:rsid w:val="00AB3127"/>
    <w:rsid w:val="00AB6B8B"/>
    <w:rsid w:val="00AB7613"/>
    <w:rsid w:val="00AC150D"/>
    <w:rsid w:val="00AC1A25"/>
    <w:rsid w:val="00AC3012"/>
    <w:rsid w:val="00AC6EAF"/>
    <w:rsid w:val="00AC7996"/>
    <w:rsid w:val="00AD0CE7"/>
    <w:rsid w:val="00AD0D9D"/>
    <w:rsid w:val="00AD108D"/>
    <w:rsid w:val="00AD184D"/>
    <w:rsid w:val="00AD3035"/>
    <w:rsid w:val="00AD3E14"/>
    <w:rsid w:val="00AD4153"/>
    <w:rsid w:val="00AE07E3"/>
    <w:rsid w:val="00AE333F"/>
    <w:rsid w:val="00AE59D5"/>
    <w:rsid w:val="00AE6D52"/>
    <w:rsid w:val="00AE766A"/>
    <w:rsid w:val="00AE7EBF"/>
    <w:rsid w:val="00AF3B1D"/>
    <w:rsid w:val="00AF4731"/>
    <w:rsid w:val="00AF6595"/>
    <w:rsid w:val="00AF7D8E"/>
    <w:rsid w:val="00B01163"/>
    <w:rsid w:val="00B02602"/>
    <w:rsid w:val="00B02FC0"/>
    <w:rsid w:val="00B0425B"/>
    <w:rsid w:val="00B05184"/>
    <w:rsid w:val="00B055C0"/>
    <w:rsid w:val="00B0564D"/>
    <w:rsid w:val="00B0571C"/>
    <w:rsid w:val="00B058D4"/>
    <w:rsid w:val="00B06E96"/>
    <w:rsid w:val="00B11BC2"/>
    <w:rsid w:val="00B1218C"/>
    <w:rsid w:val="00B129BD"/>
    <w:rsid w:val="00B14667"/>
    <w:rsid w:val="00B14E97"/>
    <w:rsid w:val="00B15120"/>
    <w:rsid w:val="00B15A5D"/>
    <w:rsid w:val="00B15D02"/>
    <w:rsid w:val="00B17A38"/>
    <w:rsid w:val="00B21868"/>
    <w:rsid w:val="00B27F36"/>
    <w:rsid w:val="00B31967"/>
    <w:rsid w:val="00B3420F"/>
    <w:rsid w:val="00B3446D"/>
    <w:rsid w:val="00B35F24"/>
    <w:rsid w:val="00B362E5"/>
    <w:rsid w:val="00B36455"/>
    <w:rsid w:val="00B41746"/>
    <w:rsid w:val="00B44AB7"/>
    <w:rsid w:val="00B450FF"/>
    <w:rsid w:val="00B4555C"/>
    <w:rsid w:val="00B47A52"/>
    <w:rsid w:val="00B50C2E"/>
    <w:rsid w:val="00B50FAA"/>
    <w:rsid w:val="00B51AD8"/>
    <w:rsid w:val="00B541CB"/>
    <w:rsid w:val="00B60A47"/>
    <w:rsid w:val="00B60D93"/>
    <w:rsid w:val="00B658AD"/>
    <w:rsid w:val="00B65938"/>
    <w:rsid w:val="00B715EF"/>
    <w:rsid w:val="00B71691"/>
    <w:rsid w:val="00B739DB"/>
    <w:rsid w:val="00B76F17"/>
    <w:rsid w:val="00B777DF"/>
    <w:rsid w:val="00B81221"/>
    <w:rsid w:val="00B82EAD"/>
    <w:rsid w:val="00B8318C"/>
    <w:rsid w:val="00B840FF"/>
    <w:rsid w:val="00B85B8B"/>
    <w:rsid w:val="00B904A1"/>
    <w:rsid w:val="00B92B80"/>
    <w:rsid w:val="00B93FD0"/>
    <w:rsid w:val="00B94214"/>
    <w:rsid w:val="00B943E5"/>
    <w:rsid w:val="00B9496F"/>
    <w:rsid w:val="00B950BE"/>
    <w:rsid w:val="00B95AC9"/>
    <w:rsid w:val="00B9723F"/>
    <w:rsid w:val="00BA3A6A"/>
    <w:rsid w:val="00BA3DF5"/>
    <w:rsid w:val="00BA672F"/>
    <w:rsid w:val="00BA6769"/>
    <w:rsid w:val="00BA67D8"/>
    <w:rsid w:val="00BA7B7F"/>
    <w:rsid w:val="00BB001A"/>
    <w:rsid w:val="00BB06A3"/>
    <w:rsid w:val="00BB1FDE"/>
    <w:rsid w:val="00BB292A"/>
    <w:rsid w:val="00BB2DDF"/>
    <w:rsid w:val="00BB2F9D"/>
    <w:rsid w:val="00BB33B7"/>
    <w:rsid w:val="00BB5D54"/>
    <w:rsid w:val="00BB6DDE"/>
    <w:rsid w:val="00BB6FEA"/>
    <w:rsid w:val="00BC1223"/>
    <w:rsid w:val="00BC3241"/>
    <w:rsid w:val="00BC42EB"/>
    <w:rsid w:val="00BC4AAD"/>
    <w:rsid w:val="00BC63A7"/>
    <w:rsid w:val="00BC6475"/>
    <w:rsid w:val="00BC7AD3"/>
    <w:rsid w:val="00BD07A5"/>
    <w:rsid w:val="00BD0E91"/>
    <w:rsid w:val="00BD37DD"/>
    <w:rsid w:val="00BD3A50"/>
    <w:rsid w:val="00BD4293"/>
    <w:rsid w:val="00BD5F58"/>
    <w:rsid w:val="00BE5B61"/>
    <w:rsid w:val="00BF16E0"/>
    <w:rsid w:val="00BF4910"/>
    <w:rsid w:val="00C00A72"/>
    <w:rsid w:val="00C00C53"/>
    <w:rsid w:val="00C03AA8"/>
    <w:rsid w:val="00C03B00"/>
    <w:rsid w:val="00C043BB"/>
    <w:rsid w:val="00C06507"/>
    <w:rsid w:val="00C105C2"/>
    <w:rsid w:val="00C11180"/>
    <w:rsid w:val="00C13534"/>
    <w:rsid w:val="00C16181"/>
    <w:rsid w:val="00C175E8"/>
    <w:rsid w:val="00C2073E"/>
    <w:rsid w:val="00C21B22"/>
    <w:rsid w:val="00C22A87"/>
    <w:rsid w:val="00C24E9D"/>
    <w:rsid w:val="00C25A97"/>
    <w:rsid w:val="00C30FC9"/>
    <w:rsid w:val="00C332B5"/>
    <w:rsid w:val="00C40F17"/>
    <w:rsid w:val="00C410D5"/>
    <w:rsid w:val="00C43681"/>
    <w:rsid w:val="00C43BBF"/>
    <w:rsid w:val="00C440F9"/>
    <w:rsid w:val="00C45491"/>
    <w:rsid w:val="00C47498"/>
    <w:rsid w:val="00C51B4F"/>
    <w:rsid w:val="00C527F3"/>
    <w:rsid w:val="00C5281E"/>
    <w:rsid w:val="00C567EA"/>
    <w:rsid w:val="00C60DDC"/>
    <w:rsid w:val="00C62B40"/>
    <w:rsid w:val="00C62E0A"/>
    <w:rsid w:val="00C6491B"/>
    <w:rsid w:val="00C6696D"/>
    <w:rsid w:val="00C706A9"/>
    <w:rsid w:val="00C73123"/>
    <w:rsid w:val="00C734C5"/>
    <w:rsid w:val="00C741C2"/>
    <w:rsid w:val="00C75BC7"/>
    <w:rsid w:val="00C75CE0"/>
    <w:rsid w:val="00C7627F"/>
    <w:rsid w:val="00C77010"/>
    <w:rsid w:val="00C77E07"/>
    <w:rsid w:val="00C806C8"/>
    <w:rsid w:val="00C80A4C"/>
    <w:rsid w:val="00C83FDF"/>
    <w:rsid w:val="00C84E97"/>
    <w:rsid w:val="00C854FA"/>
    <w:rsid w:val="00C916AA"/>
    <w:rsid w:val="00C92821"/>
    <w:rsid w:val="00C934FA"/>
    <w:rsid w:val="00C9451E"/>
    <w:rsid w:val="00C975F4"/>
    <w:rsid w:val="00CA1B4F"/>
    <w:rsid w:val="00CA3203"/>
    <w:rsid w:val="00CA6663"/>
    <w:rsid w:val="00CA6B1A"/>
    <w:rsid w:val="00CA7870"/>
    <w:rsid w:val="00CB0927"/>
    <w:rsid w:val="00CB283F"/>
    <w:rsid w:val="00CB5259"/>
    <w:rsid w:val="00CB58D1"/>
    <w:rsid w:val="00CB64E3"/>
    <w:rsid w:val="00CB69E8"/>
    <w:rsid w:val="00CB78A5"/>
    <w:rsid w:val="00CC05AF"/>
    <w:rsid w:val="00CC06F0"/>
    <w:rsid w:val="00CC2296"/>
    <w:rsid w:val="00CC2EBF"/>
    <w:rsid w:val="00CC3027"/>
    <w:rsid w:val="00CC3219"/>
    <w:rsid w:val="00CC41C9"/>
    <w:rsid w:val="00CC4CA9"/>
    <w:rsid w:val="00CD14C0"/>
    <w:rsid w:val="00CD2217"/>
    <w:rsid w:val="00CD3502"/>
    <w:rsid w:val="00CD3705"/>
    <w:rsid w:val="00CD4B4D"/>
    <w:rsid w:val="00CE041D"/>
    <w:rsid w:val="00CE2EBE"/>
    <w:rsid w:val="00CE3CC5"/>
    <w:rsid w:val="00CE67CD"/>
    <w:rsid w:val="00CE705F"/>
    <w:rsid w:val="00CE7D14"/>
    <w:rsid w:val="00CF0C8F"/>
    <w:rsid w:val="00CF1470"/>
    <w:rsid w:val="00CF1CF9"/>
    <w:rsid w:val="00CF367B"/>
    <w:rsid w:val="00CF3988"/>
    <w:rsid w:val="00CF40B2"/>
    <w:rsid w:val="00CF5A5E"/>
    <w:rsid w:val="00CF64F1"/>
    <w:rsid w:val="00CF6F66"/>
    <w:rsid w:val="00CF7BAA"/>
    <w:rsid w:val="00D0035F"/>
    <w:rsid w:val="00D00FAC"/>
    <w:rsid w:val="00D02B1E"/>
    <w:rsid w:val="00D04813"/>
    <w:rsid w:val="00D049C1"/>
    <w:rsid w:val="00D04C6F"/>
    <w:rsid w:val="00D0516B"/>
    <w:rsid w:val="00D05316"/>
    <w:rsid w:val="00D05D6C"/>
    <w:rsid w:val="00D079E5"/>
    <w:rsid w:val="00D10F5F"/>
    <w:rsid w:val="00D1137D"/>
    <w:rsid w:val="00D11B87"/>
    <w:rsid w:val="00D1287D"/>
    <w:rsid w:val="00D129E5"/>
    <w:rsid w:val="00D15699"/>
    <w:rsid w:val="00D17229"/>
    <w:rsid w:val="00D17561"/>
    <w:rsid w:val="00D17CD0"/>
    <w:rsid w:val="00D17D55"/>
    <w:rsid w:val="00D207DB"/>
    <w:rsid w:val="00D20F95"/>
    <w:rsid w:val="00D23CBA"/>
    <w:rsid w:val="00D245B9"/>
    <w:rsid w:val="00D246C9"/>
    <w:rsid w:val="00D24C47"/>
    <w:rsid w:val="00D30149"/>
    <w:rsid w:val="00D3167A"/>
    <w:rsid w:val="00D31A47"/>
    <w:rsid w:val="00D31F2F"/>
    <w:rsid w:val="00D36933"/>
    <w:rsid w:val="00D401E7"/>
    <w:rsid w:val="00D40686"/>
    <w:rsid w:val="00D40975"/>
    <w:rsid w:val="00D425EA"/>
    <w:rsid w:val="00D437FB"/>
    <w:rsid w:val="00D44DA4"/>
    <w:rsid w:val="00D45898"/>
    <w:rsid w:val="00D46ABD"/>
    <w:rsid w:val="00D474F2"/>
    <w:rsid w:val="00D516F8"/>
    <w:rsid w:val="00D51A51"/>
    <w:rsid w:val="00D51A6E"/>
    <w:rsid w:val="00D525B2"/>
    <w:rsid w:val="00D544AB"/>
    <w:rsid w:val="00D57C2F"/>
    <w:rsid w:val="00D57F61"/>
    <w:rsid w:val="00D601DE"/>
    <w:rsid w:val="00D654CB"/>
    <w:rsid w:val="00D65F79"/>
    <w:rsid w:val="00D71342"/>
    <w:rsid w:val="00D75BC3"/>
    <w:rsid w:val="00D767AE"/>
    <w:rsid w:val="00D775BE"/>
    <w:rsid w:val="00D777F0"/>
    <w:rsid w:val="00D77DF8"/>
    <w:rsid w:val="00D819A9"/>
    <w:rsid w:val="00D822EA"/>
    <w:rsid w:val="00D82C05"/>
    <w:rsid w:val="00D8308B"/>
    <w:rsid w:val="00D84526"/>
    <w:rsid w:val="00D8702A"/>
    <w:rsid w:val="00D87546"/>
    <w:rsid w:val="00D878C0"/>
    <w:rsid w:val="00D90154"/>
    <w:rsid w:val="00D907AD"/>
    <w:rsid w:val="00D90FCA"/>
    <w:rsid w:val="00D92CB5"/>
    <w:rsid w:val="00D9376C"/>
    <w:rsid w:val="00D94589"/>
    <w:rsid w:val="00D96849"/>
    <w:rsid w:val="00DA34BC"/>
    <w:rsid w:val="00DA48F4"/>
    <w:rsid w:val="00DA7DEB"/>
    <w:rsid w:val="00DB2D0D"/>
    <w:rsid w:val="00DB32B2"/>
    <w:rsid w:val="00DB524C"/>
    <w:rsid w:val="00DC126F"/>
    <w:rsid w:val="00DC2555"/>
    <w:rsid w:val="00DC35DD"/>
    <w:rsid w:val="00DC4477"/>
    <w:rsid w:val="00DD081F"/>
    <w:rsid w:val="00DD4E6C"/>
    <w:rsid w:val="00DD6F08"/>
    <w:rsid w:val="00DD7F4E"/>
    <w:rsid w:val="00DE12CC"/>
    <w:rsid w:val="00DE355D"/>
    <w:rsid w:val="00DE3F35"/>
    <w:rsid w:val="00DE42BA"/>
    <w:rsid w:val="00DE762E"/>
    <w:rsid w:val="00DE7A6B"/>
    <w:rsid w:val="00DE7EDE"/>
    <w:rsid w:val="00DF073A"/>
    <w:rsid w:val="00DF1CEC"/>
    <w:rsid w:val="00DF343A"/>
    <w:rsid w:val="00DF4374"/>
    <w:rsid w:val="00DF5F6D"/>
    <w:rsid w:val="00E02254"/>
    <w:rsid w:val="00E04AD8"/>
    <w:rsid w:val="00E057AC"/>
    <w:rsid w:val="00E06AC0"/>
    <w:rsid w:val="00E07CDB"/>
    <w:rsid w:val="00E11AF4"/>
    <w:rsid w:val="00E11BC8"/>
    <w:rsid w:val="00E1351F"/>
    <w:rsid w:val="00E140AE"/>
    <w:rsid w:val="00E1433F"/>
    <w:rsid w:val="00E1765C"/>
    <w:rsid w:val="00E20C08"/>
    <w:rsid w:val="00E21274"/>
    <w:rsid w:val="00E2137C"/>
    <w:rsid w:val="00E2242B"/>
    <w:rsid w:val="00E23FEE"/>
    <w:rsid w:val="00E24370"/>
    <w:rsid w:val="00E26269"/>
    <w:rsid w:val="00E26B8D"/>
    <w:rsid w:val="00E321A8"/>
    <w:rsid w:val="00E3281C"/>
    <w:rsid w:val="00E352BD"/>
    <w:rsid w:val="00E35305"/>
    <w:rsid w:val="00E4115E"/>
    <w:rsid w:val="00E43AF3"/>
    <w:rsid w:val="00E43B2F"/>
    <w:rsid w:val="00E43E7E"/>
    <w:rsid w:val="00E44FCC"/>
    <w:rsid w:val="00E455BC"/>
    <w:rsid w:val="00E45AC0"/>
    <w:rsid w:val="00E467BE"/>
    <w:rsid w:val="00E536FF"/>
    <w:rsid w:val="00E55852"/>
    <w:rsid w:val="00E558CD"/>
    <w:rsid w:val="00E56387"/>
    <w:rsid w:val="00E56961"/>
    <w:rsid w:val="00E57618"/>
    <w:rsid w:val="00E578AC"/>
    <w:rsid w:val="00E57C20"/>
    <w:rsid w:val="00E60909"/>
    <w:rsid w:val="00E62209"/>
    <w:rsid w:val="00E65712"/>
    <w:rsid w:val="00E66582"/>
    <w:rsid w:val="00E6659A"/>
    <w:rsid w:val="00E677E3"/>
    <w:rsid w:val="00E71356"/>
    <w:rsid w:val="00E72804"/>
    <w:rsid w:val="00E746CC"/>
    <w:rsid w:val="00E7527E"/>
    <w:rsid w:val="00E768C6"/>
    <w:rsid w:val="00E77F02"/>
    <w:rsid w:val="00E8046C"/>
    <w:rsid w:val="00E81A8B"/>
    <w:rsid w:val="00E85027"/>
    <w:rsid w:val="00E873DB"/>
    <w:rsid w:val="00E87DDD"/>
    <w:rsid w:val="00E92242"/>
    <w:rsid w:val="00E936B9"/>
    <w:rsid w:val="00E970FE"/>
    <w:rsid w:val="00EA11A0"/>
    <w:rsid w:val="00EA1616"/>
    <w:rsid w:val="00EA35E3"/>
    <w:rsid w:val="00EA52B8"/>
    <w:rsid w:val="00EA5A0A"/>
    <w:rsid w:val="00EA66ED"/>
    <w:rsid w:val="00EA6730"/>
    <w:rsid w:val="00EA7211"/>
    <w:rsid w:val="00EB02D3"/>
    <w:rsid w:val="00EB0B63"/>
    <w:rsid w:val="00EB199F"/>
    <w:rsid w:val="00EB3738"/>
    <w:rsid w:val="00EB6F00"/>
    <w:rsid w:val="00EB74B2"/>
    <w:rsid w:val="00EC2E01"/>
    <w:rsid w:val="00EC34DA"/>
    <w:rsid w:val="00EC3C4A"/>
    <w:rsid w:val="00EC7C2C"/>
    <w:rsid w:val="00EC7D0F"/>
    <w:rsid w:val="00ED17F3"/>
    <w:rsid w:val="00ED2165"/>
    <w:rsid w:val="00ED230A"/>
    <w:rsid w:val="00ED2359"/>
    <w:rsid w:val="00ED26AA"/>
    <w:rsid w:val="00ED38FB"/>
    <w:rsid w:val="00ED52C0"/>
    <w:rsid w:val="00ED560F"/>
    <w:rsid w:val="00ED56C5"/>
    <w:rsid w:val="00ED6D83"/>
    <w:rsid w:val="00EE0BEA"/>
    <w:rsid w:val="00EE0F55"/>
    <w:rsid w:val="00EE4A06"/>
    <w:rsid w:val="00EF161E"/>
    <w:rsid w:val="00EF57B5"/>
    <w:rsid w:val="00EF6624"/>
    <w:rsid w:val="00F066A2"/>
    <w:rsid w:val="00F06C1C"/>
    <w:rsid w:val="00F0700E"/>
    <w:rsid w:val="00F073E2"/>
    <w:rsid w:val="00F0741B"/>
    <w:rsid w:val="00F07D02"/>
    <w:rsid w:val="00F07D21"/>
    <w:rsid w:val="00F12331"/>
    <w:rsid w:val="00F12641"/>
    <w:rsid w:val="00F173F3"/>
    <w:rsid w:val="00F22FA8"/>
    <w:rsid w:val="00F27BC8"/>
    <w:rsid w:val="00F31629"/>
    <w:rsid w:val="00F31B32"/>
    <w:rsid w:val="00F32529"/>
    <w:rsid w:val="00F32D1E"/>
    <w:rsid w:val="00F33CF6"/>
    <w:rsid w:val="00F34683"/>
    <w:rsid w:val="00F34C88"/>
    <w:rsid w:val="00F3554A"/>
    <w:rsid w:val="00F358A6"/>
    <w:rsid w:val="00F36891"/>
    <w:rsid w:val="00F40089"/>
    <w:rsid w:val="00F415E6"/>
    <w:rsid w:val="00F4237F"/>
    <w:rsid w:val="00F43461"/>
    <w:rsid w:val="00F43E16"/>
    <w:rsid w:val="00F44D67"/>
    <w:rsid w:val="00F45078"/>
    <w:rsid w:val="00F46BB5"/>
    <w:rsid w:val="00F50C84"/>
    <w:rsid w:val="00F514FF"/>
    <w:rsid w:val="00F51838"/>
    <w:rsid w:val="00F53F9B"/>
    <w:rsid w:val="00F56F9F"/>
    <w:rsid w:val="00F571DD"/>
    <w:rsid w:val="00F61BDE"/>
    <w:rsid w:val="00F638A2"/>
    <w:rsid w:val="00F638DE"/>
    <w:rsid w:val="00F67378"/>
    <w:rsid w:val="00F738C3"/>
    <w:rsid w:val="00F74F55"/>
    <w:rsid w:val="00F777E7"/>
    <w:rsid w:val="00F804DA"/>
    <w:rsid w:val="00F8200E"/>
    <w:rsid w:val="00F83245"/>
    <w:rsid w:val="00F84D1C"/>
    <w:rsid w:val="00F85E3E"/>
    <w:rsid w:val="00F91C68"/>
    <w:rsid w:val="00F92050"/>
    <w:rsid w:val="00F92FF0"/>
    <w:rsid w:val="00F93684"/>
    <w:rsid w:val="00F939F6"/>
    <w:rsid w:val="00F94303"/>
    <w:rsid w:val="00F96A3B"/>
    <w:rsid w:val="00F96B10"/>
    <w:rsid w:val="00F97530"/>
    <w:rsid w:val="00FA2088"/>
    <w:rsid w:val="00FA2CF6"/>
    <w:rsid w:val="00FA319B"/>
    <w:rsid w:val="00FA4B13"/>
    <w:rsid w:val="00FA5724"/>
    <w:rsid w:val="00FA7D6B"/>
    <w:rsid w:val="00FB09D1"/>
    <w:rsid w:val="00FB3D44"/>
    <w:rsid w:val="00FB3E3E"/>
    <w:rsid w:val="00FB49AD"/>
    <w:rsid w:val="00FB6314"/>
    <w:rsid w:val="00FB65CB"/>
    <w:rsid w:val="00FB683F"/>
    <w:rsid w:val="00FC2B0B"/>
    <w:rsid w:val="00FC39E7"/>
    <w:rsid w:val="00FC5A30"/>
    <w:rsid w:val="00FC6704"/>
    <w:rsid w:val="00FC6F0B"/>
    <w:rsid w:val="00FC7CC4"/>
    <w:rsid w:val="00FD595D"/>
    <w:rsid w:val="00FD59B1"/>
    <w:rsid w:val="00FD5DA5"/>
    <w:rsid w:val="00FD5F2F"/>
    <w:rsid w:val="00FD685F"/>
    <w:rsid w:val="00FE3001"/>
    <w:rsid w:val="00FE3AE1"/>
    <w:rsid w:val="00FE3CF7"/>
    <w:rsid w:val="00FE549F"/>
    <w:rsid w:val="00FE59A9"/>
    <w:rsid w:val="00FE5C63"/>
    <w:rsid w:val="00FE5F90"/>
    <w:rsid w:val="00FE67D5"/>
    <w:rsid w:val="00FF18EA"/>
    <w:rsid w:val="00FF2D99"/>
    <w:rsid w:val="00FF600B"/>
    <w:rsid w:val="00FF7568"/>
    <w:rsid w:val="012E3309"/>
    <w:rsid w:val="016E040A"/>
    <w:rsid w:val="017B2D69"/>
    <w:rsid w:val="018E53BB"/>
    <w:rsid w:val="020531A4"/>
    <w:rsid w:val="020D0EA1"/>
    <w:rsid w:val="021C3352"/>
    <w:rsid w:val="02CB3DD9"/>
    <w:rsid w:val="060A6758"/>
    <w:rsid w:val="06331AE5"/>
    <w:rsid w:val="063C2701"/>
    <w:rsid w:val="067D6210"/>
    <w:rsid w:val="068D1703"/>
    <w:rsid w:val="068F6A17"/>
    <w:rsid w:val="06B05BED"/>
    <w:rsid w:val="070F0509"/>
    <w:rsid w:val="07980C16"/>
    <w:rsid w:val="07EB0B8D"/>
    <w:rsid w:val="09151419"/>
    <w:rsid w:val="092A36C0"/>
    <w:rsid w:val="09812CE0"/>
    <w:rsid w:val="098A72E3"/>
    <w:rsid w:val="09D61298"/>
    <w:rsid w:val="0A4D205D"/>
    <w:rsid w:val="0AB01583"/>
    <w:rsid w:val="0B0F486F"/>
    <w:rsid w:val="0B60615F"/>
    <w:rsid w:val="0BEA4171"/>
    <w:rsid w:val="0CC45712"/>
    <w:rsid w:val="0CEF4E8D"/>
    <w:rsid w:val="0E1B02D4"/>
    <w:rsid w:val="0EB11F99"/>
    <w:rsid w:val="0EBD2E3C"/>
    <w:rsid w:val="0EF44384"/>
    <w:rsid w:val="0FA70733"/>
    <w:rsid w:val="0FB96A45"/>
    <w:rsid w:val="1074632C"/>
    <w:rsid w:val="11023C2D"/>
    <w:rsid w:val="1150170C"/>
    <w:rsid w:val="119D7CCC"/>
    <w:rsid w:val="11A71B81"/>
    <w:rsid w:val="12081A72"/>
    <w:rsid w:val="12086AC4"/>
    <w:rsid w:val="122B77C7"/>
    <w:rsid w:val="13E175CD"/>
    <w:rsid w:val="13E64481"/>
    <w:rsid w:val="14092304"/>
    <w:rsid w:val="142C636E"/>
    <w:rsid w:val="14740383"/>
    <w:rsid w:val="14E87B4C"/>
    <w:rsid w:val="15233C15"/>
    <w:rsid w:val="15A73C37"/>
    <w:rsid w:val="15BF2EFE"/>
    <w:rsid w:val="16557DFE"/>
    <w:rsid w:val="16C55FB6"/>
    <w:rsid w:val="17297B65"/>
    <w:rsid w:val="182E0173"/>
    <w:rsid w:val="185F55F5"/>
    <w:rsid w:val="18DE057F"/>
    <w:rsid w:val="1913606C"/>
    <w:rsid w:val="192400FF"/>
    <w:rsid w:val="19CA39E1"/>
    <w:rsid w:val="19DE010A"/>
    <w:rsid w:val="1A9F7949"/>
    <w:rsid w:val="1AB95D72"/>
    <w:rsid w:val="1B0E2C71"/>
    <w:rsid w:val="1B4B17D0"/>
    <w:rsid w:val="1BAF7FB0"/>
    <w:rsid w:val="1C0A3439"/>
    <w:rsid w:val="1C4D1A75"/>
    <w:rsid w:val="1C5A21E7"/>
    <w:rsid w:val="1C74587A"/>
    <w:rsid w:val="1CD46712"/>
    <w:rsid w:val="1CF21724"/>
    <w:rsid w:val="1D422FCE"/>
    <w:rsid w:val="1DE900C7"/>
    <w:rsid w:val="1E5B7F7C"/>
    <w:rsid w:val="1EB77450"/>
    <w:rsid w:val="1F9936BA"/>
    <w:rsid w:val="1FAF0A21"/>
    <w:rsid w:val="1FE324F0"/>
    <w:rsid w:val="20045B09"/>
    <w:rsid w:val="20087C8F"/>
    <w:rsid w:val="211D32FD"/>
    <w:rsid w:val="224E0395"/>
    <w:rsid w:val="2264148F"/>
    <w:rsid w:val="22E80703"/>
    <w:rsid w:val="230B213E"/>
    <w:rsid w:val="231024BC"/>
    <w:rsid w:val="23A06591"/>
    <w:rsid w:val="23C84167"/>
    <w:rsid w:val="24354CFB"/>
    <w:rsid w:val="2480271A"/>
    <w:rsid w:val="251B5C87"/>
    <w:rsid w:val="258212E1"/>
    <w:rsid w:val="25DC7C5D"/>
    <w:rsid w:val="25E1234A"/>
    <w:rsid w:val="25E71C16"/>
    <w:rsid w:val="264D0AF2"/>
    <w:rsid w:val="266A1B61"/>
    <w:rsid w:val="26B17747"/>
    <w:rsid w:val="28085519"/>
    <w:rsid w:val="287606B8"/>
    <w:rsid w:val="28B233F9"/>
    <w:rsid w:val="29A9603F"/>
    <w:rsid w:val="29EF50CB"/>
    <w:rsid w:val="2B472170"/>
    <w:rsid w:val="2B84209F"/>
    <w:rsid w:val="2BB52F16"/>
    <w:rsid w:val="2CC83DD0"/>
    <w:rsid w:val="2CCA72DE"/>
    <w:rsid w:val="2D5B12E0"/>
    <w:rsid w:val="2D92328E"/>
    <w:rsid w:val="2DB96E88"/>
    <w:rsid w:val="2DBA0397"/>
    <w:rsid w:val="2E212079"/>
    <w:rsid w:val="2EFE73FB"/>
    <w:rsid w:val="2F706A2D"/>
    <w:rsid w:val="302963D4"/>
    <w:rsid w:val="30302C0E"/>
    <w:rsid w:val="30405223"/>
    <w:rsid w:val="30CE5E9D"/>
    <w:rsid w:val="31605B7D"/>
    <w:rsid w:val="32A01FA9"/>
    <w:rsid w:val="32D90BB3"/>
    <w:rsid w:val="333C3C2A"/>
    <w:rsid w:val="346E6C64"/>
    <w:rsid w:val="34E9418C"/>
    <w:rsid w:val="35436864"/>
    <w:rsid w:val="356E1F34"/>
    <w:rsid w:val="36010FB1"/>
    <w:rsid w:val="365C6E9B"/>
    <w:rsid w:val="36942D11"/>
    <w:rsid w:val="36A71C91"/>
    <w:rsid w:val="36D83E00"/>
    <w:rsid w:val="373979C7"/>
    <w:rsid w:val="37556868"/>
    <w:rsid w:val="3790713F"/>
    <w:rsid w:val="385C6972"/>
    <w:rsid w:val="38A805A5"/>
    <w:rsid w:val="38C5017B"/>
    <w:rsid w:val="38C97C97"/>
    <w:rsid w:val="38FD3937"/>
    <w:rsid w:val="393A729D"/>
    <w:rsid w:val="3A182BA7"/>
    <w:rsid w:val="3A5B15D7"/>
    <w:rsid w:val="3B981668"/>
    <w:rsid w:val="3BA0301A"/>
    <w:rsid w:val="3BB668DA"/>
    <w:rsid w:val="3BDC7444"/>
    <w:rsid w:val="3C7E15AD"/>
    <w:rsid w:val="3CB21257"/>
    <w:rsid w:val="3D8258C9"/>
    <w:rsid w:val="3E290866"/>
    <w:rsid w:val="3F7D1E45"/>
    <w:rsid w:val="3FA657D8"/>
    <w:rsid w:val="3FE905B6"/>
    <w:rsid w:val="400902CE"/>
    <w:rsid w:val="4024752B"/>
    <w:rsid w:val="40D07EFD"/>
    <w:rsid w:val="414032D5"/>
    <w:rsid w:val="41437475"/>
    <w:rsid w:val="423031DA"/>
    <w:rsid w:val="42B831AD"/>
    <w:rsid w:val="43994F1E"/>
    <w:rsid w:val="43D768AF"/>
    <w:rsid w:val="44244A83"/>
    <w:rsid w:val="443107BC"/>
    <w:rsid w:val="443417CC"/>
    <w:rsid w:val="447B4927"/>
    <w:rsid w:val="44E73581"/>
    <w:rsid w:val="45DA2D01"/>
    <w:rsid w:val="46011D57"/>
    <w:rsid w:val="460875DB"/>
    <w:rsid w:val="477535AD"/>
    <w:rsid w:val="47C77212"/>
    <w:rsid w:val="48BC2F1C"/>
    <w:rsid w:val="49365F43"/>
    <w:rsid w:val="49F03F79"/>
    <w:rsid w:val="4A0C104F"/>
    <w:rsid w:val="4A4F6337"/>
    <w:rsid w:val="4A563B69"/>
    <w:rsid w:val="4AE922E8"/>
    <w:rsid w:val="4BAF6429"/>
    <w:rsid w:val="4BCA7D19"/>
    <w:rsid w:val="4C012E4E"/>
    <w:rsid w:val="4C490BA2"/>
    <w:rsid w:val="4C6611F9"/>
    <w:rsid w:val="4D362EE1"/>
    <w:rsid w:val="4D3D2DBF"/>
    <w:rsid w:val="4D527F1D"/>
    <w:rsid w:val="4DE45FE7"/>
    <w:rsid w:val="4E4F4B57"/>
    <w:rsid w:val="4E545742"/>
    <w:rsid w:val="4E624981"/>
    <w:rsid w:val="4F98203F"/>
    <w:rsid w:val="4FCE7959"/>
    <w:rsid w:val="505B2114"/>
    <w:rsid w:val="511657D8"/>
    <w:rsid w:val="5131290F"/>
    <w:rsid w:val="514B3CFC"/>
    <w:rsid w:val="51870AAC"/>
    <w:rsid w:val="51B36CFC"/>
    <w:rsid w:val="51C35D6F"/>
    <w:rsid w:val="52936A52"/>
    <w:rsid w:val="52945588"/>
    <w:rsid w:val="52DC7024"/>
    <w:rsid w:val="53230361"/>
    <w:rsid w:val="54B205FE"/>
    <w:rsid w:val="54DC7A5B"/>
    <w:rsid w:val="56744020"/>
    <w:rsid w:val="56DE7977"/>
    <w:rsid w:val="56F30003"/>
    <w:rsid w:val="573B4324"/>
    <w:rsid w:val="57831D16"/>
    <w:rsid w:val="57C06B72"/>
    <w:rsid w:val="57E47064"/>
    <w:rsid w:val="58FE583A"/>
    <w:rsid w:val="593C307C"/>
    <w:rsid w:val="59771406"/>
    <w:rsid w:val="59975510"/>
    <w:rsid w:val="59CC52AE"/>
    <w:rsid w:val="5A432F8D"/>
    <w:rsid w:val="5B2F793C"/>
    <w:rsid w:val="5BCB58F6"/>
    <w:rsid w:val="5C321E9B"/>
    <w:rsid w:val="5C361458"/>
    <w:rsid w:val="5C610041"/>
    <w:rsid w:val="5D714235"/>
    <w:rsid w:val="5D92680F"/>
    <w:rsid w:val="5DD54F55"/>
    <w:rsid w:val="5E7F3D91"/>
    <w:rsid w:val="5E8F5E1D"/>
    <w:rsid w:val="5EA4058F"/>
    <w:rsid w:val="5EDE7F25"/>
    <w:rsid w:val="5F025C16"/>
    <w:rsid w:val="602A7A87"/>
    <w:rsid w:val="60E02B20"/>
    <w:rsid w:val="614D4D08"/>
    <w:rsid w:val="6158374E"/>
    <w:rsid w:val="62790726"/>
    <w:rsid w:val="627F3A39"/>
    <w:rsid w:val="62D60F4C"/>
    <w:rsid w:val="645E4E80"/>
    <w:rsid w:val="646003F3"/>
    <w:rsid w:val="64944811"/>
    <w:rsid w:val="64AC6924"/>
    <w:rsid w:val="64BE377D"/>
    <w:rsid w:val="64F355D6"/>
    <w:rsid w:val="65351598"/>
    <w:rsid w:val="654B31E9"/>
    <w:rsid w:val="65980578"/>
    <w:rsid w:val="67334BBF"/>
    <w:rsid w:val="67413ADD"/>
    <w:rsid w:val="67973093"/>
    <w:rsid w:val="68773FDE"/>
    <w:rsid w:val="689F4691"/>
    <w:rsid w:val="696F20FA"/>
    <w:rsid w:val="698C2CAC"/>
    <w:rsid w:val="698E0394"/>
    <w:rsid w:val="69A02843"/>
    <w:rsid w:val="6A8B493B"/>
    <w:rsid w:val="6AEB7F64"/>
    <w:rsid w:val="6B056872"/>
    <w:rsid w:val="6B064398"/>
    <w:rsid w:val="6B410D73"/>
    <w:rsid w:val="6B416772"/>
    <w:rsid w:val="6B9C3EC7"/>
    <w:rsid w:val="6BC856C2"/>
    <w:rsid w:val="6D0D5BA4"/>
    <w:rsid w:val="6D154ACC"/>
    <w:rsid w:val="6D6100A7"/>
    <w:rsid w:val="6D7B01B7"/>
    <w:rsid w:val="6DB93CC7"/>
    <w:rsid w:val="6DDD40E1"/>
    <w:rsid w:val="6E1D2124"/>
    <w:rsid w:val="6E8761D2"/>
    <w:rsid w:val="6EF37D6B"/>
    <w:rsid w:val="6F1807A7"/>
    <w:rsid w:val="6F926156"/>
    <w:rsid w:val="6FA05E13"/>
    <w:rsid w:val="733221CE"/>
    <w:rsid w:val="745A6501"/>
    <w:rsid w:val="748374B4"/>
    <w:rsid w:val="74AA322B"/>
    <w:rsid w:val="7523019F"/>
    <w:rsid w:val="75A5421E"/>
    <w:rsid w:val="76002075"/>
    <w:rsid w:val="771E78EF"/>
    <w:rsid w:val="77285F81"/>
    <w:rsid w:val="77DD34A7"/>
    <w:rsid w:val="781F69DF"/>
    <w:rsid w:val="78743F0C"/>
    <w:rsid w:val="78A31478"/>
    <w:rsid w:val="78FC310E"/>
    <w:rsid w:val="7A041E8F"/>
    <w:rsid w:val="7A1B7E60"/>
    <w:rsid w:val="7A880E35"/>
    <w:rsid w:val="7ABD0F17"/>
    <w:rsid w:val="7B7A7AAD"/>
    <w:rsid w:val="7BC167E5"/>
    <w:rsid w:val="7BD87918"/>
    <w:rsid w:val="7C07752F"/>
    <w:rsid w:val="7C751669"/>
    <w:rsid w:val="7CA26617"/>
    <w:rsid w:val="7DC93F96"/>
    <w:rsid w:val="7DCE6C76"/>
    <w:rsid w:val="7F4D294D"/>
    <w:rsid w:val="7F73429A"/>
    <w:rsid w:val="7F9A2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4"/>
    <w:qFormat/>
    <w:uiPriority w:val="9"/>
    <w:pPr>
      <w:keepNext/>
      <w:keepLines/>
      <w:spacing w:before="260" w:after="260" w:line="416" w:lineRule="auto"/>
      <w:jc w:val="center"/>
      <w:outlineLvl w:val="1"/>
    </w:pPr>
    <w:rPr>
      <w:rFonts w:ascii="Arial" w:hAnsi="Arial" w:eastAsia="幼圆" w:cs="Arial"/>
      <w:b/>
      <w:bCs/>
      <w:sz w:val="44"/>
      <w:szCs w:val="44"/>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link w:val="5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8">
    <w:name w:val="Default Paragraph Font"/>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49"/>
    <w:autoRedefine/>
    <w:unhideWhenUsed/>
    <w:qFormat/>
    <w:uiPriority w:val="99"/>
    <w:pPr>
      <w:spacing w:after="120"/>
    </w:pPr>
  </w:style>
  <w:style w:type="paragraph" w:styleId="7">
    <w:name w:val="Normal Indent"/>
    <w:basedOn w:val="1"/>
    <w:link w:val="59"/>
    <w:autoRedefine/>
    <w:qFormat/>
    <w:uiPriority w:val="0"/>
    <w:pPr>
      <w:ind w:firstLine="420"/>
    </w:pPr>
    <w:rPr>
      <w:rFonts w:ascii="Times New Roman" w:hAnsi="Times New Roman" w:eastAsia="宋体" w:cs="Times New Roman"/>
      <w:szCs w:val="20"/>
    </w:rPr>
  </w:style>
  <w:style w:type="paragraph" w:styleId="8">
    <w:name w:val="annotation text"/>
    <w:basedOn w:val="1"/>
    <w:link w:val="45"/>
    <w:autoRedefine/>
    <w:qFormat/>
    <w:uiPriority w:val="0"/>
    <w:pPr>
      <w:jc w:val="left"/>
    </w:pPr>
    <w:rPr>
      <w:rFonts w:ascii="Times New Roman" w:hAnsi="Times New Roman" w:eastAsia="宋体" w:cs="Times New Roman"/>
      <w:szCs w:val="20"/>
    </w:rPr>
  </w:style>
  <w:style w:type="paragraph" w:styleId="9">
    <w:name w:val="Body Text 3"/>
    <w:basedOn w:val="1"/>
    <w:link w:val="46"/>
    <w:autoRedefine/>
    <w:qFormat/>
    <w:uiPriority w:val="0"/>
    <w:pPr>
      <w:spacing w:after="120"/>
    </w:pPr>
    <w:rPr>
      <w:rFonts w:ascii="Times New Roman" w:hAnsi="Times New Roman" w:eastAsia="宋体" w:cs="Times New Roman"/>
      <w:sz w:val="16"/>
      <w:szCs w:val="16"/>
    </w:rPr>
  </w:style>
  <w:style w:type="paragraph" w:styleId="10">
    <w:name w:val="Body Text Indent"/>
    <w:basedOn w:val="1"/>
    <w:next w:val="1"/>
    <w:link w:val="39"/>
    <w:autoRedefine/>
    <w:qFormat/>
    <w:uiPriority w:val="0"/>
    <w:pPr>
      <w:autoSpaceDE w:val="0"/>
      <w:autoSpaceDN w:val="0"/>
      <w:adjustRightInd w:val="0"/>
      <w:spacing w:after="120" w:line="360" w:lineRule="atLeast"/>
      <w:ind w:left="900"/>
    </w:pPr>
    <w:rPr>
      <w:rFonts w:ascii="楷体_GB2312" w:hAnsi="Times New Roman" w:eastAsia="楷体_GB2312" w:cs="Times New Roman"/>
      <w:kern w:val="0"/>
      <w:sz w:val="28"/>
      <w:szCs w:val="20"/>
    </w:rPr>
  </w:style>
  <w:style w:type="paragraph" w:styleId="11">
    <w:name w:val="index 4"/>
    <w:basedOn w:val="1"/>
    <w:next w:val="1"/>
    <w:autoRedefine/>
    <w:unhideWhenUsed/>
    <w:qFormat/>
    <w:uiPriority w:val="99"/>
    <w:pPr>
      <w:ind w:left="600" w:leftChars="600"/>
    </w:pPr>
    <w:rPr>
      <w:rFonts w:ascii="Verdana" w:hAnsi="Verdana"/>
      <w:szCs w:val="20"/>
    </w:rPr>
  </w:style>
  <w:style w:type="paragraph" w:styleId="12">
    <w:name w:val="toc 3"/>
    <w:basedOn w:val="1"/>
    <w:next w:val="1"/>
    <w:autoRedefine/>
    <w:unhideWhenUsed/>
    <w:qFormat/>
    <w:uiPriority w:val="39"/>
    <w:pPr>
      <w:widowControl/>
      <w:spacing w:after="100" w:line="259" w:lineRule="auto"/>
      <w:ind w:left="440"/>
      <w:jc w:val="left"/>
    </w:pPr>
    <w:rPr>
      <w:rFonts w:ascii="Times New Roman" w:hAnsi="Times New Roman" w:eastAsia="宋体" w:cs="Times New Roman"/>
      <w:kern w:val="0"/>
      <w:sz w:val="22"/>
    </w:rPr>
  </w:style>
  <w:style w:type="paragraph" w:styleId="13">
    <w:name w:val="Plain Text"/>
    <w:basedOn w:val="1"/>
    <w:link w:val="42"/>
    <w:autoRedefine/>
    <w:qFormat/>
    <w:uiPriority w:val="0"/>
    <w:rPr>
      <w:rFonts w:ascii="宋体" w:hAnsi="Courier New" w:eastAsia="宋体" w:cs="Times New Roman"/>
      <w:szCs w:val="20"/>
    </w:rPr>
  </w:style>
  <w:style w:type="paragraph" w:styleId="14">
    <w:name w:val="Date"/>
    <w:basedOn w:val="1"/>
    <w:next w:val="1"/>
    <w:link w:val="44"/>
    <w:autoRedefine/>
    <w:semiHidden/>
    <w:unhideWhenUsed/>
    <w:qFormat/>
    <w:uiPriority w:val="99"/>
    <w:pPr>
      <w:ind w:left="100" w:leftChars="2500"/>
    </w:pPr>
  </w:style>
  <w:style w:type="paragraph" w:styleId="15">
    <w:name w:val="Balloon Text"/>
    <w:basedOn w:val="1"/>
    <w:link w:val="43"/>
    <w:autoRedefine/>
    <w:semiHidden/>
    <w:unhideWhenUsed/>
    <w:qFormat/>
    <w:uiPriority w:val="99"/>
    <w:rPr>
      <w:sz w:val="18"/>
      <w:szCs w:val="18"/>
    </w:rPr>
  </w:style>
  <w:style w:type="paragraph" w:styleId="16">
    <w:name w:val="footer"/>
    <w:basedOn w:val="1"/>
    <w:link w:val="36"/>
    <w:autoRedefine/>
    <w:unhideWhenUsed/>
    <w:qFormat/>
    <w:uiPriority w:val="99"/>
    <w:pPr>
      <w:tabs>
        <w:tab w:val="center" w:pos="4153"/>
        <w:tab w:val="right" w:pos="8306"/>
      </w:tabs>
      <w:snapToGrid w:val="0"/>
      <w:jc w:val="left"/>
    </w:pPr>
    <w:rPr>
      <w:sz w:val="18"/>
      <w:szCs w:val="18"/>
    </w:rPr>
  </w:style>
  <w:style w:type="paragraph" w:styleId="17">
    <w:name w:val="envelope return"/>
    <w:basedOn w:val="1"/>
    <w:autoRedefine/>
    <w:unhideWhenUsed/>
    <w:qFormat/>
    <w:uiPriority w:val="99"/>
    <w:pPr>
      <w:snapToGrid w:val="0"/>
    </w:pPr>
    <w:rPr>
      <w:rFonts w:ascii="Arial" w:hAnsi="Arial"/>
    </w:rPr>
  </w:style>
  <w:style w:type="paragraph" w:styleId="18">
    <w:name w:val="header"/>
    <w:basedOn w:val="1"/>
    <w:link w:val="3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pPr>
      <w:widowControl/>
      <w:tabs>
        <w:tab w:val="right" w:leader="dot" w:pos="8777"/>
      </w:tabs>
      <w:spacing w:line="360" w:lineRule="auto"/>
      <w:jc w:val="left"/>
    </w:pPr>
    <w:rPr>
      <w:rFonts w:ascii="Times New Roman" w:hAnsi="Times New Roman" w:eastAsia="黑体" w:cs="Times New Roman"/>
      <w:kern w:val="0"/>
      <w:sz w:val="24"/>
    </w:rPr>
  </w:style>
  <w:style w:type="paragraph" w:styleId="20">
    <w:name w:val="toc 2"/>
    <w:basedOn w:val="1"/>
    <w:next w:val="1"/>
    <w:autoRedefine/>
    <w:unhideWhenUsed/>
    <w:qFormat/>
    <w:uiPriority w:val="39"/>
    <w:pPr>
      <w:widowControl/>
      <w:spacing w:line="360" w:lineRule="auto"/>
      <w:ind w:left="221"/>
      <w:jc w:val="left"/>
    </w:pPr>
    <w:rPr>
      <w:rFonts w:ascii="Times New Roman" w:hAnsi="Times New Roman" w:eastAsia="宋体" w:cs="Times New Roman"/>
      <w:kern w:val="0"/>
      <w:sz w:val="22"/>
    </w:rPr>
  </w:style>
  <w:style w:type="paragraph" w:styleId="21">
    <w:name w:val="Body Text 2"/>
    <w:basedOn w:val="1"/>
    <w:autoRedefine/>
    <w:qFormat/>
    <w:uiPriority w:val="0"/>
    <w:pPr>
      <w:spacing w:after="120" w:line="480" w:lineRule="auto"/>
    </w:pPr>
  </w:style>
  <w:style w:type="paragraph" w:styleId="22">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3">
    <w:name w:val="annotation subject"/>
    <w:basedOn w:val="8"/>
    <w:next w:val="8"/>
    <w:link w:val="57"/>
    <w:autoRedefine/>
    <w:semiHidden/>
    <w:unhideWhenUsed/>
    <w:qFormat/>
    <w:uiPriority w:val="99"/>
    <w:rPr>
      <w:rFonts w:asciiTheme="minorHAnsi" w:hAnsiTheme="minorHAnsi" w:eastAsiaTheme="minorEastAsia" w:cstheme="minorBidi"/>
      <w:b/>
      <w:bCs/>
      <w:szCs w:val="22"/>
    </w:rPr>
  </w:style>
  <w:style w:type="paragraph" w:styleId="24">
    <w:name w:val="Body Text First Indent"/>
    <w:basedOn w:val="2"/>
    <w:link w:val="61"/>
    <w:autoRedefine/>
    <w:semiHidden/>
    <w:unhideWhenUsed/>
    <w:qFormat/>
    <w:uiPriority w:val="99"/>
    <w:pPr>
      <w:ind w:firstLine="420" w:firstLineChars="100"/>
    </w:pPr>
  </w:style>
  <w:style w:type="paragraph" w:styleId="25">
    <w:name w:val="Body Text First Indent 2"/>
    <w:basedOn w:val="10"/>
    <w:next w:val="1"/>
    <w:autoRedefine/>
    <w:qFormat/>
    <w:uiPriority w:val="0"/>
    <w:pPr>
      <w:ind w:firstLine="420"/>
    </w:pPr>
    <w:rPr>
      <w:sz w:val="20"/>
    </w:rPr>
  </w:style>
  <w:style w:type="table" w:styleId="27">
    <w:name w:val="Table Grid"/>
    <w:basedOn w:val="2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autoRedefine/>
    <w:qFormat/>
    <w:uiPriority w:val="22"/>
    <w:rPr>
      <w:b/>
      <w:bCs/>
    </w:rPr>
  </w:style>
  <w:style w:type="character" w:styleId="30">
    <w:name w:val="Emphasis"/>
    <w:basedOn w:val="28"/>
    <w:autoRedefine/>
    <w:qFormat/>
    <w:uiPriority w:val="20"/>
    <w:rPr>
      <w:i/>
    </w:rPr>
  </w:style>
  <w:style w:type="character" w:styleId="31">
    <w:name w:val="Hyperlink"/>
    <w:basedOn w:val="28"/>
    <w:autoRedefine/>
    <w:unhideWhenUsed/>
    <w:qFormat/>
    <w:uiPriority w:val="99"/>
    <w:rPr>
      <w:color w:val="0563C1" w:themeColor="hyperlink"/>
      <w:u w:val="single"/>
      <w14:textFill>
        <w14:solidFill>
          <w14:schemeClr w14:val="hlink"/>
        </w14:solidFill>
      </w14:textFill>
    </w:rPr>
  </w:style>
  <w:style w:type="character" w:styleId="32">
    <w:name w:val="annotation reference"/>
    <w:autoRedefine/>
    <w:qFormat/>
    <w:uiPriority w:val="0"/>
    <w:rPr>
      <w:sz w:val="21"/>
      <w:szCs w:val="21"/>
    </w:rPr>
  </w:style>
  <w:style w:type="paragraph" w:styleId="33">
    <w:name w:val="List Paragraph"/>
    <w:basedOn w:val="1"/>
    <w:link w:val="60"/>
    <w:autoRedefine/>
    <w:unhideWhenUsed/>
    <w:qFormat/>
    <w:uiPriority w:val="34"/>
    <w:pPr>
      <w:widowControl/>
      <w:spacing w:before="60" w:after="60"/>
      <w:ind w:firstLine="420" w:firstLineChars="200"/>
      <w:jc w:val="left"/>
    </w:pPr>
    <w:rPr>
      <w:rFonts w:hint="eastAsia" w:ascii="Arial Unicode MS" w:hAnsi="Arial Unicode MS" w:eastAsia="Times New Roman" w:cs="Arial Unicode MS"/>
      <w:color w:val="000000"/>
      <w:kern w:val="0"/>
      <w:sz w:val="20"/>
      <w:szCs w:val="20"/>
      <w:u w:color="000000"/>
      <w:lang w:eastAsia="en-US"/>
    </w:rPr>
  </w:style>
  <w:style w:type="paragraph" w:customStyle="1" w:styleId="34">
    <w:name w:val="Default"/>
    <w:autoRedefine/>
    <w:qFormat/>
    <w:uiPriority w:val="0"/>
    <w:pPr>
      <w:autoSpaceDE w:val="0"/>
      <w:autoSpaceDN w:val="0"/>
      <w:adjustRightInd w:val="0"/>
    </w:pPr>
    <w:rPr>
      <w:rFonts w:ascii="宋体" w:hAnsi="Times New Roman" w:eastAsia="宋体" w:cs="宋体"/>
      <w:color w:val="000000"/>
      <w:sz w:val="24"/>
      <w:szCs w:val="24"/>
      <w:lang w:val="en-US" w:eastAsia="zh-CN" w:bidi="ar-SA"/>
    </w:rPr>
  </w:style>
  <w:style w:type="character" w:customStyle="1" w:styleId="35">
    <w:name w:val="页眉 Char"/>
    <w:basedOn w:val="28"/>
    <w:link w:val="18"/>
    <w:autoRedefine/>
    <w:qFormat/>
    <w:uiPriority w:val="99"/>
    <w:rPr>
      <w:sz w:val="18"/>
      <w:szCs w:val="18"/>
    </w:rPr>
  </w:style>
  <w:style w:type="character" w:customStyle="1" w:styleId="36">
    <w:name w:val="页脚 Char"/>
    <w:basedOn w:val="28"/>
    <w:link w:val="16"/>
    <w:autoRedefine/>
    <w:qFormat/>
    <w:uiPriority w:val="99"/>
    <w:rPr>
      <w:sz w:val="18"/>
      <w:szCs w:val="18"/>
    </w:rPr>
  </w:style>
  <w:style w:type="character" w:customStyle="1" w:styleId="37">
    <w:name w:val="标题 1 Char"/>
    <w:basedOn w:val="28"/>
    <w:link w:val="3"/>
    <w:autoRedefine/>
    <w:qFormat/>
    <w:uiPriority w:val="9"/>
    <w:rPr>
      <w:b/>
      <w:bCs/>
      <w:kern w:val="44"/>
      <w:sz w:val="44"/>
      <w:szCs w:val="44"/>
    </w:rPr>
  </w:style>
  <w:style w:type="paragraph" w:customStyle="1" w:styleId="38">
    <w:name w:val="TOC 标题1"/>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9">
    <w:name w:val="正文文本缩进 Char"/>
    <w:basedOn w:val="28"/>
    <w:link w:val="10"/>
    <w:autoRedefine/>
    <w:qFormat/>
    <w:uiPriority w:val="0"/>
    <w:rPr>
      <w:rFonts w:ascii="楷体_GB2312" w:hAnsi="Times New Roman" w:eastAsia="楷体_GB2312" w:cs="Times New Roman"/>
      <w:kern w:val="0"/>
      <w:sz w:val="28"/>
      <w:szCs w:val="20"/>
    </w:rPr>
  </w:style>
  <w:style w:type="paragraph" w:customStyle="1" w:styleId="40">
    <w:name w:val="蓝色显示"/>
    <w:basedOn w:val="1"/>
    <w:link w:val="41"/>
    <w:autoRedefine/>
    <w:qFormat/>
    <w:uiPriority w:val="0"/>
    <w:pPr>
      <w:spacing w:before="340" w:after="330" w:line="400" w:lineRule="exact"/>
    </w:pPr>
    <w:rPr>
      <w:rFonts w:ascii="Times New Roman" w:hAnsi="Times New Roman" w:eastAsia="宋体" w:cs="Times New Roman"/>
      <w:b/>
      <w:color w:val="0070C0"/>
      <w:szCs w:val="24"/>
    </w:rPr>
  </w:style>
  <w:style w:type="character" w:customStyle="1" w:styleId="41">
    <w:name w:val="蓝色显示 Char"/>
    <w:link w:val="40"/>
    <w:autoRedefine/>
    <w:qFormat/>
    <w:uiPriority w:val="0"/>
    <w:rPr>
      <w:rFonts w:ascii="Times New Roman" w:hAnsi="Times New Roman" w:eastAsia="宋体" w:cs="Times New Roman"/>
      <w:b/>
      <w:color w:val="0070C0"/>
      <w:szCs w:val="24"/>
    </w:rPr>
  </w:style>
  <w:style w:type="character" w:customStyle="1" w:styleId="42">
    <w:name w:val="纯文本 Char"/>
    <w:basedOn w:val="28"/>
    <w:link w:val="13"/>
    <w:autoRedefine/>
    <w:qFormat/>
    <w:uiPriority w:val="0"/>
    <w:rPr>
      <w:rFonts w:ascii="宋体" w:hAnsi="Courier New" w:eastAsia="宋体" w:cs="Times New Roman"/>
      <w:szCs w:val="20"/>
    </w:rPr>
  </w:style>
  <w:style w:type="character" w:customStyle="1" w:styleId="43">
    <w:name w:val="批注框文本 Char"/>
    <w:basedOn w:val="28"/>
    <w:link w:val="15"/>
    <w:autoRedefine/>
    <w:semiHidden/>
    <w:qFormat/>
    <w:uiPriority w:val="99"/>
    <w:rPr>
      <w:sz w:val="18"/>
      <w:szCs w:val="18"/>
    </w:rPr>
  </w:style>
  <w:style w:type="character" w:customStyle="1" w:styleId="44">
    <w:name w:val="日期 Char"/>
    <w:basedOn w:val="28"/>
    <w:link w:val="14"/>
    <w:autoRedefine/>
    <w:semiHidden/>
    <w:qFormat/>
    <w:uiPriority w:val="99"/>
  </w:style>
  <w:style w:type="character" w:customStyle="1" w:styleId="45">
    <w:name w:val="批注文字 Char"/>
    <w:basedOn w:val="28"/>
    <w:link w:val="8"/>
    <w:autoRedefine/>
    <w:qFormat/>
    <w:uiPriority w:val="99"/>
    <w:rPr>
      <w:rFonts w:ascii="Times New Roman" w:hAnsi="Times New Roman" w:eastAsia="宋体" w:cs="Times New Roman"/>
      <w:szCs w:val="20"/>
    </w:rPr>
  </w:style>
  <w:style w:type="character" w:customStyle="1" w:styleId="46">
    <w:name w:val="正文文本 3 Char"/>
    <w:basedOn w:val="28"/>
    <w:link w:val="9"/>
    <w:autoRedefine/>
    <w:qFormat/>
    <w:uiPriority w:val="0"/>
    <w:rPr>
      <w:rFonts w:ascii="Times New Roman" w:hAnsi="Times New Roman" w:eastAsia="宋体" w:cs="Times New Roman"/>
      <w:sz w:val="16"/>
      <w:szCs w:val="16"/>
    </w:rPr>
  </w:style>
  <w:style w:type="paragraph" w:customStyle="1" w:styleId="47">
    <w:name w:val="正文00"/>
    <w:basedOn w:val="1"/>
    <w:autoRedefine/>
    <w:qFormat/>
    <w:uiPriority w:val="0"/>
    <w:pPr>
      <w:topLinePunct/>
      <w:spacing w:line="360" w:lineRule="auto"/>
      <w:ind w:firstLine="200" w:firstLineChars="200"/>
    </w:pPr>
    <w:rPr>
      <w:rFonts w:ascii="Times New Roman" w:hAnsi="Times New Roman" w:eastAsia="宋体" w:cs="Times New Roman"/>
      <w:sz w:val="24"/>
      <w:szCs w:val="21"/>
    </w:rPr>
  </w:style>
  <w:style w:type="paragraph" w:customStyle="1" w:styleId="48">
    <w:name w:val="普通正文"/>
    <w:basedOn w:val="1"/>
    <w:autoRedefine/>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character" w:customStyle="1" w:styleId="49">
    <w:name w:val="正文文本 Char"/>
    <w:basedOn w:val="28"/>
    <w:link w:val="2"/>
    <w:autoRedefine/>
    <w:qFormat/>
    <w:uiPriority w:val="99"/>
  </w:style>
  <w:style w:type="paragraph" w:customStyle="1" w:styleId="50">
    <w:name w:val="Table Paragraph"/>
    <w:basedOn w:val="1"/>
    <w:autoRedefine/>
    <w:qFormat/>
    <w:uiPriority w:val="1"/>
    <w:pPr>
      <w:autoSpaceDE w:val="0"/>
      <w:autoSpaceDN w:val="0"/>
      <w:adjustRightInd w:val="0"/>
      <w:jc w:val="left"/>
    </w:pPr>
    <w:rPr>
      <w:rFonts w:ascii="Times New Roman" w:hAnsi="Times New Roman" w:eastAsia="宋体" w:cs="Times New Roman"/>
      <w:kern w:val="0"/>
      <w:sz w:val="24"/>
      <w:szCs w:val="24"/>
    </w:rPr>
  </w:style>
  <w:style w:type="character" w:customStyle="1" w:styleId="51">
    <w:name w:val="*正文 Char"/>
    <w:link w:val="52"/>
    <w:autoRedefine/>
    <w:qFormat/>
    <w:uiPriority w:val="0"/>
    <w:rPr>
      <w:kern w:val="2"/>
      <w:sz w:val="24"/>
      <w:szCs w:val="24"/>
    </w:rPr>
  </w:style>
  <w:style w:type="paragraph" w:customStyle="1" w:styleId="52">
    <w:name w:val="*正文"/>
    <w:basedOn w:val="1"/>
    <w:link w:val="51"/>
    <w:autoRedefine/>
    <w:qFormat/>
    <w:uiPriority w:val="0"/>
    <w:pPr>
      <w:adjustRightInd w:val="0"/>
      <w:snapToGrid w:val="0"/>
      <w:spacing w:line="340" w:lineRule="exact"/>
      <w:ind w:firstLine="480" w:firstLineChars="200"/>
    </w:pPr>
    <w:rPr>
      <w:sz w:val="24"/>
      <w:szCs w:val="24"/>
    </w:rPr>
  </w:style>
  <w:style w:type="table" w:customStyle="1" w:styleId="53">
    <w:name w:val="网格型3"/>
    <w:basedOn w:val="26"/>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4">
    <w:name w:val="标题 2 Char"/>
    <w:basedOn w:val="28"/>
    <w:link w:val="4"/>
    <w:autoRedefine/>
    <w:qFormat/>
    <w:uiPriority w:val="9"/>
    <w:rPr>
      <w:rFonts w:ascii="Arial" w:hAnsi="Arial" w:eastAsia="幼圆" w:cs="Arial"/>
      <w:b/>
      <w:bCs/>
      <w:kern w:val="2"/>
      <w:sz w:val="44"/>
      <w:szCs w:val="44"/>
    </w:rPr>
  </w:style>
  <w:style w:type="paragraph" w:customStyle="1" w:styleId="55">
    <w:name w:val="招标文件_标题3"/>
    <w:basedOn w:val="33"/>
    <w:next w:val="1"/>
    <w:link w:val="56"/>
    <w:autoRedefine/>
    <w:qFormat/>
    <w:uiPriority w:val="0"/>
    <w:pPr>
      <w:widowControl w:val="0"/>
      <w:spacing w:before="0" w:after="0"/>
      <w:ind w:firstLine="0" w:firstLineChars="0"/>
      <w:jc w:val="both"/>
      <w:outlineLvl w:val="2"/>
    </w:pPr>
    <w:rPr>
      <w:rFonts w:hint="default" w:ascii="Calibri" w:hAnsi="Calibri" w:eastAsia="宋体" w:cs="Times New Roman"/>
      <w:b/>
      <w:color w:val="auto"/>
      <w:sz w:val="28"/>
      <w:szCs w:val="30"/>
      <w:lang w:val="zh-CN" w:bidi="en-US"/>
    </w:rPr>
  </w:style>
  <w:style w:type="character" w:customStyle="1" w:styleId="56">
    <w:name w:val="招标文件_标题3 字符"/>
    <w:basedOn w:val="28"/>
    <w:link w:val="55"/>
    <w:autoRedefine/>
    <w:qFormat/>
    <w:uiPriority w:val="0"/>
    <w:rPr>
      <w:rFonts w:ascii="Calibri" w:hAnsi="Calibri" w:eastAsia="宋体" w:cs="Times New Roman"/>
      <w:b/>
      <w:sz w:val="28"/>
      <w:szCs w:val="30"/>
      <w:lang w:val="zh-CN" w:eastAsia="en-US" w:bidi="en-US"/>
    </w:rPr>
  </w:style>
  <w:style w:type="character" w:customStyle="1" w:styleId="57">
    <w:name w:val="批注主题 Char"/>
    <w:basedOn w:val="45"/>
    <w:link w:val="23"/>
    <w:autoRedefine/>
    <w:semiHidden/>
    <w:qFormat/>
    <w:uiPriority w:val="99"/>
    <w:rPr>
      <w:rFonts w:ascii="Times New Roman" w:hAnsi="Times New Roman" w:eastAsia="宋体" w:cs="Times New Roman"/>
      <w:b/>
      <w:bCs/>
      <w:kern w:val="2"/>
      <w:sz w:val="21"/>
      <w:szCs w:val="22"/>
    </w:rPr>
  </w:style>
  <w:style w:type="character" w:customStyle="1" w:styleId="58">
    <w:name w:val="标题 4 Char"/>
    <w:basedOn w:val="28"/>
    <w:link w:val="6"/>
    <w:autoRedefine/>
    <w:semiHidden/>
    <w:qFormat/>
    <w:uiPriority w:val="9"/>
    <w:rPr>
      <w:rFonts w:asciiTheme="majorHAnsi" w:hAnsiTheme="majorHAnsi" w:eastAsiaTheme="majorEastAsia" w:cstheme="majorBidi"/>
      <w:b/>
      <w:bCs/>
      <w:kern w:val="2"/>
      <w:sz w:val="28"/>
      <w:szCs w:val="28"/>
    </w:rPr>
  </w:style>
  <w:style w:type="character" w:customStyle="1" w:styleId="59">
    <w:name w:val="正文缩进 Char"/>
    <w:link w:val="7"/>
    <w:autoRedefine/>
    <w:qFormat/>
    <w:uiPriority w:val="0"/>
    <w:rPr>
      <w:rFonts w:ascii="Times New Roman" w:hAnsi="Times New Roman" w:eastAsia="宋体" w:cs="Times New Roman"/>
      <w:kern w:val="2"/>
      <w:sz w:val="21"/>
    </w:rPr>
  </w:style>
  <w:style w:type="character" w:customStyle="1" w:styleId="60">
    <w:name w:val="列出段落 Char"/>
    <w:link w:val="33"/>
    <w:autoRedefine/>
    <w:qFormat/>
    <w:locked/>
    <w:uiPriority w:val="34"/>
    <w:rPr>
      <w:rFonts w:ascii="Arial Unicode MS" w:hAnsi="Arial Unicode MS" w:eastAsia="Times New Roman" w:cs="Arial Unicode MS"/>
      <w:color w:val="000000"/>
      <w:u w:color="000000"/>
      <w:lang w:eastAsia="en-US"/>
    </w:rPr>
  </w:style>
  <w:style w:type="character" w:customStyle="1" w:styleId="61">
    <w:name w:val="正文首行缩进 Char"/>
    <w:basedOn w:val="49"/>
    <w:link w:val="24"/>
    <w:autoRedefine/>
    <w:semiHidden/>
    <w:qFormat/>
    <w:uiPriority w:val="99"/>
    <w:rPr>
      <w:kern w:val="2"/>
      <w:sz w:val="21"/>
      <w:szCs w:val="22"/>
    </w:rPr>
  </w:style>
  <w:style w:type="character" w:customStyle="1" w:styleId="62">
    <w:name w:val="sh141"/>
    <w:autoRedefine/>
    <w:qFormat/>
    <w:uiPriority w:val="0"/>
    <w:rPr>
      <w:color w:val="2B2B2B"/>
      <w:sz w:val="21"/>
      <w:szCs w:val="21"/>
    </w:rPr>
  </w:style>
  <w:style w:type="paragraph" w:customStyle="1" w:styleId="63">
    <w:name w:val="标准文本"/>
    <w:basedOn w:val="1"/>
    <w:link w:val="64"/>
    <w:autoRedefine/>
    <w:qFormat/>
    <w:uiPriority w:val="0"/>
    <w:pPr>
      <w:adjustRightInd w:val="0"/>
      <w:snapToGrid w:val="0"/>
      <w:spacing w:line="360" w:lineRule="auto"/>
      <w:ind w:firstLine="480" w:firstLineChars="200"/>
    </w:pPr>
    <w:rPr>
      <w:rFonts w:ascii="Times New Roman" w:hAnsi="Times New Roman" w:eastAsia="宋体" w:cs="宋体"/>
      <w:sz w:val="24"/>
      <w:szCs w:val="24"/>
    </w:rPr>
  </w:style>
  <w:style w:type="character" w:customStyle="1" w:styleId="64">
    <w:name w:val="标准文本 Char"/>
    <w:link w:val="63"/>
    <w:autoRedefine/>
    <w:qFormat/>
    <w:uiPriority w:val="0"/>
    <w:rPr>
      <w:rFonts w:ascii="Times New Roman" w:hAnsi="Times New Roman" w:eastAsia="宋体" w:cs="宋体"/>
      <w:kern w:val="2"/>
      <w:sz w:val="24"/>
      <w:szCs w:val="24"/>
    </w:rPr>
  </w:style>
  <w:style w:type="paragraph" w:customStyle="1" w:styleId="65">
    <w:name w:val="列出段落1"/>
    <w:basedOn w:val="1"/>
    <w:autoRedefine/>
    <w:qFormat/>
    <w:uiPriority w:val="0"/>
    <w:pPr>
      <w:ind w:left="200" w:leftChars="200"/>
      <w:jc w:val="left"/>
    </w:pPr>
    <w:rPr>
      <w:rFonts w:ascii="Calibri" w:hAnsi="Calibri" w:eastAsia="PMingLiU" w:cs="宋体"/>
      <w:sz w:val="24"/>
      <w:lang w:eastAsia="zh-TW"/>
    </w:rPr>
  </w:style>
  <w:style w:type="paragraph" w:customStyle="1" w:styleId="66">
    <w:name w:val="正文1"/>
    <w:basedOn w:val="1"/>
    <w:autoRedefine/>
    <w:qFormat/>
    <w:uiPriority w:val="0"/>
    <w:pPr>
      <w:tabs>
        <w:tab w:val="left" w:pos="1290"/>
      </w:tabs>
      <w:ind w:left="1290" w:hanging="420"/>
      <w:jc w:val="left"/>
    </w:pPr>
    <w:rPr>
      <w:rFonts w:ascii="Times New Roman" w:hAnsi="Times New Roman"/>
      <w:szCs w:val="24"/>
    </w:rPr>
  </w:style>
  <w:style w:type="paragraph" w:customStyle="1" w:styleId="67">
    <w:name w:val="首行缩进"/>
    <w:basedOn w:val="1"/>
    <w:autoRedefine/>
    <w:qFormat/>
    <w:uiPriority w:val="0"/>
    <w:pPr>
      <w:ind w:firstLine="480" w:firstLineChars="200"/>
    </w:pPr>
    <w:rPr>
      <w:szCs w:val="20"/>
      <w:lang w:val="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E5F922-C689-4A6F-ABAD-D891C1DBE57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15093</Words>
  <Characters>17060</Characters>
  <Lines>143</Lines>
  <Paragraphs>40</Paragraphs>
  <TotalTime>24</TotalTime>
  <ScaleCrop>false</ScaleCrop>
  <LinksUpToDate>false</LinksUpToDate>
  <CharactersWithSpaces>17879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2020-11-30T05:46:00Z</dcterms:created>
  <dc:creator>ibm</dc:creator>
  <cp:lastModifiedBy>zxq5811aliyuncom</cp:lastModifiedBy>
  <cp:lastPrinted>2016-04-14T05:56:00Z</cp:lastPrinted>
  <dcterms:modified xsi:type="dcterms:W3CDTF">2025-04-25T08:09:26Z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F50DA7351F0549C1B152914A88B56DDC_13</vt:lpwstr>
  </property>
  <property fmtid="{D5CDD505-2E9C-101B-9397-08002B2CF9AE}" pid="4" name="KSOTemplateDocerSaveRecord">
    <vt:lpwstr>eyJoZGlkIjoiZGZiZTQ5OTQ2ZDdkMDQ5YjllZGNjODE2Yzg2ZWZmOTkiLCJ1c2VySWQiOiI0NDY2NDAwIn0=</vt:lpwstr>
  </property>
</Properties>
</file>