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vertAlign w:val="baseline"/>
          <w:lang w:val="en-US" w:eastAsia="zh-CN"/>
        </w:rPr>
      </w:pPr>
      <w:r>
        <w:rPr>
          <w:rFonts w:hint="eastAsia" w:ascii="宋体" w:hAnsi="宋体"/>
          <w:spacing w:val="-8"/>
          <w:sz w:val="24"/>
          <w:lang w:val="en-US" w:eastAsia="zh-CN"/>
        </w:rPr>
        <w:t>南京邮电大学通达学院近代物理实验室补充仪器仪表采购项目采购清单</w:t>
      </w:r>
    </w:p>
    <w:tbl>
      <w:tblPr>
        <w:tblStyle w:val="5"/>
        <w:tblW w:w="7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24"/>
        <w:gridCol w:w="1926"/>
        <w:gridCol w:w="1924"/>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56" w:hRule="atLeast"/>
        </w:trPr>
        <w:tc>
          <w:tcPr>
            <w:tcW w:w="1924" w:type="dxa"/>
          </w:tcPr>
          <w:p>
            <w:pPr>
              <w:rPr>
                <w:rFonts w:hint="default" w:eastAsiaTheme="minorEastAsia"/>
                <w:vertAlign w:val="baseline"/>
                <w:lang w:val="en-US" w:eastAsia="zh-CN"/>
              </w:rPr>
            </w:pPr>
            <w:r>
              <w:rPr>
                <w:rFonts w:hint="eastAsia"/>
                <w:vertAlign w:val="baseline"/>
                <w:lang w:val="en-US" w:eastAsia="zh-CN"/>
              </w:rPr>
              <w:t>仪器仪表名称</w:t>
            </w:r>
          </w:p>
        </w:tc>
        <w:tc>
          <w:tcPr>
            <w:tcW w:w="1926" w:type="dxa"/>
          </w:tcPr>
          <w:p>
            <w:pPr>
              <w:rPr>
                <w:rFonts w:hint="default" w:eastAsiaTheme="minorEastAsia"/>
                <w:vertAlign w:val="baseline"/>
                <w:lang w:val="en-US" w:eastAsia="zh-CN"/>
              </w:rPr>
            </w:pPr>
            <w:r>
              <w:rPr>
                <w:rFonts w:hint="eastAsia"/>
                <w:vertAlign w:val="baseline"/>
                <w:lang w:val="en-US" w:eastAsia="zh-CN"/>
              </w:rPr>
              <w:t>单价</w:t>
            </w:r>
          </w:p>
        </w:tc>
        <w:tc>
          <w:tcPr>
            <w:tcW w:w="1924" w:type="dxa"/>
          </w:tcPr>
          <w:p>
            <w:pPr>
              <w:rPr>
                <w:rFonts w:hint="default" w:eastAsiaTheme="minorEastAsia"/>
                <w:vertAlign w:val="baseline"/>
                <w:lang w:val="en-US" w:eastAsia="zh-CN"/>
              </w:rPr>
            </w:pPr>
            <w:r>
              <w:rPr>
                <w:rFonts w:hint="eastAsia"/>
                <w:vertAlign w:val="baseline"/>
                <w:lang w:val="en-US" w:eastAsia="zh-CN"/>
              </w:rPr>
              <w:t>数量</w:t>
            </w:r>
          </w:p>
        </w:tc>
        <w:tc>
          <w:tcPr>
            <w:tcW w:w="1926" w:type="dxa"/>
          </w:tcPr>
          <w:p>
            <w:pPr>
              <w:rPr>
                <w:rFonts w:hint="eastAsia"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54" w:hRule="atLeast"/>
        </w:trPr>
        <w:tc>
          <w:tcPr>
            <w:tcW w:w="1924" w:type="dxa"/>
          </w:tcPr>
          <w:p>
            <w:pPr>
              <w:rPr>
                <w:rFonts w:hint="default" w:eastAsiaTheme="minorEastAsia"/>
                <w:vertAlign w:val="baseline"/>
                <w:lang w:val="en-US" w:eastAsia="zh-CN"/>
              </w:rPr>
            </w:pPr>
            <w:r>
              <w:rPr>
                <w:rFonts w:hint="eastAsia"/>
                <w:vertAlign w:val="baseline"/>
                <w:lang w:val="en-US" w:eastAsia="zh-CN"/>
              </w:rPr>
              <w:t>普朗克常数测试仪</w:t>
            </w:r>
          </w:p>
        </w:tc>
        <w:tc>
          <w:tcPr>
            <w:tcW w:w="1926" w:type="dxa"/>
          </w:tcPr>
          <w:p>
            <w:pPr>
              <w:rPr>
                <w:rFonts w:hint="default" w:eastAsiaTheme="minorEastAsia"/>
                <w:vertAlign w:val="baseline"/>
                <w:lang w:val="en-US" w:eastAsia="zh-CN"/>
              </w:rPr>
            </w:pPr>
          </w:p>
        </w:tc>
        <w:tc>
          <w:tcPr>
            <w:tcW w:w="1924" w:type="dxa"/>
          </w:tcPr>
          <w:p>
            <w:pPr>
              <w:rPr>
                <w:rFonts w:hint="eastAsia" w:eastAsiaTheme="minorEastAsia"/>
                <w:vertAlign w:val="baseline"/>
                <w:lang w:val="en-US" w:eastAsia="zh-CN"/>
              </w:rPr>
            </w:pPr>
            <w:r>
              <w:rPr>
                <w:rFonts w:hint="eastAsia"/>
                <w:vertAlign w:val="baseline"/>
                <w:lang w:val="en-US" w:eastAsia="zh-CN"/>
              </w:rPr>
              <w:t>6台（套）</w:t>
            </w:r>
          </w:p>
        </w:tc>
        <w:tc>
          <w:tcPr>
            <w:tcW w:w="1926" w:type="dxa"/>
          </w:tcPr>
          <w:p>
            <w:pPr>
              <w:rPr>
                <w:vertAlign w:val="baseline"/>
              </w:rPr>
            </w:pPr>
          </w:p>
        </w:tc>
      </w:tr>
    </w:tbl>
    <w:p>
      <w:pPr>
        <w:rPr>
          <w:rFonts w:hint="eastAsia"/>
          <w:lang w:val="en-US" w:eastAsia="zh-CN"/>
        </w:rPr>
      </w:pPr>
      <w:r>
        <w:rPr>
          <w:rFonts w:hint="eastAsia"/>
          <w:lang w:val="en-US" w:eastAsia="zh-CN"/>
        </w:rPr>
        <w:t>仪器仪表参数要求：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1"/>
          <w:szCs w:val="21"/>
        </w:rPr>
      </w:pPr>
      <w:r>
        <w:rPr>
          <w:color w:val="000000"/>
          <w:sz w:val="21"/>
          <w:szCs w:val="21"/>
        </w:rPr>
        <w:t>1</w:t>
      </w:r>
      <w:r>
        <w:rPr>
          <w:rFonts w:ascii="宋体" w:hAnsi="宋体"/>
          <w:color w:val="000000"/>
          <w:sz w:val="21"/>
          <w:szCs w:val="21"/>
        </w:rPr>
        <w:t>、微电流测量范围：</w:t>
      </w:r>
      <w:r>
        <w:rPr>
          <w:color w:val="000000"/>
          <w:spacing w:val="-4"/>
          <w:sz w:val="21"/>
          <w:szCs w:val="21"/>
        </w:rPr>
        <w:t>10</w:t>
      </w:r>
      <w:r>
        <w:rPr>
          <w:color w:val="000000"/>
          <w:spacing w:val="-4"/>
          <w:sz w:val="21"/>
          <w:szCs w:val="21"/>
          <w:vertAlign w:val="superscript"/>
        </w:rPr>
        <w:t>-6</w:t>
      </w:r>
      <w:r>
        <w:rPr>
          <w:rFonts w:ascii="宋体" w:hAnsi="宋体"/>
          <w:color w:val="000000"/>
          <w:spacing w:val="-4"/>
          <w:sz w:val="21"/>
          <w:szCs w:val="21"/>
        </w:rPr>
        <w:t>～</w:t>
      </w:r>
      <w:r>
        <w:rPr>
          <w:color w:val="000000"/>
          <w:spacing w:val="-4"/>
          <w:sz w:val="21"/>
          <w:szCs w:val="21"/>
        </w:rPr>
        <w:t>10</w:t>
      </w:r>
      <w:r>
        <w:rPr>
          <w:color w:val="000000"/>
          <w:spacing w:val="-4"/>
          <w:sz w:val="21"/>
          <w:szCs w:val="21"/>
          <w:vertAlign w:val="superscript"/>
        </w:rPr>
        <w:t>-13</w:t>
      </w:r>
      <w:r>
        <w:rPr>
          <w:color w:val="000000"/>
          <w:spacing w:val="-4"/>
          <w:sz w:val="21"/>
          <w:szCs w:val="21"/>
        </w:rPr>
        <w:t>A</w:t>
      </w:r>
      <w:r>
        <w:rPr>
          <w:rFonts w:ascii="宋体" w:hAnsi="宋体"/>
          <w:color w:val="000000"/>
          <w:sz w:val="21"/>
          <w:szCs w:val="21"/>
        </w:rPr>
        <w:t>，零漂在</w:t>
      </w:r>
      <w:r>
        <w:rPr>
          <w:color w:val="000000"/>
          <w:sz w:val="21"/>
          <w:szCs w:val="21"/>
        </w:rPr>
        <w:t>30</w:t>
      </w:r>
      <w:r>
        <w:rPr>
          <w:rFonts w:ascii="宋体" w:hAnsi="宋体"/>
          <w:color w:val="000000"/>
          <w:sz w:val="21"/>
          <w:szCs w:val="21"/>
        </w:rPr>
        <w:t>分钟内不大于满度读数的</w:t>
      </w:r>
      <w:r>
        <w:rPr>
          <w:color w:val="000000"/>
          <w:spacing w:val="-4"/>
          <w:sz w:val="21"/>
          <w:szCs w:val="21"/>
        </w:rPr>
        <w:t>±0.2%(10</w:t>
      </w:r>
      <w:r>
        <w:rPr>
          <w:color w:val="000000"/>
          <w:spacing w:val="-4"/>
          <w:sz w:val="21"/>
          <w:szCs w:val="21"/>
          <w:vertAlign w:val="superscript"/>
        </w:rPr>
        <w:t>-13</w:t>
      </w:r>
      <w:r>
        <w:rPr>
          <w:color w:val="000000"/>
          <w:spacing w:val="-4"/>
          <w:sz w:val="21"/>
          <w:szCs w:val="21"/>
        </w:rPr>
        <w:t>A)</w:t>
      </w:r>
      <w:r>
        <w:rPr>
          <w:rFonts w:ascii="宋体" w:hAnsi="宋体"/>
          <w:color w:val="000000"/>
          <w:sz w:val="21"/>
          <w:szCs w:val="21"/>
        </w:rPr>
        <w:t>，光电管灵敏度</w:t>
      </w:r>
      <w:r>
        <w:rPr>
          <w:color w:val="000000"/>
          <w:sz w:val="21"/>
          <w:szCs w:val="21"/>
        </w:rPr>
        <w:t>:</w:t>
      </w:r>
      <w:r>
        <w:rPr>
          <w:color w:val="000000"/>
          <w:spacing w:val="-4"/>
          <w:sz w:val="21"/>
          <w:szCs w:val="21"/>
        </w:rPr>
        <w:t>≥1mA/Lm</w:t>
      </w:r>
      <w:r>
        <w:rPr>
          <w:rFonts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z w:val="21"/>
          <w:szCs w:val="21"/>
        </w:rPr>
      </w:pPr>
      <w:r>
        <w:rPr>
          <w:color w:val="000000"/>
          <w:spacing w:val="-6"/>
          <w:sz w:val="21"/>
          <w:szCs w:val="21"/>
        </w:rPr>
        <w:t>2</w:t>
      </w:r>
      <w:r>
        <w:rPr>
          <w:rFonts w:ascii="宋体" w:hAnsi="宋体"/>
          <w:color w:val="000000"/>
          <w:sz w:val="21"/>
          <w:szCs w:val="21"/>
        </w:rPr>
        <w:t>、光电管工作电源范围：</w:t>
      </w:r>
      <w:r>
        <w:rPr>
          <w:color w:val="000000"/>
          <w:spacing w:val="-4"/>
          <w:sz w:val="21"/>
          <w:szCs w:val="21"/>
        </w:rPr>
        <w:t>-2V</w:t>
      </w:r>
      <w:r>
        <w:rPr>
          <w:rFonts w:ascii="宋体" w:hAnsi="宋体"/>
          <w:color w:val="000000"/>
          <w:spacing w:val="-4"/>
          <w:sz w:val="21"/>
          <w:szCs w:val="21"/>
        </w:rPr>
        <w:t>～</w:t>
      </w:r>
      <w:r>
        <w:rPr>
          <w:color w:val="000000"/>
          <w:spacing w:val="-4"/>
          <w:sz w:val="21"/>
          <w:szCs w:val="21"/>
        </w:rPr>
        <w:t>+2V</w:t>
      </w:r>
      <w:r>
        <w:rPr>
          <w:rFonts w:ascii="宋体" w:hAnsi="宋体"/>
          <w:color w:val="000000"/>
          <w:spacing w:val="-4"/>
          <w:sz w:val="21"/>
          <w:szCs w:val="21"/>
        </w:rPr>
        <w:t>；</w:t>
      </w:r>
      <w:r>
        <w:rPr>
          <w:color w:val="000000"/>
          <w:spacing w:val="-4"/>
          <w:sz w:val="21"/>
          <w:szCs w:val="21"/>
        </w:rPr>
        <w:t>-2V</w:t>
      </w:r>
      <w:r>
        <w:rPr>
          <w:rFonts w:ascii="宋体" w:hAnsi="宋体"/>
          <w:color w:val="000000"/>
          <w:spacing w:val="-4"/>
          <w:sz w:val="21"/>
          <w:szCs w:val="21"/>
        </w:rPr>
        <w:t>～</w:t>
      </w:r>
      <w:r>
        <w:rPr>
          <w:color w:val="000000"/>
          <w:spacing w:val="-4"/>
          <w:sz w:val="21"/>
          <w:szCs w:val="21"/>
        </w:rPr>
        <w:t>+30V</w:t>
      </w:r>
      <w:r>
        <w:rPr>
          <w:rFonts w:ascii="宋体" w:hAnsi="宋体"/>
          <w:color w:val="000000"/>
          <w:sz w:val="21"/>
          <w:szCs w:val="21"/>
        </w:rPr>
        <w:t>两档，采用电位器分别粗调和细调调节；稳定度</w:t>
      </w:r>
      <w:r>
        <w:rPr>
          <w:color w:val="000000"/>
          <w:sz w:val="21"/>
          <w:szCs w:val="21"/>
        </w:rPr>
        <w:t>0.1%</w:t>
      </w:r>
      <w:r>
        <w:rPr>
          <w:rFonts w:ascii="宋体" w:hAnsi="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4"/>
          <w:sz w:val="21"/>
          <w:szCs w:val="21"/>
        </w:rPr>
      </w:pPr>
      <w:r>
        <w:rPr>
          <w:color w:val="000000"/>
          <w:spacing w:val="-4"/>
          <w:sz w:val="21"/>
          <w:szCs w:val="21"/>
        </w:rPr>
        <w:t>3</w:t>
      </w:r>
      <w:r>
        <w:rPr>
          <w:rFonts w:ascii="宋体" w:hAnsi="宋体"/>
          <w:color w:val="000000"/>
          <w:spacing w:val="-4"/>
          <w:sz w:val="21"/>
          <w:szCs w:val="21"/>
        </w:rPr>
        <w:t>、光电管光谱响应范围：</w:t>
      </w:r>
      <w:r>
        <w:rPr>
          <w:color w:val="000000"/>
          <w:spacing w:val="-4"/>
          <w:sz w:val="21"/>
          <w:szCs w:val="21"/>
        </w:rPr>
        <w:t>340</w:t>
      </w:r>
      <w:r>
        <w:rPr>
          <w:rFonts w:ascii="宋体" w:hAnsi="宋体"/>
          <w:color w:val="000000"/>
          <w:spacing w:val="-4"/>
          <w:sz w:val="21"/>
          <w:szCs w:val="21"/>
        </w:rPr>
        <w:t>～</w:t>
      </w:r>
      <w:r>
        <w:rPr>
          <w:color w:val="000000"/>
          <w:spacing w:val="-4"/>
          <w:sz w:val="21"/>
          <w:szCs w:val="21"/>
        </w:rPr>
        <w:t>700nm</w:t>
      </w:r>
      <w:r>
        <w:rPr>
          <w:rFonts w:ascii="宋体" w:hAnsi="宋体"/>
          <w:color w:val="000000"/>
          <w:spacing w:val="-4"/>
          <w:sz w:val="21"/>
          <w:szCs w:val="21"/>
        </w:rPr>
        <w:t>，最小阴极灵敏度</w:t>
      </w:r>
      <w:r>
        <w:rPr>
          <w:color w:val="000000"/>
          <w:spacing w:val="-4"/>
          <w:sz w:val="21"/>
          <w:szCs w:val="21"/>
        </w:rPr>
        <w:t>≥1μA</w:t>
      </w:r>
      <w:r>
        <w:rPr>
          <w:rFonts w:ascii="宋体" w:hAnsi="宋体"/>
          <w:color w:val="000000"/>
          <w:spacing w:val="-4"/>
          <w:sz w:val="21"/>
          <w:szCs w:val="21"/>
        </w:rPr>
        <w:t>（</w:t>
      </w:r>
      <w:r>
        <w:rPr>
          <w:color w:val="000000"/>
          <w:spacing w:val="-4"/>
          <w:sz w:val="21"/>
          <w:szCs w:val="21"/>
        </w:rPr>
        <w:t>-2V ≤UAK≤ 0V</w:t>
      </w:r>
      <w:r>
        <w:rPr>
          <w:rFonts w:ascii="宋体" w:hAnsi="宋体"/>
          <w:color w:val="000000"/>
          <w:spacing w:val="-4"/>
          <w:sz w:val="21"/>
          <w:szCs w:val="21"/>
        </w:rPr>
        <w:t>），阳极：镍圈，暗电流</w:t>
      </w:r>
      <w:r>
        <w:rPr>
          <w:color w:val="000000"/>
          <w:spacing w:val="-4"/>
          <w:sz w:val="21"/>
          <w:szCs w:val="21"/>
        </w:rPr>
        <w:t>I ≤ 2×10</w:t>
      </w:r>
      <w:r>
        <w:rPr>
          <w:color w:val="000000"/>
          <w:sz w:val="21"/>
          <w:szCs w:val="21"/>
          <w:vertAlign w:val="superscript"/>
        </w:rPr>
        <w:t>-12</w:t>
      </w:r>
      <w:r>
        <w:rPr>
          <w:color w:val="000000"/>
          <w:sz w:val="21"/>
          <w:szCs w:val="21"/>
        </w:rPr>
        <w:t>A</w:t>
      </w:r>
      <w:r>
        <w:rPr>
          <w:rFonts w:ascii="宋体" w:hAnsi="宋体"/>
          <w:color w:val="000000"/>
          <w:spacing w:val="-4"/>
          <w:sz w:val="21"/>
          <w:szCs w:val="21"/>
        </w:rPr>
        <w:t>（</w:t>
      </w:r>
      <w:r>
        <w:rPr>
          <w:color w:val="000000"/>
          <w:spacing w:val="-4"/>
          <w:sz w:val="21"/>
          <w:szCs w:val="21"/>
        </w:rPr>
        <w:t>-2V ≤ UAK ≤ 0V</w:t>
      </w:r>
      <w:r>
        <w:rPr>
          <w:rFonts w:ascii="宋体" w:hAnsi="宋体"/>
          <w:color w:val="000000"/>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4"/>
          <w:sz w:val="21"/>
          <w:szCs w:val="21"/>
        </w:rPr>
      </w:pPr>
      <w:r>
        <w:rPr>
          <w:color w:val="000000"/>
          <w:spacing w:val="-4"/>
          <w:sz w:val="21"/>
          <w:szCs w:val="21"/>
        </w:rPr>
        <w:t>4</w:t>
      </w:r>
      <w:r>
        <w:rPr>
          <w:rFonts w:ascii="宋体" w:hAnsi="宋体"/>
          <w:color w:val="000000"/>
          <w:spacing w:val="-4"/>
          <w:sz w:val="21"/>
          <w:szCs w:val="21"/>
        </w:rPr>
        <w:t>、汞灯可用谱线：</w:t>
      </w:r>
      <w:r>
        <w:rPr>
          <w:color w:val="000000"/>
          <w:spacing w:val="-4"/>
          <w:sz w:val="21"/>
          <w:szCs w:val="21"/>
        </w:rPr>
        <w:t>365.0nm</w:t>
      </w:r>
      <w:r>
        <w:rPr>
          <w:rFonts w:ascii="宋体" w:hAnsi="宋体"/>
          <w:color w:val="000000"/>
          <w:spacing w:val="-4"/>
          <w:sz w:val="21"/>
          <w:szCs w:val="21"/>
        </w:rPr>
        <w:t>，</w:t>
      </w:r>
      <w:r>
        <w:rPr>
          <w:color w:val="000000"/>
          <w:spacing w:val="-4"/>
          <w:sz w:val="21"/>
          <w:szCs w:val="21"/>
        </w:rPr>
        <w:t>404.7nm</w:t>
      </w:r>
      <w:r>
        <w:rPr>
          <w:rFonts w:ascii="宋体" w:hAnsi="宋体"/>
          <w:color w:val="000000"/>
          <w:spacing w:val="-4"/>
          <w:sz w:val="21"/>
          <w:szCs w:val="21"/>
        </w:rPr>
        <w:t>，</w:t>
      </w:r>
      <w:r>
        <w:rPr>
          <w:color w:val="000000"/>
          <w:spacing w:val="-4"/>
          <w:sz w:val="21"/>
          <w:szCs w:val="21"/>
        </w:rPr>
        <w:t>435.8nm</w:t>
      </w:r>
      <w:r>
        <w:rPr>
          <w:rFonts w:ascii="宋体" w:hAnsi="宋体"/>
          <w:color w:val="000000"/>
          <w:spacing w:val="-4"/>
          <w:sz w:val="21"/>
          <w:szCs w:val="21"/>
        </w:rPr>
        <w:t>，</w:t>
      </w:r>
      <w:r>
        <w:rPr>
          <w:color w:val="000000"/>
          <w:spacing w:val="-4"/>
          <w:sz w:val="21"/>
          <w:szCs w:val="21"/>
        </w:rPr>
        <w:t>546.1nm</w:t>
      </w:r>
      <w:r>
        <w:rPr>
          <w:rFonts w:ascii="宋体" w:hAnsi="宋体"/>
          <w:color w:val="000000"/>
          <w:spacing w:val="-4"/>
          <w:sz w:val="21"/>
          <w:szCs w:val="21"/>
        </w:rPr>
        <w:t>，</w:t>
      </w:r>
      <w:r>
        <w:rPr>
          <w:color w:val="000000"/>
          <w:spacing w:val="-4"/>
          <w:sz w:val="21"/>
          <w:szCs w:val="21"/>
        </w:rPr>
        <w:t>578.0nm</w:t>
      </w:r>
      <w:r>
        <w:rPr>
          <w:rFonts w:ascii="宋体" w:hAnsi="宋体"/>
          <w:color w:val="000000"/>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4"/>
          <w:sz w:val="21"/>
          <w:szCs w:val="21"/>
        </w:rPr>
      </w:pPr>
      <w:r>
        <w:rPr>
          <w:color w:val="000000"/>
          <w:spacing w:val="-4"/>
          <w:sz w:val="21"/>
          <w:szCs w:val="21"/>
        </w:rPr>
        <w:t>5</w:t>
      </w:r>
      <w:r>
        <w:rPr>
          <w:rFonts w:ascii="宋体" w:hAnsi="宋体"/>
          <w:color w:val="000000"/>
          <w:spacing w:val="-4"/>
          <w:sz w:val="21"/>
          <w:szCs w:val="21"/>
        </w:rPr>
        <w:t>、</w:t>
      </w:r>
      <w:r>
        <w:rPr>
          <w:color w:val="000000"/>
          <w:spacing w:val="-4"/>
          <w:sz w:val="21"/>
          <w:szCs w:val="21"/>
        </w:rPr>
        <w:t>h</w:t>
      </w:r>
      <w:r>
        <w:rPr>
          <w:rFonts w:ascii="宋体" w:hAnsi="宋体"/>
          <w:color w:val="000000"/>
          <w:spacing w:val="-4"/>
          <w:sz w:val="21"/>
          <w:szCs w:val="21"/>
        </w:rPr>
        <w:t>值与理论值的误差：</w:t>
      </w:r>
      <w:r>
        <w:rPr>
          <w:color w:val="000000"/>
          <w:spacing w:val="-4"/>
          <w:sz w:val="21"/>
          <w:szCs w:val="21"/>
        </w:rPr>
        <w:t>≤3%</w:t>
      </w:r>
      <w:r>
        <w:rPr>
          <w:rFonts w:ascii="宋体" w:hAnsi="宋体"/>
          <w:color w:val="000000"/>
          <w:spacing w:val="-4"/>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color w:val="000000"/>
          <w:spacing w:val="-4"/>
          <w:sz w:val="21"/>
          <w:szCs w:val="21"/>
        </w:rPr>
      </w:pPr>
      <w:r>
        <w:rPr>
          <w:color w:val="000000"/>
          <w:sz w:val="21"/>
          <w:szCs w:val="21"/>
        </w:rPr>
        <w:t>6</w:t>
      </w:r>
      <w:r>
        <w:rPr>
          <w:rFonts w:ascii="宋体" w:hAnsi="宋体"/>
          <w:color w:val="000000"/>
          <w:sz w:val="21"/>
          <w:szCs w:val="21"/>
        </w:rPr>
        <w:t>、采用</w:t>
      </w:r>
      <w:r>
        <w:rPr>
          <w:rFonts w:ascii="宋体" w:hAnsi="宋体" w:cs="Times New Roman"/>
          <w:color w:val="000000"/>
          <w:spacing w:val="-4"/>
          <w:sz w:val="21"/>
          <w:szCs w:val="21"/>
        </w:rPr>
        <w:t>超低输入偏置电流放大器和特殊的I-V分离技术，进行微电流信号放大，测量稳定；用10-12A、10-13 A档均可以准确测量普朗克常数，测量精度和稳定性国内领先；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color w:val="000000"/>
          <w:spacing w:val="-4"/>
          <w:sz w:val="21"/>
          <w:szCs w:val="21"/>
        </w:rPr>
      </w:pPr>
      <w:r>
        <w:rPr>
          <w:rFonts w:ascii="宋体" w:hAnsi="宋体" w:cs="Times New Roman"/>
          <w:color w:val="000000"/>
          <w:spacing w:val="-4"/>
          <w:sz w:val="21"/>
          <w:szCs w:val="21"/>
        </w:rPr>
        <w:t>7、滤色片采用全密封装置，可旋转</w:t>
      </w:r>
      <w:r>
        <w:rPr>
          <w:rFonts w:hint="eastAsia" w:ascii="宋体" w:hAnsi="宋体" w:cs="Times New Roman"/>
          <w:color w:val="000000"/>
          <w:spacing w:val="-4"/>
          <w:sz w:val="21"/>
          <w:szCs w:val="21"/>
          <w:lang w:val="en-US" w:eastAsia="zh-CN"/>
        </w:rPr>
        <w:t>多</w:t>
      </w:r>
      <w:r>
        <w:rPr>
          <w:rFonts w:ascii="宋体" w:hAnsi="宋体" w:cs="Times New Roman"/>
          <w:color w:val="000000"/>
          <w:spacing w:val="-4"/>
          <w:sz w:val="21"/>
          <w:szCs w:val="21"/>
        </w:rPr>
        <w:t>组滤色片和光阑。避免汞灯在实验过程中直接照射到光电管；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仿宋_GB2312"/>
          <w:color w:val="000000"/>
          <w:spacing w:val="-4"/>
          <w:sz w:val="21"/>
          <w:szCs w:val="21"/>
          <w:lang w:eastAsia="zh-CN"/>
        </w:rPr>
      </w:pPr>
      <w:r>
        <w:rPr>
          <w:rFonts w:hint="eastAsia"/>
          <w:color w:val="000000"/>
          <w:sz w:val="21"/>
          <w:szCs w:val="21"/>
        </w:rPr>
        <w:t>8、</w:t>
      </w:r>
      <w:r>
        <w:rPr>
          <w:rFonts w:ascii="宋体" w:hAnsi="宋体"/>
          <w:color w:val="000000"/>
          <w:spacing w:val="-4"/>
          <w:sz w:val="21"/>
          <w:szCs w:val="21"/>
        </w:rPr>
        <w:t>配置软件，可完成自动方式下：截止电压测试、伏安特性测试；自动电压扫描、采集数据、自动描绘</w:t>
      </w:r>
      <w:r>
        <w:rPr>
          <w:color w:val="000000"/>
          <w:spacing w:val="-4"/>
          <w:sz w:val="21"/>
          <w:szCs w:val="21"/>
        </w:rPr>
        <w:t>A</w:t>
      </w:r>
      <w:r>
        <w:rPr>
          <w:rFonts w:ascii="宋体" w:hAnsi="宋体"/>
          <w:color w:val="000000"/>
          <w:spacing w:val="-4"/>
          <w:sz w:val="21"/>
          <w:szCs w:val="21"/>
        </w:rPr>
        <w:t>～</w:t>
      </w:r>
      <w:r>
        <w:rPr>
          <w:color w:val="000000"/>
          <w:spacing w:val="-4"/>
          <w:sz w:val="21"/>
          <w:szCs w:val="21"/>
        </w:rPr>
        <w:t>V</w:t>
      </w:r>
      <w:r>
        <w:rPr>
          <w:rFonts w:ascii="宋体" w:hAnsi="宋体"/>
          <w:color w:val="000000"/>
          <w:spacing w:val="-4"/>
          <w:sz w:val="21"/>
          <w:szCs w:val="21"/>
        </w:rPr>
        <w:t>曲线及</w:t>
      </w:r>
      <w:r>
        <w:rPr>
          <w:color w:val="000000"/>
          <w:spacing w:val="-4"/>
          <w:sz w:val="21"/>
          <w:szCs w:val="21"/>
        </w:rPr>
        <w:t>V</w:t>
      </w:r>
      <w:r>
        <w:rPr>
          <w:rFonts w:ascii="宋体" w:hAnsi="宋体"/>
          <w:color w:val="000000"/>
          <w:spacing w:val="-4"/>
          <w:sz w:val="21"/>
          <w:szCs w:val="21"/>
        </w:rPr>
        <w:t>～</w:t>
      </w:r>
      <w:r>
        <w:rPr>
          <w:color w:val="000000"/>
          <w:spacing w:val="-4"/>
          <w:sz w:val="21"/>
          <w:szCs w:val="21"/>
        </w:rPr>
        <w:t>υ</w:t>
      </w:r>
      <w:r>
        <w:rPr>
          <w:rFonts w:ascii="宋体" w:hAnsi="宋体"/>
          <w:color w:val="000000"/>
          <w:spacing w:val="-4"/>
          <w:sz w:val="21"/>
          <w:szCs w:val="21"/>
        </w:rPr>
        <w:t>直线、可手动和自动计算截止电压和斜率</w:t>
      </w:r>
      <w:r>
        <w:rPr>
          <w:color w:val="000000"/>
          <w:spacing w:val="-4"/>
          <w:sz w:val="21"/>
          <w:szCs w:val="21"/>
        </w:rPr>
        <w:t>K</w:t>
      </w:r>
      <w:r>
        <w:rPr>
          <w:rFonts w:ascii="宋体" w:hAnsi="宋体"/>
          <w:color w:val="000000"/>
          <w:spacing w:val="-4"/>
          <w:sz w:val="21"/>
          <w:szCs w:val="21"/>
        </w:rPr>
        <w:t>以及</w:t>
      </w:r>
      <w:r>
        <w:rPr>
          <w:color w:val="000000"/>
          <w:spacing w:val="-4"/>
          <w:sz w:val="21"/>
          <w:szCs w:val="21"/>
        </w:rPr>
        <w:t>h</w:t>
      </w:r>
      <w:r>
        <w:rPr>
          <w:rFonts w:ascii="宋体" w:hAnsi="宋体"/>
          <w:color w:val="000000"/>
          <w:spacing w:val="-4"/>
          <w:sz w:val="21"/>
          <w:szCs w:val="21"/>
        </w:rPr>
        <w:t>值和相对误差</w:t>
      </w:r>
      <w:r>
        <w:rPr>
          <w:rFonts w:hint="eastAsia" w:ascii="宋体" w:hAnsi="宋体"/>
          <w:color w:val="000000"/>
          <w:spacing w:val="-4"/>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宋体" w:hAnsi="宋体"/>
          <w:spacing w:val="-8"/>
          <w:sz w:val="21"/>
          <w:szCs w:val="21"/>
        </w:rPr>
      </w:pPr>
      <w:r>
        <w:rPr>
          <w:rFonts w:hint="eastAsia"/>
          <w:color w:val="000000"/>
          <w:spacing w:val="-4"/>
          <w:sz w:val="21"/>
          <w:szCs w:val="21"/>
        </w:rPr>
        <w:t>提供</w:t>
      </w:r>
      <w:r>
        <w:rPr>
          <w:sz w:val="21"/>
          <w:szCs w:val="21"/>
        </w:rPr>
        <w:t>教学视频及光盘</w:t>
      </w:r>
      <w:r>
        <w:rPr>
          <w:rFonts w:ascii="宋体" w:hAnsi="宋体"/>
          <w:color w:val="000000"/>
          <w:spacing w:val="-4"/>
          <w:sz w:val="21"/>
          <w:szCs w:val="21"/>
        </w:rPr>
        <w:t>；</w:t>
      </w:r>
    </w:p>
    <w:p>
      <w:pPr>
        <w:rPr>
          <w:rFonts w:hint="default"/>
          <w:lang w:val="en-US" w:eastAsia="zh-CN"/>
        </w:rPr>
      </w:pPr>
      <w:r>
        <w:rPr>
          <w:rFonts w:hint="eastAsia"/>
          <w:sz w:val="21"/>
          <w:szCs w:val="21"/>
          <w:lang w:val="en-US" w:eastAsia="zh-CN"/>
        </w:rPr>
        <w:t>提供所投产品型号相符的</w:t>
      </w:r>
      <w:r>
        <w:rPr>
          <w:sz w:val="21"/>
          <w:szCs w:val="21"/>
        </w:rPr>
        <w:t>软件著作证书</w:t>
      </w:r>
      <w:r>
        <w:rPr>
          <w:rFonts w:hint="eastAsia"/>
          <w:sz w:val="21"/>
          <w:szCs w:val="21"/>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F45B"/>
    <w:multiLevelType w:val="singleLevel"/>
    <w:tmpl w:val="575CF45B"/>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80417"/>
    <w:rsid w:val="0EC8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2021-07-17T07:12:00Z</dcterms:created>
  <dc:creator>琉璃苣</dc:creator>
  <cp:lastModifiedBy>琉璃苣</cp:lastModifiedBy>
  <dcterms:modified xsi:type="dcterms:W3CDTF">2021-07-17T07:19:53Z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