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Cs/>
          <w:sz w:val="44"/>
        </w:rPr>
      </w:pPr>
      <w:r>
        <w:rPr>
          <w:rFonts w:hint="eastAsia" w:ascii="宋体" w:hAnsi="宋体" w:cs="宋体"/>
          <w:bCs/>
          <w:sz w:val="44"/>
        </w:rPr>
        <w:t>南京邮电大学通达学院</w:t>
      </w:r>
    </w:p>
    <w:p>
      <w:pPr>
        <w:spacing w:line="360" w:lineRule="auto"/>
        <w:jc w:val="center"/>
        <w:rPr>
          <w:rFonts w:ascii="宋体" w:hAnsi="宋体"/>
          <w:spacing w:val="-8"/>
          <w:sz w:val="24"/>
        </w:rPr>
      </w:pPr>
      <w:r>
        <w:rPr>
          <w:rFonts w:hint="eastAsia" w:ascii="宋体" w:hAnsi="宋体" w:cs="宋体"/>
          <w:bCs/>
          <w:sz w:val="44"/>
        </w:rPr>
        <w:t>双创展厅设计与布展项目方案</w:t>
      </w:r>
    </w:p>
    <w:p>
      <w:pPr>
        <w:pStyle w:val="2"/>
        <w:numPr>
          <w:ilvl w:val="0"/>
          <w:numId w:val="1"/>
        </w:numPr>
        <w:spacing w:line="360" w:lineRule="auto"/>
      </w:pPr>
      <w:bookmarkStart w:id="0" w:name="_Toc194757239"/>
      <w:bookmarkStart w:id="1" w:name="_Toc194758350"/>
      <w:bookmarkStart w:id="2" w:name="_Toc403722970"/>
      <w:r>
        <w:rPr>
          <w:rFonts w:hint="eastAsia"/>
        </w:rPr>
        <w:t>项目概况</w:t>
      </w:r>
    </w:p>
    <w:bookmarkEnd w:id="0"/>
    <w:bookmarkEnd w:id="1"/>
    <w:bookmarkEnd w:id="2"/>
    <w:p>
      <w:pPr>
        <w:pStyle w:val="10"/>
        <w:numPr>
          <w:ilvl w:val="0"/>
          <w:numId w:val="0"/>
        </w:numPr>
        <w:spacing w:line="360" w:lineRule="auto"/>
        <w:ind w:leftChars="200"/>
        <w:rPr>
          <w:rFonts w:hint="eastAsia" w:ascii="宋体" w:hAnsi="宋体" w:cs="宋体"/>
          <w:sz w:val="24"/>
          <w:lang w:eastAsia="zh-CN"/>
        </w:rPr>
      </w:pPr>
      <w:r>
        <w:rPr>
          <w:rFonts w:hint="eastAsia" w:ascii="宋体" w:hAnsi="宋体" w:cs="宋体"/>
          <w:sz w:val="24"/>
        </w:rPr>
        <w:t>完成双创展厅的设计、出具效果图及相应配套布展服务</w:t>
      </w:r>
      <w:r>
        <w:rPr>
          <w:rFonts w:hint="eastAsia" w:ascii="宋体" w:hAnsi="宋体" w:cs="宋体"/>
          <w:sz w:val="24"/>
          <w:lang w:eastAsia="zh-CN"/>
        </w:rPr>
        <w:t>。</w:t>
      </w:r>
      <w:r>
        <w:rPr>
          <w:rFonts w:hint="eastAsia" w:ascii="宋体" w:hAnsi="宋体" w:cs="宋体"/>
          <w:sz w:val="24"/>
        </w:rPr>
        <w:t>按照图纸设计进行布展，直至完成验收、提供缺陷责任保证等全部配套工作。</w:t>
      </w:r>
    </w:p>
    <w:p>
      <w:pPr>
        <w:pStyle w:val="10"/>
        <w:spacing w:line="360" w:lineRule="auto"/>
        <w:ind w:firstLine="480"/>
        <w:rPr>
          <w:rFonts w:hint="eastAsia" w:ascii="宋体" w:hAnsi="宋体" w:cs="宋体"/>
          <w:sz w:val="24"/>
          <w:lang w:eastAsia="zh-CN"/>
        </w:rPr>
      </w:pPr>
      <w:r>
        <w:rPr>
          <w:rFonts w:hint="eastAsia" w:ascii="宋体" w:hAnsi="宋体" w:cs="宋体"/>
          <w:sz w:val="24"/>
        </w:rPr>
        <w:t>展厅</w:t>
      </w:r>
      <w:r>
        <w:rPr>
          <w:rFonts w:hint="eastAsia" w:ascii="宋体" w:hAnsi="宋体" w:cs="宋体"/>
          <w:sz w:val="24"/>
          <w:lang w:val="en-US" w:eastAsia="zh-CN"/>
        </w:rPr>
        <w:t>设计</w:t>
      </w:r>
      <w:r>
        <w:rPr>
          <w:rFonts w:hint="eastAsia" w:ascii="宋体" w:hAnsi="宋体" w:cs="宋体"/>
          <w:sz w:val="24"/>
        </w:rPr>
        <w:t>需要包括</w:t>
      </w:r>
      <w:r>
        <w:rPr>
          <w:rFonts w:hint="eastAsia" w:ascii="宋体" w:hAnsi="宋体" w:cs="宋体"/>
          <w:sz w:val="24"/>
          <w:lang w:eastAsia="zh-CN"/>
        </w:rPr>
        <w:t>：</w:t>
      </w:r>
    </w:p>
    <w:p>
      <w:pPr>
        <w:pStyle w:val="10"/>
        <w:numPr>
          <w:ilvl w:val="0"/>
          <w:numId w:val="2"/>
        </w:numPr>
        <w:spacing w:line="360" w:lineRule="auto"/>
        <w:ind w:firstLine="480"/>
        <w:rPr>
          <w:rFonts w:hint="eastAsia" w:ascii="宋体" w:hAnsi="宋体" w:cs="宋体"/>
          <w:sz w:val="24"/>
        </w:rPr>
      </w:pPr>
      <w:r>
        <w:rPr>
          <w:rFonts w:hint="eastAsia" w:ascii="宋体" w:hAnsi="宋体" w:cs="宋体"/>
          <w:sz w:val="24"/>
        </w:rPr>
        <w:t>双创理念、政策</w:t>
      </w:r>
    </w:p>
    <w:p>
      <w:pPr>
        <w:pStyle w:val="10"/>
        <w:numPr>
          <w:ilvl w:val="0"/>
          <w:numId w:val="2"/>
        </w:numPr>
        <w:spacing w:line="360" w:lineRule="auto"/>
        <w:ind w:left="0" w:leftChars="0" w:firstLine="480" w:firstLineChars="200"/>
        <w:rPr>
          <w:rFonts w:hint="eastAsia" w:ascii="宋体" w:hAnsi="宋体" w:cs="宋体"/>
          <w:sz w:val="24"/>
          <w:lang w:eastAsia="zh-CN"/>
        </w:rPr>
      </w:pPr>
      <w:r>
        <w:rPr>
          <w:rFonts w:hint="eastAsia" w:ascii="宋体" w:hAnsi="宋体" w:cs="宋体"/>
          <w:sz w:val="24"/>
        </w:rPr>
        <w:t>互联网+大学生创新创业大赛、挑战杯、电子设计竞赛、数学建模四大竞赛介绍及国内获奖优秀案例</w:t>
      </w:r>
      <w:r>
        <w:rPr>
          <w:rFonts w:hint="eastAsia" w:ascii="宋体" w:hAnsi="宋体" w:cs="宋体"/>
          <w:sz w:val="24"/>
          <w:lang w:eastAsia="zh-CN"/>
        </w:rPr>
        <w:t>；</w:t>
      </w:r>
    </w:p>
    <w:p>
      <w:pPr>
        <w:pStyle w:val="10"/>
        <w:numPr>
          <w:ilvl w:val="0"/>
          <w:numId w:val="2"/>
        </w:numPr>
        <w:spacing w:line="360" w:lineRule="auto"/>
        <w:ind w:left="0" w:leftChars="0" w:firstLine="480" w:firstLineChars="200"/>
        <w:rPr>
          <w:rFonts w:hint="eastAsia" w:ascii="宋体" w:hAnsi="宋体" w:cs="宋体"/>
          <w:sz w:val="24"/>
          <w:lang w:eastAsia="zh-CN"/>
        </w:rPr>
      </w:pPr>
      <w:r>
        <w:rPr>
          <w:rFonts w:hint="eastAsia" w:ascii="宋体" w:hAnsi="宋体" w:cs="宋体"/>
          <w:sz w:val="24"/>
        </w:rPr>
        <w:t>南邮双创成果</w:t>
      </w:r>
      <w:r>
        <w:rPr>
          <w:rFonts w:hint="eastAsia" w:ascii="宋体" w:hAnsi="宋体" w:cs="宋体"/>
          <w:sz w:val="24"/>
          <w:lang w:eastAsia="zh-CN"/>
        </w:rPr>
        <w:t>；</w:t>
      </w:r>
    </w:p>
    <w:p>
      <w:pPr>
        <w:pStyle w:val="10"/>
        <w:numPr>
          <w:ilvl w:val="0"/>
          <w:numId w:val="2"/>
        </w:numPr>
        <w:spacing w:line="360" w:lineRule="auto"/>
        <w:ind w:left="0" w:leftChars="0" w:firstLine="480" w:firstLineChars="200"/>
        <w:rPr>
          <w:rFonts w:hint="eastAsia" w:ascii="宋体" w:hAnsi="宋体" w:cs="宋体"/>
          <w:sz w:val="24"/>
        </w:rPr>
      </w:pPr>
      <w:r>
        <w:rPr>
          <w:rFonts w:hint="eastAsia" w:ascii="宋体" w:hAnsi="宋体" w:cs="宋体"/>
          <w:sz w:val="24"/>
        </w:rPr>
        <w:t>通达双创成果。</w:t>
      </w:r>
    </w:p>
    <w:p>
      <w:pPr>
        <w:pStyle w:val="10"/>
        <w:widowControl w:val="0"/>
        <w:numPr>
          <w:ilvl w:val="0"/>
          <w:numId w:val="0"/>
        </w:numPr>
        <w:spacing w:line="360" w:lineRule="auto"/>
        <w:jc w:val="both"/>
        <w:rPr>
          <w:rFonts w:hint="eastAsia" w:ascii="宋体" w:hAnsi="宋体" w:eastAsia="宋体" w:cs="宋体"/>
          <w:sz w:val="24"/>
          <w:lang w:val="en-US" w:eastAsia="zh-CN"/>
        </w:rPr>
      </w:pPr>
      <w:r>
        <w:rPr>
          <w:rFonts w:hint="eastAsia" w:ascii="宋体" w:hAnsi="宋体" w:cs="宋体"/>
          <w:sz w:val="24"/>
          <w:lang w:val="en-US" w:eastAsia="zh-CN"/>
        </w:rPr>
        <w:t xml:space="preserve"> </w:t>
      </w:r>
    </w:p>
    <w:p>
      <w:pPr>
        <w:pStyle w:val="10"/>
        <w:spacing w:line="360" w:lineRule="auto"/>
        <w:ind w:firstLine="480"/>
        <w:rPr>
          <w:rFonts w:ascii="宋体" w:hAnsi="宋体" w:cs="宋体"/>
          <w:sz w:val="24"/>
        </w:rPr>
      </w:pPr>
      <w:r>
        <w:rPr>
          <w:rFonts w:ascii="宋体" w:hAnsi="宋体" w:cs="宋体"/>
          <w:sz w:val="24"/>
        </w:rPr>
        <w:t>展厅平面图见附件</w:t>
      </w:r>
      <w:r>
        <w:rPr>
          <w:rFonts w:hint="eastAsia" w:ascii="宋体" w:hAnsi="宋体" w:cs="宋体"/>
          <w:sz w:val="24"/>
        </w:rPr>
        <w:t>一层平面系统图.</w:t>
      </w:r>
      <w:r>
        <w:rPr>
          <w:rFonts w:ascii="宋体" w:hAnsi="宋体" w:cs="宋体"/>
          <w:sz w:val="24"/>
        </w:rPr>
        <w:t>pdf</w:t>
      </w:r>
      <w:r>
        <w:rPr>
          <w:rFonts w:hint="eastAsia" w:ascii="宋体" w:hAnsi="宋体" w:cs="宋体"/>
          <w:sz w:val="24"/>
        </w:rPr>
        <w:t>中</w:t>
      </w:r>
      <w:r>
        <w:rPr>
          <w:rFonts w:ascii="宋体" w:hAnsi="宋体" w:cs="宋体"/>
          <w:sz w:val="24"/>
        </w:rPr>
        <w:t>“双创展厅”，具体尺寸请再次勘探。</w:t>
      </w:r>
    </w:p>
    <w:p>
      <w:pPr>
        <w:pStyle w:val="10"/>
        <w:spacing w:line="360" w:lineRule="auto"/>
      </w:pPr>
      <w:r>
        <w:drawing>
          <wp:inline distT="0" distB="0" distL="0" distR="0">
            <wp:extent cx="2602230" cy="568833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635489" cy="5760678"/>
                    </a:xfrm>
                    <a:prstGeom prst="rect">
                      <a:avLst/>
                    </a:prstGeom>
                  </pic:spPr>
                </pic:pic>
              </a:graphicData>
            </a:graphic>
          </wp:inline>
        </w:drawing>
      </w:r>
      <w:r>
        <w:t xml:space="preserve">    </w:t>
      </w:r>
      <w:r>
        <w:drawing>
          <wp:inline distT="0" distB="0" distL="0" distR="0">
            <wp:extent cx="1637665" cy="5859145"/>
            <wp:effectExtent l="0" t="0" r="63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665069" cy="5956635"/>
                    </a:xfrm>
                    <a:prstGeom prst="rect">
                      <a:avLst/>
                    </a:prstGeom>
                  </pic:spPr>
                </pic:pic>
              </a:graphicData>
            </a:graphic>
          </wp:inline>
        </w:drawing>
      </w:r>
    </w:p>
    <w:p>
      <w:pPr>
        <w:pStyle w:val="10"/>
        <w:spacing w:line="360" w:lineRule="auto"/>
        <w:ind w:firstLine="480"/>
        <w:rPr>
          <w:rFonts w:ascii="宋体" w:hAnsi="宋体" w:cs="宋体"/>
          <w:sz w:val="24"/>
        </w:rPr>
      </w:pPr>
    </w:p>
    <w:p>
      <w:pPr>
        <w:pStyle w:val="10"/>
        <w:spacing w:line="360" w:lineRule="auto"/>
        <w:ind w:firstLine="480"/>
        <w:rPr>
          <w:rFonts w:ascii="宋体" w:hAnsi="宋体" w:cs="宋体"/>
          <w:sz w:val="24"/>
        </w:rPr>
      </w:pPr>
    </w:p>
    <w:p>
      <w:pPr>
        <w:pStyle w:val="10"/>
        <w:spacing w:line="360" w:lineRule="auto"/>
        <w:ind w:firstLine="480"/>
        <w:rPr>
          <w:rFonts w:ascii="宋体" w:hAnsi="宋体" w:cs="宋体"/>
          <w:sz w:val="24"/>
        </w:rPr>
      </w:pPr>
      <w:r>
        <w:rPr>
          <w:rFonts w:ascii="宋体" w:hAnsi="宋体" w:cs="宋体"/>
          <w:sz w:val="24"/>
        </w:rPr>
        <w:t>展厅实拍图：</w:t>
      </w:r>
    </w:p>
    <w:p>
      <w:pPr>
        <w:pStyle w:val="10"/>
        <w:spacing w:line="360" w:lineRule="auto"/>
        <w:ind w:firstLine="0" w:firstLineChars="0"/>
        <w:rPr>
          <w:rFonts w:ascii="宋体" w:hAnsi="宋体" w:cs="宋体"/>
          <w:sz w:val="24"/>
        </w:rPr>
      </w:pPr>
      <w:r>
        <w:rPr>
          <w:rFonts w:ascii="宋体" w:hAnsi="宋体" w:cs="宋体"/>
          <w:sz w:val="24"/>
        </w:rPr>
        <w:drawing>
          <wp:inline distT="0" distB="0" distL="0" distR="0">
            <wp:extent cx="2542540" cy="1907540"/>
            <wp:effectExtent l="0" t="0" r="0" b="0"/>
            <wp:docPr id="5" name="图片 5" descr="H:\QQFiles\MobileFile\IMG_20221121_092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QQFiles\MobileFile\IMG_20221121_0922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42675" cy="1908000"/>
                    </a:xfrm>
                    <a:prstGeom prst="rect">
                      <a:avLst/>
                    </a:prstGeom>
                    <a:noFill/>
                    <a:ln>
                      <a:noFill/>
                    </a:ln>
                  </pic:spPr>
                </pic:pic>
              </a:graphicData>
            </a:graphic>
          </wp:inline>
        </w:drawing>
      </w:r>
      <w:r>
        <w:rPr>
          <w:rFonts w:ascii="宋体" w:hAnsi="宋体" w:cs="宋体"/>
          <w:sz w:val="24"/>
        </w:rPr>
        <w:t xml:space="preserve"> </w:t>
      </w:r>
      <w:r>
        <w:rPr>
          <w:rFonts w:ascii="宋体" w:hAnsi="宋体" w:cs="宋体"/>
          <w:sz w:val="24"/>
        </w:rPr>
        <w:drawing>
          <wp:inline distT="0" distB="0" distL="0" distR="0">
            <wp:extent cx="2542540" cy="1907540"/>
            <wp:effectExtent l="0" t="0" r="0" b="0"/>
            <wp:docPr id="6" name="图片 6" descr="H:\QQFiles\MobileFile\IMG_20221121_09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QQFiles\MobileFile\IMG_20221121_0923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42675" cy="1908000"/>
                    </a:xfrm>
                    <a:prstGeom prst="rect">
                      <a:avLst/>
                    </a:prstGeom>
                    <a:noFill/>
                    <a:ln>
                      <a:noFill/>
                    </a:ln>
                  </pic:spPr>
                </pic:pic>
              </a:graphicData>
            </a:graphic>
          </wp:inline>
        </w:drawing>
      </w:r>
      <w:r>
        <w:rPr>
          <w:rFonts w:ascii="宋体" w:hAnsi="宋体" w:cs="宋体"/>
          <w:sz w:val="24"/>
        </w:rPr>
        <w:t xml:space="preserve"> </w:t>
      </w:r>
      <w:r>
        <w:rPr>
          <w:rFonts w:ascii="宋体" w:hAnsi="宋体" w:cs="宋体"/>
          <w:sz w:val="24"/>
        </w:rPr>
        <w:drawing>
          <wp:inline distT="0" distB="0" distL="0" distR="0">
            <wp:extent cx="2542540" cy="1907540"/>
            <wp:effectExtent l="0" t="0" r="0" b="0"/>
            <wp:docPr id="7" name="图片 7" descr="H:\QQFiles\MobileFile\IMG_20221121_09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QQFiles\MobileFile\IMG_20221121_0923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42675" cy="1908000"/>
                    </a:xfrm>
                    <a:prstGeom prst="rect">
                      <a:avLst/>
                    </a:prstGeom>
                    <a:noFill/>
                    <a:ln>
                      <a:noFill/>
                    </a:ln>
                  </pic:spPr>
                </pic:pic>
              </a:graphicData>
            </a:graphic>
          </wp:inline>
        </w:drawing>
      </w:r>
      <w:r>
        <w:rPr>
          <w:rFonts w:ascii="宋体" w:hAnsi="宋体" w:cs="宋体"/>
          <w:sz w:val="24"/>
        </w:rPr>
        <w:t xml:space="preserve"> </w:t>
      </w:r>
      <w:r>
        <w:rPr>
          <w:rFonts w:ascii="宋体" w:hAnsi="宋体" w:cs="宋体"/>
          <w:sz w:val="24"/>
        </w:rPr>
        <w:drawing>
          <wp:inline distT="0" distB="0" distL="0" distR="0">
            <wp:extent cx="2542540" cy="1907540"/>
            <wp:effectExtent l="0" t="0" r="0" b="0"/>
            <wp:docPr id="8" name="图片 8" descr="H:\QQFiles\MobileFile\IMG_20221121_09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QQFiles\MobileFile\IMG_20221121_0923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42675" cy="1908000"/>
                    </a:xfrm>
                    <a:prstGeom prst="rect">
                      <a:avLst/>
                    </a:prstGeom>
                    <a:noFill/>
                    <a:ln>
                      <a:noFill/>
                    </a:ln>
                  </pic:spPr>
                </pic:pic>
              </a:graphicData>
            </a:graphic>
          </wp:inline>
        </w:drawing>
      </w:r>
      <w:r>
        <w:rPr>
          <w:rFonts w:ascii="宋体" w:hAnsi="宋体" w:cs="宋体"/>
          <w:sz w:val="24"/>
        </w:rPr>
        <w:t xml:space="preserve"> </w:t>
      </w:r>
      <w:r>
        <w:rPr>
          <w:rFonts w:ascii="宋体" w:hAnsi="宋体" w:cs="宋体"/>
          <w:sz w:val="24"/>
        </w:rPr>
        <w:drawing>
          <wp:inline distT="0" distB="0" distL="0" distR="0">
            <wp:extent cx="2542540" cy="1907540"/>
            <wp:effectExtent l="0" t="0" r="0" b="0"/>
            <wp:docPr id="10" name="图片 10" descr="H:\QQFiles\MobileFile\IMG_20221121_09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QQFiles\MobileFile\IMG_20221121_0923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42676" cy="1908000"/>
                    </a:xfrm>
                    <a:prstGeom prst="rect">
                      <a:avLst/>
                    </a:prstGeom>
                    <a:noFill/>
                    <a:ln>
                      <a:noFill/>
                    </a:ln>
                  </pic:spPr>
                </pic:pic>
              </a:graphicData>
            </a:graphic>
          </wp:inline>
        </w:drawing>
      </w:r>
      <w:r>
        <w:rPr>
          <w:rFonts w:ascii="宋体" w:hAnsi="宋体" w:cs="宋体"/>
          <w:sz w:val="24"/>
        </w:rPr>
        <w:t xml:space="preserve">  </w:t>
      </w:r>
      <w:r>
        <w:rPr>
          <w:rFonts w:ascii="宋体" w:hAnsi="宋体" w:cs="宋体"/>
          <w:sz w:val="24"/>
        </w:rPr>
        <w:drawing>
          <wp:inline distT="0" distB="0" distL="0" distR="0">
            <wp:extent cx="2571750" cy="1929765"/>
            <wp:effectExtent l="0" t="0" r="0" b="0"/>
            <wp:docPr id="4" name="图片 4" descr="H:\QQFiles\MobileFile\IMG_20221121_09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QQFiles\MobileFile\IMG_20221121_0924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81478" cy="1937117"/>
                    </a:xfrm>
                    <a:prstGeom prst="rect">
                      <a:avLst/>
                    </a:prstGeom>
                    <a:noFill/>
                    <a:ln>
                      <a:noFill/>
                    </a:ln>
                  </pic:spPr>
                </pic:pic>
              </a:graphicData>
            </a:graphic>
          </wp:inline>
        </w:drawing>
      </w:r>
    </w:p>
    <w:p>
      <w:pPr>
        <w:pStyle w:val="10"/>
        <w:spacing w:line="360" w:lineRule="auto"/>
        <w:ind w:firstLine="0" w:firstLineChars="0"/>
        <w:rPr>
          <w:rFonts w:ascii="宋体" w:hAnsi="宋体" w:cs="宋体"/>
          <w:sz w:val="24"/>
        </w:rPr>
      </w:pPr>
    </w:p>
    <w:p>
      <w:pPr>
        <w:spacing w:line="360" w:lineRule="auto"/>
        <w:rPr>
          <w:rFonts w:ascii="宋体" w:hAnsi="宋体"/>
          <w:b/>
          <w:snapToGrid w:val="0"/>
          <w:szCs w:val="21"/>
        </w:rPr>
      </w:pPr>
      <w:r>
        <w:rPr>
          <w:rFonts w:ascii="宋体" w:hAnsi="宋体"/>
          <w:b/>
          <w:szCs w:val="21"/>
        </w:rPr>
        <w:t>二、</w:t>
      </w:r>
      <w:r>
        <w:rPr>
          <w:rFonts w:hint="eastAsia" w:ascii="宋体" w:hAnsi="宋体"/>
          <w:b/>
          <w:szCs w:val="21"/>
        </w:rPr>
        <w:t xml:space="preserve"> </w:t>
      </w:r>
      <w:r>
        <w:rPr>
          <w:rFonts w:hint="eastAsia" w:ascii="宋体" w:hAnsi="宋体"/>
          <w:b/>
          <w:snapToGrid w:val="0"/>
          <w:szCs w:val="21"/>
        </w:rPr>
        <w:t>验收标准</w:t>
      </w:r>
    </w:p>
    <w:p>
      <w:pPr>
        <w:pStyle w:val="10"/>
        <w:spacing w:line="360" w:lineRule="auto"/>
        <w:ind w:firstLine="480"/>
        <w:rPr>
          <w:rFonts w:ascii="宋体" w:hAnsi="宋体" w:cs="宋体"/>
          <w:sz w:val="24"/>
        </w:rPr>
      </w:pPr>
      <w:r>
        <w:rPr>
          <w:rFonts w:ascii="宋体" w:hAnsi="宋体" w:cs="宋体"/>
          <w:sz w:val="24"/>
        </w:rPr>
        <w:t>展厅布展效果等需甲方现场确认，满足规范要求。</w:t>
      </w:r>
    </w:p>
    <w:p>
      <w:pPr>
        <w:pStyle w:val="10"/>
        <w:spacing w:line="360" w:lineRule="auto"/>
        <w:ind w:firstLine="480"/>
        <w:rPr>
          <w:rFonts w:ascii="宋体" w:hAnsi="宋体" w:cs="宋体"/>
          <w:sz w:val="24"/>
        </w:rPr>
      </w:pPr>
      <w:r>
        <w:rPr>
          <w:rFonts w:hint="eastAsia" w:ascii="宋体" w:hAnsi="宋体" w:cs="宋体"/>
          <w:sz w:val="24"/>
        </w:rPr>
        <w:t>布展</w:t>
      </w:r>
      <w:r>
        <w:rPr>
          <w:rFonts w:ascii="宋体" w:hAnsi="宋体" w:cs="宋体"/>
          <w:sz w:val="24"/>
        </w:rPr>
        <w:t>结束，现场清理完毕，方可组织验收。</w:t>
      </w:r>
    </w:p>
    <w:p>
      <w:pPr>
        <w:pStyle w:val="10"/>
        <w:spacing w:line="360" w:lineRule="auto"/>
        <w:ind w:firstLine="0" w:firstLineChars="0"/>
        <w:rPr>
          <w:rFonts w:hAnsi="宋体"/>
          <w:b/>
          <w:sz w:val="24"/>
        </w:rPr>
      </w:pPr>
      <w:r>
        <w:rPr>
          <w:rFonts w:hint="eastAsia" w:hAnsi="宋体"/>
          <w:b/>
          <w:sz w:val="24"/>
        </w:rPr>
        <w:t>三、资质要求</w:t>
      </w:r>
    </w:p>
    <w:p>
      <w:pPr>
        <w:pStyle w:val="10"/>
        <w:spacing w:line="360" w:lineRule="auto"/>
        <w:ind w:firstLine="480"/>
        <w:rPr>
          <w:rFonts w:ascii="宋体" w:hAnsi="宋体" w:cs="宋体"/>
          <w:sz w:val="24"/>
        </w:rPr>
      </w:pPr>
      <w:r>
        <w:rPr>
          <w:rFonts w:hint="eastAsia" w:ascii="宋体" w:hAnsi="宋体" w:cs="宋体"/>
          <w:sz w:val="24"/>
        </w:rPr>
        <w:t>1.具有独立承担民事责任的能力；</w:t>
      </w:r>
    </w:p>
    <w:p>
      <w:pPr>
        <w:pStyle w:val="10"/>
        <w:spacing w:line="360" w:lineRule="auto"/>
        <w:ind w:firstLine="480"/>
        <w:rPr>
          <w:rFonts w:ascii="宋体" w:hAnsi="宋体" w:cs="宋体"/>
          <w:sz w:val="24"/>
        </w:rPr>
      </w:pPr>
      <w:r>
        <w:rPr>
          <w:rFonts w:hint="eastAsia" w:ascii="宋体" w:hAnsi="宋体" w:cs="宋体"/>
          <w:sz w:val="24"/>
        </w:rPr>
        <w:t>2.具有良好的商业信誉：</w:t>
      </w:r>
    </w:p>
    <w:p>
      <w:pPr>
        <w:pStyle w:val="10"/>
        <w:spacing w:line="360" w:lineRule="auto"/>
        <w:ind w:firstLine="480"/>
        <w:rPr>
          <w:rFonts w:ascii="宋体" w:hAnsi="宋体" w:cs="宋体"/>
          <w:sz w:val="24"/>
        </w:rPr>
      </w:pPr>
      <w:r>
        <w:rPr>
          <w:rFonts w:hint="eastAsia" w:ascii="宋体" w:hAnsi="宋体" w:cs="宋体"/>
          <w:sz w:val="24"/>
        </w:rPr>
        <w:t>3.具有履行合同所必需的设备和专业技术能力；</w:t>
      </w:r>
    </w:p>
    <w:p>
      <w:pPr>
        <w:pStyle w:val="10"/>
        <w:spacing w:line="360" w:lineRule="auto"/>
        <w:ind w:firstLine="480"/>
        <w:rPr>
          <w:rFonts w:ascii="宋体" w:hAnsi="宋体" w:cs="宋体"/>
          <w:sz w:val="24"/>
        </w:rPr>
      </w:pPr>
      <w:r>
        <w:rPr>
          <w:rFonts w:hint="eastAsia" w:ascii="宋体" w:hAnsi="宋体" w:cs="宋体"/>
          <w:sz w:val="24"/>
        </w:rPr>
        <w:t>4.有依法缴纳税收的良好记录；</w:t>
      </w:r>
    </w:p>
    <w:p>
      <w:pPr>
        <w:pStyle w:val="10"/>
        <w:spacing w:line="360" w:lineRule="auto"/>
        <w:ind w:firstLine="480"/>
        <w:rPr>
          <w:rFonts w:ascii="宋体" w:hAnsi="宋体" w:cs="宋体"/>
          <w:sz w:val="24"/>
        </w:rPr>
      </w:pPr>
      <w:r>
        <w:rPr>
          <w:rFonts w:hint="eastAsia" w:ascii="宋体" w:hAnsi="宋体" w:cs="宋体"/>
          <w:sz w:val="24"/>
        </w:rPr>
        <w:t>5.参加本次采购活动前三年内，在经营活动中没有重大违法记录；</w:t>
      </w:r>
    </w:p>
    <w:p>
      <w:pPr>
        <w:pStyle w:val="10"/>
        <w:spacing w:line="360" w:lineRule="auto"/>
        <w:ind w:firstLine="480"/>
        <w:rPr>
          <w:rFonts w:ascii="宋体" w:hAnsi="宋体" w:cs="宋体"/>
          <w:sz w:val="24"/>
        </w:rPr>
      </w:pPr>
      <w:r>
        <w:rPr>
          <w:rFonts w:hint="eastAsia" w:ascii="宋体" w:hAnsi="宋体" w:cs="宋体"/>
          <w:sz w:val="24"/>
        </w:rPr>
        <w:t>6.法律、行政法规规定的其他条件；</w:t>
      </w:r>
    </w:p>
    <w:p>
      <w:pPr>
        <w:pStyle w:val="2"/>
        <w:spacing w:line="360" w:lineRule="auto"/>
      </w:pPr>
      <w:r>
        <w:rPr>
          <w:rFonts w:hint="eastAsia"/>
        </w:rPr>
        <w:t>四、评标方法与评标标准</w:t>
      </w:r>
    </w:p>
    <w:p>
      <w:pPr>
        <w:pStyle w:val="11"/>
        <w:spacing w:before="0" w:after="0"/>
        <w:rPr>
          <w:b/>
          <w:kern w:val="2"/>
          <w:szCs w:val="21"/>
        </w:rPr>
      </w:pPr>
      <w:bookmarkStart w:id="3" w:name="_Toc508646227"/>
      <w:bookmarkStart w:id="4" w:name="_Toc527108642"/>
      <w:bookmarkStart w:id="5" w:name="_Toc38809005"/>
      <w:bookmarkStart w:id="6" w:name="_Toc503874597"/>
      <w:bookmarkStart w:id="7" w:name="_Toc526089285"/>
      <w:r>
        <w:rPr>
          <w:rFonts w:hint="eastAsia"/>
          <w:b/>
          <w:kern w:val="2"/>
          <w:szCs w:val="21"/>
        </w:rPr>
        <w:t>一、评审方法</w:t>
      </w:r>
      <w:bookmarkEnd w:id="3"/>
      <w:bookmarkEnd w:id="4"/>
      <w:bookmarkEnd w:id="5"/>
      <w:bookmarkEnd w:id="6"/>
      <w:bookmarkEnd w:id="7"/>
    </w:p>
    <w:p>
      <w:pPr>
        <w:pStyle w:val="11"/>
        <w:spacing w:before="0" w:after="0"/>
        <w:ind w:firstLineChars="200"/>
        <w:rPr>
          <w:rFonts w:ascii="宋体" w:hAnsi="宋体"/>
          <w:kern w:val="2"/>
          <w:szCs w:val="21"/>
        </w:rPr>
      </w:pPr>
      <w:r>
        <w:rPr>
          <w:rFonts w:hint="eastAsia" w:ascii="宋体" w:hAnsi="宋体"/>
          <w:kern w:val="2"/>
          <w:szCs w:val="21"/>
        </w:rPr>
        <w:t>本次评审采用综合评分法，即在满足采购文件实质性要求前提下，按照采购文件中规定的评分标准和各项因素进行综合评审后，以评审总得分最高的供应商作为成交候选人。得分相同的，按磋商报价由低到高顺序排列。得分且磋商报价相同的，按技术服务方案优劣顺序排列。本综合评分法采用百分制形式，具体分值详见本细则。</w:t>
      </w:r>
    </w:p>
    <w:p>
      <w:pPr>
        <w:pStyle w:val="11"/>
        <w:spacing w:before="0" w:after="0"/>
        <w:ind w:firstLine="482" w:firstLineChars="200"/>
        <w:rPr>
          <w:rFonts w:ascii="宋体" w:hAnsi="宋体"/>
          <w:b/>
          <w:kern w:val="2"/>
          <w:szCs w:val="21"/>
        </w:rPr>
      </w:pPr>
      <w:r>
        <w:rPr>
          <w:rFonts w:hint="eastAsia" w:ascii="宋体" w:hAnsi="宋体"/>
          <w:b/>
          <w:kern w:val="2"/>
          <w:szCs w:val="21"/>
          <w:lang w:val="en-US" w:eastAsia="zh-CN"/>
        </w:rPr>
        <w:t>二</w:t>
      </w:r>
      <w:bookmarkStart w:id="8" w:name="_GoBack"/>
      <w:bookmarkEnd w:id="8"/>
      <w:r>
        <w:rPr>
          <w:rFonts w:hint="eastAsia" w:ascii="宋体" w:hAnsi="宋体"/>
          <w:b/>
          <w:kern w:val="2"/>
          <w:szCs w:val="21"/>
        </w:rPr>
        <w:t>、评审标准</w:t>
      </w:r>
    </w:p>
    <w:tbl>
      <w:tblPr>
        <w:tblStyle w:val="6"/>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369"/>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blHeader/>
          <w:jc w:val="center"/>
        </w:trPr>
        <w:tc>
          <w:tcPr>
            <w:tcW w:w="1369" w:type="dxa"/>
            <w:shd w:val="clear" w:color="auto" w:fill="FFFFFF"/>
            <w:tcMar>
              <w:left w:w="108" w:type="dxa"/>
              <w:right w:w="108" w:type="dxa"/>
            </w:tcMar>
            <w:vAlign w:val="center"/>
          </w:tcPr>
          <w:p>
            <w:pPr>
              <w:spacing w:line="360" w:lineRule="auto"/>
              <w:jc w:val="center"/>
              <w:rPr>
                <w:rFonts w:ascii="宋体" w:hAnsi="宋体" w:cs="宋体"/>
                <w:b/>
                <w:sz w:val="24"/>
                <w:szCs w:val="21"/>
              </w:rPr>
            </w:pPr>
            <w:r>
              <w:rPr>
                <w:rFonts w:hint="eastAsia" w:ascii="宋体" w:hAnsi="宋体" w:cs="宋体"/>
                <w:b/>
                <w:sz w:val="24"/>
                <w:szCs w:val="21"/>
              </w:rPr>
              <w:t>项  目</w:t>
            </w:r>
          </w:p>
        </w:tc>
        <w:tc>
          <w:tcPr>
            <w:tcW w:w="7407" w:type="dxa"/>
            <w:shd w:val="clear" w:color="auto" w:fill="FFFFFF"/>
            <w:tcMar>
              <w:left w:w="108" w:type="dxa"/>
              <w:right w:w="108" w:type="dxa"/>
            </w:tcMar>
            <w:vAlign w:val="center"/>
          </w:tcPr>
          <w:p>
            <w:pPr>
              <w:spacing w:line="360" w:lineRule="auto"/>
              <w:jc w:val="center"/>
              <w:rPr>
                <w:rFonts w:ascii="宋体" w:hAnsi="宋体" w:cs="宋体"/>
                <w:b/>
                <w:sz w:val="24"/>
                <w:szCs w:val="21"/>
              </w:rPr>
            </w:pPr>
            <w:r>
              <w:rPr>
                <w:rFonts w:hint="eastAsia" w:ascii="宋体" w:hAnsi="宋体" w:cs="宋体"/>
                <w:b/>
                <w:sz w:val="24"/>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b/>
                <w:bCs/>
                <w:sz w:val="24"/>
                <w:szCs w:val="21"/>
              </w:rPr>
            </w:pPr>
            <w:r>
              <w:rPr>
                <w:rFonts w:hint="eastAsia" w:ascii="宋体" w:hAnsi="宋体"/>
                <w:b/>
                <w:bCs/>
                <w:sz w:val="24"/>
                <w:szCs w:val="21"/>
              </w:rPr>
              <w:t>报</w:t>
            </w:r>
            <w:r>
              <w:rPr>
                <w:rFonts w:ascii="宋体" w:hAnsi="宋体"/>
                <w:b/>
                <w:bCs/>
                <w:sz w:val="24"/>
                <w:szCs w:val="21"/>
              </w:rPr>
              <w:t>价</w:t>
            </w:r>
          </w:p>
          <w:p>
            <w:pPr>
              <w:spacing w:line="360" w:lineRule="auto"/>
              <w:jc w:val="center"/>
              <w:rPr>
                <w:rFonts w:ascii="宋体" w:hAnsi="宋体" w:cs="宋体"/>
                <w:b/>
                <w:sz w:val="24"/>
                <w:szCs w:val="21"/>
              </w:rPr>
            </w:pPr>
            <w:r>
              <w:rPr>
                <w:rFonts w:hint="eastAsia" w:ascii="宋体" w:hAnsi="宋体"/>
                <w:b/>
                <w:bCs/>
                <w:sz w:val="24"/>
                <w:szCs w:val="21"/>
              </w:rPr>
              <w:t>（</w:t>
            </w:r>
            <w:r>
              <w:rPr>
                <w:rFonts w:ascii="宋体" w:hAnsi="宋体"/>
                <w:b/>
                <w:bCs/>
                <w:sz w:val="24"/>
                <w:szCs w:val="21"/>
              </w:rPr>
              <w:t>30</w:t>
            </w:r>
            <w:r>
              <w:rPr>
                <w:rFonts w:hint="eastAsia" w:ascii="宋体" w:hAnsi="宋体"/>
                <w:b/>
                <w:bCs/>
                <w:sz w:val="24"/>
                <w:szCs w:val="21"/>
              </w:rPr>
              <w:t>分）</w:t>
            </w:r>
          </w:p>
        </w:tc>
        <w:tc>
          <w:tcPr>
            <w:tcW w:w="7407" w:type="dxa"/>
            <w:shd w:val="clear" w:color="auto" w:fill="FFFFFF"/>
            <w:tcMar>
              <w:left w:w="108" w:type="dxa"/>
              <w:right w:w="108" w:type="dxa"/>
            </w:tcMar>
            <w:vAlign w:val="center"/>
          </w:tcPr>
          <w:p>
            <w:pPr>
              <w:spacing w:line="360" w:lineRule="auto"/>
              <w:rPr>
                <w:rFonts w:hint="eastAsia"/>
                <w:sz w:val="24"/>
                <w:szCs w:val="21"/>
              </w:rPr>
            </w:pPr>
            <w:r>
              <w:rPr>
                <w:rFonts w:hint="eastAsia"/>
                <w:sz w:val="24"/>
                <w:szCs w:val="21"/>
              </w:rPr>
              <w:t>以满足招标文件要求的最低合计投标报价（含搬运安装费）为评标基准价，得满分 30分，其他投标报价得分＝（评标基准价/其他合计投标报价）× 30× 100％（保留二位小数）</w:t>
            </w:r>
          </w:p>
          <w:p>
            <w:pPr>
              <w:spacing w:line="360" w:lineRule="auto"/>
              <w:rPr>
                <w:sz w:val="24"/>
                <w:szCs w:val="21"/>
              </w:rPr>
            </w:pPr>
            <w:r>
              <w:rPr>
                <w:rFonts w:hint="eastAsia"/>
                <w:sz w:val="24"/>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4"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cs="宋体"/>
                <w:b/>
                <w:sz w:val="24"/>
                <w:szCs w:val="21"/>
              </w:rPr>
            </w:pPr>
            <w:r>
              <w:rPr>
                <w:rFonts w:hint="eastAsia" w:ascii="宋体" w:hAnsi="宋体"/>
                <w:b/>
                <w:bCs/>
                <w:sz w:val="24"/>
                <w:szCs w:val="21"/>
              </w:rPr>
              <w:t>展厅设计与布展方案 （</w:t>
            </w:r>
            <w:r>
              <w:rPr>
                <w:rFonts w:ascii="宋体" w:hAnsi="宋体"/>
                <w:b/>
                <w:bCs/>
                <w:sz w:val="24"/>
                <w:szCs w:val="21"/>
              </w:rPr>
              <w:t>55</w:t>
            </w:r>
            <w:r>
              <w:rPr>
                <w:rFonts w:hint="eastAsia" w:ascii="宋体" w:hAnsi="宋体"/>
                <w:b/>
                <w:bCs/>
                <w:sz w:val="24"/>
                <w:szCs w:val="21"/>
              </w:rPr>
              <w:t>分）</w:t>
            </w:r>
          </w:p>
        </w:tc>
        <w:tc>
          <w:tcPr>
            <w:tcW w:w="7407" w:type="dxa"/>
            <w:shd w:val="clear" w:color="auto" w:fill="FFFFFF"/>
            <w:tcMar>
              <w:left w:w="108" w:type="dxa"/>
              <w:right w:w="108" w:type="dxa"/>
            </w:tcMar>
            <w:vAlign w:val="center"/>
          </w:tcPr>
          <w:p>
            <w:pPr>
              <w:spacing w:line="360" w:lineRule="auto"/>
              <w:rPr>
                <w:rFonts w:ascii="宋体" w:hAnsi="宋体"/>
                <w:b/>
                <w:bCs/>
                <w:sz w:val="24"/>
                <w:szCs w:val="21"/>
              </w:rPr>
            </w:pPr>
            <w:r>
              <w:rPr>
                <w:rFonts w:hint="eastAsia" w:ascii="宋体" w:hAnsi="宋体"/>
                <w:b/>
                <w:bCs/>
                <w:sz w:val="24"/>
                <w:szCs w:val="21"/>
              </w:rPr>
              <w:t>（</w:t>
            </w:r>
            <w:r>
              <w:rPr>
                <w:rFonts w:ascii="宋体" w:hAnsi="宋体"/>
                <w:b/>
                <w:bCs/>
                <w:sz w:val="24"/>
                <w:szCs w:val="21"/>
              </w:rPr>
              <w:t>1</w:t>
            </w:r>
            <w:r>
              <w:rPr>
                <w:rFonts w:hint="eastAsia" w:ascii="宋体" w:hAnsi="宋体"/>
                <w:b/>
                <w:bCs/>
                <w:sz w:val="24"/>
                <w:szCs w:val="21"/>
              </w:rPr>
              <w:t>）展厅设计效果（</w:t>
            </w:r>
            <w:r>
              <w:rPr>
                <w:rFonts w:ascii="宋体" w:hAnsi="宋体"/>
                <w:b/>
                <w:bCs/>
                <w:sz w:val="24"/>
                <w:szCs w:val="21"/>
              </w:rPr>
              <w:t>30</w:t>
            </w:r>
            <w:r>
              <w:rPr>
                <w:rFonts w:hint="eastAsia" w:ascii="宋体" w:hAnsi="宋体"/>
                <w:b/>
                <w:bCs/>
                <w:sz w:val="24"/>
                <w:szCs w:val="21"/>
              </w:rPr>
              <w:t>分）</w:t>
            </w:r>
          </w:p>
          <w:p>
            <w:pPr>
              <w:spacing w:line="360" w:lineRule="auto"/>
              <w:rPr>
                <w:rFonts w:ascii="宋体" w:hAnsi="宋体"/>
                <w:b/>
                <w:bCs/>
                <w:sz w:val="24"/>
                <w:szCs w:val="21"/>
              </w:rPr>
            </w:pPr>
            <w:r>
              <w:rPr>
                <w:rFonts w:hint="eastAsia" w:ascii="宋体" w:hAnsi="宋体"/>
                <w:sz w:val="24"/>
                <w:szCs w:val="21"/>
              </w:rPr>
              <w:t>展厅设计详细、合理、美观，考虑周全、切实可行，得</w:t>
            </w:r>
            <w:r>
              <w:rPr>
                <w:rFonts w:ascii="宋体" w:hAnsi="宋体"/>
                <w:sz w:val="24"/>
                <w:szCs w:val="21"/>
              </w:rPr>
              <w:t>30</w:t>
            </w:r>
            <w:r>
              <w:rPr>
                <w:rFonts w:hint="eastAsia" w:ascii="宋体" w:hAnsi="宋体"/>
                <w:sz w:val="24"/>
                <w:szCs w:val="21"/>
              </w:rPr>
              <w:t>分；较合理、严密、描述较为详细，得</w:t>
            </w:r>
            <w:r>
              <w:rPr>
                <w:rFonts w:ascii="宋体" w:hAnsi="宋体"/>
                <w:sz w:val="24"/>
                <w:szCs w:val="21"/>
              </w:rPr>
              <w:t>20</w:t>
            </w:r>
            <w:r>
              <w:rPr>
                <w:rFonts w:hint="eastAsia" w:ascii="宋体" w:hAnsi="宋体"/>
                <w:sz w:val="24"/>
                <w:szCs w:val="21"/>
              </w:rPr>
              <w:t>分；基本合理、描述基本详细，得</w:t>
            </w:r>
            <w:r>
              <w:rPr>
                <w:rFonts w:ascii="宋体" w:hAnsi="宋体"/>
                <w:sz w:val="24"/>
                <w:szCs w:val="21"/>
              </w:rPr>
              <w:t>10</w:t>
            </w:r>
            <w:r>
              <w:rPr>
                <w:rFonts w:hint="eastAsia" w:ascii="宋体" w:hAnsi="宋体"/>
                <w:sz w:val="24"/>
                <w:szCs w:val="21"/>
              </w:rPr>
              <w:t>分；具有明显不合理项、描述欠缺、存在实施难度或不提供不得分。</w:t>
            </w:r>
          </w:p>
          <w:p>
            <w:pPr>
              <w:spacing w:line="360" w:lineRule="auto"/>
              <w:rPr>
                <w:rFonts w:ascii="宋体" w:hAnsi="宋体"/>
                <w:b/>
                <w:bCs/>
                <w:sz w:val="24"/>
                <w:szCs w:val="21"/>
              </w:rPr>
            </w:pPr>
            <w:r>
              <w:rPr>
                <w:rFonts w:hint="eastAsia" w:ascii="宋体" w:hAnsi="宋体"/>
                <w:b/>
                <w:bCs/>
                <w:sz w:val="24"/>
                <w:szCs w:val="21"/>
              </w:rPr>
              <w:t>（</w:t>
            </w:r>
            <w:r>
              <w:rPr>
                <w:rFonts w:ascii="宋体" w:hAnsi="宋体"/>
                <w:b/>
                <w:bCs/>
                <w:sz w:val="24"/>
                <w:szCs w:val="21"/>
              </w:rPr>
              <w:t>2</w:t>
            </w:r>
            <w:r>
              <w:rPr>
                <w:rFonts w:hint="eastAsia" w:ascii="宋体" w:hAnsi="宋体"/>
                <w:b/>
                <w:bCs/>
                <w:sz w:val="24"/>
                <w:szCs w:val="21"/>
              </w:rPr>
              <w:t>）布展（包含但不限于以下内容：方案概括，物料清单，布展计划，各种资源总需要量计划）（</w:t>
            </w:r>
            <w:r>
              <w:rPr>
                <w:rFonts w:ascii="宋体" w:hAnsi="宋体"/>
                <w:b/>
                <w:bCs/>
                <w:sz w:val="24"/>
                <w:szCs w:val="21"/>
              </w:rPr>
              <w:t>15</w:t>
            </w:r>
            <w:r>
              <w:rPr>
                <w:rFonts w:hint="eastAsia" w:ascii="宋体" w:hAnsi="宋体"/>
                <w:b/>
                <w:bCs/>
                <w:sz w:val="24"/>
                <w:szCs w:val="21"/>
              </w:rPr>
              <w:t>分）</w:t>
            </w:r>
          </w:p>
          <w:p>
            <w:pPr>
              <w:spacing w:line="360" w:lineRule="auto"/>
              <w:rPr>
                <w:rFonts w:ascii="宋体" w:hAnsi="宋体"/>
                <w:sz w:val="24"/>
                <w:szCs w:val="21"/>
              </w:rPr>
            </w:pPr>
            <w:r>
              <w:rPr>
                <w:rFonts w:hint="eastAsia" w:ascii="宋体" w:hAnsi="宋体"/>
                <w:sz w:val="24"/>
                <w:szCs w:val="21"/>
              </w:rPr>
              <w:t>清楚、详尽，考虑周全完整，切实可行，得</w:t>
            </w:r>
            <w:r>
              <w:rPr>
                <w:rFonts w:ascii="宋体" w:hAnsi="宋体"/>
                <w:sz w:val="24"/>
                <w:szCs w:val="21"/>
              </w:rPr>
              <w:t>15</w:t>
            </w:r>
            <w:r>
              <w:rPr>
                <w:rFonts w:hint="eastAsia" w:ascii="宋体" w:hAnsi="宋体"/>
                <w:sz w:val="24"/>
                <w:szCs w:val="21"/>
              </w:rPr>
              <w:t>分；较合理、严密、描述较为详细，得1</w:t>
            </w:r>
            <w:r>
              <w:rPr>
                <w:rFonts w:ascii="宋体" w:hAnsi="宋体"/>
                <w:sz w:val="24"/>
                <w:szCs w:val="21"/>
              </w:rPr>
              <w:t>0</w:t>
            </w:r>
            <w:r>
              <w:rPr>
                <w:rFonts w:hint="eastAsia" w:ascii="宋体" w:hAnsi="宋体"/>
                <w:sz w:val="24"/>
                <w:szCs w:val="21"/>
              </w:rPr>
              <w:t>分；基本合理、描述基本详细，得5分；具有明显不合理项、描述欠缺、存在实施难度或不提供不得分。</w:t>
            </w:r>
          </w:p>
          <w:p>
            <w:pPr>
              <w:spacing w:line="360" w:lineRule="auto"/>
              <w:rPr>
                <w:rFonts w:ascii="宋体" w:hAnsi="宋体"/>
                <w:b/>
                <w:bCs/>
                <w:sz w:val="24"/>
                <w:szCs w:val="21"/>
              </w:rPr>
            </w:pPr>
            <w:r>
              <w:rPr>
                <w:rFonts w:hint="eastAsia" w:ascii="宋体" w:hAnsi="宋体"/>
                <w:b/>
                <w:bCs/>
                <w:sz w:val="24"/>
                <w:szCs w:val="21"/>
              </w:rPr>
              <w:t>（</w:t>
            </w:r>
            <w:r>
              <w:rPr>
                <w:rFonts w:hint="eastAsia" w:ascii="宋体" w:hAnsi="宋体"/>
                <w:b/>
                <w:bCs/>
                <w:sz w:val="24"/>
                <w:szCs w:val="21"/>
                <w:lang w:val="en-US" w:eastAsia="zh-CN"/>
              </w:rPr>
              <w:t>3</w:t>
            </w:r>
            <w:r>
              <w:rPr>
                <w:rFonts w:hint="eastAsia" w:ascii="宋体" w:hAnsi="宋体"/>
                <w:b/>
                <w:bCs/>
                <w:sz w:val="24"/>
                <w:szCs w:val="21"/>
              </w:rPr>
              <w:t>）安全文明安装、质量保证措施（1</w:t>
            </w:r>
            <w:r>
              <w:rPr>
                <w:rFonts w:ascii="宋体" w:hAnsi="宋体"/>
                <w:b/>
                <w:bCs/>
                <w:sz w:val="24"/>
                <w:szCs w:val="21"/>
              </w:rPr>
              <w:t>0</w:t>
            </w:r>
            <w:r>
              <w:rPr>
                <w:rFonts w:hint="eastAsia" w:ascii="宋体" w:hAnsi="宋体"/>
                <w:b/>
                <w:bCs/>
                <w:sz w:val="24"/>
                <w:szCs w:val="21"/>
              </w:rPr>
              <w:t>分）</w:t>
            </w:r>
          </w:p>
          <w:p>
            <w:pPr>
              <w:spacing w:line="360" w:lineRule="auto"/>
              <w:rPr>
                <w:rFonts w:hint="eastAsia" w:ascii="宋体" w:hAnsi="宋体"/>
                <w:sz w:val="24"/>
                <w:szCs w:val="21"/>
              </w:rPr>
            </w:pPr>
            <w:r>
              <w:rPr>
                <w:rFonts w:hint="eastAsia" w:ascii="宋体" w:hAnsi="宋体"/>
                <w:sz w:val="24"/>
                <w:szCs w:val="21"/>
              </w:rPr>
              <w:t>对相关风险分析，制订安全文明安装保证措施方案，针对性及准确性强，质量管理措施完整、目标体系明确、措施有力，得1</w:t>
            </w:r>
            <w:r>
              <w:rPr>
                <w:rFonts w:ascii="宋体" w:hAnsi="宋体"/>
                <w:sz w:val="24"/>
                <w:szCs w:val="21"/>
              </w:rPr>
              <w:t>0</w:t>
            </w:r>
            <w:r>
              <w:rPr>
                <w:rFonts w:hint="eastAsia" w:ascii="宋体" w:hAnsi="宋体"/>
                <w:sz w:val="24"/>
                <w:szCs w:val="21"/>
              </w:rPr>
              <w:t>分；较合理准确、严密、描述较为详细，得</w:t>
            </w:r>
            <w:r>
              <w:rPr>
                <w:rFonts w:ascii="宋体" w:hAnsi="宋体"/>
                <w:sz w:val="24"/>
                <w:szCs w:val="21"/>
              </w:rPr>
              <w:t>7</w:t>
            </w:r>
            <w:r>
              <w:rPr>
                <w:rFonts w:hint="eastAsia" w:ascii="宋体" w:hAnsi="宋体"/>
                <w:sz w:val="24"/>
                <w:szCs w:val="21"/>
              </w:rPr>
              <w:t>分；基本合理、描述基本详细，得</w:t>
            </w:r>
            <w:r>
              <w:rPr>
                <w:rFonts w:ascii="宋体" w:hAnsi="宋体"/>
                <w:sz w:val="24"/>
                <w:szCs w:val="21"/>
              </w:rPr>
              <w:t>3</w:t>
            </w:r>
            <w:r>
              <w:rPr>
                <w:rFonts w:hint="eastAsia" w:ascii="宋体" w:hAnsi="宋体"/>
                <w:sz w:val="24"/>
                <w:szCs w:val="21"/>
              </w:rPr>
              <w:t>分；具有明显不合理项、描述欠缺、存在实施难度或不提供不得分。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b/>
                <w:bCs/>
                <w:sz w:val="24"/>
                <w:szCs w:val="21"/>
              </w:rPr>
            </w:pPr>
            <w:r>
              <w:rPr>
                <w:rFonts w:hint="eastAsia" w:ascii="宋体" w:hAnsi="宋体"/>
                <w:b/>
                <w:bCs/>
                <w:sz w:val="24"/>
                <w:szCs w:val="21"/>
              </w:rPr>
              <w:t>公司</w:t>
            </w:r>
            <w:r>
              <w:rPr>
                <w:rFonts w:ascii="宋体" w:hAnsi="宋体"/>
                <w:b/>
                <w:bCs/>
                <w:sz w:val="24"/>
                <w:szCs w:val="21"/>
              </w:rPr>
              <w:t>业绩</w:t>
            </w:r>
          </w:p>
          <w:p>
            <w:pPr>
              <w:spacing w:line="360" w:lineRule="auto"/>
              <w:jc w:val="center"/>
              <w:rPr>
                <w:rFonts w:ascii="宋体" w:hAnsi="宋体"/>
                <w:b/>
                <w:bCs/>
                <w:sz w:val="24"/>
                <w:szCs w:val="21"/>
              </w:rPr>
            </w:pPr>
            <w:r>
              <w:rPr>
                <w:rFonts w:hint="eastAsia" w:ascii="宋体" w:hAnsi="宋体"/>
                <w:b/>
                <w:bCs/>
                <w:sz w:val="24"/>
                <w:szCs w:val="21"/>
              </w:rPr>
              <w:t>（</w:t>
            </w:r>
            <w:r>
              <w:rPr>
                <w:rFonts w:ascii="宋体" w:hAnsi="宋体"/>
                <w:b/>
                <w:bCs/>
                <w:sz w:val="24"/>
                <w:szCs w:val="21"/>
              </w:rPr>
              <w:t>10</w:t>
            </w:r>
            <w:r>
              <w:rPr>
                <w:rFonts w:hint="eastAsia" w:ascii="宋体" w:hAnsi="宋体"/>
                <w:b/>
                <w:bCs/>
                <w:sz w:val="24"/>
                <w:szCs w:val="21"/>
              </w:rPr>
              <w:t>分）</w:t>
            </w:r>
          </w:p>
        </w:tc>
        <w:tc>
          <w:tcPr>
            <w:tcW w:w="7407" w:type="dxa"/>
            <w:shd w:val="clear" w:color="auto" w:fill="FFFFFF"/>
            <w:tcMar>
              <w:left w:w="108" w:type="dxa"/>
              <w:right w:w="108" w:type="dxa"/>
            </w:tcMar>
            <w:vAlign w:val="center"/>
          </w:tcPr>
          <w:p>
            <w:pPr>
              <w:spacing w:line="360" w:lineRule="auto"/>
              <w:rPr>
                <w:rFonts w:ascii="宋体" w:hAnsi="宋体"/>
                <w:sz w:val="24"/>
                <w:szCs w:val="21"/>
              </w:rPr>
            </w:pPr>
            <w:r>
              <w:rPr>
                <w:rFonts w:hint="eastAsia" w:ascii="宋体" w:hAnsi="宋体"/>
                <w:sz w:val="24"/>
                <w:szCs w:val="21"/>
              </w:rPr>
              <w:t>供应商自2019年1月1日以来有过类似成功案例</w:t>
            </w:r>
            <w:r>
              <w:rPr>
                <w:rFonts w:hint="eastAsia" w:ascii="宋体" w:hAnsi="宋体"/>
                <w:b/>
                <w:bCs/>
                <w:sz w:val="24"/>
                <w:szCs w:val="21"/>
              </w:rPr>
              <w:t>（提供有效合同复印件加盖供应商公章，合同需清晰可见主要内容，</w:t>
            </w:r>
            <w:r>
              <w:rPr>
                <w:rFonts w:hint="eastAsia" w:ascii="宋体" w:hAnsi="宋体"/>
                <w:b/>
                <w:bCs/>
                <w:color w:val="FF0000"/>
                <w:sz w:val="24"/>
                <w:szCs w:val="21"/>
              </w:rPr>
              <w:t>原件备查，无原件不得分</w:t>
            </w:r>
            <w:r>
              <w:rPr>
                <w:rFonts w:hint="eastAsia" w:ascii="宋体" w:hAnsi="宋体"/>
                <w:b/>
                <w:bCs/>
                <w:sz w:val="24"/>
                <w:szCs w:val="21"/>
              </w:rPr>
              <w:t>）</w:t>
            </w:r>
            <w:r>
              <w:rPr>
                <w:rFonts w:hint="eastAsia" w:ascii="宋体" w:hAnsi="宋体"/>
                <w:sz w:val="24"/>
                <w:szCs w:val="21"/>
              </w:rPr>
              <w:t>，每提供一份合同得</w:t>
            </w:r>
            <w:r>
              <w:rPr>
                <w:rFonts w:ascii="宋体" w:hAnsi="宋体"/>
                <w:sz w:val="24"/>
                <w:szCs w:val="21"/>
              </w:rPr>
              <w:t>2</w:t>
            </w:r>
            <w:r>
              <w:rPr>
                <w:rFonts w:hint="eastAsia" w:ascii="宋体" w:hAnsi="宋体"/>
                <w:sz w:val="24"/>
                <w:szCs w:val="21"/>
              </w:rPr>
              <w:t>分，最高1</w:t>
            </w:r>
            <w:r>
              <w:rPr>
                <w:rFonts w:ascii="宋体" w:hAnsi="宋体"/>
                <w:sz w:val="24"/>
                <w:szCs w:val="21"/>
              </w:rPr>
              <w:t>0</w:t>
            </w:r>
            <w:r>
              <w:rPr>
                <w:rFonts w:hint="eastAsia" w:ascii="宋体" w:hAnsi="宋体"/>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b/>
                <w:bCs/>
                <w:sz w:val="24"/>
                <w:szCs w:val="21"/>
              </w:rPr>
            </w:pPr>
            <w:r>
              <w:rPr>
                <w:rFonts w:hint="eastAsia" w:ascii="宋体" w:hAnsi="宋体"/>
                <w:b/>
                <w:bCs/>
                <w:sz w:val="24"/>
                <w:szCs w:val="21"/>
              </w:rPr>
              <w:t>服务承诺</w:t>
            </w:r>
          </w:p>
          <w:p>
            <w:pPr>
              <w:spacing w:line="360" w:lineRule="auto"/>
              <w:jc w:val="center"/>
              <w:rPr>
                <w:rFonts w:ascii="宋体" w:hAnsi="宋体"/>
                <w:b/>
                <w:bCs/>
                <w:sz w:val="24"/>
                <w:szCs w:val="21"/>
              </w:rPr>
            </w:pPr>
            <w:r>
              <w:rPr>
                <w:rFonts w:hint="eastAsia" w:ascii="宋体" w:hAnsi="宋体"/>
                <w:b/>
                <w:bCs/>
                <w:sz w:val="24"/>
                <w:szCs w:val="21"/>
              </w:rPr>
              <w:t>（</w:t>
            </w:r>
            <w:r>
              <w:rPr>
                <w:rFonts w:ascii="宋体" w:hAnsi="宋体"/>
                <w:b/>
                <w:bCs/>
                <w:sz w:val="24"/>
                <w:szCs w:val="21"/>
              </w:rPr>
              <w:t>5</w:t>
            </w:r>
            <w:r>
              <w:rPr>
                <w:rFonts w:hint="eastAsia" w:ascii="宋体" w:hAnsi="宋体"/>
                <w:b/>
                <w:bCs/>
                <w:sz w:val="24"/>
                <w:szCs w:val="21"/>
              </w:rPr>
              <w:t>分）</w:t>
            </w:r>
          </w:p>
        </w:tc>
        <w:tc>
          <w:tcPr>
            <w:tcW w:w="7407" w:type="dxa"/>
            <w:shd w:val="clear" w:color="auto" w:fill="FFFFFF"/>
            <w:tcMar>
              <w:left w:w="108" w:type="dxa"/>
              <w:right w:w="108" w:type="dxa"/>
            </w:tcMar>
            <w:vAlign w:val="center"/>
          </w:tcPr>
          <w:p>
            <w:pPr>
              <w:spacing w:line="360" w:lineRule="auto"/>
              <w:rPr>
                <w:rFonts w:ascii="宋体" w:hAnsi="宋体"/>
                <w:sz w:val="24"/>
                <w:szCs w:val="21"/>
              </w:rPr>
            </w:pPr>
            <w:r>
              <w:rPr>
                <w:rFonts w:hint="eastAsia" w:ascii="宋体" w:hAnsi="宋体"/>
                <w:sz w:val="24"/>
                <w:szCs w:val="21"/>
              </w:rPr>
              <w:t>质保期内维修响应时间：供应商提供</w:t>
            </w:r>
            <w:r>
              <w:rPr>
                <w:rFonts w:ascii="宋体" w:hAnsi="宋体"/>
                <w:sz w:val="24"/>
                <w:szCs w:val="21"/>
              </w:rPr>
              <w:t>6</w:t>
            </w:r>
            <w:r>
              <w:rPr>
                <w:rFonts w:hint="eastAsia" w:ascii="宋体" w:hAnsi="宋体"/>
                <w:sz w:val="24"/>
                <w:szCs w:val="21"/>
              </w:rPr>
              <w:t>小时内到达现场查勘情况并提出维修整改建议承诺的，得</w:t>
            </w:r>
            <w:r>
              <w:rPr>
                <w:rFonts w:ascii="宋体" w:hAnsi="宋体"/>
                <w:sz w:val="24"/>
                <w:szCs w:val="21"/>
              </w:rPr>
              <w:t>5</w:t>
            </w:r>
            <w:r>
              <w:rPr>
                <w:rFonts w:hint="eastAsia" w:ascii="宋体" w:hAnsi="宋体"/>
                <w:sz w:val="24"/>
                <w:szCs w:val="21"/>
              </w:rPr>
              <w:t>分；</w:t>
            </w:r>
            <w:r>
              <w:rPr>
                <w:rFonts w:ascii="宋体" w:hAnsi="宋体"/>
                <w:sz w:val="24"/>
                <w:szCs w:val="21"/>
              </w:rPr>
              <w:t>12</w:t>
            </w:r>
            <w:r>
              <w:rPr>
                <w:rFonts w:hint="eastAsia" w:ascii="宋体" w:hAnsi="宋体"/>
                <w:sz w:val="24"/>
                <w:szCs w:val="21"/>
              </w:rPr>
              <w:t>小时内到达现场查勘情况并提出维修整改建议承诺的，得2分；其余情况不得分</w:t>
            </w:r>
            <w:r>
              <w:rPr>
                <w:rFonts w:hint="eastAsia" w:ascii="宋体" w:hAnsi="宋体"/>
                <w:b/>
                <w:bCs/>
                <w:sz w:val="24"/>
                <w:szCs w:val="21"/>
              </w:rPr>
              <w:t>（提供有效承诺函原件加盖供应商公章）。</w:t>
            </w:r>
          </w:p>
        </w:tc>
      </w:tr>
    </w:tbl>
    <w:p>
      <w:pPr>
        <w:spacing w:line="360" w:lineRule="auto"/>
        <w:ind w:firstLine="482" w:firstLineChars="200"/>
        <w:rPr>
          <w:rFonts w:ascii="宋体" w:hAnsi="宋体"/>
          <w:b/>
          <w:sz w:val="24"/>
          <w:szCs w:val="21"/>
          <w:lang w:bidi="zh-CN"/>
        </w:rPr>
      </w:pPr>
      <w:r>
        <w:rPr>
          <w:rFonts w:ascii="宋体" w:hAnsi="宋体"/>
          <w:b/>
          <w:sz w:val="24"/>
          <w:szCs w:val="21"/>
          <w:lang w:bidi="zh-CN"/>
        </w:rPr>
        <w:t>注：</w:t>
      </w:r>
      <w:r>
        <w:rPr>
          <w:rFonts w:hint="eastAsia" w:ascii="宋体" w:hAnsi="宋体"/>
          <w:b/>
          <w:sz w:val="24"/>
          <w:szCs w:val="21"/>
          <w:lang w:bidi="zh-CN"/>
        </w:rPr>
        <w:t>（1）</w:t>
      </w:r>
      <w:r>
        <w:rPr>
          <w:rFonts w:ascii="宋体" w:hAnsi="宋体"/>
          <w:b/>
          <w:sz w:val="24"/>
          <w:szCs w:val="21"/>
          <w:lang w:bidi="zh-CN"/>
        </w:rPr>
        <w:t>评分标准中要求提供原件的，供应商须提供相关原件或公证件，否则与之对应项不得分。</w:t>
      </w:r>
    </w:p>
    <w:p>
      <w:pPr>
        <w:spacing w:line="360" w:lineRule="auto"/>
        <w:ind w:firstLine="843" w:firstLineChars="350"/>
        <w:rPr>
          <w:rFonts w:ascii="宋体" w:hAnsi="宋体"/>
          <w:b/>
          <w:sz w:val="24"/>
          <w:szCs w:val="21"/>
          <w:lang w:bidi="zh-CN"/>
        </w:rPr>
      </w:pPr>
      <w:r>
        <w:rPr>
          <w:rFonts w:hint="eastAsia" w:ascii="宋体" w:hAnsi="宋体"/>
          <w:b/>
          <w:sz w:val="24"/>
          <w:szCs w:val="21"/>
          <w:lang w:bidi="zh-CN"/>
        </w:rPr>
        <w:t>（2）响应</w:t>
      </w:r>
      <w:r>
        <w:rPr>
          <w:rFonts w:ascii="宋体" w:hAnsi="宋体"/>
          <w:b/>
          <w:sz w:val="24"/>
          <w:szCs w:val="21"/>
          <w:lang w:bidi="zh-CN"/>
        </w:rPr>
        <w:t>文件的正本和副本中均需提供相关原件的复印件。</w:t>
      </w:r>
    </w:p>
    <w:p>
      <w:pPr>
        <w:spacing w:line="360" w:lineRule="auto"/>
        <w:ind w:firstLine="843" w:firstLineChars="350"/>
        <w:rPr>
          <w:rFonts w:ascii="宋体" w:hAnsi="宋体"/>
          <w:b/>
          <w:sz w:val="24"/>
          <w:szCs w:val="21"/>
        </w:rPr>
      </w:pPr>
      <w:r>
        <w:rPr>
          <w:rFonts w:hint="eastAsia" w:ascii="宋体" w:hAnsi="宋体"/>
          <w:b/>
          <w:sz w:val="24"/>
          <w:szCs w:val="21"/>
          <w:lang w:bidi="zh-CN"/>
        </w:rPr>
        <w:t>（3）</w:t>
      </w:r>
      <w:r>
        <w:rPr>
          <w:rFonts w:ascii="宋体" w:hAnsi="宋体"/>
          <w:b/>
          <w:sz w:val="24"/>
          <w:szCs w:val="21"/>
          <w:lang w:bidi="zh-CN"/>
        </w:rPr>
        <w:t>供应商提供的相关证明材料，如弄虚作假，根据《政府采购法》予以处罚。</w:t>
      </w:r>
    </w:p>
    <w:p>
      <w:pPr>
        <w:spacing w:line="360" w:lineRule="auto"/>
        <w:ind w:firstLine="843" w:firstLineChars="350"/>
        <w:rPr>
          <w:rFonts w:ascii="宋体" w:hAnsi="宋体"/>
          <w:b/>
          <w:sz w:val="24"/>
          <w:szCs w:val="21"/>
        </w:rPr>
      </w:pPr>
      <w:r>
        <w:rPr>
          <w:rFonts w:hint="eastAsia" w:ascii="宋体" w:hAnsi="宋体"/>
          <w:b/>
          <w:sz w:val="24"/>
          <w:szCs w:val="21"/>
        </w:rPr>
        <w:t>（4）上述原件或公证件等属于响应文件的组成部分，须在磋商当天随响应文件一起在磋商截止时间前同时递交，若有缺失，将导致对应项不得分且不允许在磋商开始后补正。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F8057"/>
    <w:multiLevelType w:val="singleLevel"/>
    <w:tmpl w:val="328F8057"/>
    <w:lvl w:ilvl="0" w:tentative="0">
      <w:start w:val="1"/>
      <w:numFmt w:val="chineseCounting"/>
      <w:suff w:val="nothing"/>
      <w:lvlText w:val="%1、"/>
      <w:lvlJc w:val="left"/>
      <w:rPr>
        <w:rFonts w:hint="eastAsia"/>
      </w:rPr>
    </w:lvl>
  </w:abstractNum>
  <w:abstractNum w:abstractNumId="1">
    <w:nsid w:val="713EDF47"/>
    <w:multiLevelType w:val="singleLevel"/>
    <w:tmpl w:val="713EDF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zZDI2ZWM4OWIxMjFjNzVjNzFhMDU3MmQ5ODA2NGIifQ=="/>
  </w:docVars>
  <w:rsids>
    <w:rsidRoot w:val="00D60D85"/>
    <w:rsid w:val="00021980"/>
    <w:rsid w:val="00077DF6"/>
    <w:rsid w:val="000A69FC"/>
    <w:rsid w:val="00255BE6"/>
    <w:rsid w:val="002935AA"/>
    <w:rsid w:val="00365719"/>
    <w:rsid w:val="0044371C"/>
    <w:rsid w:val="004A5624"/>
    <w:rsid w:val="00505F22"/>
    <w:rsid w:val="00530F43"/>
    <w:rsid w:val="0053141F"/>
    <w:rsid w:val="00645FE7"/>
    <w:rsid w:val="006E3498"/>
    <w:rsid w:val="007D4B13"/>
    <w:rsid w:val="0081012F"/>
    <w:rsid w:val="00894C53"/>
    <w:rsid w:val="008A2F9C"/>
    <w:rsid w:val="008E07D8"/>
    <w:rsid w:val="00941489"/>
    <w:rsid w:val="00990DA8"/>
    <w:rsid w:val="009A7A3F"/>
    <w:rsid w:val="00A17566"/>
    <w:rsid w:val="00A42336"/>
    <w:rsid w:val="00A47047"/>
    <w:rsid w:val="00A52979"/>
    <w:rsid w:val="00B55031"/>
    <w:rsid w:val="00C53D00"/>
    <w:rsid w:val="00C55A3D"/>
    <w:rsid w:val="00CB1AF4"/>
    <w:rsid w:val="00CC028D"/>
    <w:rsid w:val="00D60D85"/>
    <w:rsid w:val="00F62F0A"/>
    <w:rsid w:val="00F87407"/>
    <w:rsid w:val="370A3583"/>
    <w:rsid w:val="4C00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line="276" w:lineRule="auto"/>
    </w:pPr>
    <w:rPr>
      <w:rFonts w:ascii="宋体" w:hAnsi="宋体"/>
      <w:b/>
      <w:sz w:val="24"/>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styleId="10">
    <w:name w:val="List Paragraph"/>
    <w:basedOn w:val="1"/>
    <w:unhideWhenUsed/>
    <w:qFormat/>
    <w:uiPriority w:val="99"/>
    <w:pPr>
      <w:ind w:firstLine="420" w:firstLineChars="200"/>
    </w:pPr>
  </w:style>
  <w:style w:type="paragraph" w:customStyle="1" w:styleId="1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1503</Words>
  <Characters>1533</Characters>
  <Lines>10</Lines>
  <Paragraphs>3</Paragraphs>
  <TotalTime>1</TotalTime>
  <ScaleCrop>false</ScaleCrop>
  <LinksUpToDate>false</LinksUpToDate>
  <CharactersWithSpaces>1557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2022-07-27T02:07:00Z</dcterms:created>
  <dc:creator>T</dc:creator>
  <cp:lastModifiedBy>Lenovo</cp:lastModifiedBy>
  <cp:lastPrinted>2022-11-18T02:37:00Z</cp:lastPrinted>
  <dcterms:modified xsi:type="dcterms:W3CDTF">2022-11-22T00:38:28Z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49A95BF2E55E4658BC0B25F8807867B2</vt:lpwstr>
  </property>
</Properties>
</file>