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contextualSpacing/>
        <w:jc w:val="center"/>
        <w:rPr>
          <w:rFonts w:ascii="宋体" w:hAnsi="宋体"/>
          <w:spacing w:val="-8"/>
        </w:rPr>
      </w:pPr>
      <w:r>
        <w:rPr>
          <w:rFonts w:hint="eastAsia" w:ascii="宋体" w:hAnsi="宋体" w:cs="宋体"/>
          <w:bCs/>
          <w:sz w:val="36"/>
        </w:rPr>
        <w:t>图书馆大厅顶棚加装隔热层及仿古瓦面工程</w:t>
      </w:r>
      <w:r>
        <w:rPr>
          <w:rFonts w:ascii="宋体" w:hAnsi="宋体" w:cs="宋体"/>
          <w:bCs/>
          <w:sz w:val="36"/>
        </w:rPr>
        <w:t>方案</w:t>
      </w:r>
    </w:p>
    <w:p>
      <w:pPr>
        <w:pStyle w:val="2"/>
        <w:numPr>
          <w:ilvl w:val="0"/>
          <w:numId w:val="1"/>
        </w:numPr>
        <w:spacing w:line="264" w:lineRule="auto"/>
        <w:contextualSpacing/>
      </w:pPr>
      <w:bookmarkStart w:id="0" w:name="_Toc194757239"/>
      <w:bookmarkStart w:id="1" w:name="_Toc403722970"/>
      <w:bookmarkStart w:id="2" w:name="_Toc194758350"/>
      <w:r>
        <w:rPr>
          <w:rFonts w:hint="eastAsia"/>
        </w:rPr>
        <w:t>项目概况</w:t>
      </w:r>
    </w:p>
    <w:bookmarkEnd w:id="0"/>
    <w:bookmarkEnd w:id="1"/>
    <w:bookmarkEnd w:id="2"/>
    <w:p>
      <w:pPr>
        <w:pStyle w:val="10"/>
        <w:spacing w:line="264" w:lineRule="auto"/>
        <w:ind w:firstLine="480"/>
        <w:contextualSpacing/>
        <w:rPr>
          <w:rFonts w:ascii="宋体" w:hAnsi="宋体" w:cs="宋体"/>
          <w:sz w:val="24"/>
        </w:rPr>
      </w:pPr>
      <w:r>
        <w:rPr>
          <w:rFonts w:hint="eastAsia" w:ascii="宋体" w:hAnsi="宋体" w:cs="宋体"/>
          <w:sz w:val="24"/>
        </w:rPr>
        <w:t>根据图书馆报送需求，原图书馆大厅为玻璃顶，夏天较热，需要将原图书馆玻璃顶棚进行改造，包括原顶棚铝合金骨架加固，玻璃接缝检查打胶，安装镀锌方管檩条，新做聚氨酯喷涂型保温层，安装仿古树脂瓦，周边新做金属包边及泛水，详见工程量清单。</w:t>
      </w:r>
    </w:p>
    <w:p>
      <w:pPr>
        <w:spacing w:line="264" w:lineRule="auto"/>
        <w:contextualSpacing/>
        <w:rPr>
          <w:rFonts w:ascii="宋体" w:hAnsi="宋体"/>
          <w:b/>
          <w:snapToGrid w:val="0"/>
          <w:szCs w:val="21"/>
        </w:rPr>
      </w:pPr>
      <w:r>
        <w:rPr>
          <w:rFonts w:ascii="宋体" w:hAnsi="宋体"/>
          <w:b/>
          <w:szCs w:val="21"/>
        </w:rPr>
        <w:t>二、</w:t>
      </w:r>
      <w:r>
        <w:rPr>
          <w:rFonts w:hint="eastAsia" w:ascii="宋体" w:hAnsi="宋体"/>
          <w:b/>
          <w:snapToGrid w:val="0"/>
          <w:szCs w:val="21"/>
        </w:rPr>
        <w:t>验收标准</w:t>
      </w:r>
    </w:p>
    <w:p>
      <w:pPr>
        <w:pStyle w:val="10"/>
        <w:spacing w:line="264" w:lineRule="auto"/>
        <w:ind w:firstLine="480"/>
        <w:contextualSpacing/>
        <w:rPr>
          <w:rFonts w:ascii="宋体" w:hAnsi="宋体" w:cs="宋体"/>
          <w:sz w:val="24"/>
        </w:rPr>
      </w:pPr>
      <w:r>
        <w:rPr>
          <w:rFonts w:hint="eastAsia" w:ascii="宋体" w:hAnsi="宋体" w:cs="宋体"/>
          <w:sz w:val="24"/>
        </w:rPr>
        <w:t>檩条</w:t>
      </w:r>
      <w:r>
        <w:rPr>
          <w:rFonts w:ascii="宋体" w:hAnsi="宋体" w:cs="宋体"/>
          <w:sz w:val="24"/>
        </w:rPr>
        <w:t>、</w:t>
      </w:r>
      <w:r>
        <w:rPr>
          <w:rFonts w:hint="eastAsia" w:ascii="宋体" w:hAnsi="宋体" w:cs="宋体"/>
          <w:sz w:val="24"/>
        </w:rPr>
        <w:t>保温喷涂</w:t>
      </w:r>
      <w:r>
        <w:rPr>
          <w:rFonts w:ascii="宋体" w:hAnsi="宋体" w:cs="宋体"/>
          <w:sz w:val="24"/>
        </w:rPr>
        <w:t>、</w:t>
      </w:r>
      <w:r>
        <w:rPr>
          <w:rFonts w:hint="eastAsia" w:ascii="宋体" w:hAnsi="宋体" w:cs="宋体"/>
          <w:sz w:val="24"/>
        </w:rPr>
        <w:t>仿古瓦</w:t>
      </w:r>
      <w:r>
        <w:rPr>
          <w:rFonts w:ascii="宋体" w:hAnsi="宋体" w:cs="宋体"/>
          <w:sz w:val="24"/>
        </w:rPr>
        <w:t>等需甲方现场确认。</w:t>
      </w:r>
    </w:p>
    <w:p>
      <w:pPr>
        <w:pStyle w:val="10"/>
        <w:spacing w:line="264" w:lineRule="auto"/>
        <w:ind w:firstLine="480"/>
        <w:contextualSpacing/>
        <w:rPr>
          <w:rFonts w:ascii="宋体" w:hAnsi="宋体" w:cs="宋体"/>
          <w:sz w:val="24"/>
        </w:rPr>
      </w:pPr>
      <w:r>
        <w:rPr>
          <w:rFonts w:ascii="宋体" w:hAnsi="宋体" w:cs="宋体"/>
          <w:sz w:val="24"/>
        </w:rPr>
        <w:t>施工满足规范要求。</w:t>
      </w:r>
    </w:p>
    <w:p>
      <w:pPr>
        <w:pStyle w:val="10"/>
        <w:spacing w:line="264" w:lineRule="auto"/>
        <w:ind w:firstLine="480"/>
        <w:contextualSpacing/>
        <w:rPr>
          <w:rFonts w:ascii="宋体" w:hAnsi="宋体" w:cs="宋体"/>
          <w:sz w:val="24"/>
        </w:rPr>
      </w:pPr>
      <w:r>
        <w:rPr>
          <w:rFonts w:hint="eastAsia" w:ascii="宋体" w:hAnsi="宋体" w:cs="宋体"/>
          <w:sz w:val="24"/>
        </w:rPr>
        <w:t>工程施工</w:t>
      </w:r>
      <w:r>
        <w:rPr>
          <w:rFonts w:ascii="宋体" w:hAnsi="宋体" w:cs="宋体"/>
          <w:sz w:val="24"/>
        </w:rPr>
        <w:t>结束，现场清理完毕，方可组织竣工验收。</w:t>
      </w:r>
    </w:p>
    <w:p>
      <w:pPr>
        <w:pStyle w:val="10"/>
        <w:spacing w:line="264" w:lineRule="auto"/>
        <w:ind w:firstLine="0" w:firstLineChars="0"/>
        <w:contextualSpacing/>
        <w:rPr>
          <w:rFonts w:hAnsi="宋体"/>
          <w:b/>
          <w:sz w:val="24"/>
        </w:rPr>
      </w:pPr>
      <w:r>
        <w:rPr>
          <w:rFonts w:hint="eastAsia" w:hAnsi="宋体"/>
          <w:b/>
          <w:sz w:val="24"/>
        </w:rPr>
        <w:t>三、资质要求</w:t>
      </w:r>
    </w:p>
    <w:p>
      <w:pPr>
        <w:pStyle w:val="10"/>
        <w:spacing w:line="264" w:lineRule="auto"/>
        <w:ind w:firstLine="480"/>
        <w:contextualSpacing/>
        <w:rPr>
          <w:rFonts w:ascii="宋体" w:hAnsi="宋体" w:cs="宋体"/>
          <w:sz w:val="24"/>
        </w:rPr>
      </w:pPr>
      <w:r>
        <w:rPr>
          <w:rFonts w:hint="eastAsia" w:ascii="宋体" w:hAnsi="宋体" w:cs="宋体"/>
          <w:sz w:val="24"/>
        </w:rPr>
        <w:t>1.具有独立承担民事责任的能力；</w:t>
      </w:r>
    </w:p>
    <w:p>
      <w:pPr>
        <w:pStyle w:val="10"/>
        <w:spacing w:line="264" w:lineRule="auto"/>
        <w:ind w:firstLine="480"/>
        <w:contextualSpacing/>
        <w:rPr>
          <w:rFonts w:ascii="宋体" w:hAnsi="宋体" w:cs="宋体"/>
          <w:sz w:val="24"/>
        </w:rPr>
      </w:pPr>
      <w:r>
        <w:rPr>
          <w:rFonts w:hint="eastAsia" w:ascii="宋体" w:hAnsi="宋体" w:cs="宋体"/>
          <w:sz w:val="24"/>
        </w:rPr>
        <w:t>2.具有良好的商业信誉：</w:t>
      </w:r>
    </w:p>
    <w:p>
      <w:pPr>
        <w:pStyle w:val="10"/>
        <w:spacing w:line="264" w:lineRule="auto"/>
        <w:ind w:firstLine="480"/>
        <w:contextualSpacing/>
        <w:rPr>
          <w:rFonts w:ascii="宋体" w:hAnsi="宋体" w:cs="宋体"/>
          <w:sz w:val="24"/>
        </w:rPr>
      </w:pPr>
      <w:r>
        <w:rPr>
          <w:rFonts w:hint="eastAsia" w:ascii="宋体" w:hAnsi="宋体" w:cs="宋体"/>
          <w:sz w:val="24"/>
        </w:rPr>
        <w:t>3.具有履行合同所必需的设备和专业技术能力；</w:t>
      </w:r>
    </w:p>
    <w:p>
      <w:pPr>
        <w:pStyle w:val="10"/>
        <w:spacing w:line="264" w:lineRule="auto"/>
        <w:ind w:firstLine="480"/>
        <w:contextualSpacing/>
        <w:rPr>
          <w:rFonts w:ascii="宋体" w:hAnsi="宋体" w:cs="宋体"/>
          <w:sz w:val="24"/>
        </w:rPr>
      </w:pPr>
      <w:r>
        <w:rPr>
          <w:rFonts w:hint="eastAsia" w:ascii="宋体" w:hAnsi="宋体" w:cs="宋体"/>
          <w:sz w:val="24"/>
        </w:rPr>
        <w:t>4.有依法缴纳税收的良好记录；</w:t>
      </w:r>
    </w:p>
    <w:p>
      <w:pPr>
        <w:pStyle w:val="10"/>
        <w:spacing w:line="264" w:lineRule="auto"/>
        <w:ind w:firstLine="480"/>
        <w:contextualSpacing/>
        <w:rPr>
          <w:rFonts w:ascii="宋体" w:hAnsi="宋体" w:cs="宋体"/>
          <w:sz w:val="24"/>
        </w:rPr>
      </w:pPr>
      <w:r>
        <w:rPr>
          <w:rFonts w:hint="eastAsia" w:ascii="宋体" w:hAnsi="宋体" w:cs="宋体"/>
          <w:sz w:val="24"/>
        </w:rPr>
        <w:t>5.参加本次采购活动前三年内，在经营活动中没有重大违法记录；</w:t>
      </w:r>
    </w:p>
    <w:p>
      <w:pPr>
        <w:pStyle w:val="10"/>
        <w:spacing w:line="264" w:lineRule="auto"/>
        <w:ind w:firstLine="480"/>
        <w:contextualSpacing/>
        <w:rPr>
          <w:rFonts w:ascii="宋体" w:hAnsi="宋体" w:cs="宋体"/>
          <w:sz w:val="24"/>
        </w:rPr>
      </w:pPr>
      <w:r>
        <w:rPr>
          <w:rFonts w:hint="eastAsia" w:ascii="宋体" w:hAnsi="宋体" w:cs="宋体"/>
          <w:sz w:val="24"/>
        </w:rPr>
        <w:t>6.法律、行政法规规定的其他条件；</w:t>
      </w:r>
    </w:p>
    <w:p>
      <w:pPr>
        <w:pStyle w:val="10"/>
        <w:spacing w:line="264" w:lineRule="auto"/>
        <w:ind w:firstLine="0" w:firstLineChars="0"/>
        <w:contextualSpacing/>
        <w:rPr>
          <w:rFonts w:hAnsi="宋体"/>
          <w:b/>
          <w:sz w:val="24"/>
        </w:rPr>
      </w:pPr>
      <w:r>
        <w:rPr>
          <w:rFonts w:hint="eastAsia" w:hAnsi="宋体"/>
          <w:b/>
          <w:sz w:val="24"/>
        </w:rPr>
        <w:t>四、样品</w:t>
      </w:r>
    </w:p>
    <w:p>
      <w:pPr>
        <w:pStyle w:val="10"/>
        <w:spacing w:line="264" w:lineRule="auto"/>
        <w:ind w:firstLine="480"/>
        <w:contextualSpacing/>
        <w:rPr>
          <w:rFonts w:ascii="宋体" w:hAnsi="宋体" w:cs="宋体"/>
          <w:sz w:val="24"/>
        </w:rPr>
      </w:pPr>
      <w:r>
        <w:rPr>
          <w:rFonts w:hint="eastAsia" w:ascii="宋体" w:hAnsi="宋体" w:cs="宋体"/>
          <w:sz w:val="24"/>
        </w:rPr>
        <w:t>提供铝合金方管，镀锌檩条，角码，保温材料，仿古瓦样品，不提供样品不进入评审环节。</w:t>
      </w:r>
    </w:p>
    <w:p>
      <w:pPr>
        <w:pStyle w:val="10"/>
        <w:spacing w:line="264" w:lineRule="auto"/>
        <w:ind w:firstLine="0" w:firstLineChars="0"/>
        <w:contextualSpacing/>
        <w:rPr>
          <w:rFonts w:hAnsi="宋体"/>
          <w:b/>
          <w:sz w:val="24"/>
        </w:rPr>
      </w:pPr>
      <w:r>
        <w:rPr>
          <w:rFonts w:hint="eastAsia" w:hAnsi="宋体"/>
          <w:b/>
          <w:sz w:val="24"/>
        </w:rPr>
        <w:t>五、投标文件</w:t>
      </w:r>
    </w:p>
    <w:p>
      <w:pPr>
        <w:pStyle w:val="10"/>
        <w:spacing w:line="264" w:lineRule="auto"/>
        <w:ind w:firstLine="480"/>
        <w:contextualSpacing/>
        <w:rPr>
          <w:rFonts w:ascii="宋体" w:hAnsi="宋体" w:cs="宋体"/>
          <w:sz w:val="24"/>
        </w:rPr>
      </w:pPr>
      <w:r>
        <w:rPr>
          <w:rFonts w:hint="eastAsia" w:ascii="宋体" w:hAnsi="宋体" w:cs="宋体"/>
          <w:sz w:val="24"/>
        </w:rPr>
        <w:t>投标文件需准备三份，含正本一本，副本二本。</w:t>
      </w:r>
    </w:p>
    <w:p>
      <w:pPr>
        <w:pStyle w:val="10"/>
        <w:spacing w:line="264" w:lineRule="auto"/>
        <w:ind w:firstLine="0" w:firstLineChars="0"/>
        <w:contextualSpacing/>
        <w:rPr>
          <w:rFonts w:hAnsi="宋体"/>
          <w:b/>
          <w:sz w:val="24"/>
        </w:rPr>
      </w:pPr>
      <w:r>
        <w:rPr>
          <w:rFonts w:hint="eastAsia" w:hAnsi="宋体"/>
          <w:b/>
          <w:sz w:val="24"/>
        </w:rPr>
        <w:t>六、评标方法与评标标准</w:t>
      </w:r>
    </w:p>
    <w:p>
      <w:pPr>
        <w:pStyle w:val="11"/>
        <w:spacing w:before="0" w:after="0" w:line="264" w:lineRule="auto"/>
        <w:ind w:firstLine="422" w:firstLineChars="200"/>
        <w:contextualSpacing/>
        <w:rPr>
          <w:rFonts w:hint="eastAsia" w:ascii="宋体" w:hAnsi="宋体"/>
          <w:b/>
          <w:kern w:val="2"/>
          <w:sz w:val="21"/>
          <w:szCs w:val="21"/>
        </w:rPr>
      </w:pPr>
      <w:bookmarkStart w:id="3" w:name="_Toc503874597"/>
      <w:bookmarkStart w:id="4" w:name="_Toc38809005"/>
      <w:bookmarkStart w:id="5" w:name="_Toc526089285"/>
      <w:bookmarkStart w:id="6" w:name="_Toc527108642"/>
      <w:bookmarkStart w:id="7" w:name="_Toc508646227"/>
      <w:r>
        <w:rPr>
          <w:rFonts w:hint="eastAsia" w:ascii="宋体" w:hAnsi="宋体"/>
          <w:b/>
          <w:kern w:val="2"/>
          <w:sz w:val="21"/>
          <w:szCs w:val="21"/>
          <w:lang w:eastAsia="zh-CN"/>
        </w:rPr>
        <w:t>（</w:t>
      </w:r>
      <w:r>
        <w:rPr>
          <w:rFonts w:hint="eastAsia" w:ascii="宋体" w:hAnsi="宋体"/>
          <w:b/>
          <w:kern w:val="2"/>
          <w:sz w:val="21"/>
          <w:szCs w:val="21"/>
          <w:lang w:val="en-US" w:eastAsia="zh-CN"/>
        </w:rPr>
        <w:t>一</w:t>
      </w:r>
      <w:r>
        <w:rPr>
          <w:rFonts w:hint="eastAsia" w:ascii="宋体" w:hAnsi="宋体"/>
          <w:b/>
          <w:kern w:val="2"/>
          <w:sz w:val="21"/>
          <w:szCs w:val="21"/>
          <w:lang w:eastAsia="zh-CN"/>
        </w:rPr>
        <w:t>）</w:t>
      </w:r>
      <w:r>
        <w:rPr>
          <w:rFonts w:hint="eastAsia" w:ascii="宋体" w:hAnsi="宋体"/>
          <w:b/>
          <w:kern w:val="2"/>
          <w:sz w:val="21"/>
          <w:szCs w:val="21"/>
        </w:rPr>
        <w:t>评审方法</w:t>
      </w:r>
      <w:bookmarkEnd w:id="3"/>
      <w:bookmarkEnd w:id="4"/>
      <w:bookmarkEnd w:id="5"/>
      <w:bookmarkEnd w:id="6"/>
      <w:bookmarkEnd w:id="7"/>
    </w:p>
    <w:p>
      <w:pPr>
        <w:pStyle w:val="10"/>
        <w:spacing w:line="264" w:lineRule="auto"/>
        <w:ind w:firstLine="480"/>
        <w:contextualSpacing/>
        <w:rPr>
          <w:rFonts w:hint="eastAsia" w:ascii="宋体" w:hAnsi="宋体" w:cs="宋体"/>
          <w:sz w:val="24"/>
        </w:rPr>
      </w:pPr>
      <w:r>
        <w:rPr>
          <w:rFonts w:hint="eastAsia" w:ascii="宋体" w:hAnsi="宋体" w:cs="宋体"/>
          <w:sz w:val="24"/>
        </w:rPr>
        <w:t>本次评审采用综合评分法，即在满足采购文件实质性要求前提下，按照采购文件中规定的评分标准和各项因素进行综合评审后，以评审总得分最高的供应商作为成交候选人。得分相同的，按磋商报价由低到高顺序排列。得分且磋商报价相同的，按技术服务方案优劣顺序排列。本综合评分法采用百分制形式，具体分值详见本细则。</w:t>
      </w:r>
    </w:p>
    <w:p>
      <w:pPr>
        <w:pStyle w:val="11"/>
        <w:spacing w:before="0" w:after="0" w:line="264" w:lineRule="auto"/>
        <w:ind w:firstLine="422" w:firstLineChars="200"/>
        <w:contextualSpacing/>
        <w:rPr>
          <w:rFonts w:ascii="宋体" w:hAnsi="宋体"/>
          <w:b/>
          <w:kern w:val="2"/>
          <w:sz w:val="21"/>
          <w:szCs w:val="21"/>
        </w:rPr>
      </w:pPr>
      <w:r>
        <w:rPr>
          <w:rFonts w:hint="eastAsia" w:ascii="宋体" w:hAnsi="宋体"/>
          <w:b/>
          <w:kern w:val="2"/>
          <w:sz w:val="21"/>
          <w:szCs w:val="21"/>
          <w:lang w:eastAsia="zh-CN"/>
        </w:rPr>
        <w:t>（</w:t>
      </w:r>
      <w:r>
        <w:rPr>
          <w:rFonts w:hint="eastAsia" w:ascii="宋体" w:hAnsi="宋体"/>
          <w:b/>
          <w:kern w:val="2"/>
          <w:sz w:val="21"/>
          <w:szCs w:val="21"/>
          <w:lang w:val="en-US" w:eastAsia="zh-CN"/>
        </w:rPr>
        <w:t>二</w:t>
      </w:r>
      <w:bookmarkStart w:id="9" w:name="_GoBack"/>
      <w:bookmarkEnd w:id="9"/>
      <w:r>
        <w:rPr>
          <w:rFonts w:hint="eastAsia" w:ascii="宋体" w:hAnsi="宋体"/>
          <w:b/>
          <w:kern w:val="2"/>
          <w:sz w:val="21"/>
          <w:szCs w:val="21"/>
          <w:lang w:eastAsia="zh-CN"/>
        </w:rPr>
        <w:t>）</w:t>
      </w:r>
      <w:r>
        <w:rPr>
          <w:rFonts w:hint="eastAsia" w:ascii="宋体" w:hAnsi="宋体"/>
          <w:b/>
          <w:kern w:val="2"/>
          <w:sz w:val="21"/>
          <w:szCs w:val="21"/>
        </w:rPr>
        <w:t>评审标准</w:t>
      </w:r>
    </w:p>
    <w:tbl>
      <w:tblPr>
        <w:tblStyle w:val="6"/>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369"/>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tblHeader/>
          <w:jc w:val="center"/>
        </w:trPr>
        <w:tc>
          <w:tcPr>
            <w:tcW w:w="1369" w:type="dxa"/>
            <w:shd w:val="clear" w:color="auto" w:fill="FFFFFF"/>
            <w:tcMar>
              <w:left w:w="108" w:type="dxa"/>
              <w:right w:w="108" w:type="dxa"/>
            </w:tcMar>
            <w:vAlign w:val="center"/>
          </w:tcPr>
          <w:p>
            <w:pPr>
              <w:spacing w:line="264" w:lineRule="auto"/>
              <w:contextualSpacing/>
              <w:jc w:val="center"/>
              <w:rPr>
                <w:rFonts w:ascii="宋体" w:hAnsi="宋体" w:cs="宋体"/>
                <w:b/>
                <w:szCs w:val="21"/>
              </w:rPr>
            </w:pPr>
            <w:bookmarkStart w:id="8" w:name="_Hlk137051372"/>
            <w:r>
              <w:rPr>
                <w:rFonts w:hint="eastAsia" w:ascii="宋体" w:hAnsi="宋体" w:cs="宋体"/>
                <w:b/>
                <w:szCs w:val="21"/>
              </w:rPr>
              <w:t>项  目</w:t>
            </w:r>
          </w:p>
        </w:tc>
        <w:tc>
          <w:tcPr>
            <w:tcW w:w="7407" w:type="dxa"/>
            <w:shd w:val="clear" w:color="auto" w:fill="FFFFFF"/>
            <w:tcMar>
              <w:left w:w="108" w:type="dxa"/>
              <w:right w:w="108" w:type="dxa"/>
            </w:tcMar>
            <w:vAlign w:val="center"/>
          </w:tcPr>
          <w:p>
            <w:pPr>
              <w:spacing w:line="264" w:lineRule="auto"/>
              <w:contextualSpacing/>
              <w:jc w:val="center"/>
              <w:rPr>
                <w:rFonts w:ascii="宋体" w:hAnsi="宋体" w:cs="宋体"/>
                <w:b/>
                <w:szCs w:val="21"/>
              </w:rPr>
            </w:pPr>
            <w:r>
              <w:rPr>
                <w:rFonts w:hint="eastAsia" w:ascii="宋体" w:hAnsi="宋体" w:cs="宋体"/>
                <w:b/>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1369" w:type="dxa"/>
            <w:shd w:val="clear" w:color="auto" w:fill="FFFFFF"/>
            <w:tcMar>
              <w:left w:w="108" w:type="dxa"/>
              <w:right w:w="108" w:type="dxa"/>
            </w:tcMar>
            <w:vAlign w:val="center"/>
          </w:tcPr>
          <w:p>
            <w:pPr>
              <w:spacing w:line="264" w:lineRule="auto"/>
              <w:contextualSpacing/>
              <w:jc w:val="center"/>
              <w:rPr>
                <w:rFonts w:ascii="宋体" w:hAnsi="宋体"/>
                <w:b/>
                <w:bCs/>
                <w:szCs w:val="21"/>
              </w:rPr>
            </w:pPr>
            <w:r>
              <w:rPr>
                <w:rFonts w:hint="eastAsia" w:ascii="宋体" w:hAnsi="宋体"/>
                <w:b/>
                <w:bCs/>
                <w:szCs w:val="21"/>
              </w:rPr>
              <w:t>报</w:t>
            </w:r>
            <w:r>
              <w:rPr>
                <w:rFonts w:ascii="宋体" w:hAnsi="宋体"/>
                <w:b/>
                <w:bCs/>
                <w:szCs w:val="21"/>
              </w:rPr>
              <w:t>价</w:t>
            </w:r>
          </w:p>
          <w:p>
            <w:pPr>
              <w:spacing w:line="264" w:lineRule="auto"/>
              <w:contextualSpacing/>
              <w:jc w:val="center"/>
              <w:rPr>
                <w:rFonts w:ascii="宋体" w:hAnsi="宋体" w:cs="宋体"/>
                <w:b/>
                <w:szCs w:val="21"/>
              </w:rPr>
            </w:pPr>
            <w:r>
              <w:rPr>
                <w:rFonts w:hint="eastAsia" w:ascii="宋体" w:hAnsi="宋体"/>
                <w:b/>
                <w:bCs/>
                <w:szCs w:val="21"/>
              </w:rPr>
              <w:t>（3</w:t>
            </w:r>
            <w:r>
              <w:rPr>
                <w:rFonts w:ascii="宋体" w:hAnsi="宋体"/>
                <w:b/>
                <w:bCs/>
                <w:szCs w:val="21"/>
              </w:rPr>
              <w:t>0</w:t>
            </w:r>
            <w:r>
              <w:rPr>
                <w:rFonts w:hint="eastAsia" w:ascii="宋体" w:hAnsi="宋体"/>
                <w:b/>
                <w:bCs/>
                <w:szCs w:val="21"/>
              </w:rPr>
              <w:t>分）</w:t>
            </w:r>
          </w:p>
        </w:tc>
        <w:tc>
          <w:tcPr>
            <w:tcW w:w="7407" w:type="dxa"/>
            <w:shd w:val="clear" w:color="auto" w:fill="FFFFFF"/>
            <w:tcMar>
              <w:left w:w="108" w:type="dxa"/>
              <w:right w:w="108" w:type="dxa"/>
            </w:tcMar>
            <w:vAlign w:val="center"/>
          </w:tcPr>
          <w:p>
            <w:pPr>
              <w:spacing w:line="264" w:lineRule="auto"/>
              <w:contextualSpacing/>
            </w:pPr>
            <w:r>
              <w:rPr>
                <w:rFonts w:hint="eastAsia"/>
              </w:rPr>
              <w:t>满足磋商文件要求且最后报价最低的供应商的价格为磋商基准价，其价格分为满分</w:t>
            </w:r>
            <w:r>
              <w:t>3</w:t>
            </w:r>
            <w:r>
              <w:rPr>
                <w:rFonts w:hint="eastAsia"/>
              </w:rPr>
              <w:t>0分。其他供应商的价格分统一按照下列公式计算：磋商报价得分=(磋商基准价／最后磋商报价)×</w:t>
            </w:r>
            <w:r>
              <w:t>3</w:t>
            </w:r>
            <w:r>
              <w:rPr>
                <w:rFonts w:hint="eastAsia"/>
              </w:rPr>
              <w:t>0×100%（保留二位小数）。</w:t>
            </w:r>
          </w:p>
          <w:p>
            <w:pPr>
              <w:spacing w:line="264" w:lineRule="auto"/>
              <w:contextualSpacing/>
              <w:rPr>
                <w:rFonts w:ascii="宋体" w:hAnsi="宋体" w:cs="宋体"/>
                <w:szCs w:val="21"/>
                <w:highlight w:val="yellow"/>
              </w:rPr>
            </w:pPr>
            <w:r>
              <w:rPr>
                <w:rFonts w:hint="eastAsia"/>
              </w:rPr>
              <w:t>注：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24" w:hRule="atLeast"/>
          <w:jc w:val="center"/>
        </w:trPr>
        <w:tc>
          <w:tcPr>
            <w:tcW w:w="1369" w:type="dxa"/>
            <w:shd w:val="clear" w:color="auto" w:fill="FFFFFF"/>
            <w:tcMar>
              <w:left w:w="108" w:type="dxa"/>
              <w:right w:w="108" w:type="dxa"/>
            </w:tcMar>
            <w:vAlign w:val="center"/>
          </w:tcPr>
          <w:p>
            <w:pPr>
              <w:spacing w:line="264" w:lineRule="auto"/>
              <w:contextualSpacing/>
              <w:jc w:val="center"/>
              <w:rPr>
                <w:rFonts w:ascii="宋体" w:hAnsi="宋体" w:cs="宋体"/>
                <w:b/>
                <w:szCs w:val="21"/>
              </w:rPr>
            </w:pPr>
            <w:r>
              <w:rPr>
                <w:rFonts w:hint="eastAsia" w:ascii="宋体" w:hAnsi="宋体"/>
                <w:b/>
                <w:bCs/>
                <w:szCs w:val="21"/>
              </w:rPr>
              <w:t>施工方案 （</w:t>
            </w:r>
            <w:r>
              <w:rPr>
                <w:rFonts w:ascii="宋体" w:hAnsi="宋体"/>
                <w:b/>
                <w:bCs/>
                <w:szCs w:val="21"/>
              </w:rPr>
              <w:t>50</w:t>
            </w:r>
            <w:r>
              <w:rPr>
                <w:rFonts w:hint="eastAsia" w:ascii="宋体" w:hAnsi="宋体"/>
                <w:b/>
                <w:bCs/>
                <w:szCs w:val="21"/>
              </w:rPr>
              <w:t>分）</w:t>
            </w:r>
          </w:p>
        </w:tc>
        <w:tc>
          <w:tcPr>
            <w:tcW w:w="7407" w:type="dxa"/>
            <w:shd w:val="clear" w:color="auto" w:fill="FFFFFF"/>
            <w:tcMar>
              <w:left w:w="108" w:type="dxa"/>
              <w:right w:w="108" w:type="dxa"/>
            </w:tcMar>
            <w:vAlign w:val="center"/>
          </w:tcPr>
          <w:p>
            <w:pPr>
              <w:spacing w:line="264" w:lineRule="auto"/>
              <w:contextualSpacing/>
              <w:rPr>
                <w:rFonts w:ascii="宋体" w:hAnsi="宋体"/>
                <w:b/>
                <w:bCs/>
                <w:szCs w:val="21"/>
              </w:rPr>
            </w:pPr>
            <w:r>
              <w:rPr>
                <w:rFonts w:hint="eastAsia" w:ascii="宋体" w:hAnsi="宋体"/>
                <w:b/>
                <w:bCs/>
                <w:szCs w:val="21"/>
              </w:rPr>
              <w:t>（1）施工组织总设计（包含但不限于以下内容： 1)工程概括和工程特点的说明；2)总的施工部署和主要单位工程的施工方案；3)各种资源的总需要量计划，包括劳动力、原材料、加工构件、施工机械、安装设备；4)全场性施工准备工作计划；5)有关安全和降低成本等技术组织措施和技术经济指标综合考量）（1</w:t>
            </w:r>
            <w:r>
              <w:rPr>
                <w:rFonts w:ascii="宋体" w:hAnsi="宋体"/>
                <w:b/>
                <w:bCs/>
                <w:szCs w:val="21"/>
              </w:rPr>
              <w:t>0</w:t>
            </w:r>
            <w:r>
              <w:rPr>
                <w:rFonts w:hint="eastAsia" w:ascii="宋体" w:hAnsi="宋体"/>
                <w:b/>
                <w:bCs/>
                <w:szCs w:val="21"/>
              </w:rPr>
              <w:t>分）</w:t>
            </w:r>
          </w:p>
          <w:p>
            <w:pPr>
              <w:spacing w:line="264" w:lineRule="auto"/>
              <w:contextualSpacing/>
              <w:rPr>
                <w:rFonts w:ascii="宋体" w:hAnsi="宋体"/>
                <w:szCs w:val="21"/>
              </w:rPr>
            </w:pPr>
            <w:r>
              <w:rPr>
                <w:rFonts w:hint="eastAsia" w:ascii="宋体" w:hAnsi="宋体"/>
                <w:szCs w:val="21"/>
              </w:rPr>
              <w:t>清楚、详尽，考虑周全完整，切实可行，得1</w:t>
            </w:r>
            <w:r>
              <w:rPr>
                <w:rFonts w:ascii="宋体" w:hAnsi="宋体"/>
                <w:szCs w:val="21"/>
              </w:rPr>
              <w:t>0</w:t>
            </w:r>
            <w:r>
              <w:rPr>
                <w:rFonts w:hint="eastAsia" w:ascii="宋体" w:hAnsi="宋体"/>
                <w:szCs w:val="21"/>
              </w:rPr>
              <w:t>分；较合理、严密、描述较为详细，得7分；基本合理、描述基本详细，得3分；具有明显不合理项、描述欠缺、存在实施难度或不提供不得分。</w:t>
            </w:r>
          </w:p>
          <w:p>
            <w:pPr>
              <w:spacing w:line="264" w:lineRule="auto"/>
              <w:contextualSpacing/>
              <w:rPr>
                <w:rFonts w:ascii="宋体" w:hAnsi="宋体"/>
                <w:b/>
                <w:bCs/>
                <w:szCs w:val="21"/>
              </w:rPr>
            </w:pPr>
            <w:r>
              <w:rPr>
                <w:rFonts w:hint="eastAsia" w:ascii="宋体" w:hAnsi="宋体"/>
                <w:b/>
                <w:bCs/>
                <w:szCs w:val="21"/>
              </w:rPr>
              <w:t>（2）安全文明施工、 质量保证措施（1</w:t>
            </w:r>
            <w:r>
              <w:rPr>
                <w:rFonts w:ascii="宋体" w:hAnsi="宋体"/>
                <w:b/>
                <w:bCs/>
                <w:szCs w:val="21"/>
              </w:rPr>
              <w:t>0</w:t>
            </w:r>
            <w:r>
              <w:rPr>
                <w:rFonts w:hint="eastAsia" w:ascii="宋体" w:hAnsi="宋体"/>
                <w:b/>
                <w:bCs/>
                <w:szCs w:val="21"/>
              </w:rPr>
              <w:t>分）</w:t>
            </w:r>
          </w:p>
          <w:p>
            <w:pPr>
              <w:spacing w:line="264" w:lineRule="auto"/>
              <w:contextualSpacing/>
              <w:rPr>
                <w:rFonts w:ascii="宋体" w:hAnsi="宋体"/>
                <w:szCs w:val="21"/>
              </w:rPr>
            </w:pPr>
            <w:r>
              <w:rPr>
                <w:rFonts w:hint="eastAsia" w:ascii="宋体" w:hAnsi="宋体"/>
                <w:szCs w:val="21"/>
              </w:rPr>
              <w:t>对相关风险分析，制订安全文明施工保证措施方案，针对性及准确性强，质量管理措施完整、目标体系明确、措施有力，得1</w:t>
            </w:r>
            <w:r>
              <w:rPr>
                <w:rFonts w:ascii="宋体" w:hAnsi="宋体"/>
                <w:szCs w:val="21"/>
              </w:rPr>
              <w:t>0</w:t>
            </w:r>
            <w:r>
              <w:rPr>
                <w:rFonts w:hint="eastAsia" w:ascii="宋体" w:hAnsi="宋体"/>
                <w:szCs w:val="21"/>
              </w:rPr>
              <w:t>分；较合理准确、严密、描述较为详细，得</w:t>
            </w:r>
            <w:r>
              <w:rPr>
                <w:rFonts w:ascii="宋体" w:hAnsi="宋体"/>
                <w:szCs w:val="21"/>
              </w:rPr>
              <w:t>7</w:t>
            </w:r>
            <w:r>
              <w:rPr>
                <w:rFonts w:hint="eastAsia" w:ascii="宋体" w:hAnsi="宋体"/>
                <w:szCs w:val="21"/>
              </w:rPr>
              <w:t>分；基本合理、描述基本详细，得</w:t>
            </w:r>
            <w:r>
              <w:rPr>
                <w:rFonts w:ascii="宋体" w:hAnsi="宋体"/>
                <w:szCs w:val="21"/>
              </w:rPr>
              <w:t>3</w:t>
            </w:r>
            <w:r>
              <w:rPr>
                <w:rFonts w:hint="eastAsia" w:ascii="宋体" w:hAnsi="宋体"/>
                <w:szCs w:val="21"/>
              </w:rPr>
              <w:t>分；具有明显不合理项、描述欠缺、存在实施难度或不提供不得分。</w:t>
            </w:r>
          </w:p>
          <w:p>
            <w:pPr>
              <w:spacing w:line="264" w:lineRule="auto"/>
              <w:contextualSpacing/>
              <w:rPr>
                <w:rFonts w:ascii="宋体" w:hAnsi="宋体"/>
                <w:b/>
                <w:bCs/>
                <w:szCs w:val="21"/>
              </w:rPr>
            </w:pPr>
            <w:r>
              <w:rPr>
                <w:rFonts w:hint="eastAsia" w:ascii="宋体" w:hAnsi="宋体"/>
                <w:b/>
                <w:bCs/>
                <w:szCs w:val="21"/>
              </w:rPr>
              <w:t>（3）项目重点、难点和关键点分析（1</w:t>
            </w:r>
            <w:r>
              <w:rPr>
                <w:rFonts w:ascii="宋体" w:hAnsi="宋体"/>
                <w:b/>
                <w:bCs/>
                <w:szCs w:val="21"/>
              </w:rPr>
              <w:t>0</w:t>
            </w:r>
            <w:r>
              <w:rPr>
                <w:rFonts w:hint="eastAsia" w:ascii="宋体" w:hAnsi="宋体"/>
                <w:b/>
                <w:bCs/>
                <w:szCs w:val="21"/>
              </w:rPr>
              <w:t>分）</w:t>
            </w:r>
          </w:p>
          <w:p>
            <w:pPr>
              <w:spacing w:line="264" w:lineRule="auto"/>
              <w:contextualSpacing/>
              <w:rPr>
                <w:rFonts w:ascii="宋体" w:hAnsi="宋体"/>
                <w:szCs w:val="21"/>
              </w:rPr>
            </w:pPr>
            <w:r>
              <w:rPr>
                <w:rFonts w:hint="eastAsia" w:ascii="宋体" w:hAnsi="宋体"/>
                <w:szCs w:val="21"/>
              </w:rPr>
              <w:t>分析全面、准确，可操作性强，得</w:t>
            </w:r>
            <w:r>
              <w:rPr>
                <w:rFonts w:ascii="宋体" w:hAnsi="宋体"/>
                <w:szCs w:val="21"/>
              </w:rPr>
              <w:t>10</w:t>
            </w:r>
            <w:r>
              <w:rPr>
                <w:rFonts w:hint="eastAsia" w:ascii="宋体" w:hAnsi="宋体"/>
                <w:szCs w:val="21"/>
              </w:rPr>
              <w:t>分；较合理、严密、描述较为详细，得</w:t>
            </w:r>
            <w:r>
              <w:rPr>
                <w:rFonts w:ascii="宋体" w:hAnsi="宋体"/>
                <w:szCs w:val="21"/>
              </w:rPr>
              <w:t>7</w:t>
            </w:r>
            <w:r>
              <w:rPr>
                <w:rFonts w:hint="eastAsia" w:ascii="宋体" w:hAnsi="宋体"/>
                <w:szCs w:val="21"/>
              </w:rPr>
              <w:t>分；基本合理、描述基本详细，得</w:t>
            </w:r>
            <w:r>
              <w:rPr>
                <w:rFonts w:ascii="宋体" w:hAnsi="宋体"/>
                <w:szCs w:val="21"/>
              </w:rPr>
              <w:t>3</w:t>
            </w:r>
            <w:r>
              <w:rPr>
                <w:rFonts w:hint="eastAsia" w:ascii="宋体" w:hAnsi="宋体"/>
                <w:szCs w:val="21"/>
              </w:rPr>
              <w:t>分；具有明显不合理项、描述欠缺、存在实施难度或不提供不得分。</w:t>
            </w:r>
          </w:p>
          <w:p>
            <w:pPr>
              <w:spacing w:line="264" w:lineRule="auto"/>
              <w:contextualSpacing/>
              <w:rPr>
                <w:rFonts w:ascii="宋体" w:hAnsi="宋体"/>
                <w:b/>
                <w:bCs/>
                <w:szCs w:val="21"/>
              </w:rPr>
            </w:pPr>
            <w:r>
              <w:rPr>
                <w:rFonts w:hint="eastAsia" w:ascii="宋体" w:hAnsi="宋体"/>
                <w:b/>
                <w:bCs/>
                <w:szCs w:val="21"/>
              </w:rPr>
              <w:t>（4）工程进度计划与措施（1</w:t>
            </w:r>
            <w:r>
              <w:rPr>
                <w:rFonts w:ascii="宋体" w:hAnsi="宋体"/>
                <w:b/>
                <w:bCs/>
                <w:szCs w:val="21"/>
              </w:rPr>
              <w:t>0</w:t>
            </w:r>
            <w:r>
              <w:rPr>
                <w:rFonts w:hint="eastAsia" w:ascii="宋体" w:hAnsi="宋体"/>
                <w:b/>
                <w:bCs/>
                <w:szCs w:val="21"/>
              </w:rPr>
              <w:t>分）</w:t>
            </w:r>
          </w:p>
          <w:p>
            <w:pPr>
              <w:spacing w:line="264" w:lineRule="auto"/>
              <w:contextualSpacing/>
              <w:rPr>
                <w:rFonts w:ascii="宋体" w:hAnsi="宋体"/>
                <w:szCs w:val="21"/>
              </w:rPr>
            </w:pPr>
            <w:r>
              <w:rPr>
                <w:rFonts w:hint="eastAsia" w:ascii="宋体" w:hAnsi="宋体"/>
                <w:szCs w:val="21"/>
              </w:rPr>
              <w:t>工程进度计划是否符合工期要求，从关键路径的准确、清晰，逻辑关系、措施是否有效保证计划实施等综合考量：</w:t>
            </w:r>
          </w:p>
          <w:p>
            <w:pPr>
              <w:spacing w:line="264" w:lineRule="auto"/>
              <w:contextualSpacing/>
              <w:rPr>
                <w:rFonts w:ascii="宋体" w:hAnsi="宋体"/>
                <w:szCs w:val="21"/>
              </w:rPr>
            </w:pPr>
            <w:r>
              <w:rPr>
                <w:rFonts w:hint="eastAsia" w:ascii="宋体" w:hAnsi="宋体"/>
                <w:szCs w:val="21"/>
              </w:rPr>
              <w:t>完整、规范、合理，操作性强，得10分；较合理、严密、描述较为详细，得7分；基本合理、描述基本详细，得3分；具有明显不合理项、描述欠缺、存在实施难度或不提供不得分。</w:t>
            </w:r>
          </w:p>
          <w:p>
            <w:pPr>
              <w:spacing w:line="264" w:lineRule="auto"/>
              <w:contextualSpacing/>
              <w:rPr>
                <w:rFonts w:ascii="宋体" w:hAnsi="宋体"/>
                <w:b/>
                <w:bCs/>
                <w:szCs w:val="21"/>
              </w:rPr>
            </w:pPr>
            <w:r>
              <w:rPr>
                <w:rFonts w:hint="eastAsia" w:ascii="宋体" w:hAnsi="宋体"/>
                <w:b/>
                <w:bCs/>
                <w:szCs w:val="21"/>
              </w:rPr>
              <w:t>（</w:t>
            </w:r>
            <w:r>
              <w:rPr>
                <w:rFonts w:ascii="宋体" w:hAnsi="宋体"/>
                <w:b/>
                <w:bCs/>
                <w:szCs w:val="21"/>
              </w:rPr>
              <w:t>5</w:t>
            </w:r>
            <w:r>
              <w:rPr>
                <w:rFonts w:hint="eastAsia" w:ascii="宋体" w:hAnsi="宋体"/>
                <w:b/>
                <w:bCs/>
                <w:szCs w:val="21"/>
              </w:rPr>
              <w:t>）人员配置（</w:t>
            </w:r>
            <w:r>
              <w:rPr>
                <w:rFonts w:ascii="宋体" w:hAnsi="宋体"/>
                <w:b/>
                <w:bCs/>
                <w:szCs w:val="21"/>
              </w:rPr>
              <w:t>10</w:t>
            </w:r>
            <w:r>
              <w:rPr>
                <w:rFonts w:hint="eastAsia" w:ascii="宋体" w:hAnsi="宋体"/>
                <w:b/>
                <w:bCs/>
                <w:szCs w:val="21"/>
              </w:rPr>
              <w:t>分）</w:t>
            </w:r>
          </w:p>
          <w:p>
            <w:pPr>
              <w:spacing w:line="264" w:lineRule="auto"/>
              <w:contextualSpacing/>
              <w:rPr>
                <w:rFonts w:ascii="宋体" w:hAnsi="宋体"/>
                <w:szCs w:val="21"/>
              </w:rPr>
            </w:pPr>
            <w:r>
              <w:rPr>
                <w:rFonts w:hint="eastAsia" w:ascii="宋体" w:hAnsi="宋体"/>
                <w:szCs w:val="21"/>
              </w:rPr>
              <w:t>详细、合理，考虑周全、切实可行，得10分；较合理、严密、描述较为详细，得7分；基本合理、描述基本详细，得3分；具有明显不合理项、描述欠缺、存在实施难度或不提供不得分。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1369" w:type="dxa"/>
            <w:shd w:val="clear" w:color="auto" w:fill="FFFFFF"/>
            <w:tcMar>
              <w:left w:w="108" w:type="dxa"/>
              <w:right w:w="108" w:type="dxa"/>
            </w:tcMar>
            <w:vAlign w:val="center"/>
          </w:tcPr>
          <w:p>
            <w:pPr>
              <w:spacing w:line="264" w:lineRule="auto"/>
              <w:contextualSpacing/>
              <w:jc w:val="center"/>
              <w:rPr>
                <w:rFonts w:ascii="宋体" w:hAnsi="宋体"/>
                <w:b/>
                <w:bCs/>
                <w:szCs w:val="21"/>
              </w:rPr>
            </w:pPr>
            <w:r>
              <w:rPr>
                <w:rFonts w:hint="eastAsia" w:ascii="宋体" w:hAnsi="宋体"/>
                <w:b/>
                <w:bCs/>
                <w:szCs w:val="21"/>
              </w:rPr>
              <w:t>样品</w:t>
            </w:r>
          </w:p>
          <w:p>
            <w:pPr>
              <w:pStyle w:val="2"/>
              <w:spacing w:line="264" w:lineRule="auto"/>
              <w:contextualSpacing/>
            </w:pPr>
            <w:r>
              <w:rPr>
                <w:rFonts w:hint="eastAsia"/>
              </w:rPr>
              <w:t>（2</w:t>
            </w:r>
            <w:r>
              <w:t>0</w:t>
            </w:r>
            <w:r>
              <w:rPr>
                <w:rFonts w:hint="eastAsia"/>
              </w:rPr>
              <w:t>分）</w:t>
            </w:r>
          </w:p>
        </w:tc>
        <w:tc>
          <w:tcPr>
            <w:tcW w:w="7407" w:type="dxa"/>
            <w:shd w:val="clear" w:color="auto" w:fill="FFFFFF"/>
            <w:tcMar>
              <w:left w:w="108" w:type="dxa"/>
              <w:right w:w="108" w:type="dxa"/>
            </w:tcMar>
            <w:vAlign w:val="center"/>
          </w:tcPr>
          <w:p>
            <w:pPr>
              <w:spacing w:line="264" w:lineRule="auto"/>
              <w:contextualSpacing/>
              <w:rPr>
                <w:rFonts w:ascii="宋体" w:hAnsi="宋体"/>
                <w:szCs w:val="21"/>
              </w:rPr>
            </w:pPr>
            <w:r>
              <w:rPr>
                <w:rFonts w:hint="eastAsia" w:ascii="宋体" w:hAnsi="宋体" w:cs="宋体"/>
                <w:sz w:val="24"/>
              </w:rPr>
              <w:t>铝合金方管4</w:t>
            </w:r>
            <w:r>
              <w:rPr>
                <w:rFonts w:ascii="宋体" w:hAnsi="宋体" w:cs="宋体"/>
                <w:sz w:val="24"/>
              </w:rPr>
              <w:t>0*80.2.0</w:t>
            </w:r>
            <w:r>
              <w:rPr>
                <w:rFonts w:hint="eastAsia" w:ascii="宋体" w:hAnsi="宋体" w:cs="宋体"/>
                <w:sz w:val="24"/>
              </w:rPr>
              <w:t>；镀锌檩条3</w:t>
            </w:r>
            <w:r>
              <w:rPr>
                <w:rFonts w:ascii="宋体" w:hAnsi="宋体" w:cs="宋体"/>
                <w:sz w:val="24"/>
              </w:rPr>
              <w:t>0*30*2.5</w:t>
            </w:r>
            <w:r>
              <w:rPr>
                <w:rFonts w:hint="eastAsia" w:ascii="宋体" w:hAnsi="宋体" w:cs="宋体"/>
                <w:sz w:val="24"/>
              </w:rPr>
              <w:t>；角码3</w:t>
            </w:r>
            <w:r>
              <w:rPr>
                <w:rFonts w:ascii="宋体" w:hAnsi="宋体" w:cs="宋体"/>
                <w:sz w:val="24"/>
              </w:rPr>
              <w:t>0*30</w:t>
            </w:r>
            <w:r>
              <w:rPr>
                <w:rFonts w:hint="eastAsia" w:ascii="宋体" w:hAnsi="宋体" w:cs="宋体"/>
                <w:sz w:val="24"/>
              </w:rPr>
              <w:t>；B1级聚氨酯保温；树脂仿古瓦厚度2</w:t>
            </w:r>
            <w:r>
              <w:rPr>
                <w:rFonts w:ascii="宋体" w:hAnsi="宋体" w:cs="宋体"/>
                <w:sz w:val="24"/>
              </w:rPr>
              <w:t>.5</w:t>
            </w:r>
            <w:r>
              <w:rPr>
                <w:rFonts w:hint="eastAsia" w:ascii="宋体" w:hAnsi="宋体" w:cs="宋体"/>
                <w:sz w:val="24"/>
              </w:rPr>
              <w:t>厚。每个样品占比4分（样品：较好得4分，一般得</w:t>
            </w:r>
            <w:r>
              <w:rPr>
                <w:rFonts w:ascii="宋体" w:hAnsi="宋体" w:cs="宋体"/>
                <w:sz w:val="24"/>
              </w:rPr>
              <w:t>3</w:t>
            </w:r>
            <w:r>
              <w:rPr>
                <w:rFonts w:hint="eastAsia" w:ascii="宋体" w:hAnsi="宋体" w:cs="宋体"/>
                <w:sz w:val="24"/>
              </w:rPr>
              <w:t>分，较差得1分）</w:t>
            </w:r>
          </w:p>
        </w:tc>
      </w:tr>
      <w:bookmarkEnd w:id="8"/>
    </w:tbl>
    <w:p>
      <w:pPr>
        <w:spacing w:line="264" w:lineRule="auto"/>
        <w:ind w:firstLine="422" w:firstLineChars="200"/>
        <w:contextualSpacing/>
        <w:rPr>
          <w:rFonts w:ascii="宋体" w:hAnsi="宋体"/>
          <w:b/>
          <w:szCs w:val="21"/>
          <w:lang w:bidi="zh-CN"/>
        </w:rPr>
      </w:pPr>
      <w:r>
        <w:rPr>
          <w:rFonts w:ascii="宋体" w:hAnsi="宋体"/>
          <w:b/>
          <w:szCs w:val="21"/>
          <w:lang w:bidi="zh-CN"/>
        </w:rPr>
        <w:t>注：</w:t>
      </w:r>
      <w:r>
        <w:rPr>
          <w:rFonts w:hint="eastAsia" w:ascii="宋体" w:hAnsi="宋体"/>
          <w:b/>
          <w:szCs w:val="21"/>
          <w:lang w:bidi="zh-CN"/>
        </w:rPr>
        <w:t>（1）</w:t>
      </w:r>
      <w:r>
        <w:rPr>
          <w:rFonts w:ascii="宋体" w:hAnsi="宋体"/>
          <w:b/>
          <w:szCs w:val="21"/>
          <w:lang w:bidi="zh-CN"/>
        </w:rPr>
        <w:t>评分标准中要求提供原件的，供应商须提供相关原件或公证件，否则与之对应项不得分。</w:t>
      </w:r>
    </w:p>
    <w:p>
      <w:pPr>
        <w:spacing w:line="264" w:lineRule="auto"/>
        <w:ind w:firstLine="738" w:firstLineChars="350"/>
        <w:contextualSpacing/>
        <w:rPr>
          <w:rFonts w:ascii="宋体" w:hAnsi="宋体"/>
          <w:b/>
          <w:szCs w:val="21"/>
          <w:lang w:bidi="zh-CN"/>
        </w:rPr>
      </w:pPr>
      <w:r>
        <w:rPr>
          <w:rFonts w:hint="eastAsia" w:ascii="宋体" w:hAnsi="宋体"/>
          <w:b/>
          <w:szCs w:val="21"/>
          <w:lang w:bidi="zh-CN"/>
        </w:rPr>
        <w:t>（2）响应</w:t>
      </w:r>
      <w:r>
        <w:rPr>
          <w:rFonts w:ascii="宋体" w:hAnsi="宋体"/>
          <w:b/>
          <w:szCs w:val="21"/>
          <w:lang w:bidi="zh-CN"/>
        </w:rPr>
        <w:t>文件的正本和副本中均需提供相关原件的复印件。</w:t>
      </w:r>
    </w:p>
    <w:p>
      <w:pPr>
        <w:spacing w:line="264" w:lineRule="auto"/>
        <w:ind w:firstLine="738" w:firstLineChars="350"/>
        <w:contextualSpacing/>
        <w:rPr>
          <w:rFonts w:ascii="宋体" w:hAnsi="宋体"/>
          <w:b/>
          <w:szCs w:val="21"/>
        </w:rPr>
      </w:pPr>
      <w:r>
        <w:rPr>
          <w:rFonts w:hint="eastAsia" w:ascii="宋体" w:hAnsi="宋体"/>
          <w:b/>
          <w:szCs w:val="21"/>
          <w:lang w:bidi="zh-CN"/>
        </w:rPr>
        <w:t>（3）</w:t>
      </w:r>
      <w:r>
        <w:rPr>
          <w:rFonts w:ascii="宋体" w:hAnsi="宋体"/>
          <w:b/>
          <w:szCs w:val="21"/>
          <w:lang w:bidi="zh-CN"/>
        </w:rPr>
        <w:t>供应商提供的相关证明材料，如弄虚作假，根据《政府采购法》予以处罚。</w:t>
      </w:r>
    </w:p>
    <w:p>
      <w:pPr>
        <w:spacing w:line="264" w:lineRule="auto"/>
        <w:ind w:firstLine="738" w:firstLineChars="350"/>
        <w:contextualSpacing/>
        <w:rPr>
          <w:rFonts w:ascii="宋体" w:hAnsi="宋体"/>
          <w:b/>
          <w:szCs w:val="21"/>
        </w:rPr>
      </w:pPr>
      <w:r>
        <w:rPr>
          <w:rFonts w:hint="eastAsia" w:ascii="宋体" w:hAnsi="宋体"/>
          <w:b/>
          <w:szCs w:val="21"/>
        </w:rPr>
        <w:t>（4）上述原件或公证件等属于响应文件的组成部分，须在磋商当天随响应文件一起在磋商截止时间前同时递交，若有缺失，将导致对应项不得分且不允许在磋商开始后补正。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EDF47"/>
    <w:multiLevelType w:val="singleLevel"/>
    <w:tmpl w:val="713ED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iZmM4ODZmY2YwZTU2MDljY2NhZGFiMjZmZDk1ZTcifQ=="/>
  </w:docVars>
  <w:rsids>
    <w:rsidRoot w:val="00D60D85"/>
    <w:rsid w:val="00021980"/>
    <w:rsid w:val="000A69FC"/>
    <w:rsid w:val="001015C1"/>
    <w:rsid w:val="001E1F3F"/>
    <w:rsid w:val="00255BE6"/>
    <w:rsid w:val="00365719"/>
    <w:rsid w:val="00490DA0"/>
    <w:rsid w:val="004A5624"/>
    <w:rsid w:val="00505F22"/>
    <w:rsid w:val="00645FE7"/>
    <w:rsid w:val="00685911"/>
    <w:rsid w:val="007D4B13"/>
    <w:rsid w:val="008A2F9C"/>
    <w:rsid w:val="008D1E0A"/>
    <w:rsid w:val="008E07D8"/>
    <w:rsid w:val="00990DA8"/>
    <w:rsid w:val="00A17566"/>
    <w:rsid w:val="00A47047"/>
    <w:rsid w:val="00A72DFD"/>
    <w:rsid w:val="00B341D8"/>
    <w:rsid w:val="00B55031"/>
    <w:rsid w:val="00C30CA2"/>
    <w:rsid w:val="00C53D00"/>
    <w:rsid w:val="00C55A3D"/>
    <w:rsid w:val="00CC2BBC"/>
    <w:rsid w:val="00D130C9"/>
    <w:rsid w:val="00D2300D"/>
    <w:rsid w:val="00D60D85"/>
    <w:rsid w:val="00DB77D8"/>
    <w:rsid w:val="00DE7DEF"/>
    <w:rsid w:val="00F421FF"/>
    <w:rsid w:val="62BD1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276" w:lineRule="auto"/>
    </w:pPr>
    <w:rPr>
      <w:rFonts w:ascii="宋体" w:hAnsi="宋体"/>
      <w:b/>
      <w:sz w:val="24"/>
    </w:rPr>
  </w:style>
  <w:style w:type="paragraph" w:styleId="3">
    <w:name w:val="Balloon Text"/>
    <w:basedOn w:val="1"/>
    <w:link w:val="12"/>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unhideWhenUsed/>
    <w:qFormat/>
    <w:uiPriority w:val="99"/>
    <w:pPr>
      <w:ind w:firstLine="420" w:firstLineChars="200"/>
    </w:pPr>
  </w:style>
  <w:style w:type="paragraph" w:customStyle="1" w:styleId="1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12">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1740</Words>
  <Characters>1793</Characters>
  <Lines>13</Lines>
  <Paragraphs>3</Paragraphs>
  <TotalTime>269</TotalTime>
  <ScaleCrop>false</ScaleCrop>
  <LinksUpToDate>false</LinksUpToDate>
  <CharactersWithSpaces>1804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2022-07-27T02:07:00Z</dcterms:created>
  <dc:creator>T</dc:creator>
  <cp:lastModifiedBy>季海燕</cp:lastModifiedBy>
  <cp:lastPrinted>2023-06-12T01:26:00Z</cp:lastPrinted>
  <dcterms:modified xsi:type="dcterms:W3CDTF">2023-06-14T09:15:57Z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8DFC90AE72C14FCA91419C55C467F8C8_12</vt:lpwstr>
  </property>
</Properties>
</file>