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Times New Roman"/>
          <w:b/>
          <w:bCs/>
          <w:sz w:val="36"/>
          <w:szCs w:val="36"/>
        </w:rPr>
      </w:pPr>
      <w:r>
        <w:rPr>
          <w:rFonts w:hint="eastAsia" w:ascii="仿宋" w:hAnsi="仿宋" w:eastAsia="仿宋" w:cs="Times New Roman"/>
          <w:b/>
          <w:bCs/>
          <w:sz w:val="36"/>
          <w:szCs w:val="36"/>
        </w:rPr>
        <w:t xml:space="preserve"> 南京邮电大学通达学院学术交流中心床和床垫采购项目竞争性磋商文件</w:t>
      </w:r>
    </w:p>
    <w:p>
      <w:pPr>
        <w:rPr>
          <w:rFonts w:cs="Arial" w:asciiTheme="minorEastAsia" w:hAnsiTheme="minorEastAsia"/>
          <w:b/>
          <w:bCs/>
          <w:color w:val="333333"/>
          <w:sz w:val="24"/>
          <w:shd w:val="clear" w:color="auto" w:fill="FFFFFF"/>
        </w:rPr>
      </w:pPr>
      <w:r>
        <w:rPr>
          <w:rFonts w:hint="eastAsia" w:cs="Arial" w:asciiTheme="minorEastAsia" w:hAnsiTheme="minorEastAsia"/>
          <w:b/>
          <w:bCs/>
          <w:color w:val="333333"/>
          <w:sz w:val="24"/>
          <w:shd w:val="clear" w:color="auto" w:fill="FFFFFF"/>
        </w:rPr>
        <w:t>一、技术要求</w:t>
      </w:r>
    </w:p>
    <w:p>
      <w:pPr>
        <w:widowControl/>
        <w:jc w:val="left"/>
        <w:rPr>
          <w:rFonts w:ascii="宋体" w:hAnsi="宋体" w:eastAsia="宋体" w:cs="宋体"/>
          <w:kern w:val="0"/>
          <w:sz w:val="24"/>
        </w:rPr>
      </w:pPr>
    </w:p>
    <w:tbl>
      <w:tblPr>
        <w:tblStyle w:val="8"/>
        <w:tblW w:w="9680" w:type="dxa"/>
        <w:tblInd w:w="103" w:type="dxa"/>
        <w:tblLayout w:type="autofit"/>
        <w:tblCellMar>
          <w:top w:w="0" w:type="dxa"/>
          <w:left w:w="108" w:type="dxa"/>
          <w:bottom w:w="0" w:type="dxa"/>
          <w:right w:w="108" w:type="dxa"/>
        </w:tblCellMar>
      </w:tblPr>
      <w:tblGrid>
        <w:gridCol w:w="459"/>
        <w:gridCol w:w="746"/>
        <w:gridCol w:w="1299"/>
        <w:gridCol w:w="3624"/>
        <w:gridCol w:w="593"/>
        <w:gridCol w:w="2959"/>
      </w:tblGrid>
      <w:tr>
        <w:tblPrEx>
          <w:tblCellMar>
            <w:top w:w="0" w:type="dxa"/>
            <w:left w:w="108" w:type="dxa"/>
            <w:bottom w:w="0" w:type="dxa"/>
            <w:right w:w="108" w:type="dxa"/>
          </w:tblCellMar>
        </w:tblPrEx>
        <w:trPr>
          <w:trHeight w:val="660" w:hRule="atLeast"/>
        </w:trPr>
        <w:tc>
          <w:tcPr>
            <w:tcW w:w="4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序号</w:t>
            </w:r>
          </w:p>
        </w:tc>
        <w:tc>
          <w:tcPr>
            <w:tcW w:w="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产品名称</w:t>
            </w:r>
          </w:p>
        </w:tc>
        <w:tc>
          <w:tcPr>
            <w:tcW w:w="12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产品规格</w:t>
            </w:r>
          </w:p>
        </w:tc>
        <w:tc>
          <w:tcPr>
            <w:tcW w:w="37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技术参数</w:t>
            </w:r>
          </w:p>
        </w:tc>
        <w:tc>
          <w:tcPr>
            <w:tcW w:w="5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数量</w:t>
            </w:r>
          </w:p>
        </w:tc>
        <w:tc>
          <w:tcPr>
            <w:tcW w:w="28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产品参考图片</w:t>
            </w:r>
          </w:p>
        </w:tc>
      </w:tr>
      <w:tr>
        <w:tblPrEx>
          <w:tblCellMar>
            <w:top w:w="0" w:type="dxa"/>
            <w:left w:w="108" w:type="dxa"/>
            <w:bottom w:w="0" w:type="dxa"/>
            <w:right w:w="108" w:type="dxa"/>
          </w:tblCellMar>
        </w:tblPrEx>
        <w:trPr>
          <w:trHeight w:val="1485" w:hRule="atLeast"/>
        </w:trPr>
        <w:tc>
          <w:tcPr>
            <w:tcW w:w="4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1</w:t>
            </w:r>
          </w:p>
        </w:tc>
        <w:tc>
          <w:tcPr>
            <w:tcW w:w="7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床</w:t>
            </w:r>
          </w:p>
        </w:tc>
        <w:tc>
          <w:tcPr>
            <w:tcW w:w="12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1800*2000</w:t>
            </w:r>
          </w:p>
        </w:tc>
        <w:tc>
          <w:tcPr>
            <w:tcW w:w="3749" w:type="dxa"/>
            <w:vMerge w:val="restart"/>
            <w:tcBorders>
              <w:top w:val="nil"/>
              <w:left w:val="single" w:color="auto" w:sz="4" w:space="0"/>
              <w:bottom w:val="single" w:color="auto" w:sz="4" w:space="0"/>
              <w:right w:val="single" w:color="auto" w:sz="4" w:space="0"/>
            </w:tcBorders>
            <w:shd w:val="clear" w:color="auto" w:fill="auto"/>
          </w:tcPr>
          <w:p>
            <w:pPr>
              <w:widowControl/>
              <w:jc w:val="left"/>
              <w:rPr>
                <w:rFonts w:ascii="宋体" w:hAnsi="宋体" w:eastAsia="宋体" w:cs="宋体"/>
                <w:kern w:val="0"/>
                <w:sz w:val="24"/>
              </w:rPr>
            </w:pPr>
            <w:r>
              <w:rPr>
                <w:rFonts w:hint="eastAsia" w:ascii="宋体" w:hAnsi="宋体" w:eastAsia="宋体" w:cs="宋体"/>
                <w:kern w:val="0"/>
                <w:sz w:val="24"/>
              </w:rPr>
              <w:t>基材采用橡木制作，经过干燥.溧色 .防霉.防蛀.消毒杀菌等工序处理，密实坚固，</w:t>
            </w:r>
            <w:r>
              <w:rPr>
                <w:rFonts w:hint="eastAsia" w:ascii="宋体" w:hAnsi="宋体" w:eastAsia="宋体" w:cs="宋体"/>
                <w:kern w:val="0"/>
                <w:sz w:val="24"/>
              </w:rPr>
              <w:br w:type="textWrapping"/>
            </w:r>
            <w:r>
              <w:rPr>
                <w:rFonts w:hint="eastAsia" w:ascii="宋体" w:hAnsi="宋体" w:eastAsia="宋体" w:cs="宋体"/>
                <w:kern w:val="0"/>
                <w:sz w:val="24"/>
              </w:rPr>
              <w:t>油漆采用五底三面涂装工艺，漆膜硬度达HB值，无皱皮.气泡.渣点.发粘和漏漆现象，同时无加工痕迹.划痕.雾光.白楞.白点.缩孔等缺陷，边缘及立面无流挂现象。</w:t>
            </w:r>
          </w:p>
        </w:tc>
        <w:tc>
          <w:tcPr>
            <w:tcW w:w="5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7</w:t>
            </w:r>
          </w:p>
        </w:tc>
        <w:tc>
          <w:tcPr>
            <w:tcW w:w="2816" w:type="dxa"/>
            <w:vMerge w:val="restart"/>
            <w:tcBorders>
              <w:top w:val="nil"/>
              <w:left w:val="nil"/>
              <w:bottom w:val="single" w:color="000000" w:sz="4" w:space="0"/>
              <w:right w:val="nil"/>
            </w:tcBorders>
            <w:shd w:val="clear" w:color="auto" w:fill="auto"/>
            <w:noWrap/>
            <w:vAlign w:val="center"/>
          </w:tcPr>
          <w:p>
            <w:pPr>
              <w:widowControl/>
              <w:jc w:val="left"/>
              <w:rPr>
                <w:rFonts w:ascii="宋体" w:hAnsi="宋体" w:eastAsia="宋体" w:cs="宋体"/>
                <w:kern w:val="0"/>
                <w:sz w:val="24"/>
              </w:rPr>
            </w:pPr>
            <w:r>
              <w:rPr>
                <w:rFonts w:ascii="宋体" w:hAnsi="宋体" w:eastAsia="宋体" w:cs="宋体"/>
                <w:kern w:val="0"/>
                <w:sz w:val="24"/>
              </w:rPr>
              <mc:AlternateContent>
                <mc:Choice Requires="wps">
                  <w:drawing>
                    <wp:anchor distT="0" distB="0" distL="114300" distR="114300" simplePos="0" relativeHeight="251662336" behindDoc="0" locked="0" layoutInCell="1" allowOverlap="1">
                      <wp:simplePos x="0" y="0"/>
                      <wp:positionH relativeFrom="column">
                        <wp:posOffset>1829435</wp:posOffset>
                      </wp:positionH>
                      <wp:positionV relativeFrom="paragraph">
                        <wp:posOffset>-5080</wp:posOffset>
                      </wp:positionV>
                      <wp:extent cx="0" cy="1882775"/>
                      <wp:effectExtent l="4445" t="0" r="14605" b="3175"/>
                      <wp:wrapNone/>
                      <wp:docPr id="2" name="自选图形 26"/>
                      <wp:cNvGraphicFramePr/>
                      <a:graphic xmlns:a="http://schemas.openxmlformats.org/drawingml/2006/main">
                        <a:graphicData uri="http://schemas.microsoft.com/office/word/2010/wordprocessingShape">
                          <wps:wsp>
                            <wps:cNvCnPr/>
                            <wps:spPr>
                              <a:xfrm>
                                <a:off x="0" y="0"/>
                                <a:ext cx="0" cy="18827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6" o:spid="_x0000_s1026" o:spt="32" type="#_x0000_t32" style="position:absolute;left:0pt;margin-left:144.05pt;margin-top:-0.4pt;height:148.25pt;width:0pt;z-index:251662336;mso-width-relative:page;mso-height-relative:page;" filled="f" stroked="t" coordsize="21600,21600" o:gfxdata="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wan4r1gAAAAkBAAAPAAAAAAAAAAEAIAAAACIAAABkcnMvZG93bnJldi54bWxQSwECFAAU&#10;AAAACACHTuJA7lpJ+fMBAADkAwAADgAAAAAAAAABACAAAAAlAQAAZHJzL2Uyb0RvYy54bWxQSwUG&#10;AAAAAAYABgBZAQAAigUAAAAA&#10;">
                      <v:fill on="f" focussize="0,0"/>
                      <v:stroke color="#000000" joinstyle="round"/>
                      <v:imagedata o:title=""/>
                      <o:lock v:ext="edit" aspectratio="f"/>
                    </v:shape>
                  </w:pict>
                </mc:Fallback>
              </mc:AlternateContent>
            </w:r>
            <w:r>
              <w:rPr>
                <w:rFonts w:ascii="宋体" w:hAnsi="宋体" w:eastAsia="宋体" w:cs="宋体"/>
                <w:kern w:val="0"/>
                <w:sz w:val="24"/>
              </w:rPr>
              <mc:AlternateContent>
                <mc:Choice Requires="wps">
                  <w:drawing>
                    <wp:anchor distT="0" distB="0" distL="114300" distR="114300" simplePos="0" relativeHeight="251661312" behindDoc="0" locked="0" layoutInCell="1" allowOverlap="1">
                      <wp:simplePos x="0" y="0"/>
                      <wp:positionH relativeFrom="column">
                        <wp:posOffset>-63500</wp:posOffset>
                      </wp:positionH>
                      <wp:positionV relativeFrom="paragraph">
                        <wp:posOffset>-273685</wp:posOffset>
                      </wp:positionV>
                      <wp:extent cx="1892935" cy="0"/>
                      <wp:effectExtent l="0" t="0" r="0" b="0"/>
                      <wp:wrapNone/>
                      <wp:docPr id="1" name="自选图形 24"/>
                      <wp:cNvGraphicFramePr/>
                      <a:graphic xmlns:a="http://schemas.openxmlformats.org/drawingml/2006/main">
                        <a:graphicData uri="http://schemas.microsoft.com/office/word/2010/wordprocessingShape">
                          <wps:wsp>
                            <wps:cNvCnPr/>
                            <wps:spPr>
                              <a:xfrm>
                                <a:off x="0" y="0"/>
                                <a:ext cx="189293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4" o:spid="_x0000_s1026" o:spt="32" type="#_x0000_t32" style="position:absolute;left:0pt;margin-left:-5pt;margin-top:-21.55pt;height:0pt;width:149.05pt;z-index:251661312;mso-width-relative:page;mso-height-relative:page;" filled="f" stroked="t" coordsize="21600,21600" o:gfxdata="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lBL6V1wAAAAsBAAAPAAAAAAAAAAEAIAAAACIAAABkcnMvZG93bnJldi54bWxQSwEC&#10;FAAUAAAACACHTuJAM7dVzfUBAADkAwAADgAAAAAAAAABACAAAAAmAQAAZHJzL2Uyb0RvYy54bWxQ&#10;SwUGAAAAAAYABgBZAQAAjQUAAAAA&#10;">
                      <v:fill on="f" focussize="0,0"/>
                      <v:stroke color="#000000" joinstyle="round"/>
                      <v:imagedata o:title=""/>
                      <o:lock v:ext="edit" aspectratio="f"/>
                    </v:shape>
                  </w:pict>
                </mc:Fallback>
              </mc:AlternateContent>
            </w:r>
          </w:p>
          <w:tbl>
            <w:tblPr>
              <w:tblStyle w:val="8"/>
              <w:tblW w:w="2743" w:type="dxa"/>
              <w:tblCellSpacing w:w="0" w:type="dxa"/>
              <w:tblInd w:w="0" w:type="dxa"/>
              <w:tblLayout w:type="autofit"/>
              <w:tblCellMar>
                <w:top w:w="0" w:type="dxa"/>
                <w:left w:w="0" w:type="dxa"/>
                <w:bottom w:w="0" w:type="dxa"/>
                <w:right w:w="0" w:type="dxa"/>
              </w:tblCellMar>
            </w:tblPr>
            <w:tblGrid>
              <w:gridCol w:w="2743"/>
            </w:tblGrid>
            <w:tr>
              <w:tblPrEx>
                <w:tblCellMar>
                  <w:top w:w="0" w:type="dxa"/>
                  <w:left w:w="0" w:type="dxa"/>
                  <w:bottom w:w="0" w:type="dxa"/>
                  <w:right w:w="0" w:type="dxa"/>
                </w:tblCellMar>
              </w:tblPrEx>
              <w:trPr>
                <w:trHeight w:val="875" w:hRule="atLeast"/>
                <w:tblCellSpacing w:w="0" w:type="dxa"/>
              </w:trPr>
              <w:tc>
                <w:tcPr>
                  <w:tcW w:w="274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drawing>
                      <wp:anchor distT="0" distB="0" distL="114300" distR="114300" simplePos="0" relativeHeight="251659264" behindDoc="0" locked="0" layoutInCell="1" allowOverlap="1">
                        <wp:simplePos x="0" y="0"/>
                        <wp:positionH relativeFrom="column">
                          <wp:posOffset>-55245</wp:posOffset>
                        </wp:positionH>
                        <wp:positionV relativeFrom="paragraph">
                          <wp:posOffset>81280</wp:posOffset>
                        </wp:positionV>
                        <wp:extent cx="1841500" cy="1377950"/>
                        <wp:effectExtent l="19050" t="0" r="6350" b="0"/>
                        <wp:wrapNone/>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pic:cNvPicPr>
                              </pic:nvPicPr>
                              <pic:blipFill>
                                <a:blip r:embed="rId4" cstate="print"/>
                                <a:stretch>
                                  <a:fillRect/>
                                </a:stretch>
                              </pic:blipFill>
                              <pic:spPr>
                                <a:xfrm>
                                  <a:off x="0" y="0"/>
                                  <a:ext cx="1841500" cy="1377950"/>
                                </a:xfrm>
                                <a:prstGeom prst="rect">
                                  <a:avLst/>
                                </a:prstGeom>
                              </pic:spPr>
                            </pic:pic>
                          </a:graphicData>
                        </a:graphic>
                      </wp:anchor>
                    </w:drawing>
                  </w:r>
                  <w:r>
                    <w:rPr>
                      <w:rFonts w:hint="eastAsia" w:ascii="宋体" w:hAnsi="宋体" w:eastAsia="宋体" w:cs="宋体"/>
                      <w:kern w:val="0"/>
                      <w:sz w:val="24"/>
                    </w:rPr>
                    <w:t>　</w:t>
                  </w:r>
                </w:p>
              </w:tc>
            </w:tr>
            <w:tr>
              <w:tblPrEx>
                <w:tblCellMar>
                  <w:top w:w="0" w:type="dxa"/>
                  <w:left w:w="0" w:type="dxa"/>
                  <w:bottom w:w="0" w:type="dxa"/>
                  <w:right w:w="0" w:type="dxa"/>
                </w:tblCellMar>
              </w:tblPrEx>
              <w:trPr>
                <w:trHeight w:val="875" w:hRule="atLeast"/>
                <w:tblCellSpacing w:w="0" w:type="dxa"/>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rPr>
                  </w:pPr>
                </w:p>
              </w:tc>
            </w:tr>
          </w:tbl>
          <w:p>
            <w:pPr>
              <w:widowControl/>
              <w:jc w:val="left"/>
              <w:rPr>
                <w:rFonts w:ascii="宋体" w:hAnsi="宋体" w:eastAsia="宋体" w:cs="宋体"/>
                <w:kern w:val="0"/>
                <w:sz w:val="24"/>
              </w:rPr>
            </w:pPr>
          </w:p>
        </w:tc>
      </w:tr>
      <w:tr>
        <w:tblPrEx>
          <w:tblCellMar>
            <w:top w:w="0" w:type="dxa"/>
            <w:left w:w="108" w:type="dxa"/>
            <w:bottom w:w="0" w:type="dxa"/>
            <w:right w:w="108" w:type="dxa"/>
          </w:tblCellMar>
        </w:tblPrEx>
        <w:trPr>
          <w:trHeight w:val="1485" w:hRule="atLeast"/>
        </w:trPr>
        <w:tc>
          <w:tcPr>
            <w:tcW w:w="4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c>
          <w:tcPr>
            <w:tcW w:w="7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床头柜</w:t>
            </w:r>
          </w:p>
        </w:tc>
        <w:tc>
          <w:tcPr>
            <w:tcW w:w="12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常规</w:t>
            </w:r>
          </w:p>
        </w:tc>
        <w:tc>
          <w:tcPr>
            <w:tcW w:w="37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5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14</w:t>
            </w:r>
          </w:p>
        </w:tc>
        <w:tc>
          <w:tcPr>
            <w:tcW w:w="2816" w:type="dxa"/>
            <w:vMerge w:val="continue"/>
            <w:tcBorders>
              <w:top w:val="nil"/>
              <w:left w:val="nil"/>
              <w:bottom w:val="single" w:color="000000" w:sz="4" w:space="0"/>
              <w:right w:val="nil"/>
            </w:tcBorders>
            <w:vAlign w:val="center"/>
          </w:tcPr>
          <w:p>
            <w:pPr>
              <w:widowControl/>
              <w:jc w:val="left"/>
              <w:rPr>
                <w:rFonts w:ascii="宋体" w:hAnsi="宋体" w:eastAsia="宋体" w:cs="宋体"/>
                <w:kern w:val="0"/>
                <w:sz w:val="24"/>
              </w:rPr>
            </w:pPr>
          </w:p>
        </w:tc>
      </w:tr>
      <w:tr>
        <w:tblPrEx>
          <w:tblCellMar>
            <w:top w:w="0" w:type="dxa"/>
            <w:left w:w="108" w:type="dxa"/>
            <w:bottom w:w="0" w:type="dxa"/>
            <w:right w:w="108" w:type="dxa"/>
          </w:tblCellMar>
        </w:tblPrEx>
        <w:trPr>
          <w:trHeight w:val="2085" w:hRule="atLeast"/>
        </w:trPr>
        <w:tc>
          <w:tcPr>
            <w:tcW w:w="4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3</w:t>
            </w:r>
          </w:p>
        </w:tc>
        <w:tc>
          <w:tcPr>
            <w:tcW w:w="7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床垫</w:t>
            </w:r>
          </w:p>
        </w:tc>
        <w:tc>
          <w:tcPr>
            <w:tcW w:w="12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1800*2000</w:t>
            </w:r>
          </w:p>
        </w:tc>
        <w:tc>
          <w:tcPr>
            <w:tcW w:w="37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22公分乳胶床垫</w:t>
            </w:r>
          </w:p>
        </w:tc>
        <w:tc>
          <w:tcPr>
            <w:tcW w:w="5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7</w:t>
            </w:r>
          </w:p>
        </w:tc>
        <w:tc>
          <w:tcPr>
            <w:tcW w:w="2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drawing>
                <wp:anchor distT="0" distB="0" distL="114300" distR="114300" simplePos="0" relativeHeight="251660288" behindDoc="0" locked="0" layoutInCell="1" allowOverlap="1">
                  <wp:simplePos x="0" y="0"/>
                  <wp:positionH relativeFrom="column">
                    <wp:posOffset>189230</wp:posOffset>
                  </wp:positionH>
                  <wp:positionV relativeFrom="paragraph">
                    <wp:posOffset>-140970</wp:posOffset>
                  </wp:positionV>
                  <wp:extent cx="1437005" cy="1190625"/>
                  <wp:effectExtent l="19050" t="0" r="0" b="0"/>
                  <wp:wrapNone/>
                  <wp:docPr id="2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
                          <pic:cNvPicPr>
                            <a:picLocks noChangeAspect="1"/>
                          </pic:cNvPicPr>
                        </pic:nvPicPr>
                        <pic:blipFill>
                          <a:blip r:embed="rId5" cstate="print"/>
                          <a:stretch>
                            <a:fillRect/>
                          </a:stretch>
                        </pic:blipFill>
                        <pic:spPr>
                          <a:xfrm>
                            <a:off x="0" y="0"/>
                            <a:ext cx="1437005" cy="1190625"/>
                          </a:xfrm>
                          <a:prstGeom prst="rect">
                            <a:avLst/>
                          </a:prstGeom>
                        </pic:spPr>
                      </pic:pic>
                    </a:graphicData>
                  </a:graphic>
                </wp:anchor>
              </w:drawing>
            </w:r>
            <w:r>
              <w:rPr>
                <w:rFonts w:hint="eastAsia" w:ascii="宋体" w:hAnsi="宋体" w:eastAsia="宋体" w:cs="宋体"/>
                <w:kern w:val="0"/>
                <w:sz w:val="24"/>
              </w:rPr>
              <w:t>　</w:t>
            </w:r>
          </w:p>
        </w:tc>
      </w:tr>
    </w:tbl>
    <w:p>
      <w:pPr>
        <w:widowControl/>
        <w:shd w:val="clear" w:color="auto" w:fill="FFFFFF"/>
        <w:spacing w:after="150" w:line="26" w:lineRule="atLeast"/>
        <w:jc w:val="left"/>
        <w:rPr>
          <w:rFonts w:cs="Arial" w:asciiTheme="minorEastAsia" w:hAnsiTheme="minorEastAsia"/>
          <w:color w:val="333333"/>
          <w:kern w:val="0"/>
          <w:sz w:val="24"/>
          <w:shd w:val="clear" w:color="auto" w:fill="FFFFFF"/>
        </w:rPr>
      </w:pPr>
    </w:p>
    <w:p>
      <w:pPr>
        <w:widowControl/>
        <w:shd w:val="clear" w:color="auto" w:fill="FFFFFF"/>
        <w:spacing w:after="150" w:line="26" w:lineRule="atLeast"/>
        <w:jc w:val="left"/>
        <w:rPr>
          <w:rFonts w:cs="Arial" w:asciiTheme="minorEastAsia" w:hAnsiTheme="minorEastAsia"/>
          <w:color w:val="333333"/>
          <w:kern w:val="0"/>
          <w:sz w:val="24"/>
          <w:shd w:val="clear" w:color="auto" w:fill="FFFFFF"/>
        </w:rPr>
      </w:pPr>
    </w:p>
    <w:p>
      <w:pPr>
        <w:widowControl/>
        <w:shd w:val="clear" w:color="auto" w:fill="FFFFFF"/>
        <w:spacing w:after="150" w:line="26" w:lineRule="atLeast"/>
        <w:jc w:val="left"/>
        <w:rPr>
          <w:rFonts w:cs="Arial" w:asciiTheme="minorEastAsia" w:hAnsiTheme="minorEastAsia"/>
          <w:b/>
          <w:color w:val="333333"/>
          <w:kern w:val="0"/>
          <w:sz w:val="24"/>
          <w:shd w:val="clear" w:color="auto" w:fill="FFFFFF"/>
        </w:rPr>
      </w:pPr>
      <w:r>
        <w:rPr>
          <w:rFonts w:hint="eastAsia" w:cs="Arial" w:asciiTheme="minorEastAsia" w:hAnsiTheme="minorEastAsia"/>
          <w:b/>
          <w:color w:val="333333"/>
          <w:kern w:val="0"/>
          <w:sz w:val="24"/>
          <w:shd w:val="clear" w:color="auto" w:fill="FFFFFF"/>
        </w:rPr>
        <w:t>二、商务要求</w:t>
      </w:r>
    </w:p>
    <w:p>
      <w:pPr>
        <w:spacing w:line="276" w:lineRule="auto"/>
        <w:ind w:firstLine="480" w:firstLineChars="200"/>
        <w:rPr>
          <w:rFonts w:asciiTheme="minorEastAsia" w:hAnsiTheme="minorEastAsia"/>
          <w:sz w:val="24"/>
        </w:rPr>
      </w:pPr>
      <w:bookmarkStart w:id="0" w:name="_Hlk76806912"/>
      <w:r>
        <w:rPr>
          <w:rFonts w:hint="eastAsia" w:asciiTheme="minorEastAsia" w:hAnsiTheme="minorEastAsia"/>
          <w:sz w:val="24"/>
        </w:rPr>
        <w:t>1.</w:t>
      </w:r>
      <w:r>
        <w:rPr>
          <w:rFonts w:asciiTheme="minorEastAsia" w:hAnsiTheme="minorEastAsia"/>
          <w:sz w:val="24"/>
        </w:rPr>
        <w:t>供货要求：供应商负责将货物运到扬州市邗江区润扬南路33号南京邮电大学通达学院指定安装地点，并安装到位，由供应商负责办理运输和装卸</w:t>
      </w:r>
      <w:r>
        <w:rPr>
          <w:rFonts w:hint="eastAsia" w:asciiTheme="minorEastAsia" w:hAnsiTheme="minorEastAsia"/>
          <w:sz w:val="24"/>
        </w:rPr>
        <w:t>及原有设备的拆除</w:t>
      </w:r>
      <w:r>
        <w:rPr>
          <w:rFonts w:asciiTheme="minorEastAsia" w:hAnsiTheme="minorEastAsia"/>
          <w:sz w:val="24"/>
        </w:rPr>
        <w:t>等，费用由供应商负责，安装完毕由采购人或指定单位组织验收，检验不合格或不符合质量要求，供应商除无条件退货、返工外，还应承担采购人的一切损失。</w:t>
      </w:r>
      <w:bookmarkEnd w:id="0"/>
    </w:p>
    <w:p>
      <w:pPr>
        <w:spacing w:line="276" w:lineRule="auto"/>
        <w:ind w:firstLine="480" w:firstLineChars="200"/>
        <w:rPr>
          <w:rFonts w:asciiTheme="minorEastAsia" w:hAnsiTheme="minorEastAsia"/>
          <w:sz w:val="24"/>
        </w:rPr>
      </w:pPr>
      <w:r>
        <w:rPr>
          <w:rFonts w:hint="eastAsia" w:asciiTheme="minorEastAsia" w:hAnsiTheme="minorEastAsia"/>
          <w:sz w:val="24"/>
        </w:rPr>
        <w:t>2.供货时间：</w:t>
      </w:r>
      <w:bookmarkStart w:id="1" w:name="_Hlk76806892"/>
      <w:r>
        <w:rPr>
          <w:rFonts w:hint="eastAsia" w:asciiTheme="minorEastAsia" w:hAnsiTheme="minorEastAsia"/>
          <w:sz w:val="24"/>
        </w:rPr>
        <w:t>合同签订后</w:t>
      </w:r>
      <w:r>
        <w:rPr>
          <w:rFonts w:hint="eastAsia" w:asciiTheme="minorEastAsia" w:hAnsiTheme="minorEastAsia"/>
          <w:sz w:val="24"/>
          <w:highlight w:val="none"/>
          <w:u w:val="single"/>
          <w:lang w:val="en-US" w:eastAsia="zh-CN"/>
        </w:rPr>
        <w:t>15</w:t>
      </w:r>
      <w:r>
        <w:rPr>
          <w:rFonts w:hint="eastAsia" w:asciiTheme="minorEastAsia" w:hAnsiTheme="minorEastAsia"/>
          <w:sz w:val="24"/>
          <w:highlight w:val="none"/>
        </w:rPr>
        <w:t>日</w:t>
      </w:r>
      <w:r>
        <w:rPr>
          <w:rFonts w:hint="eastAsia" w:asciiTheme="minorEastAsia" w:hAnsiTheme="minorEastAsia"/>
          <w:sz w:val="24"/>
        </w:rPr>
        <w:t>内送至采购单位指定地点并完成安装调试。</w:t>
      </w:r>
      <w:bookmarkEnd w:id="1"/>
    </w:p>
    <w:p>
      <w:pPr>
        <w:spacing w:line="276" w:lineRule="auto"/>
        <w:ind w:firstLine="480" w:firstLineChars="200"/>
        <w:rPr>
          <w:rFonts w:asciiTheme="minorEastAsia" w:hAnsiTheme="minorEastAsia"/>
          <w:sz w:val="24"/>
        </w:rPr>
      </w:pPr>
      <w:r>
        <w:rPr>
          <w:rFonts w:hint="eastAsia" w:asciiTheme="minorEastAsia" w:hAnsiTheme="minorEastAsia"/>
          <w:sz w:val="24"/>
        </w:rPr>
        <w:t>3.质保</w:t>
      </w:r>
      <w:r>
        <w:rPr>
          <w:rFonts w:hint="eastAsia" w:asciiTheme="minorEastAsia" w:hAnsiTheme="minorEastAsia"/>
          <w:sz w:val="24"/>
          <w:u w:val="single"/>
        </w:rPr>
        <w:t>3</w:t>
      </w:r>
      <w:r>
        <w:rPr>
          <w:rFonts w:hint="eastAsia" w:asciiTheme="minorEastAsia" w:hAnsiTheme="minorEastAsia"/>
          <w:sz w:val="24"/>
        </w:rPr>
        <w:t>年。质保期</w:t>
      </w:r>
      <w:r>
        <w:rPr>
          <w:rFonts w:asciiTheme="minorEastAsia" w:hAnsiTheme="minorEastAsia"/>
          <w:sz w:val="24"/>
        </w:rPr>
        <w:t>内因维修产生的一切费用均由中标人承担。</w:t>
      </w:r>
    </w:p>
    <w:p>
      <w:pPr>
        <w:spacing w:line="276" w:lineRule="auto"/>
        <w:ind w:firstLine="480" w:firstLineChars="200"/>
        <w:rPr>
          <w:rFonts w:asciiTheme="minorEastAsia" w:hAnsiTheme="minorEastAsia"/>
          <w:sz w:val="24"/>
        </w:rPr>
      </w:pPr>
      <w:r>
        <w:rPr>
          <w:rFonts w:hint="eastAsia" w:asciiTheme="minorEastAsia" w:hAnsiTheme="minorEastAsia"/>
          <w:sz w:val="24"/>
        </w:rPr>
        <w:t>4.报价要求：报价包括乙方所提供货物的全部设备、辅助材料、备品、备件、安装、调试、人工、机械、运输、仓储、保险、运费、各种税费、劳保、专利技术、培训、技术支持及质保期间等有关的为完成本项目发生的所有费用。承包风险由投标单位自行承担。未考虑的投标遗漏，视同此遗漏已经包含在投标人的投标报价中，签订合同时不得增补。报价可保留小数点后2位小数。</w:t>
      </w:r>
    </w:p>
    <w:p>
      <w:pPr>
        <w:spacing w:line="276" w:lineRule="auto"/>
        <w:ind w:firstLine="480" w:firstLineChars="200"/>
        <w:rPr>
          <w:rFonts w:cs="宋体" w:asciiTheme="minorEastAsia" w:hAnsiTheme="minorEastAsia"/>
          <w:sz w:val="24"/>
          <w:shd w:val="clear" w:color="auto" w:fill="FFFFFF"/>
        </w:rPr>
      </w:pPr>
      <w:r>
        <w:rPr>
          <w:rFonts w:hint="eastAsia" w:asciiTheme="minorEastAsia" w:hAnsiTheme="minorEastAsia"/>
          <w:sz w:val="24"/>
        </w:rPr>
        <w:t>5.付款方式：本采购项目无预付款，安装结束，经甲乙双方共同验收，合格后，付至合同总额的100%。甲方付款前乙方需提供合法、有效、等额的增值税专用发票，否则甲方有权拒付相应款项。</w:t>
      </w:r>
    </w:p>
    <w:p>
      <w:pPr>
        <w:widowControl/>
        <w:shd w:val="clear" w:color="auto" w:fill="FFFFFF"/>
        <w:spacing w:after="150" w:line="26" w:lineRule="atLeast"/>
        <w:jc w:val="left"/>
        <w:rPr>
          <w:rFonts w:ascii="宋体" w:hAnsi="宋体" w:eastAsia="宋体" w:cs="宋体"/>
          <w:b/>
          <w:color w:val="333333"/>
          <w:sz w:val="24"/>
          <w:shd w:val="clear" w:color="auto" w:fill="FFFFFF"/>
        </w:rPr>
      </w:pPr>
    </w:p>
    <w:p>
      <w:pPr>
        <w:widowControl/>
        <w:shd w:val="clear" w:color="auto" w:fill="FFFFFF"/>
        <w:spacing w:after="150" w:line="26" w:lineRule="atLeast"/>
        <w:jc w:val="left"/>
        <w:rPr>
          <w:rFonts w:ascii="宋体" w:hAnsi="宋体" w:eastAsia="宋体" w:cs="宋体"/>
          <w:b/>
          <w:color w:val="333333"/>
          <w:sz w:val="24"/>
          <w:shd w:val="clear" w:color="auto" w:fill="FFFFFF"/>
        </w:rPr>
      </w:pPr>
    </w:p>
    <w:p>
      <w:pPr>
        <w:widowControl/>
        <w:shd w:val="clear" w:color="auto" w:fill="FFFFFF"/>
        <w:spacing w:after="150" w:line="26" w:lineRule="atLeast"/>
        <w:jc w:val="left"/>
        <w:rPr>
          <w:rFonts w:ascii="宋体" w:hAnsi="宋体" w:eastAsia="宋体" w:cs="宋体"/>
          <w:b/>
          <w:color w:val="333333"/>
          <w:sz w:val="24"/>
          <w:shd w:val="clear" w:color="auto" w:fill="FFFFFF"/>
        </w:rPr>
      </w:pPr>
      <w:r>
        <w:rPr>
          <w:rFonts w:ascii="宋体" w:hAnsi="宋体" w:eastAsia="宋体" w:cs="宋体"/>
          <w:b/>
          <w:color w:val="333333"/>
          <w:sz w:val="24"/>
          <w:shd w:val="clear" w:color="auto" w:fill="FFFFFF"/>
        </w:rPr>
        <w:t>三、合同模板</w:t>
      </w:r>
    </w:p>
    <w:p>
      <w:pPr>
        <w:widowControl/>
        <w:snapToGrid w:val="0"/>
        <w:spacing w:before="19"/>
        <w:ind w:left="-378" w:leftChars="-255" w:right="-334" w:rightChars="-159" w:hanging="157" w:hangingChars="49"/>
        <w:jc w:val="center"/>
        <w:rPr>
          <w:rFonts w:ascii="宋体" w:hAnsi="宋体" w:cs="宋体"/>
          <w:b/>
          <w:sz w:val="32"/>
          <w:szCs w:val="32"/>
        </w:rPr>
      </w:pPr>
      <w:r>
        <w:rPr>
          <w:rFonts w:hint="eastAsia" w:ascii="宋体" w:hAnsi="宋体" w:cs="宋体"/>
          <w:b/>
          <w:sz w:val="32"/>
          <w:szCs w:val="32"/>
        </w:rPr>
        <w:t>南京邮电大学通达学院采购合同</w:t>
      </w:r>
    </w:p>
    <w:p>
      <w:pPr>
        <w:spacing w:line="360" w:lineRule="exact"/>
        <w:rPr>
          <w:rFonts w:ascii="宋体" w:hAnsi="宋体" w:cs="宋体"/>
          <w:sz w:val="24"/>
        </w:rPr>
      </w:pPr>
      <w:r>
        <w:rPr>
          <w:rFonts w:hint="eastAsia" w:ascii="宋体" w:hAnsi="宋体" w:cs="宋体"/>
          <w:sz w:val="24"/>
        </w:rPr>
        <w:t xml:space="preserve">甲方：南京邮电大学通达学院             </w:t>
      </w:r>
    </w:p>
    <w:p>
      <w:pPr>
        <w:widowControl/>
        <w:snapToGrid w:val="0"/>
        <w:spacing w:line="360" w:lineRule="exact"/>
        <w:rPr>
          <w:rFonts w:ascii="宋体" w:hAnsi="宋体" w:cs="宋体"/>
          <w:sz w:val="24"/>
        </w:rPr>
      </w:pPr>
      <w:r>
        <w:rPr>
          <w:rFonts w:hint="eastAsia" w:ascii="宋体" w:hAnsi="宋体" w:cs="宋体"/>
          <w:sz w:val="24"/>
        </w:rPr>
        <w:t xml:space="preserve">乙方：                                   </w:t>
      </w:r>
    </w:p>
    <w:p>
      <w:pPr>
        <w:widowControl/>
        <w:snapToGrid w:val="0"/>
        <w:spacing w:line="360" w:lineRule="exact"/>
        <w:ind w:firstLine="480"/>
        <w:rPr>
          <w:rFonts w:ascii="宋体" w:hAnsi="宋体" w:cs="宋体"/>
          <w:sz w:val="24"/>
        </w:rPr>
      </w:pPr>
      <w:r>
        <w:rPr>
          <w:rFonts w:hint="eastAsia" w:ascii="宋体" w:hAnsi="宋体" w:cs="宋体"/>
          <w:sz w:val="24"/>
        </w:rPr>
        <w:t>甲乙双方根据</w:t>
      </w:r>
      <w:r>
        <w:rPr>
          <w:rFonts w:hint="eastAsia" w:ascii="宋体" w:hAnsi="宋体" w:cs="宋体"/>
          <w:sz w:val="24"/>
          <w:u w:val="single"/>
        </w:rPr>
        <w:t xml:space="preserve">   学术交流中心床和床垫  </w:t>
      </w:r>
      <w:r>
        <w:rPr>
          <w:rFonts w:hint="eastAsia" w:ascii="宋体" w:hAnsi="宋体" w:cs="宋体"/>
          <w:sz w:val="24"/>
        </w:rPr>
        <w:t>项目采购结果,依据《中华人民共和国民法典》及相关法律规定，达成如下货物购销合同:</w:t>
      </w:r>
    </w:p>
    <w:p>
      <w:pPr>
        <w:widowControl/>
        <w:snapToGrid w:val="0"/>
        <w:spacing w:line="360" w:lineRule="exact"/>
        <w:rPr>
          <w:rFonts w:ascii="宋体" w:hAnsi="宋体" w:cs="宋体"/>
          <w:sz w:val="24"/>
        </w:rPr>
      </w:pPr>
      <w:r>
        <w:rPr>
          <w:rFonts w:hint="eastAsia" w:ascii="宋体" w:hAnsi="宋体" w:cs="宋体"/>
          <w:sz w:val="24"/>
        </w:rPr>
        <w:t>一、货物及其数量、金额：</w:t>
      </w:r>
    </w:p>
    <w:tbl>
      <w:tblPr>
        <w:tblStyle w:val="8"/>
        <w:tblW w:w="0" w:type="auto"/>
        <w:jc w:val="center"/>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720"/>
        <w:gridCol w:w="1260"/>
        <w:gridCol w:w="3933"/>
        <w:gridCol w:w="992"/>
        <w:gridCol w:w="1276"/>
        <w:gridCol w:w="1275"/>
      </w:tblGrid>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32" w:hRule="atLeast"/>
          <w:jc w:val="center"/>
        </w:trPr>
        <w:tc>
          <w:tcPr>
            <w:tcW w:w="720" w:type="dxa"/>
            <w:shd w:val="pct10" w:color="auto" w:fill="FFFFFF"/>
            <w:noWrap/>
            <w:vAlign w:val="center"/>
          </w:tcPr>
          <w:p>
            <w:pPr>
              <w:snapToGrid w:val="0"/>
              <w:spacing w:line="240" w:lineRule="atLeast"/>
              <w:jc w:val="center"/>
              <w:rPr>
                <w:rFonts w:ascii="宋体" w:hAnsi="宋体" w:cs="宋体"/>
                <w:b/>
                <w:kern w:val="0"/>
                <w:sz w:val="24"/>
              </w:rPr>
            </w:pPr>
            <w:r>
              <w:rPr>
                <w:rFonts w:hint="eastAsia" w:ascii="宋体" w:hAnsi="宋体" w:cs="宋体"/>
                <w:b/>
                <w:kern w:val="0"/>
                <w:sz w:val="24"/>
              </w:rPr>
              <w:t>编号</w:t>
            </w:r>
          </w:p>
        </w:tc>
        <w:tc>
          <w:tcPr>
            <w:tcW w:w="1260" w:type="dxa"/>
            <w:shd w:val="pct10" w:color="auto" w:fill="FFFFFF"/>
            <w:noWrap/>
            <w:vAlign w:val="center"/>
          </w:tcPr>
          <w:p>
            <w:pPr>
              <w:snapToGrid w:val="0"/>
              <w:spacing w:line="240" w:lineRule="atLeast"/>
              <w:jc w:val="center"/>
              <w:rPr>
                <w:rFonts w:ascii="宋体" w:hAnsi="宋体" w:cs="宋体"/>
                <w:b/>
                <w:kern w:val="0"/>
                <w:sz w:val="24"/>
              </w:rPr>
            </w:pPr>
            <w:r>
              <w:rPr>
                <w:rFonts w:hint="eastAsia" w:ascii="宋体" w:hAnsi="宋体" w:cs="宋体"/>
                <w:b/>
                <w:kern w:val="0"/>
                <w:sz w:val="24"/>
              </w:rPr>
              <w:t>货物名称</w:t>
            </w:r>
          </w:p>
        </w:tc>
        <w:tc>
          <w:tcPr>
            <w:tcW w:w="3933" w:type="dxa"/>
            <w:shd w:val="pct10" w:color="auto" w:fill="FFFFFF"/>
            <w:noWrap/>
            <w:vAlign w:val="center"/>
          </w:tcPr>
          <w:p>
            <w:pPr>
              <w:snapToGrid w:val="0"/>
              <w:spacing w:line="240" w:lineRule="atLeast"/>
              <w:jc w:val="center"/>
              <w:rPr>
                <w:rFonts w:ascii="宋体" w:hAnsi="宋体" w:cs="宋体"/>
                <w:b/>
                <w:kern w:val="0"/>
                <w:sz w:val="24"/>
              </w:rPr>
            </w:pPr>
            <w:r>
              <w:rPr>
                <w:rFonts w:hint="eastAsia" w:ascii="宋体" w:hAnsi="宋体" w:cs="宋体"/>
                <w:b/>
                <w:kern w:val="0"/>
                <w:sz w:val="24"/>
              </w:rPr>
              <w:t>规 格 型 号（品牌）</w:t>
            </w:r>
          </w:p>
        </w:tc>
        <w:tc>
          <w:tcPr>
            <w:tcW w:w="992" w:type="dxa"/>
            <w:shd w:val="pct10" w:color="auto" w:fill="FFFFFF"/>
            <w:noWrap/>
            <w:vAlign w:val="center"/>
          </w:tcPr>
          <w:p>
            <w:pPr>
              <w:snapToGrid w:val="0"/>
              <w:spacing w:line="240" w:lineRule="atLeast"/>
              <w:jc w:val="center"/>
              <w:rPr>
                <w:rFonts w:ascii="宋体" w:hAnsi="宋体" w:cs="宋体"/>
                <w:b/>
                <w:kern w:val="0"/>
                <w:sz w:val="24"/>
              </w:rPr>
            </w:pPr>
            <w:r>
              <w:rPr>
                <w:rFonts w:hint="eastAsia" w:ascii="宋体" w:hAnsi="宋体" w:cs="宋体"/>
                <w:b/>
                <w:kern w:val="0"/>
                <w:sz w:val="24"/>
              </w:rPr>
              <w:t>数量</w:t>
            </w:r>
          </w:p>
        </w:tc>
        <w:tc>
          <w:tcPr>
            <w:tcW w:w="1276" w:type="dxa"/>
            <w:shd w:val="pct10" w:color="auto" w:fill="FFFFFF"/>
            <w:noWrap/>
            <w:vAlign w:val="center"/>
          </w:tcPr>
          <w:p>
            <w:pPr>
              <w:snapToGrid w:val="0"/>
              <w:spacing w:line="240" w:lineRule="atLeast"/>
              <w:jc w:val="center"/>
              <w:rPr>
                <w:rFonts w:ascii="宋体" w:hAnsi="宋体" w:cs="宋体"/>
                <w:b/>
                <w:kern w:val="0"/>
                <w:sz w:val="24"/>
              </w:rPr>
            </w:pPr>
            <w:r>
              <w:rPr>
                <w:rFonts w:hint="eastAsia" w:ascii="宋体" w:hAnsi="宋体" w:cs="宋体"/>
                <w:b/>
                <w:kern w:val="0"/>
                <w:sz w:val="24"/>
              </w:rPr>
              <w:t>单价（元）</w:t>
            </w:r>
          </w:p>
        </w:tc>
        <w:tc>
          <w:tcPr>
            <w:tcW w:w="1275" w:type="dxa"/>
            <w:shd w:val="pct10" w:color="auto" w:fill="FFFFFF"/>
            <w:noWrap/>
            <w:vAlign w:val="center"/>
          </w:tcPr>
          <w:p>
            <w:pPr>
              <w:widowControl/>
              <w:jc w:val="left"/>
              <w:rPr>
                <w:rFonts w:ascii="宋体" w:hAnsi="宋体" w:cs="宋体"/>
                <w:b/>
                <w:kern w:val="0"/>
                <w:sz w:val="24"/>
              </w:rPr>
            </w:pPr>
            <w:r>
              <w:rPr>
                <w:rFonts w:hint="eastAsia" w:ascii="宋体" w:hAnsi="宋体" w:cs="宋体"/>
                <w:b/>
                <w:kern w:val="0"/>
                <w:sz w:val="24"/>
              </w:rPr>
              <w:t>总价（元）</w:t>
            </w: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677" w:hRule="atLeast"/>
          <w:jc w:val="center"/>
        </w:trPr>
        <w:tc>
          <w:tcPr>
            <w:tcW w:w="720" w:type="dxa"/>
            <w:noWrap/>
            <w:vAlign w:val="center"/>
          </w:tcPr>
          <w:p>
            <w:pPr>
              <w:snapToGrid w:val="0"/>
              <w:spacing w:line="600" w:lineRule="atLeast"/>
              <w:rPr>
                <w:rFonts w:ascii="宋体" w:hAnsi="宋体" w:cs="宋体"/>
                <w:b/>
                <w:kern w:val="0"/>
                <w:sz w:val="24"/>
              </w:rPr>
            </w:pPr>
            <w:r>
              <w:rPr>
                <w:rFonts w:hint="eastAsia" w:ascii="宋体" w:hAnsi="宋体" w:cs="宋体"/>
                <w:b/>
                <w:kern w:val="0"/>
                <w:sz w:val="24"/>
              </w:rPr>
              <w:t>1</w:t>
            </w:r>
          </w:p>
        </w:tc>
        <w:tc>
          <w:tcPr>
            <w:tcW w:w="1260" w:type="dxa"/>
            <w:noWrap/>
            <w:vAlign w:val="center"/>
          </w:tcPr>
          <w:p>
            <w:pPr>
              <w:snapToGrid w:val="0"/>
              <w:spacing w:line="600" w:lineRule="atLeast"/>
              <w:jc w:val="center"/>
              <w:rPr>
                <w:rFonts w:ascii="宋体" w:hAnsi="宋体" w:cs="宋体"/>
              </w:rPr>
            </w:pPr>
          </w:p>
        </w:tc>
        <w:tc>
          <w:tcPr>
            <w:tcW w:w="3933" w:type="dxa"/>
            <w:noWrap/>
            <w:vAlign w:val="center"/>
          </w:tcPr>
          <w:p>
            <w:pPr>
              <w:spacing w:line="360" w:lineRule="auto"/>
              <w:rPr>
                <w:rFonts w:ascii="宋体" w:hAnsi="宋体" w:cs="宋体"/>
              </w:rPr>
            </w:pPr>
          </w:p>
        </w:tc>
        <w:tc>
          <w:tcPr>
            <w:tcW w:w="992" w:type="dxa"/>
            <w:noWrap/>
            <w:vAlign w:val="center"/>
          </w:tcPr>
          <w:p>
            <w:pPr>
              <w:snapToGrid w:val="0"/>
              <w:spacing w:line="600" w:lineRule="atLeast"/>
              <w:ind w:firstLine="118" w:firstLineChars="49"/>
              <w:rPr>
                <w:rFonts w:ascii="宋体" w:hAnsi="宋体" w:cs="宋体"/>
                <w:b/>
                <w:kern w:val="0"/>
                <w:sz w:val="24"/>
              </w:rPr>
            </w:pPr>
          </w:p>
        </w:tc>
        <w:tc>
          <w:tcPr>
            <w:tcW w:w="1276" w:type="dxa"/>
            <w:noWrap/>
            <w:vAlign w:val="center"/>
          </w:tcPr>
          <w:p>
            <w:pPr>
              <w:spacing w:line="240" w:lineRule="atLeast"/>
              <w:jc w:val="center"/>
              <w:rPr>
                <w:rFonts w:ascii="宋体" w:hAnsi="宋体" w:cs="宋体"/>
                <w:b/>
              </w:rPr>
            </w:pPr>
          </w:p>
        </w:tc>
        <w:tc>
          <w:tcPr>
            <w:tcW w:w="1275" w:type="dxa"/>
            <w:noWrap/>
            <w:vAlign w:val="center"/>
          </w:tcPr>
          <w:p>
            <w:pPr>
              <w:spacing w:line="360" w:lineRule="auto"/>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noWrap/>
            <w:vAlign w:val="center"/>
          </w:tcPr>
          <w:p>
            <w:pPr>
              <w:snapToGrid w:val="0"/>
              <w:spacing w:line="600" w:lineRule="atLeast"/>
              <w:rPr>
                <w:rFonts w:ascii="宋体" w:hAnsi="宋体" w:cs="宋体"/>
                <w:b/>
                <w:kern w:val="0"/>
                <w:sz w:val="24"/>
              </w:rPr>
            </w:pPr>
            <w:r>
              <w:rPr>
                <w:rFonts w:hint="eastAsia" w:ascii="宋体" w:hAnsi="宋体" w:cs="宋体"/>
                <w:b/>
                <w:kern w:val="0"/>
                <w:sz w:val="24"/>
              </w:rPr>
              <w:t>2</w:t>
            </w:r>
          </w:p>
        </w:tc>
        <w:tc>
          <w:tcPr>
            <w:tcW w:w="1260" w:type="dxa"/>
            <w:noWrap/>
            <w:vAlign w:val="center"/>
          </w:tcPr>
          <w:p>
            <w:pPr>
              <w:snapToGrid w:val="0"/>
              <w:spacing w:line="600" w:lineRule="atLeast"/>
              <w:jc w:val="center"/>
              <w:rPr>
                <w:rFonts w:ascii="宋体" w:hAnsi="宋体" w:cs="宋体"/>
              </w:rPr>
            </w:pPr>
          </w:p>
        </w:tc>
        <w:tc>
          <w:tcPr>
            <w:tcW w:w="3933" w:type="dxa"/>
            <w:noWrap/>
            <w:vAlign w:val="center"/>
          </w:tcPr>
          <w:p>
            <w:pPr>
              <w:spacing w:line="360" w:lineRule="auto"/>
              <w:rPr>
                <w:rFonts w:ascii="宋体" w:hAnsi="宋体" w:cs="宋体"/>
                <w:b/>
                <w:sz w:val="18"/>
                <w:szCs w:val="18"/>
              </w:rPr>
            </w:pPr>
          </w:p>
        </w:tc>
        <w:tc>
          <w:tcPr>
            <w:tcW w:w="992" w:type="dxa"/>
            <w:noWrap/>
            <w:vAlign w:val="center"/>
          </w:tcPr>
          <w:p>
            <w:pPr>
              <w:snapToGrid w:val="0"/>
              <w:spacing w:line="600" w:lineRule="atLeast"/>
              <w:ind w:firstLine="118" w:firstLineChars="49"/>
              <w:rPr>
                <w:rFonts w:ascii="宋体" w:hAnsi="宋体" w:cs="宋体"/>
                <w:b/>
                <w:kern w:val="0"/>
                <w:sz w:val="24"/>
              </w:rPr>
            </w:pPr>
          </w:p>
        </w:tc>
        <w:tc>
          <w:tcPr>
            <w:tcW w:w="1276" w:type="dxa"/>
            <w:noWrap/>
            <w:vAlign w:val="center"/>
          </w:tcPr>
          <w:p>
            <w:pPr>
              <w:snapToGrid w:val="0"/>
              <w:spacing w:line="600" w:lineRule="atLeast"/>
              <w:ind w:firstLine="118" w:firstLineChars="49"/>
              <w:rPr>
                <w:rFonts w:ascii="宋体" w:hAnsi="宋体" w:cs="宋体"/>
                <w:b/>
                <w:kern w:val="0"/>
                <w:sz w:val="24"/>
              </w:rPr>
            </w:pPr>
          </w:p>
        </w:tc>
        <w:tc>
          <w:tcPr>
            <w:tcW w:w="1275" w:type="dxa"/>
            <w:noWrap/>
            <w:vAlign w:val="center"/>
          </w:tcPr>
          <w:p>
            <w:pPr>
              <w:spacing w:line="360" w:lineRule="auto"/>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noWrap/>
            <w:vAlign w:val="center"/>
          </w:tcPr>
          <w:p>
            <w:pPr>
              <w:snapToGrid w:val="0"/>
              <w:spacing w:line="600" w:lineRule="atLeast"/>
              <w:rPr>
                <w:rFonts w:ascii="宋体" w:hAnsi="宋体" w:cs="宋体"/>
                <w:b/>
                <w:kern w:val="0"/>
                <w:sz w:val="24"/>
              </w:rPr>
            </w:pPr>
            <w:r>
              <w:rPr>
                <w:rFonts w:hint="eastAsia" w:ascii="宋体" w:hAnsi="宋体" w:cs="宋体"/>
                <w:b/>
                <w:kern w:val="0"/>
                <w:sz w:val="24"/>
              </w:rPr>
              <w:t>3</w:t>
            </w:r>
          </w:p>
        </w:tc>
        <w:tc>
          <w:tcPr>
            <w:tcW w:w="1260" w:type="dxa"/>
            <w:noWrap/>
            <w:vAlign w:val="center"/>
          </w:tcPr>
          <w:p>
            <w:pPr>
              <w:snapToGrid w:val="0"/>
              <w:spacing w:line="600" w:lineRule="atLeast"/>
              <w:jc w:val="center"/>
              <w:rPr>
                <w:rFonts w:ascii="宋体" w:hAnsi="宋体" w:cs="宋体"/>
              </w:rPr>
            </w:pPr>
          </w:p>
        </w:tc>
        <w:tc>
          <w:tcPr>
            <w:tcW w:w="3933" w:type="dxa"/>
            <w:noWrap/>
            <w:vAlign w:val="center"/>
          </w:tcPr>
          <w:p>
            <w:pPr>
              <w:spacing w:line="360" w:lineRule="auto"/>
              <w:rPr>
                <w:rFonts w:ascii="宋体" w:hAnsi="宋体" w:cs="宋体"/>
                <w:b/>
                <w:sz w:val="18"/>
                <w:szCs w:val="18"/>
              </w:rPr>
            </w:pPr>
          </w:p>
        </w:tc>
        <w:tc>
          <w:tcPr>
            <w:tcW w:w="992" w:type="dxa"/>
            <w:noWrap/>
            <w:vAlign w:val="center"/>
          </w:tcPr>
          <w:p>
            <w:pPr>
              <w:snapToGrid w:val="0"/>
              <w:spacing w:line="600" w:lineRule="atLeast"/>
              <w:ind w:firstLine="118" w:firstLineChars="49"/>
              <w:rPr>
                <w:rFonts w:ascii="宋体" w:hAnsi="宋体" w:cs="宋体"/>
                <w:b/>
                <w:kern w:val="0"/>
                <w:sz w:val="24"/>
              </w:rPr>
            </w:pPr>
          </w:p>
        </w:tc>
        <w:tc>
          <w:tcPr>
            <w:tcW w:w="1276" w:type="dxa"/>
            <w:noWrap/>
            <w:vAlign w:val="center"/>
          </w:tcPr>
          <w:p>
            <w:pPr>
              <w:snapToGrid w:val="0"/>
              <w:spacing w:line="600" w:lineRule="atLeast"/>
              <w:ind w:firstLine="118" w:firstLineChars="49"/>
              <w:rPr>
                <w:rFonts w:ascii="宋体" w:hAnsi="宋体" w:cs="宋体"/>
                <w:b/>
                <w:kern w:val="0"/>
                <w:sz w:val="24"/>
              </w:rPr>
            </w:pPr>
          </w:p>
        </w:tc>
        <w:tc>
          <w:tcPr>
            <w:tcW w:w="1275" w:type="dxa"/>
            <w:noWrap/>
            <w:vAlign w:val="center"/>
          </w:tcPr>
          <w:p>
            <w:pPr>
              <w:spacing w:line="360" w:lineRule="auto"/>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9456" w:type="dxa"/>
            <w:gridSpan w:val="6"/>
            <w:noWrap/>
            <w:vAlign w:val="center"/>
          </w:tcPr>
          <w:p>
            <w:pPr>
              <w:rPr>
                <w:rFonts w:ascii="宋体" w:hAnsi="宋体" w:cs="宋体"/>
              </w:rPr>
            </w:pPr>
            <w:r>
              <w:rPr>
                <w:rFonts w:hint="eastAsia" w:ascii="宋体" w:hAnsi="宋体" w:cs="宋体"/>
                <w:b/>
                <w:sz w:val="18"/>
                <w:szCs w:val="18"/>
              </w:rPr>
              <w:t xml:space="preserve">总价（人民币大写）：                                     </w:t>
            </w:r>
            <w:r>
              <w:rPr>
                <w:rFonts w:hint="eastAsia" w:ascii="宋体" w:hAnsi="宋体" w:cs="宋体"/>
              </w:rPr>
              <w:t>合计（小写）：        元</w:t>
            </w:r>
          </w:p>
          <w:p>
            <w:pPr>
              <w:rPr>
                <w:rFonts w:ascii="宋体" w:hAnsi="宋体" w:cs="宋体"/>
              </w:rPr>
            </w:pPr>
            <w:r>
              <w:rPr>
                <w:rFonts w:hint="eastAsia" w:ascii="宋体" w:hAnsi="宋体" w:cs="宋体"/>
                <w:sz w:val="18"/>
              </w:rPr>
              <w:t>本合同总价款是货物设计、制造、包装、仓储、运输、安装及验收合格之前以及保修期内备品备件发生的所有含税费用。本合同总价款还包含乙方应当提供的伴随服务/售后服务费用。</w:t>
            </w:r>
          </w:p>
        </w:tc>
      </w:tr>
    </w:tbl>
    <w:p>
      <w:pPr>
        <w:widowControl/>
        <w:snapToGrid w:val="0"/>
        <w:spacing w:line="360" w:lineRule="exact"/>
        <w:rPr>
          <w:rFonts w:ascii="宋体" w:hAnsi="宋体" w:cs="宋体"/>
          <w:sz w:val="24"/>
        </w:rPr>
      </w:pPr>
      <w:r>
        <w:rPr>
          <w:rFonts w:hint="eastAsia" w:ascii="宋体" w:hAnsi="宋体" w:cs="宋体"/>
          <w:sz w:val="24"/>
        </w:rPr>
        <w:t>二、交货时间：在规定时间按照甲方要求安装完成摆放到位。</w:t>
      </w:r>
    </w:p>
    <w:p>
      <w:pPr>
        <w:widowControl/>
        <w:snapToGrid w:val="0"/>
        <w:spacing w:line="360" w:lineRule="exact"/>
        <w:rPr>
          <w:rFonts w:ascii="宋体" w:hAnsi="宋体" w:cs="宋体"/>
          <w:sz w:val="24"/>
        </w:rPr>
      </w:pPr>
      <w:r>
        <w:rPr>
          <w:rFonts w:hint="eastAsia" w:ascii="宋体" w:hAnsi="宋体" w:cs="宋体"/>
          <w:sz w:val="24"/>
        </w:rPr>
        <w:t>三、交货地点：由乙方负责运输，送至甲方指定校区，并搬运到指定楼层的房间内。</w:t>
      </w:r>
    </w:p>
    <w:p>
      <w:pPr>
        <w:widowControl/>
        <w:snapToGrid w:val="0"/>
        <w:spacing w:line="360" w:lineRule="exact"/>
        <w:rPr>
          <w:rFonts w:ascii="宋体" w:hAnsi="宋体" w:cs="宋体"/>
          <w:sz w:val="24"/>
        </w:rPr>
      </w:pPr>
      <w:r>
        <w:rPr>
          <w:rFonts w:hint="eastAsia" w:ascii="宋体" w:hAnsi="宋体" w:cs="宋体"/>
          <w:sz w:val="24"/>
        </w:rPr>
        <w:t>四、付款方式：</w:t>
      </w:r>
    </w:p>
    <w:p>
      <w:pPr>
        <w:widowControl/>
        <w:snapToGrid w:val="0"/>
        <w:spacing w:line="360" w:lineRule="exact"/>
        <w:rPr>
          <w:rFonts w:ascii="宋体" w:hAnsi="宋体" w:cs="宋体"/>
          <w:sz w:val="24"/>
        </w:rPr>
      </w:pPr>
      <w:r>
        <w:rPr>
          <w:rFonts w:hint="eastAsia" w:ascii="宋体" w:hAnsi="宋体" w:cs="宋体"/>
          <w:sz w:val="24"/>
        </w:rPr>
        <w:t>五、质保期：提供原厂质保______(自验收合格之日起计。所有货物保修服务方式均为乙方派员到货物使用现场维修，由此产生的一切费用均由乙方承担。)</w:t>
      </w:r>
    </w:p>
    <w:p>
      <w:pPr>
        <w:widowControl/>
        <w:snapToGrid w:val="0"/>
        <w:spacing w:line="360" w:lineRule="exact"/>
        <w:rPr>
          <w:rFonts w:ascii="宋体" w:hAnsi="宋体" w:cs="宋体"/>
          <w:sz w:val="24"/>
        </w:rPr>
      </w:pPr>
      <w:r>
        <w:rPr>
          <w:rFonts w:hint="eastAsia" w:ascii="宋体" w:hAnsi="宋体" w:cs="宋体"/>
          <w:sz w:val="24"/>
        </w:rPr>
        <w:t>六、质量要求、技术标准、乙方对质量负责的条件和期限：</w:t>
      </w:r>
    </w:p>
    <w:p>
      <w:pPr>
        <w:widowControl/>
        <w:snapToGrid w:val="0"/>
        <w:spacing w:line="360" w:lineRule="exact"/>
        <w:ind w:firstLine="480" w:firstLineChars="200"/>
        <w:rPr>
          <w:rFonts w:ascii="宋体" w:hAnsi="宋体" w:cs="宋体"/>
          <w:sz w:val="24"/>
        </w:rPr>
      </w:pPr>
      <w:r>
        <w:rPr>
          <w:rFonts w:hint="eastAsia" w:ascii="宋体" w:hAnsi="宋体" w:cs="宋体"/>
          <w:sz w:val="24"/>
        </w:rPr>
        <w:t>1、乙方所提供的货物，若技术性能无特殊说明，则按生产企业或国家有关部门最新颁布的标准及规范为准。</w:t>
      </w:r>
    </w:p>
    <w:p>
      <w:pPr>
        <w:widowControl/>
        <w:snapToGrid w:val="0"/>
        <w:spacing w:line="360" w:lineRule="exact"/>
        <w:ind w:firstLine="480" w:firstLineChars="200"/>
        <w:rPr>
          <w:rFonts w:ascii="宋体" w:hAnsi="宋体" w:cs="宋体"/>
          <w:sz w:val="24"/>
        </w:rPr>
      </w:pPr>
      <w:r>
        <w:rPr>
          <w:rFonts w:hint="eastAsia" w:ascii="宋体" w:hAnsi="宋体" w:cs="宋体"/>
          <w:sz w:val="24"/>
        </w:rPr>
        <w:t>2、乙方应保证货物是全新、未使用过的原装合格正品，并完全符合生产企业或国家规定的质量、规格和性能的要求及采购书要求、投标文件确定承诺。货物验收后，在质量保证期内，乙方应对由于设计、工艺或材料的缺陷所发生的任何不足或故障负责，所需费用由乙方承担。</w:t>
      </w:r>
    </w:p>
    <w:p>
      <w:pPr>
        <w:widowControl/>
        <w:snapToGrid w:val="0"/>
        <w:spacing w:line="360" w:lineRule="exact"/>
        <w:rPr>
          <w:rFonts w:ascii="宋体" w:hAnsi="宋体" w:cs="宋体"/>
          <w:sz w:val="24"/>
        </w:rPr>
      </w:pPr>
      <w:r>
        <w:rPr>
          <w:rFonts w:hint="eastAsia" w:ascii="宋体" w:hAnsi="宋体" w:cs="宋体"/>
          <w:sz w:val="24"/>
        </w:rPr>
        <w:t>七、验收标准：甲方应当在到货且安装调试完成</w:t>
      </w:r>
      <w:r>
        <w:rPr>
          <w:rFonts w:hint="eastAsia" w:ascii="宋体" w:hAnsi="宋体" w:cs="宋体"/>
          <w:sz w:val="24"/>
          <w:highlight w:val="none"/>
        </w:rPr>
        <w:t>后</w:t>
      </w:r>
      <w:r>
        <w:rPr>
          <w:rFonts w:hint="eastAsia" w:ascii="宋体" w:hAnsi="宋体" w:cs="宋体"/>
          <w:sz w:val="24"/>
          <w:highlight w:val="none"/>
          <w:u w:val="single"/>
          <w:lang w:val="en-US" w:eastAsia="zh-CN"/>
        </w:rPr>
        <w:t>15</w:t>
      </w:r>
      <w:r>
        <w:rPr>
          <w:rFonts w:hint="eastAsia" w:ascii="宋体" w:hAnsi="宋体" w:cs="宋体"/>
          <w:sz w:val="24"/>
          <w:highlight w:val="none"/>
          <w:u w:val="single"/>
        </w:rPr>
        <w:t>_</w:t>
      </w:r>
      <w:r>
        <w:rPr>
          <w:rFonts w:hint="eastAsia" w:ascii="宋体" w:hAnsi="宋体" w:cs="宋体"/>
          <w:sz w:val="24"/>
          <w:highlight w:val="none"/>
        </w:rPr>
        <w:t>日内</w:t>
      </w:r>
      <w:r>
        <w:rPr>
          <w:rFonts w:hint="eastAsia" w:ascii="宋体" w:hAnsi="宋体" w:cs="宋体"/>
          <w:sz w:val="24"/>
        </w:rPr>
        <w:t>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pPr>
        <w:widowControl/>
        <w:snapToGrid w:val="0"/>
        <w:spacing w:line="360" w:lineRule="exact"/>
        <w:rPr>
          <w:rFonts w:ascii="宋体" w:hAnsi="宋体" w:cs="宋体"/>
          <w:sz w:val="24"/>
        </w:rPr>
      </w:pPr>
      <w:r>
        <w:rPr>
          <w:rFonts w:hint="eastAsia" w:ascii="宋体" w:hAnsi="宋体" w:cs="宋体"/>
          <w:sz w:val="24"/>
        </w:rPr>
        <w:t>八、 工程部分（两万元以上）需按南京邮电大学审计相关规定执行。</w:t>
      </w:r>
    </w:p>
    <w:p>
      <w:pPr>
        <w:widowControl/>
        <w:snapToGrid w:val="0"/>
        <w:spacing w:line="360" w:lineRule="exact"/>
        <w:rPr>
          <w:rFonts w:ascii="宋体" w:hAnsi="宋体" w:cs="宋体"/>
          <w:sz w:val="24"/>
        </w:rPr>
      </w:pPr>
      <w:r>
        <w:rPr>
          <w:rFonts w:hint="eastAsia" w:ascii="宋体" w:hAnsi="宋体" w:cs="宋体"/>
          <w:sz w:val="24"/>
        </w:rPr>
        <w:t>九、招投标文件为本合同的附件，与本合同具有同等法律效力（本条款适用于招投标项目）。甲乙双方商定的其他必要文件，附件与本合同不相符合之处，以本合同内容为准。上述文件内容互为补充。</w:t>
      </w:r>
    </w:p>
    <w:p>
      <w:pPr>
        <w:widowControl/>
        <w:snapToGrid w:val="0"/>
        <w:spacing w:line="360" w:lineRule="exact"/>
        <w:rPr>
          <w:rFonts w:ascii="宋体" w:hAnsi="宋体" w:cs="宋体"/>
          <w:sz w:val="24"/>
        </w:rPr>
      </w:pPr>
      <w:r>
        <w:rPr>
          <w:rFonts w:hint="eastAsia" w:ascii="宋体" w:hAnsi="宋体" w:cs="宋体"/>
          <w:sz w:val="24"/>
        </w:rPr>
        <w:t>十、违约责任</w:t>
      </w:r>
    </w:p>
    <w:p>
      <w:pPr>
        <w:widowControl/>
        <w:snapToGrid w:val="0"/>
        <w:spacing w:line="360" w:lineRule="exact"/>
        <w:rPr>
          <w:rFonts w:ascii="宋体" w:hAnsi="宋体" w:cs="宋体"/>
          <w:sz w:val="24"/>
        </w:rPr>
      </w:pPr>
      <w:r>
        <w:rPr>
          <w:rFonts w:hint="eastAsia" w:ascii="宋体" w:hAnsi="宋体" w:cs="宋体"/>
          <w:sz w:val="24"/>
        </w:rPr>
        <w:t>1、甲方无正当理由拒收货物、拒付货物款的，由甲方向乙方偿付合同总价的5%违约金。如乙方不能交付货物，乙方应向甲方支付合同总价5%的违约金。</w:t>
      </w:r>
    </w:p>
    <w:p>
      <w:pPr>
        <w:spacing w:line="360" w:lineRule="exact"/>
        <w:rPr>
          <w:rFonts w:ascii="宋体" w:hAnsi="宋体" w:cs="宋体"/>
          <w:sz w:val="24"/>
        </w:rPr>
      </w:pPr>
      <w:r>
        <w:rPr>
          <w:rFonts w:hint="eastAsia" w:ascii="宋体" w:hAnsi="宋体" w:cs="宋体"/>
          <w:sz w:val="24"/>
        </w:rPr>
        <w:t xml:space="preserve">2、乙方逾期交付货物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pPr>
        <w:spacing w:line="360" w:lineRule="exact"/>
        <w:rPr>
          <w:rFonts w:ascii="宋体" w:hAnsi="宋体" w:cs="宋体"/>
          <w:sz w:val="24"/>
        </w:rPr>
      </w:pPr>
      <w:r>
        <w:rPr>
          <w:rFonts w:hint="eastAsia" w:ascii="宋体" w:hAnsi="宋体" w:cs="宋体"/>
          <w:sz w:val="24"/>
        </w:rPr>
        <w:t>3、乙方所交的货物品种、型号、规格、技术参数、质量不符合合同规定及采购文件规定标准的，甲方有权拒收该货物，乙方愿意更换货物但逾期交货的，按乙方逾期交货处理。乙方拒绝更换货物的，甲方可单方面解除合同。</w:t>
      </w:r>
    </w:p>
    <w:p>
      <w:pPr>
        <w:widowControl/>
        <w:snapToGrid w:val="0"/>
        <w:spacing w:line="360" w:lineRule="exact"/>
        <w:rPr>
          <w:rFonts w:ascii="宋体" w:hAnsi="宋体" w:cs="宋体"/>
          <w:sz w:val="24"/>
        </w:rPr>
      </w:pPr>
      <w:r>
        <w:rPr>
          <w:rFonts w:hint="eastAsia" w:ascii="宋体" w:hAnsi="宋体" w:cs="宋体"/>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pPr>
        <w:widowControl/>
        <w:snapToGrid w:val="0"/>
        <w:spacing w:line="360" w:lineRule="exact"/>
        <w:rPr>
          <w:rFonts w:ascii="宋体" w:hAnsi="宋体" w:cs="宋体"/>
          <w:sz w:val="24"/>
        </w:rPr>
      </w:pPr>
      <w:r>
        <w:rPr>
          <w:rFonts w:hint="eastAsia" w:ascii="宋体" w:hAnsi="宋体" w:cs="宋体"/>
          <w:sz w:val="24"/>
        </w:rPr>
        <w:t>十一、 合同的变更和终止</w:t>
      </w:r>
    </w:p>
    <w:p>
      <w:pPr>
        <w:widowControl/>
        <w:snapToGrid w:val="0"/>
        <w:spacing w:line="360" w:lineRule="exact"/>
        <w:rPr>
          <w:rFonts w:ascii="宋体" w:hAnsi="宋体" w:cs="宋体"/>
          <w:sz w:val="24"/>
        </w:rPr>
      </w:pPr>
      <w:r>
        <w:rPr>
          <w:rFonts w:hint="eastAsia" w:ascii="宋体" w:hAnsi="宋体" w:cs="宋体"/>
          <w:sz w:val="24"/>
        </w:rPr>
        <w:t>除《政府采购法》第49条、第50条第二款规定的情形外，本合同一经签订，甲乙双方不得擅自变更、中止或终止合同。</w:t>
      </w:r>
    </w:p>
    <w:p>
      <w:pPr>
        <w:widowControl/>
        <w:snapToGrid w:val="0"/>
        <w:spacing w:line="360" w:lineRule="exact"/>
        <w:rPr>
          <w:rFonts w:ascii="宋体" w:hAnsi="宋体" w:cs="宋体"/>
          <w:sz w:val="24"/>
        </w:rPr>
      </w:pPr>
      <w:r>
        <w:rPr>
          <w:rFonts w:hint="eastAsia" w:ascii="宋体" w:hAnsi="宋体" w:cs="宋体"/>
          <w:sz w:val="24"/>
        </w:rPr>
        <w:t>十二、合同的转让</w:t>
      </w:r>
    </w:p>
    <w:p>
      <w:pPr>
        <w:widowControl/>
        <w:snapToGrid w:val="0"/>
        <w:spacing w:line="360" w:lineRule="exact"/>
        <w:rPr>
          <w:rFonts w:ascii="宋体" w:hAnsi="宋体" w:cs="宋体"/>
          <w:sz w:val="24"/>
        </w:rPr>
      </w:pPr>
      <w:r>
        <w:rPr>
          <w:rFonts w:hint="eastAsia" w:ascii="宋体" w:hAnsi="宋体" w:cs="宋体"/>
          <w:sz w:val="24"/>
        </w:rPr>
        <w:t>乙方不得擅自部分或全部转让其应履行的合同义务。</w:t>
      </w:r>
    </w:p>
    <w:p>
      <w:pPr>
        <w:widowControl/>
        <w:snapToGrid w:val="0"/>
        <w:spacing w:line="360" w:lineRule="exact"/>
        <w:rPr>
          <w:rFonts w:ascii="宋体" w:hAnsi="宋体" w:cs="宋体"/>
          <w:sz w:val="24"/>
        </w:rPr>
      </w:pPr>
      <w:r>
        <w:rPr>
          <w:rFonts w:hint="eastAsia" w:ascii="宋体" w:hAnsi="宋体" w:cs="宋体"/>
          <w:sz w:val="24"/>
        </w:rPr>
        <w:t>十三、 争议的解决</w:t>
      </w:r>
    </w:p>
    <w:p>
      <w:pPr>
        <w:widowControl/>
        <w:snapToGrid w:val="0"/>
        <w:spacing w:line="360" w:lineRule="exact"/>
        <w:rPr>
          <w:rFonts w:ascii="宋体" w:hAnsi="宋体" w:cs="宋体"/>
          <w:sz w:val="24"/>
        </w:rPr>
      </w:pPr>
      <w:r>
        <w:rPr>
          <w:rFonts w:hint="eastAsia" w:ascii="宋体" w:hAnsi="宋体" w:cs="宋体"/>
          <w:sz w:val="24"/>
        </w:rPr>
        <w:t>1、因货物的质量问题发生争议的，应当邀请国家认可的质量检测机构对货物质量进行鉴定。货物符合标准的，鉴定费由甲方承担；货物不符合质量标准的，鉴定费由乙方承担、并更换有问题商品或部件。</w:t>
      </w:r>
    </w:p>
    <w:p>
      <w:pPr>
        <w:widowControl/>
        <w:snapToGrid w:val="0"/>
        <w:spacing w:line="360" w:lineRule="exact"/>
        <w:rPr>
          <w:rFonts w:ascii="宋体" w:hAnsi="宋体" w:cs="宋体"/>
          <w:sz w:val="24"/>
        </w:rPr>
      </w:pPr>
      <w:r>
        <w:rPr>
          <w:rFonts w:hint="eastAsia" w:ascii="宋体" w:hAnsi="宋体" w:cs="宋体"/>
          <w:sz w:val="24"/>
        </w:rPr>
        <w:t>2、因履行本合同引起的或与本合同有关的争议，甲、乙双方应首先通过友好协商解决，如果协商不能解决争议，任何一方均可向甲方所在地人民法院起诉解决。</w:t>
      </w:r>
    </w:p>
    <w:p>
      <w:pPr>
        <w:widowControl/>
        <w:snapToGrid w:val="0"/>
        <w:spacing w:line="360" w:lineRule="exact"/>
        <w:rPr>
          <w:rFonts w:ascii="宋体" w:hAnsi="宋体" w:cs="宋体"/>
          <w:sz w:val="24"/>
        </w:rPr>
      </w:pPr>
      <w:r>
        <w:rPr>
          <w:rFonts w:hint="eastAsia" w:ascii="宋体" w:hAnsi="宋体" w:cs="宋体"/>
          <w:sz w:val="24"/>
        </w:rPr>
        <w:t>十四、本合同由甲、乙双方共同签订，合同一式陆份，甲方伍份、乙方壹份。自双方签字、盖章之日起生效。</w:t>
      </w:r>
    </w:p>
    <w:p>
      <w:pPr>
        <w:widowControl/>
        <w:snapToGrid w:val="0"/>
        <w:spacing w:line="280" w:lineRule="exact"/>
        <w:rPr>
          <w:rFonts w:ascii="宋体" w:hAnsi="宋体" w:cs="宋体"/>
        </w:rPr>
      </w:pPr>
      <w:bookmarkStart w:id="2" w:name="_Hlt16619369"/>
      <w:bookmarkEnd w:id="2"/>
    </w:p>
    <w:p>
      <w:pPr>
        <w:widowControl/>
        <w:snapToGrid w:val="0"/>
        <w:spacing w:line="280" w:lineRule="exact"/>
        <w:rPr>
          <w:rFonts w:ascii="宋体" w:hAnsi="宋体" w:cs="宋体"/>
        </w:rPr>
      </w:pPr>
      <w:r>
        <w:rPr>
          <w:rFonts w:hint="eastAsia" w:ascii="宋体" w:hAnsi="宋体" w:cs="宋体"/>
        </w:rPr>
        <w:t>甲方                                               乙方</w:t>
      </w:r>
    </w:p>
    <w:p>
      <w:pPr>
        <w:widowControl/>
        <w:snapToGrid w:val="0"/>
        <w:spacing w:line="280" w:lineRule="exact"/>
        <w:rPr>
          <w:rFonts w:ascii="宋体" w:hAnsi="宋体" w:cs="宋体"/>
        </w:rPr>
      </w:pPr>
      <w:r>
        <w:rPr>
          <w:rFonts w:hint="eastAsia" w:ascii="宋体" w:hAnsi="宋体" w:cs="宋体"/>
        </w:rPr>
        <w:t>单位名称：南京邮电大学通达学院                     单位名称：</w:t>
      </w:r>
    </w:p>
    <w:p>
      <w:pPr>
        <w:widowControl/>
        <w:snapToGrid w:val="0"/>
        <w:spacing w:line="280" w:lineRule="exact"/>
        <w:rPr>
          <w:rFonts w:ascii="宋体" w:hAnsi="宋体" w:cs="宋体"/>
        </w:rPr>
      </w:pPr>
      <w:r>
        <w:rPr>
          <w:rFonts w:hint="eastAsia" w:ascii="宋体" w:hAnsi="宋体" w:cs="宋体"/>
        </w:rPr>
        <w:t>单位地址：扬州市润扬南路33号                      单位地址：</w:t>
      </w:r>
    </w:p>
    <w:p>
      <w:pPr>
        <w:widowControl/>
        <w:snapToGrid w:val="0"/>
        <w:spacing w:line="280" w:lineRule="exact"/>
        <w:rPr>
          <w:rFonts w:ascii="宋体" w:hAnsi="宋体" w:cs="宋体"/>
        </w:rPr>
      </w:pPr>
      <w:r>
        <w:rPr>
          <w:rFonts w:hint="eastAsia" w:ascii="宋体" w:hAnsi="宋体" w:cs="宋体"/>
        </w:rPr>
        <w:t>法定代表人：                                       法定代表人：</w:t>
      </w:r>
    </w:p>
    <w:p>
      <w:pPr>
        <w:widowControl/>
        <w:snapToGrid w:val="0"/>
        <w:spacing w:line="280" w:lineRule="exact"/>
        <w:rPr>
          <w:rFonts w:ascii="宋体" w:hAnsi="宋体" w:cs="宋体"/>
        </w:rPr>
      </w:pPr>
      <w:r>
        <w:rPr>
          <w:rFonts w:hint="eastAsia" w:ascii="宋体" w:hAnsi="宋体" w:cs="宋体"/>
        </w:rPr>
        <w:t xml:space="preserve">委托代理人（签字）：                               委托代理人（签字）：                                           </w:t>
      </w:r>
    </w:p>
    <w:p>
      <w:pPr>
        <w:widowControl/>
        <w:snapToGrid w:val="0"/>
        <w:spacing w:line="280" w:lineRule="exact"/>
        <w:rPr>
          <w:rFonts w:ascii="宋体" w:hAnsi="宋体" w:cs="宋体"/>
        </w:rPr>
      </w:pPr>
      <w:r>
        <w:rPr>
          <w:rFonts w:hint="eastAsia" w:ascii="宋体" w:hAnsi="宋体" w:cs="宋体"/>
        </w:rPr>
        <w:t>开户银行：</w:t>
      </w:r>
      <w:r>
        <w:rPr>
          <w:rFonts w:ascii="宋体" w:hAnsi="宋体" w:cs="宋体"/>
          <w:bCs/>
        </w:rPr>
        <w:t>中国银行扬州分行开发区支行营业部</w:t>
      </w:r>
      <w:r>
        <w:rPr>
          <w:rFonts w:hint="eastAsia" w:ascii="宋体" w:hAnsi="宋体" w:cs="宋体"/>
        </w:rPr>
        <w:t xml:space="preserve">         开户银行： </w:t>
      </w:r>
    </w:p>
    <w:p>
      <w:pPr>
        <w:widowControl/>
        <w:snapToGrid w:val="0"/>
        <w:spacing w:line="280" w:lineRule="exact"/>
        <w:rPr>
          <w:rFonts w:ascii="宋体" w:hAnsi="宋体" w:cs="宋体"/>
        </w:rPr>
      </w:pPr>
      <w:r>
        <w:rPr>
          <w:rFonts w:hint="eastAsia" w:ascii="宋体" w:hAnsi="宋体" w:cs="宋体"/>
        </w:rPr>
        <w:t xml:space="preserve">户名：南京邮电大学通达学院                         户名： </w:t>
      </w:r>
    </w:p>
    <w:p>
      <w:pPr>
        <w:widowControl/>
        <w:snapToGrid w:val="0"/>
        <w:spacing w:line="280" w:lineRule="exact"/>
        <w:rPr>
          <w:rFonts w:ascii="宋体" w:hAnsi="宋体" w:cs="宋体"/>
        </w:rPr>
      </w:pPr>
      <w:r>
        <w:rPr>
          <w:rFonts w:hint="eastAsia" w:ascii="宋体" w:hAnsi="宋体" w:cs="宋体"/>
        </w:rPr>
        <w:t>账号：</w:t>
      </w:r>
      <w:r>
        <w:rPr>
          <w:rFonts w:ascii="宋体" w:hAnsi="宋体" w:cs="宋体"/>
          <w:bCs/>
        </w:rPr>
        <w:t>489773587772</w:t>
      </w:r>
      <w:r>
        <w:rPr>
          <w:rFonts w:hint="eastAsia" w:ascii="宋体" w:hAnsi="宋体" w:cs="宋体"/>
        </w:rPr>
        <w:t xml:space="preserve">                                 账号： </w:t>
      </w:r>
    </w:p>
    <w:p>
      <w:pPr>
        <w:widowControl/>
        <w:snapToGrid w:val="0"/>
        <w:spacing w:line="280" w:lineRule="exact"/>
        <w:rPr>
          <w:rFonts w:ascii="宋体" w:hAnsi="宋体" w:cs="宋体"/>
        </w:rPr>
      </w:pPr>
      <w:r>
        <w:rPr>
          <w:rFonts w:hint="eastAsia" w:ascii="宋体" w:hAnsi="宋体" w:cs="宋体"/>
        </w:rPr>
        <w:t>税号：</w:t>
      </w:r>
      <w:r>
        <w:rPr>
          <w:rFonts w:hint="eastAsia" w:ascii="宋体" w:hAnsi="宋体" w:cs="宋体"/>
          <w:bCs/>
        </w:rPr>
        <w:t>52320000509200179F</w:t>
      </w:r>
      <w:r>
        <w:rPr>
          <w:rFonts w:hint="eastAsia" w:ascii="宋体" w:hAnsi="宋体" w:cs="宋体"/>
        </w:rPr>
        <w:t xml:space="preserve">                           税号  </w:t>
      </w:r>
    </w:p>
    <w:p>
      <w:pPr>
        <w:widowControl/>
        <w:snapToGrid w:val="0"/>
        <w:spacing w:line="280" w:lineRule="exact"/>
        <w:rPr>
          <w:rFonts w:ascii="宋体" w:hAnsi="宋体" w:cs="宋体"/>
        </w:rPr>
      </w:pPr>
      <w:r>
        <w:rPr>
          <w:rFonts w:hint="eastAsia" w:ascii="宋体" w:hAnsi="宋体" w:cs="宋体"/>
        </w:rPr>
        <w:t>电话：0514-89716081                                电话：</w:t>
      </w:r>
    </w:p>
    <w:p>
      <w:pPr>
        <w:widowControl/>
        <w:snapToGrid w:val="0"/>
        <w:spacing w:line="280" w:lineRule="exact"/>
        <w:rPr>
          <w:rFonts w:ascii="宋体" w:hAnsi="宋体" w:cs="宋体"/>
        </w:rPr>
      </w:pPr>
      <w:r>
        <w:rPr>
          <w:rFonts w:hint="eastAsia" w:ascii="宋体" w:hAnsi="宋体" w:cs="宋体"/>
        </w:rPr>
        <w:t xml:space="preserve">签约日期（即合同生效日期）：    年   月    日      </w:t>
      </w:r>
    </w:p>
    <w:p>
      <w:pPr>
        <w:widowControl/>
        <w:shd w:val="clear" w:color="auto" w:fill="FFFFFF"/>
        <w:spacing w:after="150" w:line="26" w:lineRule="atLeast"/>
        <w:jc w:val="left"/>
        <w:rPr>
          <w:rFonts w:ascii="Arial" w:hAnsi="Arial" w:cs="Arial"/>
          <w:color w:val="333333"/>
          <w:szCs w:val="21"/>
        </w:rPr>
      </w:pPr>
    </w:p>
    <w:p>
      <w:pPr>
        <w:widowControl/>
        <w:shd w:val="clear" w:color="auto" w:fill="FFFFFF"/>
        <w:spacing w:after="150" w:line="26" w:lineRule="atLeast"/>
        <w:jc w:val="left"/>
        <w:rPr>
          <w:rFonts w:ascii="Arial" w:hAnsi="Arial" w:cs="Arial"/>
          <w:color w:val="333333"/>
          <w:szCs w:val="21"/>
        </w:rPr>
      </w:pPr>
    </w:p>
    <w:p>
      <w:pPr>
        <w:widowControl/>
        <w:shd w:val="clear" w:color="auto" w:fill="FFFFFF"/>
        <w:spacing w:after="150" w:line="26" w:lineRule="atLeast"/>
        <w:jc w:val="left"/>
        <w:rPr>
          <w:rFonts w:ascii="宋体" w:hAnsi="宋体" w:eastAsia="宋体" w:cs="宋体"/>
          <w:b/>
          <w:color w:val="333333"/>
          <w:sz w:val="24"/>
          <w:shd w:val="clear" w:color="auto" w:fill="FFFFFF"/>
        </w:rPr>
      </w:pPr>
      <w:r>
        <w:rPr>
          <w:rFonts w:hint="eastAsia" w:ascii="宋体" w:hAnsi="宋体" w:eastAsia="宋体" w:cs="宋体"/>
          <w:b/>
          <w:color w:val="333333"/>
          <w:sz w:val="24"/>
          <w:shd w:val="clear" w:color="auto" w:fill="FFFFFF"/>
        </w:rPr>
        <w:t>四、评分标准</w:t>
      </w:r>
    </w:p>
    <w:p>
      <w:pPr>
        <w:spacing w:line="480" w:lineRule="exact"/>
        <w:ind w:firstLine="482" w:firstLineChars="200"/>
        <w:rPr>
          <w:rFonts w:ascii="宋体" w:hAnsi="宋体"/>
          <w:b/>
          <w:sz w:val="24"/>
        </w:rPr>
      </w:pPr>
      <w:r>
        <w:rPr>
          <w:rFonts w:hint="eastAsia" w:ascii="宋体" w:hAnsi="宋体"/>
          <w:b/>
          <w:sz w:val="24"/>
        </w:rPr>
        <w:t>1、投标报价（30分）</w:t>
      </w:r>
    </w:p>
    <w:p>
      <w:pPr>
        <w:spacing w:line="480" w:lineRule="exact"/>
        <w:ind w:firstLine="480" w:firstLineChars="200"/>
        <w:rPr>
          <w:rFonts w:ascii="宋体" w:hAnsi="宋体"/>
          <w:bCs/>
          <w:sz w:val="24"/>
        </w:rPr>
      </w:pPr>
      <w:r>
        <w:rPr>
          <w:rFonts w:hint="eastAsia" w:ascii="宋体" w:hAnsi="宋体"/>
          <w:bCs/>
          <w:sz w:val="24"/>
        </w:rPr>
        <w:t>满足采购文件要求且投标价格最低的投标报价为评标基准价，其价格分为满分。其他投标人的价格分统一按下列公式计算：</w:t>
      </w:r>
    </w:p>
    <w:p>
      <w:pPr>
        <w:spacing w:line="480" w:lineRule="exact"/>
        <w:ind w:firstLine="480" w:firstLineChars="200"/>
        <w:rPr>
          <w:rFonts w:ascii="宋体" w:hAnsi="宋体"/>
          <w:bCs/>
          <w:sz w:val="24"/>
        </w:rPr>
      </w:pPr>
      <w:r>
        <w:rPr>
          <w:rFonts w:hint="eastAsia" w:ascii="宋体" w:hAnsi="宋体"/>
          <w:bCs/>
          <w:sz w:val="24"/>
        </w:rPr>
        <w:t>投标报价得分=（评标基准价/投标报价）×30</w:t>
      </w:r>
    </w:p>
    <w:p>
      <w:pPr>
        <w:tabs>
          <w:tab w:val="left" w:pos="0"/>
          <w:tab w:val="left" w:pos="600"/>
          <w:tab w:val="left" w:pos="1134"/>
        </w:tabs>
        <w:adjustRightInd w:val="0"/>
        <w:snapToGrid w:val="0"/>
        <w:spacing w:line="400" w:lineRule="exact"/>
        <w:ind w:firstLine="472" w:firstLineChars="196"/>
        <w:rPr>
          <w:rFonts w:ascii="宋体" w:hAnsi="宋体"/>
          <w:b/>
          <w:bCs/>
          <w:sz w:val="24"/>
        </w:rPr>
      </w:pPr>
      <w:r>
        <w:rPr>
          <w:rFonts w:hint="eastAsia" w:ascii="宋体" w:hAnsi="宋体"/>
          <w:b/>
          <w:bCs/>
          <w:sz w:val="24"/>
        </w:rPr>
        <w:t>2、 技术参数响应情况(18分)</w:t>
      </w:r>
    </w:p>
    <w:p>
      <w:pPr>
        <w:tabs>
          <w:tab w:val="left" w:pos="0"/>
          <w:tab w:val="left" w:pos="600"/>
          <w:tab w:val="left" w:pos="1134"/>
        </w:tabs>
        <w:adjustRightInd w:val="0"/>
        <w:snapToGrid w:val="0"/>
        <w:spacing w:line="400" w:lineRule="exact"/>
        <w:ind w:firstLine="480" w:firstLineChars="200"/>
        <w:rPr>
          <w:rFonts w:ascii="宋体" w:hAnsi="宋体"/>
          <w:bCs/>
          <w:sz w:val="24"/>
        </w:rPr>
      </w:pPr>
      <w:r>
        <w:rPr>
          <w:rFonts w:hint="eastAsia" w:ascii="宋体" w:hAnsi="宋体"/>
          <w:bCs/>
          <w:sz w:val="24"/>
        </w:rPr>
        <w:t>根据各投标文件对技术性能的响应情况，完全响应得18分，负偏离一项扣3分，最高得分为</w:t>
      </w:r>
      <w:r>
        <w:rPr>
          <w:rFonts w:hint="eastAsia" w:ascii="宋体" w:hAnsi="宋体"/>
          <w:bCs/>
          <w:sz w:val="24"/>
          <w:lang w:val="en-US" w:eastAsia="zh-CN"/>
        </w:rPr>
        <w:t>18</w:t>
      </w:r>
      <w:r>
        <w:rPr>
          <w:rFonts w:hint="eastAsia" w:ascii="宋体" w:hAnsi="宋体"/>
          <w:bCs/>
          <w:sz w:val="24"/>
        </w:rPr>
        <w:t>分。</w:t>
      </w:r>
    </w:p>
    <w:p>
      <w:pPr>
        <w:shd w:val="clear" w:color="auto" w:fill="FFFFFF"/>
        <w:snapToGrid w:val="0"/>
        <w:spacing w:line="480" w:lineRule="exact"/>
        <w:ind w:firstLine="482" w:firstLineChars="200"/>
        <w:rPr>
          <w:rFonts w:ascii="宋体" w:hAnsi="宋体"/>
          <w:b/>
          <w:sz w:val="24"/>
        </w:rPr>
      </w:pPr>
      <w:r>
        <w:rPr>
          <w:rFonts w:hint="eastAsia" w:ascii="宋体" w:hAnsi="宋体"/>
          <w:b/>
          <w:sz w:val="24"/>
        </w:rPr>
        <w:t>3、样品质量分（25分）</w:t>
      </w:r>
    </w:p>
    <w:p>
      <w:pPr>
        <w:spacing w:line="480" w:lineRule="exact"/>
        <w:ind w:firstLine="480" w:firstLineChars="200"/>
        <w:rPr>
          <w:rFonts w:ascii="宋体" w:hAnsi="宋体"/>
          <w:bCs/>
          <w:sz w:val="24"/>
        </w:rPr>
      </w:pPr>
      <w:r>
        <w:rPr>
          <w:rFonts w:hint="eastAsia" w:ascii="宋体" w:hAnsi="宋体"/>
          <w:bCs/>
          <w:sz w:val="24"/>
        </w:rPr>
        <w:t>根据提供的样品质量予以综合打分（提供板材小样，不小于20*20cm。提供床垫小样，不小于30*30cm）。</w:t>
      </w:r>
    </w:p>
    <w:p>
      <w:pPr>
        <w:shd w:val="clear" w:color="auto" w:fill="FFFFFF"/>
        <w:snapToGrid w:val="0"/>
        <w:spacing w:line="480" w:lineRule="exact"/>
        <w:ind w:firstLine="482" w:firstLineChars="200"/>
        <w:rPr>
          <w:rFonts w:ascii="宋体" w:hAnsi="宋体"/>
          <w:b/>
          <w:bCs/>
          <w:sz w:val="24"/>
        </w:rPr>
      </w:pPr>
      <w:r>
        <w:rPr>
          <w:rFonts w:hint="eastAsia" w:ascii="宋体" w:hAnsi="宋体"/>
          <w:b/>
          <w:bCs/>
          <w:sz w:val="24"/>
        </w:rPr>
        <w:t>4、售后服务（15分）</w:t>
      </w:r>
    </w:p>
    <w:p>
      <w:pPr>
        <w:spacing w:line="480" w:lineRule="exact"/>
        <w:ind w:firstLine="480" w:firstLineChars="200"/>
        <w:rPr>
          <w:rFonts w:ascii="宋体" w:hAnsi="宋体"/>
          <w:bCs/>
          <w:sz w:val="24"/>
        </w:rPr>
      </w:pPr>
      <w:r>
        <w:rPr>
          <w:rFonts w:hint="eastAsia" w:ascii="宋体" w:hAnsi="宋体"/>
          <w:bCs/>
          <w:sz w:val="24"/>
        </w:rPr>
        <w:t>1、质保期：满足采购文件要求得2分，每增加1年原厂质保得1分，最多得7分。（7分）</w:t>
      </w:r>
    </w:p>
    <w:p>
      <w:pPr>
        <w:spacing w:line="480" w:lineRule="exact"/>
        <w:ind w:firstLine="480" w:firstLineChars="200"/>
        <w:rPr>
          <w:rFonts w:ascii="宋体" w:hAnsi="宋体"/>
          <w:bCs/>
          <w:sz w:val="24"/>
        </w:rPr>
      </w:pPr>
      <w:r>
        <w:rPr>
          <w:rFonts w:hint="eastAsia" w:ascii="宋体" w:hAnsi="宋体"/>
          <w:bCs/>
          <w:sz w:val="24"/>
        </w:rPr>
        <w:t>2、维保期内及后期服务方案，最优得7分。（8分）</w:t>
      </w:r>
    </w:p>
    <w:p>
      <w:pPr>
        <w:shd w:val="clear" w:color="auto" w:fill="FFFFFF"/>
        <w:snapToGrid w:val="0"/>
        <w:spacing w:line="480" w:lineRule="exact"/>
        <w:ind w:firstLine="482" w:firstLineChars="200"/>
        <w:rPr>
          <w:rFonts w:ascii="宋体" w:hAnsi="宋体"/>
          <w:b/>
          <w:bCs/>
          <w:sz w:val="24"/>
        </w:rPr>
      </w:pPr>
      <w:r>
        <w:rPr>
          <w:rFonts w:hint="eastAsia" w:ascii="宋体" w:hAnsi="宋体"/>
          <w:b/>
          <w:bCs/>
          <w:sz w:val="24"/>
        </w:rPr>
        <w:t>5、企业经营业绩及信誉情况（12分）</w:t>
      </w:r>
    </w:p>
    <w:p>
      <w:pPr>
        <w:spacing w:line="480" w:lineRule="exact"/>
        <w:ind w:firstLine="480" w:firstLineChars="200"/>
        <w:rPr>
          <w:rFonts w:ascii="宋体" w:hAnsi="宋体"/>
          <w:bCs/>
          <w:sz w:val="24"/>
        </w:rPr>
      </w:pPr>
      <w:r>
        <w:rPr>
          <w:rFonts w:hint="eastAsia" w:ascii="宋体" w:hAnsi="宋体"/>
          <w:bCs/>
          <w:sz w:val="24"/>
        </w:rPr>
        <w:t>1、投标企业的总体评价：根据投标人的信誉影响、生产规模，企业管理的规范性，制度是否健全等打分，最优得7分。（7分）</w:t>
      </w:r>
    </w:p>
    <w:p>
      <w:pPr>
        <w:spacing w:line="480" w:lineRule="exact"/>
        <w:ind w:firstLine="480" w:firstLineChars="200"/>
        <w:rPr>
          <w:rFonts w:hint="eastAsia" w:ascii="宋体" w:hAnsi="宋体"/>
          <w:bCs/>
          <w:sz w:val="24"/>
        </w:rPr>
      </w:pPr>
      <w:r>
        <w:rPr>
          <w:rFonts w:hint="eastAsia" w:ascii="宋体" w:hAnsi="宋体"/>
          <w:bCs/>
          <w:sz w:val="24"/>
        </w:rPr>
        <w:t>2、至本项目投标截止日期止三年内有一个类似产品业绩得1分，满分5分，需提供合同复印件（加盖公章）。（5分）</w:t>
      </w:r>
    </w:p>
    <w:p>
      <w:pPr>
        <w:spacing w:line="480" w:lineRule="exact"/>
        <w:ind w:firstLine="480" w:firstLineChars="200"/>
        <w:rPr>
          <w:rFonts w:hint="eastAsia" w:ascii="宋体" w:hAnsi="宋体"/>
          <w:bCs/>
          <w:sz w:val="24"/>
        </w:rPr>
      </w:pPr>
    </w:p>
    <w:p>
      <w:pPr>
        <w:spacing w:line="480" w:lineRule="exact"/>
        <w:ind w:firstLine="480" w:firstLineChars="200"/>
        <w:rPr>
          <w:rFonts w:hint="eastAsia" w:ascii="宋体" w:hAnsi="宋体"/>
          <w:bCs/>
          <w:sz w:val="24"/>
        </w:rPr>
      </w:pPr>
      <w:bookmarkStart w:id="3" w:name="_GoBack"/>
      <w:bookmarkEnd w:id="3"/>
    </w:p>
    <w:p>
      <w:pPr>
        <w:rPr>
          <w:rFonts w:ascii="Arial" w:hAnsi="Arial" w:eastAsia="宋体" w:cs="Arial"/>
          <w:color w:val="333333"/>
          <w:szCs w:val="21"/>
          <w:shd w:val="clear" w:color="auto" w:fill="FFFFFF"/>
        </w:rPr>
      </w:pPr>
    </w:p>
    <w:p>
      <w:pPr>
        <w:rPr>
          <w:rFonts w:ascii="Arial" w:hAnsi="Arial" w:eastAsia="宋体" w:cs="Arial"/>
          <w:color w:val="333333"/>
          <w:szCs w:val="21"/>
          <w:shd w:val="clear" w:color="auto" w:fill="FFFFFF"/>
        </w:rPr>
      </w:pPr>
    </w:p>
    <w:p>
      <w:pPr>
        <w:adjustRightInd w:val="0"/>
        <w:snapToGrid w:val="0"/>
        <w:rPr>
          <w:rFonts w:asciiTheme="minorEastAsia" w:hAnsiTheme="minorEastAsia"/>
          <w:b/>
          <w:sz w:val="24"/>
        </w:rPr>
      </w:pPr>
      <w:r>
        <w:rPr>
          <w:rFonts w:hint="eastAsia" w:asciiTheme="minorEastAsia" w:hAnsiTheme="minorEastAsia"/>
          <w:b/>
          <w:sz w:val="24"/>
        </w:rPr>
        <w:t>五、响应报价表</w:t>
      </w:r>
    </w:p>
    <w:p>
      <w:pPr>
        <w:adjustRightInd w:val="0"/>
        <w:snapToGrid w:val="0"/>
        <w:spacing w:line="600" w:lineRule="exact"/>
        <w:ind w:firstLine="2891" w:firstLineChars="900"/>
        <w:rPr>
          <w:rFonts w:ascii="仿宋" w:hAnsi="仿宋" w:eastAsia="仿宋" w:cs="宋体"/>
          <w:b/>
          <w:sz w:val="32"/>
          <w:szCs w:val="32"/>
        </w:rPr>
      </w:pPr>
      <w:r>
        <w:rPr>
          <w:rFonts w:hint="eastAsia" w:ascii="仿宋" w:hAnsi="仿宋" w:eastAsia="仿宋" w:cs="宋体"/>
          <w:b/>
          <w:sz w:val="32"/>
          <w:szCs w:val="32"/>
        </w:rPr>
        <w:t>磋商响应报价表</w:t>
      </w:r>
    </w:p>
    <w:p>
      <w:pPr>
        <w:adjustRightInd w:val="0"/>
        <w:snapToGrid w:val="0"/>
        <w:spacing w:line="600" w:lineRule="exact"/>
        <w:jc w:val="center"/>
        <w:rPr>
          <w:rFonts w:ascii="仿宋" w:hAnsi="仿宋" w:eastAsia="仿宋"/>
          <w:b/>
          <w:sz w:val="32"/>
          <w:szCs w:val="32"/>
        </w:rPr>
      </w:pPr>
      <w:r>
        <w:rPr>
          <w:rFonts w:hint="eastAsia" w:ascii="仿宋" w:hAnsi="仿宋" w:eastAsia="仿宋"/>
          <w:b/>
          <w:sz w:val="32"/>
          <w:szCs w:val="32"/>
        </w:rPr>
        <w:t>（表格格式可根据项目特点自行设计）</w:t>
      </w:r>
    </w:p>
    <w:p>
      <w:pPr>
        <w:adjustRightInd w:val="0"/>
        <w:snapToGrid w:val="0"/>
        <w:spacing w:line="600" w:lineRule="exact"/>
        <w:ind w:firstLine="640" w:firstLineChars="200"/>
        <w:rPr>
          <w:rFonts w:ascii="仿宋" w:hAnsi="仿宋" w:eastAsia="仿宋" w:cs="宋体"/>
          <w:sz w:val="32"/>
          <w:szCs w:val="32"/>
        </w:rPr>
      </w:pPr>
    </w:p>
    <w:tbl>
      <w:tblPr>
        <w:tblStyle w:val="8"/>
        <w:tblpPr w:leftFromText="180" w:rightFromText="180" w:vertAnchor="text" w:horzAnchor="margin" w:tblpY="548"/>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381"/>
        <w:gridCol w:w="1965"/>
        <w:gridCol w:w="1905"/>
        <w:gridCol w:w="2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ign w:val="center"/>
          </w:tcPr>
          <w:p>
            <w:pPr>
              <w:snapToGrid w:val="0"/>
              <w:spacing w:line="600" w:lineRule="exact"/>
              <w:jc w:val="center"/>
              <w:rPr>
                <w:rFonts w:ascii="仿宋" w:hAnsi="仿宋" w:eastAsia="仿宋" w:cs="宋体"/>
                <w:b/>
                <w:sz w:val="32"/>
                <w:szCs w:val="32"/>
              </w:rPr>
            </w:pPr>
            <w:r>
              <w:rPr>
                <w:rFonts w:hint="eastAsia" w:ascii="仿宋" w:hAnsi="仿宋" w:eastAsia="仿宋" w:cs="宋体"/>
                <w:b/>
                <w:sz w:val="32"/>
                <w:szCs w:val="32"/>
              </w:rPr>
              <w:t>序号</w:t>
            </w:r>
          </w:p>
        </w:tc>
        <w:tc>
          <w:tcPr>
            <w:tcW w:w="1381" w:type="dxa"/>
            <w:tcBorders>
              <w:top w:val="single" w:color="auto" w:sz="4" w:space="0"/>
              <w:left w:val="single" w:color="auto" w:sz="4" w:space="0"/>
              <w:bottom w:val="single" w:color="auto" w:sz="4" w:space="0"/>
              <w:right w:val="single" w:color="auto" w:sz="4" w:space="0"/>
            </w:tcBorders>
            <w:noWrap/>
            <w:vAlign w:val="center"/>
          </w:tcPr>
          <w:p>
            <w:pPr>
              <w:snapToGrid w:val="0"/>
              <w:spacing w:line="600" w:lineRule="exact"/>
              <w:jc w:val="center"/>
              <w:rPr>
                <w:rFonts w:ascii="仿宋" w:hAnsi="仿宋" w:eastAsia="仿宋" w:cs="宋体"/>
                <w:b/>
                <w:sz w:val="32"/>
                <w:szCs w:val="32"/>
              </w:rPr>
            </w:pPr>
            <w:r>
              <w:rPr>
                <w:rFonts w:hint="eastAsia" w:ascii="仿宋" w:hAnsi="仿宋" w:eastAsia="仿宋" w:cs="宋体"/>
                <w:b/>
                <w:sz w:val="32"/>
                <w:szCs w:val="32"/>
              </w:rPr>
              <w:t>名称</w:t>
            </w:r>
          </w:p>
        </w:tc>
        <w:tc>
          <w:tcPr>
            <w:tcW w:w="1965" w:type="dxa"/>
            <w:tcBorders>
              <w:top w:val="single" w:color="auto" w:sz="4" w:space="0"/>
              <w:left w:val="single" w:color="auto" w:sz="4" w:space="0"/>
              <w:bottom w:val="single" w:color="auto" w:sz="4" w:space="0"/>
              <w:right w:val="single" w:color="auto" w:sz="4" w:space="0"/>
            </w:tcBorders>
            <w:noWrap/>
            <w:vAlign w:val="center"/>
          </w:tcPr>
          <w:p>
            <w:pPr>
              <w:snapToGrid w:val="0"/>
              <w:spacing w:line="600" w:lineRule="exact"/>
              <w:jc w:val="center"/>
              <w:rPr>
                <w:rFonts w:ascii="仿宋" w:hAnsi="仿宋" w:eastAsia="仿宋" w:cs="宋体"/>
                <w:b/>
                <w:sz w:val="32"/>
                <w:szCs w:val="32"/>
              </w:rPr>
            </w:pPr>
            <w:r>
              <w:rPr>
                <w:rFonts w:hint="eastAsia" w:ascii="仿宋" w:hAnsi="仿宋" w:eastAsia="仿宋" w:cs="宋体"/>
                <w:b/>
                <w:sz w:val="32"/>
                <w:szCs w:val="32"/>
              </w:rPr>
              <w:t>单位</w:t>
            </w:r>
          </w:p>
        </w:tc>
        <w:tc>
          <w:tcPr>
            <w:tcW w:w="1905" w:type="dxa"/>
            <w:tcBorders>
              <w:top w:val="single" w:color="auto" w:sz="4" w:space="0"/>
              <w:left w:val="single" w:color="auto" w:sz="4" w:space="0"/>
              <w:bottom w:val="single" w:color="auto" w:sz="4" w:space="0"/>
              <w:right w:val="single" w:color="auto" w:sz="4" w:space="0"/>
            </w:tcBorders>
            <w:noWrap/>
            <w:vAlign w:val="center"/>
          </w:tcPr>
          <w:p>
            <w:pPr>
              <w:snapToGrid w:val="0"/>
              <w:spacing w:line="600" w:lineRule="exact"/>
              <w:jc w:val="center"/>
              <w:rPr>
                <w:rFonts w:ascii="仿宋" w:hAnsi="仿宋" w:eastAsia="仿宋" w:cs="宋体"/>
                <w:b/>
                <w:sz w:val="32"/>
                <w:szCs w:val="32"/>
              </w:rPr>
            </w:pPr>
            <w:r>
              <w:rPr>
                <w:rFonts w:hint="eastAsia" w:ascii="仿宋" w:hAnsi="仿宋" w:eastAsia="仿宋" w:cs="宋体"/>
                <w:b/>
                <w:sz w:val="32"/>
                <w:szCs w:val="32"/>
              </w:rPr>
              <w:t>单价</w:t>
            </w:r>
          </w:p>
        </w:tc>
        <w:tc>
          <w:tcPr>
            <w:tcW w:w="2233" w:type="dxa"/>
            <w:tcBorders>
              <w:top w:val="single" w:color="auto" w:sz="4" w:space="0"/>
              <w:left w:val="single" w:color="auto" w:sz="4" w:space="0"/>
              <w:bottom w:val="single" w:color="auto" w:sz="4" w:space="0"/>
              <w:right w:val="single" w:color="auto" w:sz="4" w:space="0"/>
            </w:tcBorders>
            <w:noWrap/>
            <w:vAlign w:val="center"/>
          </w:tcPr>
          <w:p>
            <w:pPr>
              <w:snapToGrid w:val="0"/>
              <w:spacing w:line="600" w:lineRule="exact"/>
              <w:jc w:val="center"/>
              <w:rPr>
                <w:rFonts w:ascii="仿宋" w:hAnsi="仿宋" w:eastAsia="仿宋" w:cs="宋体"/>
                <w:b/>
                <w:sz w:val="32"/>
                <w:szCs w:val="32"/>
              </w:rPr>
            </w:pPr>
            <w:r>
              <w:rPr>
                <w:rFonts w:hint="eastAsia" w:ascii="仿宋" w:hAnsi="仿宋" w:eastAsia="仿宋" w:cs="宋体"/>
                <w:b/>
                <w:sz w:val="32"/>
                <w:szCs w:val="32"/>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88" w:type="dxa"/>
            <w:tcBorders>
              <w:top w:val="single" w:color="auto" w:sz="4" w:space="0"/>
              <w:left w:val="single" w:color="auto" w:sz="4" w:space="0"/>
              <w:bottom w:val="single" w:color="auto" w:sz="4" w:space="0"/>
              <w:right w:val="single" w:color="auto" w:sz="4" w:space="0"/>
            </w:tcBorders>
            <w:noWrap/>
            <w:vAlign w:val="center"/>
          </w:tcPr>
          <w:p>
            <w:pPr>
              <w:snapToGrid w:val="0"/>
              <w:spacing w:line="600" w:lineRule="exact"/>
              <w:jc w:val="center"/>
              <w:rPr>
                <w:rFonts w:ascii="仿宋" w:hAnsi="仿宋" w:eastAsia="仿宋" w:cs="宋体"/>
                <w:sz w:val="32"/>
                <w:szCs w:val="32"/>
              </w:rPr>
            </w:pPr>
            <w:r>
              <w:rPr>
                <w:rFonts w:hint="eastAsia" w:ascii="仿宋" w:hAnsi="仿宋" w:eastAsia="仿宋" w:cs="宋体"/>
                <w:sz w:val="32"/>
                <w:szCs w:val="32"/>
              </w:rPr>
              <w:t>1</w:t>
            </w:r>
          </w:p>
        </w:tc>
        <w:tc>
          <w:tcPr>
            <w:tcW w:w="1381" w:type="dxa"/>
            <w:tcBorders>
              <w:top w:val="single" w:color="auto" w:sz="4" w:space="0"/>
              <w:left w:val="single" w:color="auto" w:sz="4" w:space="0"/>
              <w:bottom w:val="single" w:color="auto" w:sz="4" w:space="0"/>
              <w:right w:val="single" w:color="auto" w:sz="4" w:space="0"/>
            </w:tcBorders>
            <w:noWrap/>
          </w:tcPr>
          <w:p>
            <w:pPr>
              <w:snapToGrid w:val="0"/>
              <w:spacing w:line="600" w:lineRule="exact"/>
              <w:rPr>
                <w:rFonts w:ascii="仿宋" w:hAnsi="仿宋" w:eastAsia="仿宋" w:cs="宋体"/>
                <w:sz w:val="32"/>
                <w:szCs w:val="32"/>
              </w:rPr>
            </w:pPr>
          </w:p>
        </w:tc>
        <w:tc>
          <w:tcPr>
            <w:tcW w:w="1965" w:type="dxa"/>
            <w:tcBorders>
              <w:top w:val="single" w:color="auto" w:sz="4" w:space="0"/>
              <w:left w:val="single" w:color="auto" w:sz="4" w:space="0"/>
              <w:bottom w:val="single" w:color="auto" w:sz="4" w:space="0"/>
              <w:right w:val="single" w:color="auto" w:sz="4" w:space="0"/>
            </w:tcBorders>
            <w:noWrap/>
          </w:tcPr>
          <w:p>
            <w:pPr>
              <w:snapToGrid w:val="0"/>
              <w:spacing w:line="600" w:lineRule="exact"/>
              <w:jc w:val="center"/>
              <w:rPr>
                <w:rFonts w:ascii="仿宋" w:hAnsi="仿宋" w:eastAsia="仿宋" w:cs="宋体"/>
                <w:sz w:val="32"/>
                <w:szCs w:val="32"/>
              </w:rPr>
            </w:pPr>
          </w:p>
        </w:tc>
        <w:tc>
          <w:tcPr>
            <w:tcW w:w="1905" w:type="dxa"/>
            <w:tcBorders>
              <w:top w:val="single" w:color="auto" w:sz="4" w:space="0"/>
              <w:left w:val="single" w:color="auto" w:sz="4" w:space="0"/>
              <w:bottom w:val="single" w:color="auto" w:sz="4" w:space="0"/>
              <w:right w:val="single" w:color="auto" w:sz="4" w:space="0"/>
            </w:tcBorders>
            <w:noWrap/>
          </w:tcPr>
          <w:p>
            <w:pPr>
              <w:snapToGrid w:val="0"/>
              <w:spacing w:line="600" w:lineRule="exact"/>
              <w:jc w:val="center"/>
              <w:rPr>
                <w:rFonts w:ascii="仿宋" w:hAnsi="仿宋" w:eastAsia="仿宋" w:cs="宋体"/>
                <w:sz w:val="32"/>
                <w:szCs w:val="32"/>
              </w:rPr>
            </w:pPr>
          </w:p>
        </w:tc>
        <w:tc>
          <w:tcPr>
            <w:tcW w:w="2233" w:type="dxa"/>
            <w:tcBorders>
              <w:top w:val="single" w:color="auto" w:sz="4" w:space="0"/>
              <w:left w:val="single" w:color="auto" w:sz="4" w:space="0"/>
              <w:bottom w:val="single" w:color="auto" w:sz="4" w:space="0"/>
              <w:right w:val="single" w:color="auto" w:sz="4" w:space="0"/>
            </w:tcBorders>
            <w:noWrap/>
          </w:tcPr>
          <w:p>
            <w:pPr>
              <w:snapToGrid w:val="0"/>
              <w:spacing w:line="600" w:lineRule="exact"/>
              <w:rPr>
                <w:rFonts w:ascii="仿宋" w:hAnsi="仿宋" w:eastAsia="仿宋"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ign w:val="center"/>
          </w:tcPr>
          <w:p>
            <w:pPr>
              <w:snapToGrid w:val="0"/>
              <w:spacing w:line="600" w:lineRule="exact"/>
              <w:jc w:val="center"/>
              <w:rPr>
                <w:rFonts w:ascii="仿宋" w:hAnsi="仿宋" w:eastAsia="仿宋" w:cs="宋体"/>
                <w:sz w:val="32"/>
                <w:szCs w:val="32"/>
              </w:rPr>
            </w:pPr>
            <w:r>
              <w:rPr>
                <w:rFonts w:hint="eastAsia" w:ascii="仿宋" w:hAnsi="仿宋" w:eastAsia="仿宋" w:cs="宋体"/>
                <w:sz w:val="32"/>
                <w:szCs w:val="32"/>
              </w:rPr>
              <w:t>2</w:t>
            </w:r>
          </w:p>
        </w:tc>
        <w:tc>
          <w:tcPr>
            <w:tcW w:w="1381" w:type="dxa"/>
            <w:tcBorders>
              <w:top w:val="single" w:color="auto" w:sz="4" w:space="0"/>
              <w:left w:val="single" w:color="auto" w:sz="4" w:space="0"/>
              <w:bottom w:val="single" w:color="auto" w:sz="4" w:space="0"/>
              <w:right w:val="single" w:color="auto" w:sz="4" w:space="0"/>
            </w:tcBorders>
            <w:noWrap/>
          </w:tcPr>
          <w:p>
            <w:pPr>
              <w:snapToGrid w:val="0"/>
              <w:spacing w:line="600" w:lineRule="exact"/>
              <w:rPr>
                <w:rFonts w:ascii="仿宋" w:hAnsi="仿宋" w:eastAsia="仿宋" w:cs="宋体"/>
                <w:sz w:val="32"/>
                <w:szCs w:val="32"/>
              </w:rPr>
            </w:pPr>
          </w:p>
        </w:tc>
        <w:tc>
          <w:tcPr>
            <w:tcW w:w="1965" w:type="dxa"/>
            <w:tcBorders>
              <w:top w:val="single" w:color="auto" w:sz="4" w:space="0"/>
              <w:left w:val="single" w:color="auto" w:sz="4" w:space="0"/>
              <w:bottom w:val="single" w:color="auto" w:sz="4" w:space="0"/>
              <w:right w:val="single" w:color="auto" w:sz="4" w:space="0"/>
            </w:tcBorders>
            <w:noWrap/>
          </w:tcPr>
          <w:p>
            <w:pPr>
              <w:snapToGrid w:val="0"/>
              <w:spacing w:line="600" w:lineRule="exact"/>
              <w:jc w:val="center"/>
              <w:rPr>
                <w:rFonts w:ascii="仿宋" w:hAnsi="仿宋" w:eastAsia="仿宋" w:cs="宋体"/>
                <w:sz w:val="32"/>
                <w:szCs w:val="32"/>
              </w:rPr>
            </w:pPr>
          </w:p>
        </w:tc>
        <w:tc>
          <w:tcPr>
            <w:tcW w:w="1905" w:type="dxa"/>
            <w:tcBorders>
              <w:top w:val="single" w:color="auto" w:sz="4" w:space="0"/>
              <w:left w:val="single" w:color="auto" w:sz="4" w:space="0"/>
              <w:bottom w:val="single" w:color="auto" w:sz="4" w:space="0"/>
              <w:right w:val="single" w:color="auto" w:sz="4" w:space="0"/>
            </w:tcBorders>
            <w:noWrap/>
          </w:tcPr>
          <w:p>
            <w:pPr>
              <w:snapToGrid w:val="0"/>
              <w:spacing w:line="600" w:lineRule="exact"/>
              <w:jc w:val="center"/>
              <w:rPr>
                <w:rFonts w:ascii="仿宋" w:hAnsi="仿宋" w:eastAsia="仿宋" w:cs="宋体"/>
                <w:sz w:val="32"/>
                <w:szCs w:val="32"/>
              </w:rPr>
            </w:pPr>
          </w:p>
        </w:tc>
        <w:tc>
          <w:tcPr>
            <w:tcW w:w="2233" w:type="dxa"/>
            <w:tcBorders>
              <w:top w:val="single" w:color="auto" w:sz="4" w:space="0"/>
              <w:left w:val="single" w:color="auto" w:sz="4" w:space="0"/>
              <w:bottom w:val="single" w:color="auto" w:sz="4" w:space="0"/>
              <w:right w:val="single" w:color="auto" w:sz="4" w:space="0"/>
            </w:tcBorders>
            <w:noWrap/>
          </w:tcPr>
          <w:p>
            <w:pPr>
              <w:snapToGrid w:val="0"/>
              <w:spacing w:line="600" w:lineRule="exact"/>
              <w:rPr>
                <w:rFonts w:ascii="仿宋" w:hAnsi="仿宋" w:eastAsia="仿宋"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ign w:val="center"/>
          </w:tcPr>
          <w:p>
            <w:pPr>
              <w:snapToGrid w:val="0"/>
              <w:spacing w:line="600" w:lineRule="exact"/>
              <w:jc w:val="center"/>
              <w:rPr>
                <w:rFonts w:ascii="仿宋" w:hAnsi="仿宋" w:eastAsia="仿宋" w:cs="宋体"/>
                <w:sz w:val="32"/>
                <w:szCs w:val="32"/>
              </w:rPr>
            </w:pPr>
            <w:r>
              <w:rPr>
                <w:rFonts w:hint="eastAsia" w:ascii="仿宋" w:hAnsi="仿宋" w:eastAsia="仿宋" w:cs="宋体"/>
                <w:sz w:val="32"/>
                <w:szCs w:val="32"/>
              </w:rPr>
              <w:t>总价</w:t>
            </w:r>
          </w:p>
        </w:tc>
        <w:tc>
          <w:tcPr>
            <w:tcW w:w="7484" w:type="dxa"/>
            <w:gridSpan w:val="4"/>
            <w:tcBorders>
              <w:top w:val="single" w:color="auto" w:sz="4" w:space="0"/>
              <w:left w:val="single" w:color="auto" w:sz="4" w:space="0"/>
              <w:bottom w:val="single" w:color="auto" w:sz="4" w:space="0"/>
              <w:right w:val="single" w:color="auto" w:sz="4" w:space="0"/>
            </w:tcBorders>
            <w:noWrap/>
          </w:tcPr>
          <w:p>
            <w:pPr>
              <w:snapToGrid w:val="0"/>
              <w:spacing w:line="600" w:lineRule="exact"/>
              <w:rPr>
                <w:rFonts w:ascii="仿宋" w:hAnsi="仿宋" w:eastAsia="仿宋" w:cs="宋体"/>
                <w:sz w:val="32"/>
                <w:szCs w:val="32"/>
              </w:rPr>
            </w:pPr>
            <w:r>
              <w:rPr>
                <w:rFonts w:hint="eastAsia" w:ascii="仿宋" w:hAnsi="仿宋" w:eastAsia="仿宋" w:cs="宋体"/>
                <w:sz w:val="32"/>
                <w:szCs w:val="32"/>
              </w:rPr>
              <w:t>人民币（大写）：                   元。</w:t>
            </w:r>
          </w:p>
        </w:tc>
      </w:tr>
    </w:tbl>
    <w:p>
      <w:pPr>
        <w:adjustRightInd w:val="0"/>
        <w:snapToGrid w:val="0"/>
        <w:spacing w:line="600" w:lineRule="exact"/>
        <w:rPr>
          <w:rFonts w:ascii="仿宋" w:hAnsi="仿宋" w:eastAsia="仿宋" w:cs="宋体"/>
          <w:b/>
          <w:sz w:val="32"/>
          <w:szCs w:val="32"/>
        </w:rPr>
      </w:pPr>
    </w:p>
    <w:p>
      <w:pPr>
        <w:adjustRightInd w:val="0"/>
        <w:snapToGrid w:val="0"/>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价格构成、报价要求：</w:t>
      </w:r>
      <w:r>
        <w:rPr>
          <w:rFonts w:hint="eastAsia" w:ascii="仿宋" w:hAnsi="仿宋" w:eastAsia="仿宋" w:cs="宋体"/>
          <w:sz w:val="32"/>
          <w:szCs w:val="32"/>
        </w:rPr>
        <w:t>此表可以根据需要自行增减行数，且</w:t>
      </w:r>
      <w:r>
        <w:rPr>
          <w:rFonts w:hint="eastAsia" w:ascii="仿宋" w:hAnsi="仿宋" w:eastAsia="仿宋" w:cs="宋体"/>
          <w:b/>
          <w:sz w:val="32"/>
          <w:szCs w:val="32"/>
        </w:rPr>
        <w:t>该表报价非本次谈判中的最后报价。</w:t>
      </w:r>
    </w:p>
    <w:p>
      <w:pPr>
        <w:adjustRightInd w:val="0"/>
        <w:snapToGrid w:val="0"/>
        <w:ind w:firstLine="1680" w:firstLineChars="600"/>
        <w:rPr>
          <w:rFonts w:ascii="仿宋" w:hAnsi="仿宋" w:eastAsia="仿宋"/>
          <w:sz w:val="28"/>
          <w:szCs w:val="28"/>
        </w:rPr>
      </w:pPr>
    </w:p>
    <w:p>
      <w:pPr>
        <w:adjustRightInd w:val="0"/>
        <w:snapToGrid w:val="0"/>
        <w:ind w:firstLine="1680" w:firstLineChars="60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ind w:firstLine="2240" w:firstLineChars="700"/>
        <w:rPr>
          <w:rFonts w:ascii="仿宋" w:hAnsi="仿宋" w:eastAsia="仿宋" w:cs="宋体"/>
          <w:sz w:val="32"/>
          <w:szCs w:val="32"/>
        </w:rPr>
      </w:pPr>
      <w:r>
        <w:rPr>
          <w:rFonts w:hint="eastAsia" w:ascii="仿宋" w:hAnsi="仿宋" w:eastAsia="仿宋" w:cs="宋体"/>
          <w:sz w:val="32"/>
          <w:szCs w:val="32"/>
        </w:rPr>
        <w:t>供应商名称：XXX（盖单位公章）</w:t>
      </w:r>
    </w:p>
    <w:p>
      <w:pPr>
        <w:adjustRightInd w:val="0"/>
        <w:snapToGrid w:val="0"/>
        <w:ind w:firstLine="2240" w:firstLineChars="700"/>
        <w:rPr>
          <w:rFonts w:ascii="仿宋" w:hAnsi="仿宋" w:eastAsia="仿宋" w:cs="宋体"/>
          <w:sz w:val="32"/>
          <w:szCs w:val="32"/>
        </w:rPr>
      </w:pPr>
      <w:r>
        <w:rPr>
          <w:rFonts w:hint="eastAsia" w:ascii="仿宋" w:hAnsi="仿宋" w:eastAsia="仿宋" w:cs="宋体"/>
          <w:sz w:val="32"/>
          <w:szCs w:val="32"/>
        </w:rPr>
        <w:t>法定代表人或授权代表（签字或盖章）：</w:t>
      </w:r>
    </w:p>
    <w:p>
      <w:pPr>
        <w:adjustRightInd w:val="0"/>
        <w:snapToGrid w:val="0"/>
        <w:ind w:firstLine="2240" w:firstLineChars="700"/>
        <w:rPr>
          <w:rFonts w:ascii="仿宋" w:hAnsi="仿宋" w:eastAsia="仿宋" w:cs="宋体"/>
          <w:sz w:val="32"/>
          <w:szCs w:val="32"/>
        </w:rPr>
      </w:pPr>
      <w:r>
        <w:rPr>
          <w:rFonts w:hint="eastAsia" w:ascii="仿宋" w:hAnsi="仿宋" w:eastAsia="仿宋" w:cs="宋体"/>
          <w:sz w:val="32"/>
          <w:szCs w:val="32"/>
        </w:rPr>
        <w:t xml:space="preserve">日      期：XXX年XXX月XXX日 </w:t>
      </w:r>
    </w:p>
    <w:p>
      <w:pPr>
        <w:rPr>
          <w:rFonts w:ascii="Arial" w:hAnsi="Arial" w:eastAsia="宋体" w:cs="Arial"/>
          <w:color w:val="333333"/>
          <w:szCs w:val="21"/>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zZDI2ZWM4OWIxMjFjNzVjNzFhMDU3MmQ5ODA2NGIifQ=="/>
  </w:docVars>
  <w:rsids>
    <w:rsidRoot w:val="74A8239F"/>
    <w:rsid w:val="0005378F"/>
    <w:rsid w:val="000850CC"/>
    <w:rsid w:val="00174BCC"/>
    <w:rsid w:val="002357C9"/>
    <w:rsid w:val="002A67D2"/>
    <w:rsid w:val="003D33FF"/>
    <w:rsid w:val="003F0E1E"/>
    <w:rsid w:val="004902A4"/>
    <w:rsid w:val="00695CA9"/>
    <w:rsid w:val="006C134A"/>
    <w:rsid w:val="006E726A"/>
    <w:rsid w:val="00750F12"/>
    <w:rsid w:val="00793260"/>
    <w:rsid w:val="00887E5F"/>
    <w:rsid w:val="008C478B"/>
    <w:rsid w:val="008F262B"/>
    <w:rsid w:val="009729EB"/>
    <w:rsid w:val="009A36DA"/>
    <w:rsid w:val="00A23105"/>
    <w:rsid w:val="00AA5AAD"/>
    <w:rsid w:val="00AD42EC"/>
    <w:rsid w:val="00AE605C"/>
    <w:rsid w:val="00B61E13"/>
    <w:rsid w:val="00BA1F2A"/>
    <w:rsid w:val="00C75AB6"/>
    <w:rsid w:val="00CC3800"/>
    <w:rsid w:val="00D40DF2"/>
    <w:rsid w:val="00D834A5"/>
    <w:rsid w:val="00E76E87"/>
    <w:rsid w:val="00F2475F"/>
    <w:rsid w:val="00F61331"/>
    <w:rsid w:val="00F70451"/>
    <w:rsid w:val="01791082"/>
    <w:rsid w:val="03807D7C"/>
    <w:rsid w:val="1CA3713C"/>
    <w:rsid w:val="1FAD0122"/>
    <w:rsid w:val="24F72F4A"/>
    <w:rsid w:val="28D87EFD"/>
    <w:rsid w:val="369D517D"/>
    <w:rsid w:val="3A375317"/>
    <w:rsid w:val="40904A58"/>
    <w:rsid w:val="6CFE2570"/>
    <w:rsid w:val="74A8239F"/>
    <w:rsid w:val="75412B9C"/>
    <w:rsid w:val="7B264D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rPr>
      <w:rFonts w:ascii="Calibri" w:hAnsi="Calibri" w:eastAsia="宋体" w:cs="Times New Roman"/>
      <w:szCs w:val="22"/>
    </w:rPr>
  </w:style>
  <w:style w:type="paragraph" w:styleId="3">
    <w:name w:val="Balloon Text"/>
    <w:basedOn w:val="1"/>
    <w:link w:val="16"/>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annotation subject"/>
    <w:basedOn w:val="2"/>
    <w:next w:val="2"/>
    <w:link w:val="17"/>
    <w:qFormat/>
    <w:uiPriority w:val="0"/>
    <w:rPr>
      <w:rFonts w:asciiTheme="minorHAnsi" w:hAnsiTheme="minorHAnsi" w:eastAsiaTheme="minorEastAsia" w:cstheme="minorBidi"/>
      <w:b/>
      <w:bCs/>
      <w:szCs w:val="24"/>
    </w:rPr>
  </w:style>
  <w:style w:type="character" w:styleId="10">
    <w:name w:val="Strong"/>
    <w:basedOn w:val="9"/>
    <w:qFormat/>
    <w:uiPriority w:val="0"/>
    <w:rPr>
      <w:b/>
    </w:rPr>
  </w:style>
  <w:style w:type="character" w:styleId="11">
    <w:name w:val="Emphasis"/>
    <w:basedOn w:val="9"/>
    <w:qFormat/>
    <w:uiPriority w:val="0"/>
    <w:rPr>
      <w:i/>
    </w:rPr>
  </w:style>
  <w:style w:type="character" w:styleId="12">
    <w:name w:val="annotation reference"/>
    <w:basedOn w:val="9"/>
    <w:qFormat/>
    <w:uiPriority w:val="0"/>
    <w:rPr>
      <w:sz w:val="21"/>
      <w:szCs w:val="21"/>
    </w:rPr>
  </w:style>
  <w:style w:type="character" w:customStyle="1" w:styleId="13">
    <w:name w:val="页眉 Char"/>
    <w:basedOn w:val="9"/>
    <w:link w:val="5"/>
    <w:qFormat/>
    <w:uiPriority w:val="0"/>
    <w:rPr>
      <w:rFonts w:asciiTheme="minorHAnsi" w:hAnsiTheme="minorHAnsi" w:eastAsiaTheme="minorEastAsia" w:cstheme="minorBidi"/>
      <w:kern w:val="2"/>
      <w:sz w:val="18"/>
      <w:szCs w:val="18"/>
    </w:rPr>
  </w:style>
  <w:style w:type="character" w:customStyle="1" w:styleId="14">
    <w:name w:val="页脚 Char"/>
    <w:basedOn w:val="9"/>
    <w:link w:val="4"/>
    <w:qFormat/>
    <w:uiPriority w:val="0"/>
    <w:rPr>
      <w:rFonts w:asciiTheme="minorHAnsi" w:hAnsiTheme="minorHAnsi" w:eastAsiaTheme="minorEastAsia" w:cstheme="minorBidi"/>
      <w:kern w:val="2"/>
      <w:sz w:val="18"/>
      <w:szCs w:val="18"/>
    </w:rPr>
  </w:style>
  <w:style w:type="character" w:customStyle="1" w:styleId="15">
    <w:name w:val="批注文字 Char"/>
    <w:basedOn w:val="9"/>
    <w:link w:val="2"/>
    <w:qFormat/>
    <w:uiPriority w:val="0"/>
    <w:rPr>
      <w:rFonts w:ascii="Calibri" w:hAnsi="Calibri"/>
      <w:kern w:val="2"/>
      <w:sz w:val="21"/>
      <w:szCs w:val="22"/>
    </w:rPr>
  </w:style>
  <w:style w:type="character" w:customStyle="1" w:styleId="16">
    <w:name w:val="批注框文本 Char"/>
    <w:basedOn w:val="9"/>
    <w:link w:val="3"/>
    <w:qFormat/>
    <w:uiPriority w:val="0"/>
    <w:rPr>
      <w:rFonts w:asciiTheme="minorHAnsi" w:hAnsiTheme="minorHAnsi" w:eastAsiaTheme="minorEastAsia" w:cstheme="minorBidi"/>
      <w:kern w:val="2"/>
      <w:sz w:val="18"/>
      <w:szCs w:val="18"/>
    </w:rPr>
  </w:style>
  <w:style w:type="character" w:customStyle="1" w:styleId="17">
    <w:name w:val="批注主题 Char"/>
    <w:basedOn w:val="15"/>
    <w:link w:val="7"/>
    <w:qFormat/>
    <w:uiPriority w:val="0"/>
    <w:rPr>
      <w:rFonts w:asciiTheme="minorHAnsi" w:hAnsiTheme="minorHAnsi" w:eastAsiaTheme="minorEastAsia" w:cstheme="minorBidi"/>
      <w:b/>
      <w:bCs/>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2911</Words>
  <Characters>3031</Characters>
  <Lines>26</Lines>
  <Paragraphs>7</Paragraphs>
  <TotalTime>130</TotalTime>
  <ScaleCrop>false</ScaleCrop>
  <LinksUpToDate>false</LinksUpToDate>
  <CharactersWithSpaces>3518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2021-11-03T01:00:00Z</dcterms:created>
  <dc:creator>通达袁</dc:creator>
  <cp:lastModifiedBy>Lenovo</cp:lastModifiedBy>
  <dcterms:modified xsi:type="dcterms:W3CDTF">2022-07-14T08:11:42Z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354AA2102AB24993991237D01D01D6C9</vt:lpwstr>
  </property>
</Properties>
</file>