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after="120" w:line="360" w:lineRule="auto"/>
        <w:ind w:firstLine="720"/>
        <w:jc w:val="center"/>
        <w:textAlignment w:val="baseline"/>
        <w:rPr>
          <w:rFonts w:ascii="Arial" w:hAnsi="Arial" w:eastAsia="宋体" w:cs="Times New Roman"/>
          <w:b/>
          <w:bCs/>
          <w:kern w:val="0"/>
          <w:sz w:val="36"/>
          <w:szCs w:val="36"/>
        </w:rPr>
      </w:pPr>
    </w:p>
    <w:p>
      <w:pPr>
        <w:ind w:firstLine="723"/>
        <w:jc w:val="center"/>
        <w:rPr>
          <w:rFonts w:ascii="宋体" w:hAnsi="宋体" w:eastAsia="宋体" w:cs="Times New Roman"/>
          <w:color w:val="000000"/>
          <w:sz w:val="36"/>
          <w:szCs w:val="24"/>
        </w:rPr>
      </w:pPr>
      <w:r>
        <w:rPr>
          <w:rFonts w:hint="eastAsia" w:ascii="Times New Roman" w:hAnsi="Times New Roman" w:eastAsia="宋体" w:cs="Times New Roman"/>
          <w:b/>
          <w:bCs/>
          <w:sz w:val="36"/>
          <w:szCs w:val="36"/>
        </w:rPr>
        <w:t xml:space="preserve">                              TDCG2026016</w:t>
      </w:r>
      <w:r>
        <w:rPr>
          <w:rFonts w:ascii="宋体" w:hAnsi="宋体" w:eastAsia="宋体" w:cs="Times New Roman"/>
          <w:b/>
          <w:bCs/>
          <w:color w:val="000000"/>
          <w:sz w:val="36"/>
          <w:szCs w:val="24"/>
        </w:rPr>
        <w:t>号</w:t>
      </w:r>
    </w:p>
    <w:p>
      <w:pPr>
        <w:adjustRightInd w:val="0"/>
        <w:spacing w:before="120" w:after="120" w:line="360" w:lineRule="auto"/>
        <w:jc w:val="both"/>
        <w:textAlignment w:val="baseline"/>
        <w:rPr>
          <w:rFonts w:hint="eastAsia" w:ascii="宋体" w:hAnsi="宋体" w:eastAsia="宋体" w:cs="Times New Roman"/>
          <w:b/>
          <w:bCs/>
          <w:kern w:val="0"/>
          <w:sz w:val="36"/>
          <w:szCs w:val="36"/>
        </w:rPr>
      </w:pPr>
    </w:p>
    <w:p>
      <w:pPr>
        <w:adjustRightInd w:val="0"/>
        <w:spacing w:before="120" w:after="120" w:line="360" w:lineRule="auto"/>
        <w:jc w:val="center"/>
        <w:textAlignment w:val="baseline"/>
        <w:rPr>
          <w:rFonts w:ascii="宋体" w:hAnsi="宋体" w:eastAsia="宋体" w:cs="Times New Roman"/>
          <w:b/>
          <w:bCs/>
          <w:kern w:val="0"/>
          <w:sz w:val="36"/>
          <w:szCs w:val="36"/>
        </w:rPr>
      </w:pPr>
      <w:r>
        <w:rPr>
          <w:rFonts w:hint="eastAsia" w:ascii="宋体" w:hAnsi="宋体" w:eastAsia="宋体" w:cs="Times New Roman"/>
          <w:b/>
          <w:bCs/>
          <w:kern w:val="0"/>
          <w:sz w:val="36"/>
          <w:szCs w:val="36"/>
        </w:rPr>
        <w:t>南京邮电大学通达学院图书馆顶部部分区域屋面防水修缮工程竞争性磋商文件</w:t>
      </w:r>
    </w:p>
    <w:p>
      <w:pPr>
        <w:adjustRightInd w:val="0"/>
        <w:spacing w:before="120" w:after="120" w:line="360" w:lineRule="auto"/>
        <w:ind w:firstLine="720"/>
        <w:jc w:val="center"/>
        <w:textAlignment w:val="baseline"/>
        <w:rPr>
          <w:rFonts w:ascii="宋体" w:hAnsi="宋体" w:eastAsia="宋体" w:cs="Times New Roman"/>
          <w:b/>
          <w:bCs/>
          <w:kern w:val="0"/>
          <w:sz w:val="36"/>
          <w:szCs w:val="36"/>
        </w:rPr>
      </w:pPr>
    </w:p>
    <w:p>
      <w:pPr>
        <w:adjustRightInd w:val="0"/>
        <w:spacing w:line="360" w:lineRule="auto"/>
        <w:ind w:left="630" w:firstLine="723"/>
        <w:jc w:val="left"/>
        <w:textAlignment w:val="baseline"/>
        <w:rPr>
          <w:rFonts w:ascii="宋体" w:hAnsi="宋体" w:eastAsia="宋体" w:cs="Times New Roman"/>
          <w:kern w:val="0"/>
          <w:sz w:val="24"/>
          <w:szCs w:val="24"/>
        </w:rPr>
      </w:pPr>
      <w:r>
        <w:rPr>
          <w:rFonts w:ascii="宋体" w:hAnsi="宋体" w:eastAsia="宋体" w:cs="Times New Roman"/>
          <w:kern w:val="0"/>
          <w:sz w:val="36"/>
          <w:szCs w:val="24"/>
        </w:rPr>
        <w:drawing>
          <wp:anchor distT="0" distB="0" distL="0" distR="0" simplePos="0" relativeHeight="251660288" behindDoc="0" locked="0" layoutInCell="1" allowOverlap="1">
            <wp:simplePos x="0" y="0"/>
            <wp:positionH relativeFrom="column">
              <wp:posOffset>117475</wp:posOffset>
            </wp:positionH>
            <wp:positionV relativeFrom="page">
              <wp:posOffset>3712210</wp:posOffset>
            </wp:positionV>
            <wp:extent cx="5600700" cy="3686175"/>
            <wp:effectExtent l="0" t="0" r="571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600700" cy="3686175"/>
                    </a:xfrm>
                    <a:prstGeom prst="rect">
                      <a:avLst/>
                    </a:prstGeom>
                    <a:noFill/>
                    <a:ln>
                      <a:noFill/>
                    </a:ln>
                  </pic:spPr>
                </pic:pic>
              </a:graphicData>
            </a:graphic>
          </wp:anchor>
        </w:drawing>
      </w:r>
      <w:r>
        <w:rPr>
          <w:rFonts w:hint="eastAsia" w:ascii="宋体" w:hAnsi="宋体" w:eastAsia="宋体" w:cs="Times New Roman"/>
          <w:kern w:val="0"/>
          <w:sz w:val="24"/>
          <w:szCs w:val="24"/>
        </w:rPr>
        <w:t xml:space="preserve">                            </w:t>
      </w:r>
    </w:p>
    <w:p>
      <w:pPr>
        <w:adjustRightInd w:val="0"/>
        <w:spacing w:line="360" w:lineRule="auto"/>
        <w:ind w:firstLine="482"/>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1432" w:firstLineChars="495"/>
        <w:rPr>
          <w:rFonts w:ascii="宋体" w:hAnsi="宋体" w:eastAsia="宋体" w:cs="Times New Roman"/>
          <w:b/>
          <w:bCs/>
          <w:w w:val="90"/>
          <w:kern w:val="0"/>
          <w:sz w:val="32"/>
          <w:szCs w:val="32"/>
        </w:rPr>
      </w:pPr>
      <w:r>
        <w:rPr>
          <w:rFonts w:hint="eastAsia" w:ascii="宋体" w:hAnsi="宋体" w:eastAsia="宋体" w:cs="Times New Roman"/>
          <w:b/>
          <w:bCs/>
          <w:w w:val="90"/>
          <w:kern w:val="0"/>
          <w:sz w:val="32"/>
          <w:szCs w:val="32"/>
        </w:rPr>
        <w:t>采</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购</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 xml:space="preserve"> 人：</w:t>
      </w:r>
      <w:bookmarkStart w:id="0" w:name="OLE_LINK1"/>
      <w:r>
        <w:rPr>
          <w:rFonts w:hint="eastAsia" w:ascii="宋体" w:hAnsi="宋体" w:eastAsia="宋体" w:cs="Times New Roman"/>
          <w:b/>
          <w:bCs/>
          <w:w w:val="90"/>
          <w:kern w:val="0"/>
          <w:sz w:val="32"/>
          <w:szCs w:val="32"/>
        </w:rPr>
        <w:t>南京邮电大学通达学院</w:t>
      </w:r>
    </w:p>
    <w:bookmarkEnd w:id="0"/>
    <w:p>
      <w:pPr>
        <w:ind w:firstLine="1157" w:firstLineChars="400"/>
        <w:rPr>
          <w:rFonts w:ascii="宋体" w:hAnsi="宋体" w:eastAsia="宋体" w:cs="Times New Roman"/>
          <w:b/>
          <w:bCs/>
          <w:w w:val="90"/>
          <w:kern w:val="0"/>
          <w:sz w:val="32"/>
          <w:szCs w:val="32"/>
        </w:rPr>
      </w:pPr>
      <w:r>
        <w:rPr>
          <w:rFonts w:hint="eastAsia" w:ascii="宋体" w:hAnsi="宋体" w:eastAsia="宋体" w:cs="Times New Roman"/>
          <w:b/>
          <w:bCs/>
          <w:w w:val="90"/>
          <w:kern w:val="0"/>
          <w:sz w:val="32"/>
          <w:szCs w:val="32"/>
        </w:rPr>
        <w:t xml:space="preserve">  采购代理机构</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章</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：江苏唯诚建设咨询有限公司</w:t>
      </w:r>
    </w:p>
    <w:p>
      <w:pPr>
        <w:ind w:firstLine="1432" w:firstLineChars="495"/>
        <w:rPr>
          <w:rFonts w:ascii="宋体" w:hAnsi="宋体" w:eastAsia="宋体" w:cs="Times New Roman"/>
          <w:b/>
          <w:bCs/>
          <w:w w:val="90"/>
          <w:kern w:val="0"/>
          <w:sz w:val="32"/>
          <w:szCs w:val="32"/>
        </w:rPr>
      </w:pPr>
      <w:r>
        <w:rPr>
          <w:rFonts w:hint="eastAsia" w:ascii="宋体" w:hAnsi="宋体" w:eastAsia="宋体" w:cs="Times New Roman"/>
          <w:b/>
          <w:bCs/>
          <w:w w:val="90"/>
          <w:kern w:val="0"/>
          <w:sz w:val="32"/>
          <w:szCs w:val="32"/>
        </w:rPr>
        <w:t>发</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放</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日</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期：2026年6</w:t>
      </w:r>
      <w:r>
        <w:rPr>
          <w:rFonts w:hint="eastAsia" w:ascii="宋体" w:hAnsi="宋体" w:eastAsia="宋体" w:cs="Times New Roman"/>
          <w:b/>
          <w:bCs/>
          <w:color w:val="000000"/>
          <w:w w:val="90"/>
          <w:kern w:val="0"/>
          <w:sz w:val="32"/>
          <w:szCs w:val="32"/>
        </w:rPr>
        <w:t>月</w:t>
      </w:r>
      <w:r>
        <w:rPr>
          <w:rFonts w:hint="eastAsia" w:ascii="宋体" w:hAnsi="宋体" w:eastAsia="宋体" w:cs="Times New Roman"/>
          <w:b/>
          <w:bCs/>
          <w:color w:val="000000"/>
          <w:w w:val="90"/>
          <w:kern w:val="0"/>
          <w:sz w:val="32"/>
          <w:szCs w:val="32"/>
          <w:lang w:val="en-US" w:eastAsia="zh-CN"/>
        </w:rPr>
        <w:t>22</w:t>
      </w:r>
      <w:r>
        <w:rPr>
          <w:rFonts w:hint="eastAsia" w:ascii="宋体" w:hAnsi="宋体" w:eastAsia="宋体" w:cs="Times New Roman"/>
          <w:b/>
          <w:bCs/>
          <w:color w:val="000000"/>
          <w:w w:val="90"/>
          <w:kern w:val="0"/>
          <w:sz w:val="32"/>
          <w:szCs w:val="32"/>
        </w:rPr>
        <w:t>日</w:t>
      </w:r>
    </w:p>
    <w:p>
      <w:pPr>
        <w:adjustRightInd w:val="0"/>
        <w:spacing w:before="120" w:after="120" w:line="360" w:lineRule="auto"/>
        <w:ind w:firstLine="1040"/>
        <w:jc w:val="left"/>
        <w:textAlignment w:val="baseline"/>
        <w:rPr>
          <w:rFonts w:ascii="宋体" w:hAnsi="宋体" w:eastAsia="宋体" w:cs="Times New Roman"/>
          <w:b/>
          <w:kern w:val="0"/>
          <w:sz w:val="52"/>
          <w:szCs w:val="52"/>
        </w:rPr>
      </w:pPr>
    </w:p>
    <w:p>
      <w:pPr>
        <w:adjustRightInd w:val="0"/>
        <w:spacing w:before="120" w:after="120" w:line="360" w:lineRule="auto"/>
        <w:ind w:firstLine="1040"/>
        <w:jc w:val="left"/>
        <w:textAlignment w:val="baseline"/>
        <w:rPr>
          <w:rFonts w:ascii="宋体" w:hAnsi="宋体" w:eastAsia="宋体" w:cs="Times New Roman"/>
          <w:b/>
          <w:kern w:val="0"/>
          <w:sz w:val="52"/>
          <w:szCs w:val="52"/>
        </w:rPr>
      </w:pPr>
    </w:p>
    <w:p>
      <w:pPr>
        <w:adjustRightInd w:val="0"/>
        <w:spacing w:before="120" w:after="120" w:line="360" w:lineRule="auto"/>
        <w:ind w:firstLine="1040"/>
        <w:jc w:val="left"/>
        <w:textAlignment w:val="baseline"/>
        <w:rPr>
          <w:rFonts w:ascii="宋体" w:hAnsi="宋体" w:eastAsia="宋体" w:cs="Times New Roman"/>
          <w:b/>
          <w:kern w:val="0"/>
          <w:sz w:val="52"/>
          <w:szCs w:val="52"/>
        </w:rPr>
      </w:pPr>
    </w:p>
    <w:p>
      <w:pPr>
        <w:spacing w:line="480" w:lineRule="auto"/>
        <w:ind w:firstLine="643"/>
        <w:jc w:val="center"/>
        <w:outlineLvl w:val="0"/>
        <w:rPr>
          <w:rFonts w:ascii="宋体" w:hAnsi="宋体" w:eastAsia="宋体" w:cs="Times New Roman"/>
          <w:b/>
          <w:sz w:val="32"/>
          <w:szCs w:val="32"/>
        </w:rPr>
      </w:pPr>
      <w:r>
        <w:rPr>
          <w:rFonts w:hint="eastAsia" w:ascii="宋体" w:hAnsi="宋体" w:eastAsia="宋体" w:cs="Times New Roman"/>
          <w:b/>
          <w:sz w:val="32"/>
          <w:szCs w:val="32"/>
        </w:rPr>
        <w:t>总 目 录</w:t>
      </w:r>
    </w:p>
    <w:p>
      <w:pPr>
        <w:spacing w:line="480" w:lineRule="auto"/>
        <w:ind w:firstLine="640"/>
        <w:jc w:val="center"/>
        <w:outlineLvl w:val="0"/>
        <w:rPr>
          <w:rFonts w:ascii="宋体" w:hAnsi="宋体" w:eastAsia="宋体" w:cs="Times New Roman"/>
          <w:b/>
          <w:sz w:val="32"/>
          <w:szCs w:val="32"/>
        </w:rPr>
      </w:pPr>
    </w:p>
    <w:p>
      <w:pPr>
        <w:spacing w:line="56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第一章    竞争性磋商采购邀请</w:t>
      </w:r>
      <w:r>
        <w:rPr>
          <w:rFonts w:hint="eastAsia" w:ascii="Times New Roman" w:hAnsi="Times New Roman" w:eastAsia="宋体" w:cs="Times New Roman"/>
          <w:szCs w:val="24"/>
        </w:rPr>
        <w:t>…………………………………………………………</w:t>
      </w:r>
      <w:r>
        <w:rPr>
          <w:rFonts w:hint="eastAsia" w:ascii="宋体" w:hAnsi="宋体" w:eastAsia="宋体" w:cs="Times New Roman"/>
          <w:szCs w:val="21"/>
        </w:rPr>
        <w:t xml:space="preserve">3                                         </w:t>
      </w:r>
    </w:p>
    <w:p>
      <w:pPr>
        <w:spacing w:line="56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第二章    磋商须知</w:t>
      </w:r>
      <w:r>
        <w:rPr>
          <w:rFonts w:ascii="宋体" w:hAnsi="宋体" w:eastAsia="宋体" w:cs="Times New Roman"/>
          <w:szCs w:val="21"/>
        </w:rPr>
        <w:t>…………………………</w:t>
      </w:r>
      <w:r>
        <w:rPr>
          <w:rFonts w:hint="eastAsia" w:ascii="宋体" w:hAnsi="宋体" w:eastAsia="宋体" w:cs="Times New Roman"/>
          <w:szCs w:val="21"/>
        </w:rPr>
        <w:t>……………………………………………6</w:t>
      </w:r>
    </w:p>
    <w:p>
      <w:pPr>
        <w:spacing w:line="56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第三章    合同条款及格式</w:t>
      </w:r>
      <w:r>
        <w:rPr>
          <w:rFonts w:ascii="宋体" w:hAnsi="宋体" w:eastAsia="宋体" w:cs="Times New Roman"/>
          <w:szCs w:val="21"/>
        </w:rPr>
        <w:t>…………………</w:t>
      </w:r>
      <w:r>
        <w:rPr>
          <w:rFonts w:hint="eastAsia" w:ascii="宋体" w:hAnsi="宋体" w:eastAsia="宋体" w:cs="Times New Roman"/>
          <w:szCs w:val="21"/>
        </w:rPr>
        <w:t>……………………………………………14</w:t>
      </w:r>
    </w:p>
    <w:p>
      <w:pPr>
        <w:spacing w:line="56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第四章    项目需求</w:t>
      </w:r>
      <w:r>
        <w:rPr>
          <w:rFonts w:ascii="宋体" w:hAnsi="宋体" w:eastAsia="宋体" w:cs="Times New Roman"/>
          <w:szCs w:val="21"/>
        </w:rPr>
        <w:t>…………………………</w:t>
      </w:r>
      <w:r>
        <w:rPr>
          <w:rFonts w:hint="eastAsia" w:ascii="宋体" w:hAnsi="宋体" w:eastAsia="宋体" w:cs="Times New Roman"/>
          <w:szCs w:val="21"/>
        </w:rPr>
        <w:t>……………………………………………25</w:t>
      </w:r>
    </w:p>
    <w:p>
      <w:pPr>
        <w:spacing w:line="56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第五章    评审方法和评审标准</w:t>
      </w:r>
      <w:r>
        <w:rPr>
          <w:rFonts w:ascii="宋体" w:hAnsi="宋体" w:eastAsia="宋体" w:cs="Times New Roman"/>
          <w:szCs w:val="21"/>
        </w:rPr>
        <w:t>……………</w:t>
      </w:r>
      <w:r>
        <w:rPr>
          <w:rFonts w:hint="eastAsia" w:ascii="宋体" w:hAnsi="宋体" w:eastAsia="宋体" w:cs="Times New Roman"/>
          <w:szCs w:val="21"/>
        </w:rPr>
        <w:t>……………………………………………30</w:t>
      </w:r>
    </w:p>
    <w:p>
      <w:pPr>
        <w:spacing w:line="56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第六章    竞争性磋商响应文件格式</w:t>
      </w:r>
      <w:r>
        <w:rPr>
          <w:rFonts w:ascii="宋体" w:hAnsi="宋体" w:eastAsia="宋体" w:cs="Times New Roman"/>
          <w:szCs w:val="21"/>
        </w:rPr>
        <w:t>………</w:t>
      </w:r>
      <w:r>
        <w:rPr>
          <w:rFonts w:hint="eastAsia" w:ascii="宋体" w:hAnsi="宋体" w:eastAsia="宋体" w:cs="Times New Roman"/>
          <w:szCs w:val="21"/>
        </w:rPr>
        <w:t>……………………………………………32</w:t>
      </w:r>
    </w:p>
    <w:p>
      <w:pPr>
        <w:tabs>
          <w:tab w:val="left" w:leader="dot" w:pos="8420"/>
        </w:tabs>
        <w:spacing w:line="303" w:lineRule="exact"/>
        <w:ind w:left="360"/>
        <w:rPr>
          <w:rFonts w:ascii="宋体" w:hAnsi="宋体" w:eastAsia="宋体" w:cs="宋体"/>
          <w:szCs w:val="21"/>
        </w:rPr>
      </w:pPr>
    </w:p>
    <w:p>
      <w:pPr>
        <w:spacing w:line="560" w:lineRule="exact"/>
        <w:ind w:firstLine="420" w:firstLineChars="200"/>
        <w:outlineLvl w:val="0"/>
        <w:rPr>
          <w:rFonts w:ascii="宋体" w:hAnsi="宋体" w:eastAsia="宋体" w:cs="Times New Roman"/>
          <w:szCs w:val="21"/>
        </w:rPr>
      </w:pPr>
    </w:p>
    <w:p>
      <w:pPr>
        <w:rPr>
          <w:rFonts w:ascii="宋体" w:hAnsi="宋体" w:eastAsia="宋体" w:cs="Times New Roman"/>
          <w:szCs w:val="24"/>
        </w:rPr>
      </w:pPr>
    </w:p>
    <w:p>
      <w:pPr>
        <w:rPr>
          <w:rFonts w:ascii="宋体" w:hAnsi="宋体" w:eastAsia="宋体" w:cs="Times New Roman"/>
          <w:szCs w:val="24"/>
        </w:rPr>
      </w:pPr>
      <w:r>
        <w:rPr>
          <w:rFonts w:ascii="宋体" w:hAnsi="宋体" w:eastAsia="宋体" w:cs="Times New Roman"/>
          <w:szCs w:val="24"/>
        </w:rPr>
        <w:br w:type="page"/>
      </w:r>
    </w:p>
    <w:p>
      <w:pPr>
        <w:keepNext/>
        <w:spacing w:after="240" w:afterLines="100" w:line="360" w:lineRule="auto"/>
        <w:ind w:firstLine="723"/>
        <w:jc w:val="center"/>
        <w:outlineLvl w:val="0"/>
        <w:rPr>
          <w:rFonts w:ascii="宋体" w:hAnsi="宋体" w:eastAsia="宋体" w:cs="Times New Roman"/>
          <w:b/>
          <w:sz w:val="36"/>
          <w:szCs w:val="36"/>
        </w:rPr>
      </w:pPr>
      <w:r>
        <w:rPr>
          <w:rFonts w:hint="eastAsia" w:ascii="宋体" w:hAnsi="宋体" w:eastAsia="宋体" w:cs="Times New Roman"/>
          <w:b/>
          <w:sz w:val="36"/>
          <w:szCs w:val="36"/>
        </w:rPr>
        <w:t>第一章 竞争性磋商采购邀请</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bookmarkStart w:id="1" w:name="OLE_LINK4"/>
      <w:bookmarkStart w:id="2" w:name="OLE_LINK3"/>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szCs w:val="21"/>
        </w:rPr>
      </w:pPr>
      <w:r>
        <w:rPr>
          <w:rFonts w:hint="eastAsia" w:ascii="宋体" w:hAnsi="宋体" w:cs="宋体"/>
          <w:szCs w:val="21"/>
          <w:u w:val="single"/>
        </w:rPr>
        <w:t>南京邮电大学通达学院图书馆顶部部分区域屋面防水修缮工程</w:t>
      </w:r>
      <w:r>
        <w:rPr>
          <w:rFonts w:hint="eastAsia" w:ascii="宋体" w:hAnsi="宋体" w:cs="宋体"/>
          <w:szCs w:val="21"/>
        </w:rPr>
        <w:t>招标项目的潜在投标人应在</w:t>
      </w:r>
      <w:r>
        <w:rPr>
          <w:rFonts w:hint="eastAsia" w:ascii="宋体" w:hAnsi="宋体" w:cs="宋体"/>
          <w:szCs w:val="21"/>
          <w:u w:val="single"/>
        </w:rPr>
        <w:t xml:space="preserve">“南京邮电大学通达学院采购招标信息网”、“中国招标投标公共服务平台” </w:t>
      </w:r>
      <w:r>
        <w:rPr>
          <w:rFonts w:hint="eastAsia" w:ascii="宋体" w:hAnsi="宋体" w:cs="宋体"/>
          <w:szCs w:val="21"/>
        </w:rPr>
        <w:t>查看招标公告，并于</w:t>
      </w:r>
      <w:r>
        <w:rPr>
          <w:rFonts w:hint="eastAsia" w:ascii="宋体" w:hAnsi="宋体" w:cs="宋体"/>
          <w:szCs w:val="21"/>
          <w:u w:val="single"/>
        </w:rPr>
        <w:t>2026</w:t>
      </w:r>
      <w:r>
        <w:rPr>
          <w:rFonts w:hint="eastAsia" w:ascii="宋体" w:hAnsi="宋体" w:cs="宋体"/>
          <w:bCs/>
          <w:szCs w:val="21"/>
          <w:u w:val="single"/>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3</w:t>
      </w:r>
      <w:r>
        <w:rPr>
          <w:rFonts w:hint="eastAsia" w:ascii="宋体" w:hAnsi="宋体" w:cs="宋体"/>
          <w:bCs/>
          <w:szCs w:val="21"/>
          <w:u w:val="single"/>
        </w:rPr>
        <w:t>日9点30分（</w:t>
      </w:r>
      <w:r>
        <w:rPr>
          <w:rFonts w:hint="eastAsia" w:ascii="宋体" w:hAnsi="宋体" w:cs="宋体"/>
          <w:bCs/>
          <w:szCs w:val="21"/>
        </w:rPr>
        <w:t>北京时间）前递交投标文件</w:t>
      </w:r>
      <w:r>
        <w:rPr>
          <w:rFonts w:hint="eastAsia" w:ascii="宋体" w:hAnsi="宋体" w:cs="宋体"/>
          <w:szCs w:val="21"/>
        </w:rPr>
        <w:t>。</w:t>
      </w:r>
    </w:p>
    <w:p>
      <w:pPr>
        <w:spacing w:line="384" w:lineRule="auto"/>
        <w:ind w:firstLine="422" w:firstLineChars="200"/>
        <w:rPr>
          <w:rFonts w:ascii="宋体" w:hAnsi="宋体" w:eastAsia="宋体" w:cs="宋体"/>
          <w:szCs w:val="21"/>
        </w:rPr>
      </w:pPr>
      <w:r>
        <w:rPr>
          <w:rFonts w:hint="eastAsia" w:ascii="宋体" w:hAnsi="宋体" w:eastAsia="宋体" w:cs="宋体"/>
          <w:b/>
          <w:bCs/>
          <w:szCs w:val="21"/>
          <w:lang w:val="zh-CN"/>
        </w:rPr>
        <w:t>一、</w:t>
      </w:r>
      <w:r>
        <w:rPr>
          <w:rFonts w:hint="eastAsia" w:ascii="宋体" w:hAnsi="宋体" w:eastAsia="宋体" w:cs="宋体"/>
          <w:b/>
          <w:bCs/>
          <w:szCs w:val="21"/>
        </w:rPr>
        <w:t>采购项目名称及编号</w:t>
      </w:r>
    </w:p>
    <w:p>
      <w:pPr>
        <w:spacing w:line="384" w:lineRule="auto"/>
        <w:ind w:firstLine="420" w:firstLineChars="200"/>
        <w:rPr>
          <w:rFonts w:ascii="宋体" w:hAnsi="宋体" w:eastAsia="宋体" w:cs="宋体"/>
          <w:szCs w:val="21"/>
          <w:lang w:val="zh-CN"/>
        </w:rPr>
      </w:pPr>
      <w:r>
        <w:rPr>
          <w:rFonts w:hint="eastAsia" w:ascii="宋体" w:hAnsi="宋体" w:eastAsia="宋体" w:cs="宋体"/>
          <w:szCs w:val="21"/>
        </w:rPr>
        <w:t>（一）</w:t>
      </w:r>
      <w:r>
        <w:rPr>
          <w:rFonts w:hint="eastAsia" w:ascii="宋体" w:hAnsi="宋体" w:eastAsia="宋体" w:cs="宋体"/>
          <w:szCs w:val="21"/>
          <w:lang w:val="zh-CN"/>
        </w:rPr>
        <w:t>项目名称：南京邮电大学通达学院图书馆顶部部分区域屋面防水修缮工程</w:t>
      </w:r>
    </w:p>
    <w:p>
      <w:pPr>
        <w:spacing w:line="384" w:lineRule="auto"/>
        <w:ind w:firstLine="420" w:firstLineChars="200"/>
        <w:rPr>
          <w:rFonts w:ascii="宋体" w:hAnsi="宋体" w:eastAsia="宋体" w:cs="宋体"/>
          <w:szCs w:val="21"/>
          <w:lang w:val="zh-CN"/>
        </w:rPr>
      </w:pPr>
      <w:r>
        <w:rPr>
          <w:rFonts w:hint="eastAsia" w:ascii="宋体" w:hAnsi="宋体" w:eastAsia="宋体" w:cs="宋体"/>
          <w:szCs w:val="21"/>
        </w:rPr>
        <w:t>（二）</w:t>
      </w:r>
      <w:r>
        <w:rPr>
          <w:rFonts w:hint="eastAsia" w:ascii="宋体" w:hAnsi="宋体" w:eastAsia="宋体" w:cs="宋体"/>
          <w:szCs w:val="21"/>
          <w:lang w:val="zh-CN"/>
        </w:rPr>
        <w:t>编    号：TDCG2026016号</w:t>
      </w:r>
    </w:p>
    <w:p>
      <w:pPr>
        <w:spacing w:line="384" w:lineRule="auto"/>
        <w:ind w:firstLine="420" w:firstLineChars="20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三</w:t>
      </w:r>
      <w:r>
        <w:rPr>
          <w:rFonts w:hint="eastAsia" w:ascii="宋体" w:hAnsi="宋体" w:eastAsia="宋体" w:cs="宋体"/>
          <w:szCs w:val="21"/>
          <w:lang w:val="zh-CN"/>
        </w:rPr>
        <w:t>）采购方式：□竞争性谈判  ☑竞争性磋商 □询价</w:t>
      </w:r>
    </w:p>
    <w:p>
      <w:pPr>
        <w:spacing w:line="384" w:lineRule="auto"/>
        <w:ind w:firstLine="420" w:firstLineChars="200"/>
        <w:rPr>
          <w:rFonts w:ascii="宋体" w:hAnsi="宋体" w:eastAsia="宋体" w:cs="宋体"/>
          <w:szCs w:val="21"/>
        </w:rPr>
      </w:pPr>
      <w:r>
        <w:rPr>
          <w:rFonts w:hint="eastAsia" w:ascii="宋体" w:hAnsi="宋体" w:eastAsia="宋体" w:cs="宋体"/>
          <w:szCs w:val="21"/>
        </w:rPr>
        <w:t>（四）采购预算：58万元</w:t>
      </w:r>
    </w:p>
    <w:p>
      <w:pPr>
        <w:spacing w:line="384" w:lineRule="auto"/>
        <w:ind w:firstLine="420" w:firstLineChars="200"/>
        <w:rPr>
          <w:rFonts w:ascii="宋体" w:hAnsi="宋体" w:eastAsia="宋体" w:cs="宋体"/>
          <w:szCs w:val="21"/>
        </w:rPr>
      </w:pPr>
      <w:r>
        <w:rPr>
          <w:rFonts w:hint="eastAsia" w:ascii="宋体" w:hAnsi="宋体" w:eastAsia="宋体" w:cs="宋体"/>
          <w:szCs w:val="21"/>
        </w:rPr>
        <w:t>（五）最高限价：58万元，投标报价不得高于最高限价否则作废标处理。</w:t>
      </w:r>
    </w:p>
    <w:p>
      <w:pPr>
        <w:spacing w:line="384" w:lineRule="auto"/>
        <w:ind w:firstLine="420" w:firstLineChars="200"/>
        <w:rPr>
          <w:rFonts w:ascii="宋体" w:hAnsi="宋体" w:eastAsia="宋体" w:cs="宋体"/>
          <w:szCs w:val="21"/>
        </w:rPr>
      </w:pPr>
      <w:r>
        <w:rPr>
          <w:rFonts w:hint="eastAsia" w:ascii="宋体" w:hAnsi="宋体" w:cs="宋体"/>
          <w:szCs w:val="21"/>
        </w:rPr>
        <w:t>（六）采购需</w:t>
      </w:r>
      <w:r>
        <w:rPr>
          <w:rFonts w:hint="eastAsia" w:ascii="宋体" w:hAnsi="宋体" w:eastAsia="宋体" w:cs="宋体"/>
          <w:szCs w:val="21"/>
        </w:rPr>
        <w:t>求：学校图书馆屋面建成时间久远，原有防水层老化、开裂、脱层，多处屋面出现渗水、漏水，已影响图书馆室内正常使用及馆藏文献安全。为消除渗漏隐患、恢复屋面使用功能、保障馆藏资产，需对多个区域屋面（扇形区域、史书阁走廊、报告厅、连廊、卫生间、设备间、楼梯间、咖啡吧顶部）实施防水修缮。具体详见图纸及工程量清单。</w:t>
      </w:r>
    </w:p>
    <w:p>
      <w:pPr>
        <w:spacing w:line="384" w:lineRule="auto"/>
        <w:ind w:firstLine="420" w:firstLineChars="200"/>
        <w:rPr>
          <w:rFonts w:ascii="宋体" w:hAnsi="宋体" w:cs="宋体"/>
          <w:szCs w:val="21"/>
        </w:rPr>
      </w:pPr>
      <w:r>
        <w:rPr>
          <w:rFonts w:hint="eastAsia" w:ascii="宋体" w:hAnsi="宋体" w:cs="宋体"/>
          <w:szCs w:val="21"/>
        </w:rPr>
        <w:t>（七）</w:t>
      </w:r>
      <w:r>
        <w:rPr>
          <w:rFonts w:hint="eastAsia" w:ascii="宋体" w:hAnsi="宋体" w:cs="宋体"/>
          <w:spacing w:val="-6"/>
          <w:szCs w:val="21"/>
        </w:rPr>
        <w:t>合同履行期限：</w:t>
      </w:r>
      <w:r>
        <w:rPr>
          <w:rFonts w:hint="eastAsia" w:ascii="宋体" w:hAnsi="宋体" w:eastAsia="宋体" w:cs="宋体"/>
          <w:szCs w:val="21"/>
        </w:rPr>
        <w:t>合同签订后60日历天内完成。</w:t>
      </w:r>
    </w:p>
    <w:p>
      <w:pPr>
        <w:spacing w:line="384" w:lineRule="auto"/>
        <w:ind w:firstLine="396" w:firstLineChars="200"/>
        <w:rPr>
          <w:rFonts w:ascii="宋体" w:hAnsi="宋体" w:cs="宋体"/>
          <w:spacing w:val="-6"/>
          <w:szCs w:val="21"/>
        </w:rPr>
      </w:pPr>
      <w:r>
        <w:rPr>
          <w:rFonts w:hint="eastAsia" w:ascii="宋体" w:hAnsi="宋体" w:cs="宋体"/>
          <w:spacing w:val="-6"/>
          <w:szCs w:val="21"/>
        </w:rPr>
        <w:t>（八）本项目</w:t>
      </w:r>
      <w:r>
        <w:rPr>
          <w:rFonts w:hint="eastAsia" w:ascii="宋体" w:hAnsi="宋体" w:cs="宋体"/>
          <w:spacing w:val="-6"/>
          <w:szCs w:val="21"/>
          <w:u w:val="single"/>
        </w:rPr>
        <w:t>不接受</w:t>
      </w:r>
      <w:r>
        <w:rPr>
          <w:rFonts w:hint="eastAsia" w:ascii="宋体" w:hAnsi="宋体" w:cs="宋体"/>
          <w:spacing w:val="-6"/>
          <w:szCs w:val="21"/>
        </w:rPr>
        <w:t>联合体磋商。</w:t>
      </w:r>
    </w:p>
    <w:p>
      <w:pPr>
        <w:spacing w:line="384" w:lineRule="auto"/>
        <w:ind w:firstLine="396" w:firstLineChars="200"/>
        <w:rPr>
          <w:rFonts w:ascii="宋体" w:hAnsi="宋体" w:eastAsia="宋体" w:cs="Times New Roman"/>
        </w:rPr>
      </w:pPr>
      <w:r>
        <w:rPr>
          <w:rFonts w:hint="eastAsia" w:ascii="宋体" w:hAnsi="宋体" w:cs="宋体"/>
          <w:spacing w:val="-6"/>
          <w:szCs w:val="21"/>
        </w:rPr>
        <w:t>（九）本项目</w:t>
      </w:r>
      <w:r>
        <w:rPr>
          <w:rFonts w:hint="eastAsia" w:ascii="宋体" w:hAnsi="宋体" w:cs="宋体"/>
          <w:spacing w:val="-6"/>
          <w:szCs w:val="21"/>
          <w:u w:val="single"/>
        </w:rPr>
        <w:t>不接受</w:t>
      </w:r>
      <w:r>
        <w:rPr>
          <w:rFonts w:hint="eastAsia" w:ascii="宋体" w:hAnsi="宋体" w:cs="宋体"/>
          <w:spacing w:val="-6"/>
          <w:szCs w:val="21"/>
        </w:rPr>
        <w:t>进口产品参</w:t>
      </w:r>
      <w:r>
        <w:rPr>
          <w:rFonts w:hint="eastAsia" w:ascii="宋体" w:hAnsi="宋体" w:cs="宋体"/>
          <w:szCs w:val="21"/>
        </w:rPr>
        <w:t>加磋商。</w:t>
      </w:r>
    </w:p>
    <w:p>
      <w:pPr>
        <w:snapToGrid w:val="0"/>
        <w:spacing w:line="384" w:lineRule="auto"/>
        <w:ind w:firstLine="413" w:firstLineChars="196"/>
        <w:rPr>
          <w:rFonts w:ascii="宋体" w:hAnsi="宋体" w:eastAsia="宋体" w:cs="Arial"/>
          <w:b/>
          <w:bCs/>
          <w:color w:val="000000"/>
          <w:szCs w:val="21"/>
        </w:rPr>
      </w:pPr>
      <w:r>
        <w:rPr>
          <w:rFonts w:hint="eastAsia" w:ascii="宋体" w:hAnsi="宋体" w:eastAsia="宋体" w:cs="Times New Roman"/>
          <w:b/>
          <w:bCs/>
          <w:color w:val="000000"/>
          <w:szCs w:val="21"/>
        </w:rPr>
        <w:t>二、</w:t>
      </w:r>
      <w:r>
        <w:rPr>
          <w:rFonts w:hint="eastAsia" w:ascii="宋体" w:hAnsi="宋体" w:eastAsia="宋体" w:cs="Arial"/>
          <w:b/>
          <w:bCs/>
          <w:color w:val="000000"/>
          <w:szCs w:val="21"/>
        </w:rPr>
        <w:t>合格投标人资格要求</w:t>
      </w:r>
    </w:p>
    <w:p>
      <w:pPr>
        <w:spacing w:line="384" w:lineRule="auto"/>
        <w:ind w:firstLine="396" w:firstLineChars="200"/>
        <w:rPr>
          <w:rFonts w:ascii="宋体" w:hAnsi="宋体" w:eastAsia="宋体" w:cs="Arial"/>
          <w:color w:val="000000"/>
          <w:spacing w:val="-6"/>
          <w:szCs w:val="21"/>
        </w:rPr>
      </w:pPr>
      <w:r>
        <w:rPr>
          <w:rFonts w:hint="eastAsia" w:ascii="宋体" w:hAnsi="宋体" w:eastAsia="宋体" w:cs="Arial"/>
          <w:color w:val="000000"/>
          <w:spacing w:val="-6"/>
          <w:szCs w:val="21"/>
        </w:rPr>
        <w:t>（一）</w:t>
      </w:r>
      <w:r>
        <w:rPr>
          <w:rFonts w:ascii="宋体" w:hAnsi="宋体" w:eastAsia="宋体" w:cs="Arial"/>
          <w:color w:val="000000"/>
          <w:spacing w:val="-6"/>
          <w:szCs w:val="21"/>
        </w:rPr>
        <w:t>符合政府采购法第二十二条</w:t>
      </w:r>
      <w:r>
        <w:rPr>
          <w:rFonts w:hint="eastAsia" w:ascii="宋体" w:hAnsi="宋体" w:eastAsia="宋体" w:cs="Arial"/>
          <w:color w:val="000000"/>
          <w:spacing w:val="-6"/>
          <w:szCs w:val="21"/>
        </w:rPr>
        <w:t>第一款</w:t>
      </w:r>
      <w:r>
        <w:rPr>
          <w:rFonts w:ascii="宋体" w:hAnsi="宋体" w:eastAsia="宋体" w:cs="Arial"/>
          <w:color w:val="000000"/>
          <w:spacing w:val="-6"/>
          <w:szCs w:val="21"/>
        </w:rPr>
        <w:t>规定</w:t>
      </w:r>
      <w:r>
        <w:rPr>
          <w:rFonts w:hint="eastAsia" w:ascii="宋体" w:hAnsi="宋体" w:eastAsia="宋体" w:cs="Arial"/>
          <w:color w:val="000000"/>
          <w:spacing w:val="-6"/>
          <w:szCs w:val="21"/>
        </w:rPr>
        <w:t>的条件，并提供下列材料。</w:t>
      </w:r>
    </w:p>
    <w:p>
      <w:pPr>
        <w:widowControl/>
        <w:snapToGrid w:val="0"/>
        <w:spacing w:line="384"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pPr>
        <w:widowControl/>
        <w:snapToGrid w:val="0"/>
        <w:spacing w:line="384" w:lineRule="auto"/>
        <w:ind w:right="315"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pPr>
        <w:widowControl/>
        <w:snapToGrid w:val="0"/>
        <w:spacing w:line="384" w:lineRule="auto"/>
        <w:ind w:right="315"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w:t>
      </w:r>
    </w:p>
    <w:p>
      <w:pPr>
        <w:widowControl/>
        <w:snapToGrid w:val="0"/>
        <w:spacing w:line="384"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4.营业执照副本</w:t>
      </w:r>
      <w:r>
        <w:rPr>
          <w:rFonts w:hint="eastAsia" w:ascii="宋体" w:hAnsi="宋体" w:eastAsia="宋体" w:cs="Arial"/>
          <w:b/>
          <w:bCs/>
          <w:i/>
          <w:iCs/>
          <w:color w:val="000000"/>
          <w:spacing w:val="-6"/>
          <w:szCs w:val="21"/>
          <w:u w:val="single"/>
        </w:rPr>
        <w:t>(复印件加盖投标人公章)</w:t>
      </w:r>
      <w:r>
        <w:rPr>
          <w:rFonts w:hint="eastAsia" w:ascii="宋体" w:hAnsi="宋体" w:eastAsia="宋体" w:cs="Arial"/>
          <w:i/>
          <w:iCs/>
          <w:color w:val="000000"/>
          <w:spacing w:val="-6"/>
          <w:szCs w:val="21"/>
          <w:u w:val="single"/>
        </w:rPr>
        <w:t>；</w:t>
      </w:r>
    </w:p>
    <w:p>
      <w:pPr>
        <w:widowControl/>
        <w:snapToGrid w:val="0"/>
        <w:spacing w:line="384" w:lineRule="auto"/>
        <w:ind w:right="315"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5.依法缴纳职工社会保障资金的证明材料</w:t>
      </w:r>
      <w:r>
        <w:rPr>
          <w:rFonts w:hint="eastAsia" w:ascii="宋体" w:hAnsi="宋体" w:eastAsia="宋体" w:cs="Arial"/>
          <w:b/>
          <w:bCs/>
          <w:i/>
          <w:iCs/>
          <w:color w:val="000000"/>
          <w:spacing w:val="-6"/>
          <w:szCs w:val="21"/>
          <w:u w:val="single"/>
        </w:rPr>
        <w:t>(复印件加盖投标人公章)(</w:t>
      </w:r>
      <w:r>
        <w:rPr>
          <w:rFonts w:hint="eastAsia" w:ascii="宋体" w:hAnsi="宋体" w:eastAsia="宋体" w:cs="Arial"/>
          <w:i/>
          <w:iCs/>
          <w:color w:val="000000"/>
          <w:spacing w:val="-6"/>
          <w:szCs w:val="21"/>
          <w:u w:val="single"/>
        </w:rPr>
        <w:t>税务、银行或社会保险基金管理部门出具的近一年内任意一份缴纳职工社会保障资金的缴款凭证或缴款证明)</w:t>
      </w:r>
    </w:p>
    <w:p>
      <w:pPr>
        <w:widowControl/>
        <w:snapToGrid w:val="0"/>
        <w:spacing w:line="384" w:lineRule="auto"/>
        <w:ind w:firstLine="398"/>
        <w:jc w:val="left"/>
        <w:rPr>
          <w:rFonts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6.投标人近一年内任意一份依法纳税的缴款凭证(</w:t>
      </w:r>
      <w:r>
        <w:rPr>
          <w:rFonts w:hint="eastAsia" w:ascii="宋体" w:hAnsi="宋体" w:eastAsia="宋体" w:cs="Arial"/>
          <w:b/>
          <w:bCs/>
          <w:i/>
          <w:iCs/>
          <w:color w:val="000000"/>
          <w:spacing w:val="-6"/>
          <w:szCs w:val="21"/>
          <w:u w:val="single"/>
        </w:rPr>
        <w:t>复印件加盖投标人公章)</w:t>
      </w:r>
    </w:p>
    <w:p>
      <w:pPr>
        <w:widowControl/>
        <w:snapToGrid w:val="0"/>
        <w:spacing w:line="384"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7.上一年度财务报告（成立不足一年不需提供）</w:t>
      </w:r>
      <w:r>
        <w:rPr>
          <w:rFonts w:hint="eastAsia" w:ascii="宋体" w:hAnsi="宋体" w:eastAsia="宋体" w:cs="Arial"/>
          <w:b/>
          <w:bCs/>
          <w:i/>
          <w:iCs/>
          <w:color w:val="000000"/>
          <w:spacing w:val="-6"/>
          <w:szCs w:val="21"/>
          <w:u w:val="single"/>
        </w:rPr>
        <w:t>(复印件加盖投标人公章)</w:t>
      </w:r>
    </w:p>
    <w:p>
      <w:pPr>
        <w:widowControl/>
        <w:snapToGrid w:val="0"/>
        <w:spacing w:line="384" w:lineRule="auto"/>
        <w:ind w:firstLine="398"/>
        <w:jc w:val="left"/>
        <w:rPr>
          <w:rFonts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8.投标人参加本次政府采购活动前3年内在经营活动中没有重大违法记录的书面声明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bookmarkStart w:id="3" w:name="_Toc38985265"/>
    </w:p>
    <w:p>
      <w:pPr>
        <w:spacing w:line="384" w:lineRule="auto"/>
        <w:ind w:firstLine="594" w:firstLineChars="300"/>
        <w:rPr>
          <w:rFonts w:ascii="宋体" w:hAnsi="宋体" w:cs="宋体"/>
          <w:b/>
          <w:bCs/>
          <w:szCs w:val="21"/>
        </w:rPr>
      </w:pPr>
      <w:r>
        <w:rPr>
          <w:rFonts w:hint="eastAsia" w:ascii="宋体" w:hAnsi="宋体" w:eastAsia="宋体" w:cs="Arial"/>
          <w:i/>
          <w:iCs/>
          <w:color w:val="000000"/>
          <w:spacing w:val="-6"/>
          <w:szCs w:val="21"/>
          <w:u w:val="single"/>
        </w:rPr>
        <w:t>9.未被“信用中国”网站（www.creditchina.gov.cn）、“中国政府采购网"(www.ccgp.gov.cn)列入失信被执行人、重大税收违法案件当事人名单、政府采购严重违法失信行为记录名单（提供网页截图加盖投标人公章）</w:t>
      </w:r>
      <w:bookmarkEnd w:id="3"/>
    </w:p>
    <w:p>
      <w:pPr>
        <w:spacing w:line="384" w:lineRule="auto"/>
        <w:ind w:firstLine="422" w:firstLineChars="200"/>
        <w:rPr>
          <w:rFonts w:ascii="宋体" w:hAnsi="宋体" w:cs="宋体"/>
          <w:b/>
          <w:bCs/>
          <w:szCs w:val="21"/>
        </w:rPr>
      </w:pPr>
      <w:r>
        <w:rPr>
          <w:rFonts w:hint="eastAsia" w:ascii="宋体" w:hAnsi="宋体" w:cs="宋体"/>
          <w:b/>
          <w:bCs/>
          <w:szCs w:val="21"/>
        </w:rPr>
        <w:t>注一：</w:t>
      </w:r>
      <w:r>
        <w:rPr>
          <w:rFonts w:hint="eastAsia" w:ascii="宋体" w:hAnsi="宋体"/>
          <w:b/>
          <w:bCs/>
        </w:rPr>
        <w:t>如参加本项目的投标人为新成立公司（成立时间距开标时间不到1年）则无需提供上述5、6、7三项；个体工商户、自然人或事业单位等非企业法人无法提供上述5-7项的，需提供相关证明材料。</w:t>
      </w:r>
    </w:p>
    <w:p>
      <w:pPr>
        <w:widowControl/>
        <w:snapToGrid w:val="0"/>
        <w:spacing w:line="384"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（二）落实政府采购政策需满足的资格要求：</w:t>
      </w:r>
      <w:r>
        <w:rPr>
          <w:rFonts w:hint="eastAsia" w:ascii="宋体" w:hAnsi="宋体" w:eastAsia="宋体" w:cs="Arial"/>
          <w:i/>
          <w:iCs/>
          <w:color w:val="000000"/>
          <w:spacing w:val="-6"/>
          <w:szCs w:val="21"/>
          <w:u w:val="single"/>
        </w:rPr>
        <w:t>无</w:t>
      </w:r>
    </w:p>
    <w:p>
      <w:pPr>
        <w:widowControl/>
        <w:snapToGrid w:val="0"/>
        <w:spacing w:line="384" w:lineRule="auto"/>
        <w:ind w:firstLine="396" w:firstLineChars="200"/>
        <w:jc w:val="left"/>
        <w:rPr>
          <w:rFonts w:ascii="宋体" w:hAnsi="宋体" w:eastAsia="宋体" w:cs="Arial"/>
          <w:i/>
          <w:iCs/>
          <w:color w:val="000000"/>
          <w:spacing w:val="-6"/>
          <w:szCs w:val="21"/>
          <w:u w:val="single"/>
        </w:rPr>
      </w:pPr>
      <w:r>
        <w:rPr>
          <w:rFonts w:hint="eastAsia" w:ascii="宋体" w:hAnsi="宋体" w:eastAsia="宋体" w:cs="Arial"/>
          <w:color w:val="000000"/>
          <w:spacing w:val="-6"/>
          <w:szCs w:val="21"/>
        </w:rPr>
        <w:t>（三）本项目的特定资格要求：</w:t>
      </w:r>
      <w:r>
        <w:rPr>
          <w:rFonts w:hint="eastAsia" w:ascii="宋体" w:hAnsi="宋体" w:eastAsia="宋体" w:cs="Arial"/>
          <w:i/>
          <w:iCs/>
          <w:color w:val="000000"/>
          <w:spacing w:val="-6"/>
          <w:szCs w:val="21"/>
          <w:u w:val="single"/>
        </w:rPr>
        <w:t>1.投标人具备防水防腐保温工程专业承包贰级及以上资质并且具有有效的安全生产许可证。（提供证书复印件加盖投标人公章）</w:t>
      </w:r>
    </w:p>
    <w:p>
      <w:pPr>
        <w:widowControl/>
        <w:snapToGrid w:val="0"/>
        <w:spacing w:line="384" w:lineRule="auto"/>
        <w:ind w:firstLine="396" w:firstLineChars="200"/>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w:t>
      </w:r>
      <w:r>
        <w:rPr>
          <w:rFonts w:hint="eastAsia" w:ascii="宋体" w:hAnsi="宋体" w:eastAsia="宋体" w:cs="Arial"/>
          <w:i/>
          <w:iCs/>
          <w:color w:val="000000"/>
          <w:spacing w:val="-6"/>
          <w:szCs w:val="21"/>
          <w:u w:val="single"/>
          <w:lang w:eastAsia="zh-CN"/>
        </w:rPr>
        <w:t>项目经理</w:t>
      </w:r>
      <w:bookmarkStart w:id="148" w:name="_GoBack"/>
      <w:bookmarkEnd w:id="148"/>
      <w:r>
        <w:rPr>
          <w:rFonts w:hint="eastAsia" w:ascii="宋体" w:hAnsi="宋体" w:eastAsia="宋体" w:cs="Arial"/>
          <w:i/>
          <w:iCs/>
          <w:color w:val="000000"/>
          <w:spacing w:val="-6"/>
          <w:szCs w:val="21"/>
          <w:u w:val="single"/>
        </w:rPr>
        <w:t>具备注册建造师证建筑工程二级(含)以上且具有有效的安全生产考核合格证书(B证)。（拟派项目经理为本公司正式员工，提供投标人为其缴纳的社保机构出具的近一年内任意一个月的养老保险缴费证明材料，并提供有效证书复印件加盖公章）</w:t>
      </w:r>
    </w:p>
    <w:p>
      <w:pPr>
        <w:widowControl/>
        <w:snapToGrid w:val="0"/>
        <w:spacing w:line="384" w:lineRule="auto"/>
        <w:ind w:firstLine="396" w:firstLineChars="200"/>
        <w:jc w:val="left"/>
        <w:rPr>
          <w:rFonts w:ascii="宋体" w:hAnsi="宋体" w:eastAsia="宋体" w:cs="Arial"/>
          <w:i/>
          <w:iCs/>
          <w:color w:val="000000"/>
          <w:spacing w:val="-6"/>
          <w:szCs w:val="21"/>
          <w:highlight w:val="green"/>
          <w:u w:val="single"/>
        </w:rPr>
      </w:pPr>
      <w:r>
        <w:rPr>
          <w:rFonts w:hint="eastAsia" w:ascii="宋体" w:hAnsi="宋体" w:eastAsia="宋体" w:cs="Arial"/>
          <w:i/>
          <w:iCs/>
          <w:color w:val="000000"/>
          <w:spacing w:val="-6"/>
          <w:szCs w:val="21"/>
          <w:u w:val="single"/>
          <w:lang w:val="en-US" w:eastAsia="zh-CN"/>
        </w:rPr>
        <w:t>3.</w:t>
      </w:r>
      <w:r>
        <w:rPr>
          <w:rFonts w:hint="eastAsia" w:ascii="宋体" w:hAnsi="宋体" w:eastAsia="宋体" w:cs="宋体"/>
          <w:i/>
          <w:iCs/>
          <w:szCs w:val="21"/>
          <w:u w:val="single"/>
          <w:lang w:val="en-US" w:eastAsia="zh-CN"/>
        </w:rPr>
        <w:t>投标人</w:t>
      </w:r>
      <w:r>
        <w:rPr>
          <w:rFonts w:hint="eastAsia" w:ascii="宋体" w:hAnsi="宋体" w:cs="宋体"/>
          <w:i/>
          <w:iCs/>
          <w:szCs w:val="21"/>
          <w:u w:val="single"/>
        </w:rPr>
        <w:t>拟派项目经理无在建工程承诺书</w:t>
      </w:r>
      <w:r>
        <w:rPr>
          <w:rFonts w:hint="eastAsia" w:ascii="宋体" w:hAnsi="宋体" w:cs="宋体"/>
          <w:b/>
          <w:bCs/>
          <w:i/>
          <w:iCs/>
          <w:szCs w:val="21"/>
          <w:u w:val="single"/>
        </w:rPr>
        <w:t>（原件）</w:t>
      </w:r>
    </w:p>
    <w:p>
      <w:pPr>
        <w:widowControl/>
        <w:snapToGrid w:val="0"/>
        <w:spacing w:line="384"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（四）拒绝下述投标人参加本次采购活动：</w:t>
      </w:r>
    </w:p>
    <w:p>
      <w:pPr>
        <w:widowControl/>
        <w:snapToGrid w:val="0"/>
        <w:spacing w:line="384"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1.投标人单位负责人为同一人或者存在直接控股、管理关系的不同投标人，不得参加同一合同项下的政府采购活动。</w:t>
      </w:r>
    </w:p>
    <w:p>
      <w:pPr>
        <w:widowControl/>
        <w:tabs>
          <w:tab w:val="left" w:pos="985"/>
        </w:tabs>
        <w:snapToGrid w:val="0"/>
        <w:spacing w:line="384"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2.凡为采购项目提供整体设计、规范编制或者项目管理、监理、检测等服务的投标人，不得再参加该项目的其他采购活动。</w:t>
      </w:r>
    </w:p>
    <w:p>
      <w:pPr>
        <w:widowControl/>
        <w:snapToGrid w:val="0"/>
        <w:spacing w:line="384"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3.投标人被“信用中国”网站（www.creditchina.gov.cn）、“中国政府采购网"(www.ccgp.gov.cn)列入失信被执行人、重大税收违法案件当事人名单、政府采购严重违法失信行为记录名单。</w:t>
      </w:r>
    </w:p>
    <w:p>
      <w:pPr>
        <w:spacing w:line="384" w:lineRule="auto"/>
        <w:ind w:firstLine="396" w:firstLineChars="200"/>
        <w:rPr>
          <w:rFonts w:ascii="宋体" w:hAnsi="宋体" w:eastAsia="宋体" w:cs="Arial"/>
          <w:color w:val="000000"/>
          <w:spacing w:val="-6"/>
          <w:szCs w:val="21"/>
        </w:rPr>
      </w:pPr>
      <w:r>
        <w:rPr>
          <w:rFonts w:hint="eastAsia" w:ascii="宋体" w:hAnsi="宋体" w:eastAsia="宋体" w:cs="Arial"/>
          <w:color w:val="000000"/>
          <w:spacing w:val="-6"/>
          <w:szCs w:val="21"/>
        </w:rPr>
        <w:t>4.集中考察或召开答疑会：</w:t>
      </w:r>
      <w:bookmarkStart w:id="4" w:name="_Hlk106639063"/>
    </w:p>
    <w:p>
      <w:pPr>
        <w:spacing w:line="384" w:lineRule="auto"/>
        <w:ind w:firstLine="396" w:firstLineChars="200"/>
        <w:rPr>
          <w:rFonts w:ascii="宋体" w:hAnsi="宋体" w:eastAsia="宋体" w:cs="Arial"/>
          <w:color w:val="000000"/>
          <w:spacing w:val="-6"/>
          <w:szCs w:val="21"/>
        </w:rPr>
      </w:pPr>
      <w:r>
        <w:rPr>
          <w:rFonts w:hint="eastAsia" w:ascii="宋体" w:hAnsi="宋体" w:eastAsia="宋体" w:cs="Arial"/>
          <w:color w:val="000000"/>
          <w:spacing w:val="-6"/>
          <w:szCs w:val="21"/>
        </w:rPr>
        <w:t>（1）</w:t>
      </w:r>
      <w:r>
        <w:rPr>
          <w:rFonts w:ascii="宋体" w:hAnsi="宋体" w:eastAsia="宋体" w:cs="Arial"/>
          <w:color w:val="000000"/>
          <w:spacing w:val="-6"/>
          <w:szCs w:val="21"/>
        </w:rPr>
        <w:t>本项目将组织供应商进行现场勘察，供应商须携带营业执照副本（复印件加盖公章）、法定代表人授权委托书（原件）及身份证原件进行现场查勘。因工程涉及图书馆多个平面区域，施工平面高度分布于</w:t>
      </w:r>
      <w:r>
        <w:rPr>
          <w:rFonts w:hint="eastAsia" w:ascii="宋体" w:hAnsi="宋体" w:eastAsia="宋体" w:cs="Arial"/>
          <w:color w:val="000000"/>
          <w:spacing w:val="-6"/>
          <w:szCs w:val="21"/>
        </w:rPr>
        <w:t>8</w:t>
      </w:r>
      <w:r>
        <w:rPr>
          <w:rFonts w:ascii="宋体" w:hAnsi="宋体" w:eastAsia="宋体" w:cs="Arial"/>
          <w:color w:val="000000"/>
          <w:spacing w:val="-6"/>
          <w:szCs w:val="21"/>
        </w:rPr>
        <w:t>.8m-22.5m，投标人需自行研判高空作业、</w:t>
      </w:r>
      <w:r>
        <w:rPr>
          <w:rFonts w:hint="eastAsia" w:ascii="宋体" w:hAnsi="宋体" w:eastAsia="宋体" w:cs="Arial"/>
          <w:color w:val="000000"/>
          <w:spacing w:val="-6"/>
          <w:szCs w:val="21"/>
        </w:rPr>
        <w:t>垃圾清运、材料搬运、施工组织等</w:t>
      </w:r>
      <w:r>
        <w:rPr>
          <w:rFonts w:ascii="宋体" w:hAnsi="宋体" w:eastAsia="宋体" w:cs="Arial"/>
          <w:color w:val="000000"/>
          <w:spacing w:val="-6"/>
          <w:szCs w:val="21"/>
        </w:rPr>
        <w:t>事宜，</w:t>
      </w:r>
      <w:r>
        <w:rPr>
          <w:rFonts w:hint="eastAsia" w:ascii="宋体" w:hAnsi="宋体" w:eastAsia="宋体" w:cs="Arial"/>
          <w:color w:val="000000"/>
          <w:spacing w:val="-6"/>
          <w:szCs w:val="21"/>
        </w:rPr>
        <w:t>各投标人需充分了解项目实施内容；各投标人必须对项目现场和周围环境进行仔细认真查勘，在随后的招标中，对现场资料和数据所作出的推论、解释和结论及由此造成的后果由投标人负责。</w:t>
      </w:r>
    </w:p>
    <w:bookmarkEnd w:id="4"/>
    <w:p>
      <w:pPr>
        <w:spacing w:line="384" w:lineRule="auto"/>
        <w:ind w:firstLine="396" w:firstLineChars="200"/>
        <w:rPr>
          <w:rFonts w:ascii="宋体" w:hAnsi="宋体" w:eastAsia="宋体" w:cs="Arial"/>
          <w:color w:val="000000"/>
          <w:spacing w:val="-6"/>
          <w:szCs w:val="21"/>
          <w:lang w:val="zh-CN"/>
        </w:rPr>
      </w:pPr>
      <w:r>
        <w:rPr>
          <w:rFonts w:hint="eastAsia" w:ascii="宋体" w:hAnsi="宋体" w:eastAsia="宋体" w:cs="Arial"/>
          <w:color w:val="000000"/>
          <w:spacing w:val="-6"/>
          <w:szCs w:val="21"/>
          <w:lang w:val="zh-CN"/>
        </w:rPr>
        <w:t>勘查集合时间：202</w:t>
      </w:r>
      <w:r>
        <w:rPr>
          <w:rFonts w:hint="eastAsia" w:ascii="宋体" w:hAnsi="宋体" w:eastAsia="宋体" w:cs="Arial"/>
          <w:color w:val="000000"/>
          <w:spacing w:val="-6"/>
          <w:szCs w:val="21"/>
        </w:rPr>
        <w:t>6</w:t>
      </w:r>
      <w:r>
        <w:rPr>
          <w:rFonts w:hint="eastAsia" w:ascii="宋体" w:hAnsi="宋体" w:eastAsia="宋体" w:cs="Arial"/>
          <w:color w:val="000000"/>
          <w:spacing w:val="-6"/>
          <w:szCs w:val="21"/>
          <w:lang w:val="zh-CN"/>
        </w:rPr>
        <w:t>年</w:t>
      </w:r>
      <w:r>
        <w:rPr>
          <w:rFonts w:hint="eastAsia" w:ascii="宋体" w:hAnsi="宋体" w:eastAsia="宋体" w:cs="Arial"/>
          <w:color w:val="000000"/>
          <w:spacing w:val="-6"/>
          <w:szCs w:val="21"/>
        </w:rPr>
        <w:t>6</w:t>
      </w:r>
      <w:r>
        <w:rPr>
          <w:rFonts w:hint="eastAsia" w:ascii="宋体" w:hAnsi="宋体" w:eastAsia="宋体" w:cs="Arial"/>
          <w:color w:val="000000"/>
          <w:spacing w:val="-6"/>
          <w:szCs w:val="21"/>
          <w:lang w:val="zh-CN"/>
        </w:rPr>
        <w:t>月</w:t>
      </w:r>
      <w:r>
        <w:rPr>
          <w:rFonts w:hint="eastAsia" w:ascii="宋体" w:hAnsi="宋体" w:eastAsia="宋体" w:cs="Arial"/>
          <w:color w:val="000000"/>
          <w:spacing w:val="-6"/>
          <w:szCs w:val="21"/>
          <w:lang w:val="en-US" w:eastAsia="zh-CN"/>
        </w:rPr>
        <w:t>30</w:t>
      </w:r>
      <w:r>
        <w:rPr>
          <w:rFonts w:hint="eastAsia" w:ascii="宋体" w:hAnsi="宋体" w:eastAsia="宋体" w:cs="Arial"/>
          <w:color w:val="000000"/>
          <w:spacing w:val="-6"/>
          <w:szCs w:val="21"/>
          <w:lang w:val="zh-CN"/>
        </w:rPr>
        <w:t>日</w:t>
      </w:r>
      <w:r>
        <w:rPr>
          <w:rFonts w:hint="eastAsia" w:ascii="宋体" w:hAnsi="宋体" w:eastAsia="宋体" w:cs="Arial"/>
          <w:color w:val="000000"/>
          <w:spacing w:val="-6"/>
          <w:szCs w:val="21"/>
        </w:rPr>
        <w:t>上午</w:t>
      </w:r>
      <w:r>
        <w:rPr>
          <w:rFonts w:hint="eastAsia" w:ascii="宋体" w:hAnsi="宋体" w:eastAsia="宋体" w:cs="宋体"/>
          <w:color w:val="000000"/>
          <w:kern w:val="0"/>
          <w:szCs w:val="21"/>
        </w:rPr>
        <w:t>10</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0</w:t>
      </w:r>
      <w:r>
        <w:rPr>
          <w:rFonts w:hint="eastAsia" w:ascii="宋体" w:hAnsi="宋体" w:eastAsia="宋体" w:cs="宋体"/>
          <w:color w:val="000000"/>
          <w:kern w:val="0"/>
          <w:szCs w:val="21"/>
          <w:lang w:val="en"/>
        </w:rPr>
        <w:t>0</w:t>
      </w:r>
      <w:r>
        <w:rPr>
          <w:rFonts w:hint="eastAsia" w:ascii="宋体" w:hAnsi="宋体" w:eastAsia="宋体" w:cs="Arial"/>
          <w:color w:val="000000"/>
          <w:spacing w:val="-6"/>
          <w:szCs w:val="21"/>
        </w:rPr>
        <w:t>（迟到单位视为放弃勘查）</w:t>
      </w:r>
    </w:p>
    <w:p>
      <w:pPr>
        <w:tabs>
          <w:tab w:val="left" w:pos="900"/>
        </w:tabs>
        <w:adjustRightInd w:val="0"/>
        <w:snapToGrid w:val="0"/>
        <w:spacing w:line="384" w:lineRule="auto"/>
        <w:ind w:firstLine="422"/>
        <w:rPr>
          <w:rFonts w:ascii="宋体" w:hAnsi="宋体" w:eastAsia="宋体" w:cs="宋体"/>
          <w:szCs w:val="21"/>
        </w:rPr>
      </w:pPr>
      <w:r>
        <w:rPr>
          <w:rFonts w:hint="eastAsia" w:ascii="宋体" w:hAnsi="宋体" w:cs="宋体"/>
          <w:szCs w:val="21"/>
          <w:lang w:val="zh-CN"/>
        </w:rPr>
        <w:t>勘查集合地点：扬州市邗江区润扬南路33号南京邮电大学通达学院</w:t>
      </w:r>
      <w:r>
        <w:rPr>
          <w:rFonts w:hint="eastAsia" w:ascii="宋体" w:hAnsi="宋体" w:cs="宋体"/>
          <w:szCs w:val="21"/>
        </w:rPr>
        <w:t>行政楼5楼</w:t>
      </w:r>
      <w:r>
        <w:rPr>
          <w:rFonts w:hint="eastAsia" w:ascii="宋体" w:hAnsi="宋体" w:cs="宋体"/>
          <w:szCs w:val="21"/>
          <w:lang w:val="zh-CN"/>
        </w:rPr>
        <w:t>507室</w:t>
      </w:r>
    </w:p>
    <w:p>
      <w:pPr>
        <w:tabs>
          <w:tab w:val="left" w:pos="900"/>
        </w:tabs>
        <w:adjustRightInd w:val="0"/>
        <w:snapToGrid w:val="0"/>
        <w:spacing w:line="384" w:lineRule="auto"/>
        <w:ind w:firstLine="422"/>
        <w:rPr>
          <w:rFonts w:ascii="宋体" w:hAnsi="宋体" w:eastAsia="宋体" w:cs="宋体"/>
          <w:szCs w:val="21"/>
        </w:rPr>
      </w:pPr>
      <w:r>
        <w:rPr>
          <w:rFonts w:hint="eastAsia" w:ascii="宋体" w:hAnsi="宋体" w:cs="宋体"/>
          <w:szCs w:val="21"/>
          <w:lang w:val="zh-CN"/>
        </w:rPr>
        <w:t>联系人：</w:t>
      </w:r>
      <w:r>
        <w:rPr>
          <w:rFonts w:hint="eastAsia" w:ascii="宋体" w:hAnsi="宋体" w:cs="宋体"/>
          <w:szCs w:val="21"/>
        </w:rPr>
        <w:t xml:space="preserve">陶老师 19962632263 </w:t>
      </w:r>
    </w:p>
    <w:p>
      <w:pPr>
        <w:tabs>
          <w:tab w:val="left" w:pos="900"/>
        </w:tabs>
        <w:adjustRightInd w:val="0"/>
        <w:snapToGrid w:val="0"/>
        <w:spacing w:line="384" w:lineRule="auto"/>
        <w:ind w:firstLine="422"/>
        <w:rPr>
          <w:rFonts w:ascii="宋体" w:hAnsi="宋体" w:cs="宋体"/>
          <w:szCs w:val="21"/>
          <w:lang w:val="zh-CN"/>
        </w:rPr>
      </w:pPr>
      <w:r>
        <w:rPr>
          <w:rFonts w:hint="eastAsia" w:ascii="宋体" w:hAnsi="宋体" w:cs="宋体"/>
          <w:szCs w:val="21"/>
          <w:lang w:val="zh-CN"/>
        </w:rPr>
        <w:t>注：各供应商踏勘原则上仅限一人参加。参加踏勘的法人代表或授权代表必须满足以下条件：</w:t>
      </w:r>
    </w:p>
    <w:p>
      <w:pPr>
        <w:widowControl/>
        <w:tabs>
          <w:tab w:val="left" w:pos="900"/>
        </w:tabs>
        <w:adjustRightInd w:val="0"/>
        <w:snapToGrid w:val="0"/>
        <w:spacing w:line="384" w:lineRule="auto"/>
        <w:ind w:firstLine="422"/>
        <w:jc w:val="left"/>
        <w:rPr>
          <w:rFonts w:ascii="宋体" w:hAnsi="宋体" w:eastAsia="宋体" w:cs="Arial"/>
          <w:color w:val="000000"/>
          <w:spacing w:val="-6"/>
          <w:szCs w:val="21"/>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）202</w:t>
      </w:r>
      <w:r>
        <w:rPr>
          <w:rFonts w:hint="eastAsia" w:ascii="宋体" w:hAnsi="宋体" w:cs="宋体"/>
          <w:szCs w:val="21"/>
        </w:rPr>
        <w:t>6</w:t>
      </w:r>
      <w:r>
        <w:rPr>
          <w:rFonts w:hint="eastAsia" w:ascii="宋体" w:hAnsi="宋体" w:cs="宋体"/>
          <w:szCs w:val="21"/>
          <w:lang w:val="zh-CN"/>
        </w:rPr>
        <w:t>年</w:t>
      </w:r>
      <w:r>
        <w:rPr>
          <w:rFonts w:hint="eastAsia" w:ascii="宋体" w:hAnsi="宋体" w:cs="宋体"/>
          <w:szCs w:val="21"/>
        </w:rPr>
        <w:t>6月</w:t>
      </w:r>
      <w:r>
        <w:rPr>
          <w:rFonts w:hint="eastAsia" w:ascii="宋体" w:hAnsi="宋体" w:cs="宋体"/>
          <w:szCs w:val="21"/>
          <w:lang w:val="en-US" w:eastAsia="zh-CN"/>
        </w:rPr>
        <w:t>29</w:t>
      </w:r>
      <w:r>
        <w:rPr>
          <w:rFonts w:hint="eastAsia" w:ascii="宋体" w:hAnsi="宋体" w:cs="宋体"/>
          <w:szCs w:val="21"/>
          <w:lang w:val="zh-CN"/>
        </w:rPr>
        <w:t>日下午15:00前关注“南京邮电大学通达学院保卫处”微信公众号，进入访客系统填写相关信息，访问部门选择“</w:t>
      </w:r>
      <w:r>
        <w:rPr>
          <w:rFonts w:hint="eastAsia" w:ascii="宋体" w:hAnsi="宋体" w:cs="宋体"/>
          <w:szCs w:val="21"/>
        </w:rPr>
        <w:t>后勤管理</w:t>
      </w:r>
      <w:r>
        <w:rPr>
          <w:rFonts w:hint="eastAsia" w:ascii="宋体" w:hAnsi="宋体" w:cs="宋体"/>
          <w:szCs w:val="21"/>
          <w:lang w:val="zh-CN"/>
        </w:rPr>
        <w:t>处”，</w:t>
      </w:r>
      <w:r>
        <w:rPr>
          <w:rFonts w:hint="eastAsia" w:ascii="宋体" w:hAnsi="宋体" w:cs="宋体"/>
          <w:szCs w:val="21"/>
        </w:rPr>
        <w:t>访问人员填写“陶骏杰”</w:t>
      </w:r>
      <w:r>
        <w:rPr>
          <w:rFonts w:hint="eastAsia" w:ascii="宋体" w:hAnsi="宋体" w:cs="宋体"/>
          <w:szCs w:val="21"/>
          <w:lang w:val="zh-CN"/>
        </w:rPr>
        <w:t>否则无法进入。</w:t>
      </w:r>
    </w:p>
    <w:p>
      <w:pPr>
        <w:spacing w:line="384" w:lineRule="auto"/>
        <w:ind w:firstLine="415" w:firstLineChars="197"/>
        <w:rPr>
          <w:rFonts w:ascii="宋体" w:hAnsi="宋体" w:eastAsia="宋体" w:cs="Times New Roman"/>
          <w:b/>
          <w:bCs/>
          <w:szCs w:val="21"/>
        </w:rPr>
      </w:pPr>
      <w:r>
        <w:rPr>
          <w:rFonts w:hint="eastAsia" w:ascii="宋体" w:hAnsi="宋体" w:eastAsia="宋体" w:cs="Times New Roman"/>
          <w:b/>
          <w:bCs/>
          <w:szCs w:val="21"/>
        </w:rPr>
        <w:t>三、</w:t>
      </w:r>
      <w:r>
        <w:rPr>
          <w:rFonts w:hint="eastAsia" w:ascii="宋体" w:hAnsi="宋体" w:cs="宋体"/>
          <w:b/>
          <w:bCs/>
          <w:szCs w:val="21"/>
          <w:lang w:val="en"/>
        </w:rPr>
        <w:t>获取</w:t>
      </w:r>
      <w:r>
        <w:rPr>
          <w:rFonts w:hint="eastAsia" w:ascii="宋体" w:hAnsi="宋体" w:cs="宋体"/>
          <w:b/>
          <w:bCs/>
          <w:szCs w:val="21"/>
        </w:rPr>
        <w:t>磋商</w:t>
      </w:r>
      <w:r>
        <w:rPr>
          <w:rFonts w:hint="eastAsia" w:ascii="宋体" w:hAnsi="宋体" w:cs="宋体"/>
          <w:b/>
          <w:bCs/>
          <w:szCs w:val="21"/>
          <w:lang w:val="en"/>
        </w:rPr>
        <w:t>文件</w:t>
      </w:r>
    </w:p>
    <w:p>
      <w:pPr>
        <w:spacing w:line="384" w:lineRule="auto"/>
        <w:ind w:firstLine="420" w:firstLineChars="200"/>
        <w:rPr>
          <w:rFonts w:ascii="宋体" w:hAnsi="宋体" w:cs="宋体"/>
          <w:szCs w:val="21"/>
        </w:rPr>
      </w:pPr>
      <w:r>
        <w:rPr>
          <w:rFonts w:hint="eastAsia" w:ascii="宋体" w:hAnsi="宋体"/>
        </w:rPr>
        <w:t>（一）本磋商</w:t>
      </w:r>
      <w:r>
        <w:rPr>
          <w:rFonts w:hint="eastAsia" w:ascii="宋体" w:hAnsi="宋体" w:cs="Arial"/>
        </w:rPr>
        <w:t>文件提供及公告期限：自采购公告发布之日起5个工作日，</w:t>
      </w:r>
      <w:r>
        <w:rPr>
          <w:rFonts w:hint="eastAsia" w:ascii="宋体" w:hAnsi="宋体" w:cs="宋体"/>
          <w:szCs w:val="21"/>
          <w:u w:val="single"/>
        </w:rPr>
        <w:t>2026年6月</w:t>
      </w:r>
      <w:r>
        <w:rPr>
          <w:rFonts w:hint="eastAsia" w:ascii="宋体" w:hAnsi="宋体" w:cs="宋体"/>
          <w:szCs w:val="21"/>
          <w:u w:val="single"/>
          <w:lang w:val="en-US" w:eastAsia="zh-CN"/>
        </w:rPr>
        <w:t>22</w:t>
      </w:r>
      <w:r>
        <w:rPr>
          <w:rFonts w:hint="eastAsia" w:ascii="宋体" w:hAnsi="宋体" w:cs="宋体"/>
          <w:szCs w:val="21"/>
          <w:u w:val="single"/>
        </w:rPr>
        <w:t>日至2026年6月</w:t>
      </w:r>
      <w:r>
        <w:rPr>
          <w:rFonts w:hint="eastAsia" w:ascii="宋体" w:hAnsi="宋体" w:cs="宋体"/>
          <w:szCs w:val="21"/>
          <w:u w:val="single"/>
          <w:lang w:val="en-US" w:eastAsia="zh-CN"/>
        </w:rPr>
        <w:t>29</w:t>
      </w:r>
      <w:r>
        <w:rPr>
          <w:rFonts w:hint="eastAsia" w:ascii="宋体" w:hAnsi="宋体" w:cs="宋体"/>
          <w:szCs w:val="21"/>
          <w:u w:val="single"/>
        </w:rPr>
        <w:t>日</w:t>
      </w:r>
      <w:r>
        <w:rPr>
          <w:rFonts w:hint="eastAsia" w:ascii="宋体" w:hAnsi="宋体" w:cs="Arial"/>
        </w:rPr>
        <w:t>，请</w:t>
      </w:r>
      <w:r>
        <w:rPr>
          <w:rFonts w:hint="eastAsia" w:ascii="宋体" w:hAnsi="宋体"/>
        </w:rPr>
        <w:t>在</w:t>
      </w:r>
      <w:r>
        <w:rPr>
          <w:rFonts w:hint="eastAsia" w:ascii="宋体" w:hAnsi="宋体" w:cs="Arial"/>
        </w:rPr>
        <w:t>每</w:t>
      </w:r>
      <w:r>
        <w:rPr>
          <w:rFonts w:hint="eastAsia" w:ascii="宋体" w:hAnsi="宋体" w:cs="Arial"/>
          <w:u w:val="single"/>
        </w:rPr>
        <w:t>天9：00至11：30，14：30至17：30</w:t>
      </w:r>
      <w:r>
        <w:rPr>
          <w:rFonts w:hint="eastAsia" w:ascii="宋体" w:hAnsi="宋体" w:cs="Arial"/>
        </w:rPr>
        <w:t>（北京时间，法定节假日除外）</w:t>
      </w:r>
    </w:p>
    <w:p>
      <w:pPr>
        <w:spacing w:line="384" w:lineRule="auto"/>
        <w:ind w:firstLine="420" w:firstLineChars="200"/>
        <w:rPr>
          <w:rFonts w:ascii="宋体" w:hAnsi="宋体" w:cs="宋体"/>
          <w:szCs w:val="21"/>
        </w:rPr>
      </w:pPr>
      <w:r>
        <w:rPr>
          <w:rFonts w:hint="eastAsia" w:ascii="宋体" w:hAnsi="宋体" w:cs="Arial"/>
        </w:rPr>
        <w:t>（二）获取方式：①</w:t>
      </w:r>
      <w:r>
        <w:rPr>
          <w:rFonts w:hint="eastAsia" w:ascii="宋体" w:hAnsi="宋体"/>
        </w:rPr>
        <w:t>携带营业执照（复印件加盖供应商公章）、授权委托书（加盖供应商公章）自行前往扬州市</w:t>
      </w:r>
      <w:r>
        <w:rPr>
          <w:rFonts w:hint="eastAsia" w:ascii="宋体" w:hAnsi="宋体" w:cs="宋体"/>
          <w:szCs w:val="21"/>
        </w:rPr>
        <w:t>维扬路106-1号，扬州商城国际大厦19F</w:t>
      </w:r>
      <w:r>
        <w:rPr>
          <w:rFonts w:hint="eastAsia" w:ascii="宋体" w:hAnsi="宋体"/>
        </w:rPr>
        <w:t>1910室购买招标文件。</w:t>
      </w:r>
    </w:p>
    <w:p>
      <w:pPr>
        <w:spacing w:line="384" w:lineRule="auto"/>
        <w:ind w:firstLine="420" w:firstLineChars="200"/>
        <w:rPr>
          <w:rFonts w:ascii="宋体" w:hAnsi="宋体" w:cs="宋体"/>
          <w:szCs w:val="21"/>
        </w:rPr>
      </w:pPr>
      <w:r>
        <w:rPr>
          <w:rFonts w:hint="eastAsia" w:ascii="宋体" w:hAnsi="宋体"/>
        </w:rPr>
        <w:t>②</w:t>
      </w:r>
      <w:r>
        <w:rPr>
          <w:rFonts w:hint="eastAsia" w:ascii="宋体" w:hAnsi="宋体" w:cs="宋体"/>
        </w:rPr>
        <w:t>营业执照复印件（加盖单位盖章）、授权委托书原件（格式自拟，需包含联系方式）、身份证复印件加盖单位公章、</w:t>
      </w:r>
      <w:r>
        <w:rPr>
          <w:rFonts w:hint="eastAsia" w:ascii="宋体" w:hAnsi="宋体" w:eastAsia="宋体" w:cs="Arial"/>
          <w:color w:val="000000"/>
          <w:spacing w:val="-6"/>
          <w:szCs w:val="21"/>
        </w:rPr>
        <w:t>《供应商参加投标确认函》</w:t>
      </w:r>
      <w:r>
        <w:rPr>
          <w:rFonts w:hint="eastAsia" w:ascii="宋体" w:hAnsi="宋体" w:cs="宋体"/>
        </w:rPr>
        <w:t>发至邮箱（2282617126@qq.com），经招标代理公司确认无误后发招标文件至供应商邮箱，以上二种方式供应商自选，采用邮件获取文件的供应商请在开标当天把所有原件带至现场。</w:t>
      </w:r>
    </w:p>
    <w:p>
      <w:pPr>
        <w:spacing w:line="384" w:lineRule="auto"/>
        <w:ind w:firstLine="420" w:firstLineChars="200"/>
        <w:rPr>
          <w:rFonts w:ascii="宋体" w:hAnsi="宋体" w:eastAsia="宋体" w:cs="Times New Roman"/>
          <w:b/>
          <w:bCs/>
          <w:color w:val="000000"/>
          <w:szCs w:val="21"/>
        </w:rPr>
      </w:pPr>
      <w:r>
        <w:rPr>
          <w:rFonts w:hint="eastAsia" w:ascii="宋体" w:hAnsi="宋体" w:cs="宋体"/>
          <w:szCs w:val="21"/>
        </w:rPr>
        <w:t>（三）售价：300元，报名时缴纳，售后不退。</w:t>
      </w:r>
    </w:p>
    <w:p>
      <w:pPr>
        <w:spacing w:after="120" w:afterLines="50" w:line="384" w:lineRule="auto"/>
        <w:ind w:firstLine="514" w:firstLineChars="244"/>
        <w:rPr>
          <w:rFonts w:ascii="宋体" w:hAnsi="宋体" w:eastAsia="宋体" w:cs="Times New Roman"/>
          <w:color w:val="000000"/>
          <w:szCs w:val="21"/>
        </w:rPr>
      </w:pPr>
      <w:r>
        <w:rPr>
          <w:rFonts w:hint="eastAsia" w:ascii="宋体" w:hAnsi="宋体" w:eastAsia="宋体" w:cs="Times New Roman"/>
          <w:b/>
          <w:bCs/>
          <w:color w:val="000000"/>
          <w:szCs w:val="21"/>
        </w:rPr>
        <w:t>四、磋商响应文件接收截止时间和地点</w:t>
      </w:r>
    </w:p>
    <w:p>
      <w:pPr>
        <w:widowControl/>
        <w:snapToGrid w:val="0"/>
        <w:spacing w:line="384" w:lineRule="auto"/>
        <w:ind w:firstLine="422"/>
        <w:jc w:val="left"/>
        <w:rPr>
          <w:rFonts w:ascii="宋体" w:hAnsi="宋体" w:eastAsia="宋体" w:cs="宋体"/>
          <w:color w:val="000000"/>
          <w:kern w:val="0"/>
          <w:szCs w:val="21"/>
          <w:lang w:val="en"/>
        </w:rPr>
      </w:pPr>
      <w:r>
        <w:rPr>
          <w:rFonts w:hint="eastAsia" w:ascii="宋体" w:hAnsi="宋体" w:eastAsia="宋体" w:cs="宋体"/>
          <w:color w:val="000000"/>
          <w:kern w:val="0"/>
          <w:szCs w:val="21"/>
          <w:lang w:val="en"/>
        </w:rPr>
        <w:t>（一）响应文件接收开始时间：202</w:t>
      </w:r>
      <w:r>
        <w:rPr>
          <w:rFonts w:hint="eastAsia" w:ascii="宋体" w:hAnsi="宋体" w:eastAsia="宋体" w:cs="宋体"/>
          <w:color w:val="000000"/>
          <w:kern w:val="0"/>
          <w:szCs w:val="21"/>
        </w:rPr>
        <w:t>6</w:t>
      </w:r>
      <w:r>
        <w:rPr>
          <w:rFonts w:hint="eastAsia" w:ascii="宋体" w:hAnsi="宋体" w:eastAsia="宋体" w:cs="宋体"/>
          <w:color w:val="000000"/>
          <w:kern w:val="0"/>
          <w:szCs w:val="21"/>
          <w:lang w:val="en"/>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lang w:val="en"/>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val="en"/>
        </w:rPr>
        <w:t>日</w:t>
      </w:r>
      <w:r>
        <w:rPr>
          <w:rFonts w:hint="eastAsia" w:ascii="宋体" w:hAnsi="宋体" w:eastAsia="宋体" w:cs="宋体"/>
          <w:color w:val="000000"/>
          <w:kern w:val="0"/>
          <w:szCs w:val="21"/>
        </w:rPr>
        <w:t>9</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0</w:t>
      </w:r>
      <w:r>
        <w:rPr>
          <w:rFonts w:hint="eastAsia" w:ascii="宋体" w:hAnsi="宋体" w:eastAsia="宋体" w:cs="宋体"/>
          <w:color w:val="000000"/>
          <w:kern w:val="0"/>
          <w:szCs w:val="21"/>
          <w:lang w:val="en"/>
        </w:rPr>
        <w:t xml:space="preserve">0 </w:t>
      </w:r>
    </w:p>
    <w:p>
      <w:pPr>
        <w:widowControl/>
        <w:snapToGrid w:val="0"/>
        <w:spacing w:line="384" w:lineRule="auto"/>
        <w:ind w:firstLine="422"/>
        <w:jc w:val="left"/>
        <w:rPr>
          <w:rFonts w:ascii="宋体" w:hAnsi="宋体" w:eastAsia="宋体" w:cs="宋体"/>
          <w:color w:val="000000"/>
          <w:kern w:val="0"/>
          <w:szCs w:val="21"/>
          <w:lang w:val="en"/>
        </w:rPr>
      </w:pPr>
      <w:r>
        <w:rPr>
          <w:rFonts w:hint="eastAsia" w:ascii="宋体" w:hAnsi="宋体" w:eastAsia="宋体" w:cs="宋体"/>
          <w:color w:val="000000"/>
          <w:kern w:val="0"/>
          <w:szCs w:val="21"/>
          <w:lang w:val="en"/>
        </w:rPr>
        <w:t>（二）响应文件接收截止时间：202</w:t>
      </w:r>
      <w:r>
        <w:rPr>
          <w:rFonts w:hint="eastAsia" w:ascii="宋体" w:hAnsi="宋体" w:eastAsia="宋体" w:cs="宋体"/>
          <w:color w:val="000000"/>
          <w:kern w:val="0"/>
          <w:szCs w:val="21"/>
        </w:rPr>
        <w:t>6</w:t>
      </w:r>
      <w:r>
        <w:rPr>
          <w:rFonts w:hint="eastAsia" w:ascii="宋体" w:hAnsi="宋体" w:eastAsia="宋体" w:cs="宋体"/>
          <w:color w:val="000000"/>
          <w:kern w:val="0"/>
          <w:szCs w:val="21"/>
          <w:lang w:val="en"/>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lang w:val="en"/>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val="en"/>
        </w:rPr>
        <w:t>日</w:t>
      </w:r>
      <w:r>
        <w:rPr>
          <w:rFonts w:hint="eastAsia" w:ascii="宋体" w:hAnsi="宋体" w:eastAsia="宋体" w:cs="宋体"/>
          <w:color w:val="000000"/>
          <w:kern w:val="0"/>
          <w:szCs w:val="21"/>
        </w:rPr>
        <w:t>9</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3</w:t>
      </w:r>
      <w:r>
        <w:rPr>
          <w:rFonts w:hint="eastAsia" w:ascii="宋体" w:hAnsi="宋体" w:eastAsia="宋体" w:cs="宋体"/>
          <w:color w:val="000000"/>
          <w:kern w:val="0"/>
          <w:szCs w:val="21"/>
          <w:lang w:val="en"/>
        </w:rPr>
        <w:t>0，逾期送达将作无效响应处理。</w:t>
      </w:r>
    </w:p>
    <w:p>
      <w:pPr>
        <w:widowControl/>
        <w:snapToGrid w:val="0"/>
        <w:spacing w:line="384" w:lineRule="auto"/>
        <w:ind w:firstLine="422"/>
        <w:jc w:val="left"/>
        <w:rPr>
          <w:rFonts w:ascii="宋体" w:hAnsi="宋体" w:eastAsia="宋体" w:cs="宋体"/>
          <w:color w:val="000000"/>
          <w:kern w:val="0"/>
          <w:szCs w:val="21"/>
          <w:lang w:val="en"/>
        </w:rPr>
      </w:pPr>
      <w:r>
        <w:rPr>
          <w:rFonts w:hint="eastAsia" w:ascii="宋体" w:hAnsi="宋体" w:eastAsia="宋体" w:cs="宋体"/>
          <w:color w:val="000000"/>
          <w:kern w:val="0"/>
          <w:szCs w:val="21"/>
          <w:lang w:val="en"/>
        </w:rPr>
        <w:t>（三）响应文件接收地点：江苏唯诚建设咨询有限公司19</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
        </w:rPr>
        <w:t>开标室（扬州维扬路106-1号，扬州商城国际大厦19F）</w:t>
      </w:r>
    </w:p>
    <w:p>
      <w:pPr>
        <w:spacing w:after="120" w:afterLines="50" w:line="384" w:lineRule="auto"/>
        <w:ind w:firstLine="517" w:firstLineChars="245"/>
        <w:rPr>
          <w:rFonts w:ascii="宋体" w:hAnsi="宋体" w:eastAsia="宋体" w:cs="Times New Roman"/>
          <w:b/>
          <w:bCs/>
          <w:color w:val="000000"/>
          <w:szCs w:val="21"/>
        </w:rPr>
      </w:pPr>
      <w:r>
        <w:rPr>
          <w:rFonts w:hint="eastAsia" w:ascii="宋体" w:hAnsi="宋体" w:eastAsia="宋体" w:cs="Times New Roman"/>
          <w:b/>
          <w:bCs/>
          <w:color w:val="000000"/>
          <w:szCs w:val="21"/>
        </w:rPr>
        <w:t>五、磋商响应文件开启信息</w:t>
      </w:r>
    </w:p>
    <w:p>
      <w:pPr>
        <w:widowControl/>
        <w:snapToGrid w:val="0"/>
        <w:spacing w:line="384" w:lineRule="auto"/>
        <w:ind w:firstLine="422"/>
        <w:jc w:val="left"/>
        <w:rPr>
          <w:rFonts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（一）响应文件开启时间：202</w:t>
      </w:r>
      <w:r>
        <w:rPr>
          <w:rFonts w:hint="eastAsia" w:ascii="宋体" w:hAnsi="宋体" w:eastAsia="宋体" w:cs="宋体"/>
          <w:color w:val="000000"/>
          <w:kern w:val="0"/>
          <w:szCs w:val="21"/>
        </w:rPr>
        <w:t>6</w:t>
      </w:r>
      <w:r>
        <w:rPr>
          <w:rFonts w:hint="eastAsia" w:ascii="宋体" w:hAnsi="宋体" w:eastAsia="宋体" w:cs="宋体"/>
          <w:color w:val="000000"/>
          <w:kern w:val="0"/>
          <w:szCs w:val="21"/>
          <w:lang w:val="en"/>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lang w:val="en"/>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val="en"/>
        </w:rPr>
        <w:t>日</w:t>
      </w:r>
      <w:r>
        <w:rPr>
          <w:rFonts w:hint="eastAsia" w:ascii="宋体" w:hAnsi="宋体" w:eastAsia="宋体" w:cs="宋体"/>
          <w:color w:val="000000"/>
          <w:kern w:val="0"/>
          <w:szCs w:val="21"/>
        </w:rPr>
        <w:t>9</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3</w:t>
      </w:r>
      <w:r>
        <w:rPr>
          <w:rFonts w:hint="eastAsia" w:ascii="宋体" w:hAnsi="宋体" w:eastAsia="宋体" w:cs="宋体"/>
          <w:color w:val="000000"/>
          <w:kern w:val="0"/>
          <w:szCs w:val="21"/>
          <w:lang w:val="en"/>
        </w:rPr>
        <w:t>0</w:t>
      </w:r>
    </w:p>
    <w:p>
      <w:pPr>
        <w:widowControl/>
        <w:snapToGrid w:val="0"/>
        <w:spacing w:line="384" w:lineRule="auto"/>
        <w:ind w:firstLine="422"/>
        <w:jc w:val="left"/>
        <w:rPr>
          <w:rFonts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（二）响应文件开启地点：</w:t>
      </w:r>
      <w:r>
        <w:rPr>
          <w:rFonts w:hint="eastAsia" w:ascii="宋体" w:hAnsi="宋体" w:eastAsia="宋体" w:cs="Times New Roman"/>
          <w:szCs w:val="21"/>
        </w:rPr>
        <w:t>江苏唯诚建设咨询有限公司1920开标室（扬州维扬路106-1号，扬州商城国际大厦19F）</w:t>
      </w:r>
    </w:p>
    <w:p>
      <w:pPr>
        <w:widowControl/>
        <w:spacing w:after="120" w:line="384" w:lineRule="auto"/>
        <w:ind w:firstLine="422"/>
        <w:jc w:val="left"/>
        <w:rPr>
          <w:rFonts w:ascii="微软雅黑" w:hAnsi="微软雅黑" w:eastAsia="微软雅黑" w:cs="宋体"/>
          <w:color w:val="333333"/>
          <w:kern w:val="0"/>
          <w:szCs w:val="21"/>
          <w:lang w:val="en"/>
        </w:rPr>
      </w:pPr>
      <w:r>
        <w:rPr>
          <w:rFonts w:hint="eastAsia" w:ascii="宋体" w:hAnsi="宋体" w:eastAsia="宋体" w:cs="宋体"/>
          <w:b/>
          <w:bCs/>
          <w:color w:val="000000"/>
          <w:kern w:val="0"/>
          <w:szCs w:val="21"/>
          <w:lang w:val="en"/>
        </w:rPr>
        <w:t>六、本次磋商采购联系事项</w:t>
      </w:r>
    </w:p>
    <w:p>
      <w:pPr>
        <w:spacing w:line="384" w:lineRule="auto"/>
        <w:ind w:firstLine="420" w:firstLineChars="200"/>
        <w:rPr>
          <w:rFonts w:ascii="宋体" w:hAnsi="宋体" w:cs="宋体"/>
          <w:szCs w:val="21"/>
        </w:rPr>
      </w:pPr>
      <w:r>
        <w:rPr>
          <w:rFonts w:hint="eastAsia" w:ascii="宋体" w:hAnsi="宋体" w:cs="宋体"/>
          <w:szCs w:val="21"/>
        </w:rPr>
        <w:t>（一）采购人信息</w:t>
      </w:r>
    </w:p>
    <w:p>
      <w:pPr>
        <w:spacing w:line="384" w:lineRule="auto"/>
        <w:ind w:firstLine="420" w:firstLineChars="200"/>
        <w:rPr>
          <w:rFonts w:ascii="宋体" w:hAnsi="宋体" w:cs="宋体"/>
          <w:szCs w:val="21"/>
        </w:rPr>
      </w:pPr>
      <w:r>
        <w:rPr>
          <w:rFonts w:hint="eastAsia" w:ascii="宋体" w:hAnsi="宋体" w:cs="宋体"/>
          <w:szCs w:val="21"/>
        </w:rPr>
        <w:t xml:space="preserve">名 称：南京邮电大学通达学院　　 </w:t>
      </w:r>
    </w:p>
    <w:p>
      <w:pPr>
        <w:spacing w:line="384" w:lineRule="auto"/>
        <w:ind w:firstLine="420" w:firstLineChars="200"/>
        <w:rPr>
          <w:rFonts w:ascii="宋体" w:hAnsi="宋体" w:cs="宋体"/>
          <w:szCs w:val="21"/>
        </w:rPr>
      </w:pPr>
      <w:r>
        <w:rPr>
          <w:rFonts w:hint="eastAsia" w:ascii="宋体" w:hAnsi="宋体" w:cs="宋体"/>
          <w:szCs w:val="21"/>
        </w:rPr>
        <w:t>地址：扬州市润扬南路33号</w:t>
      </w:r>
    </w:p>
    <w:p>
      <w:pPr>
        <w:spacing w:line="384" w:lineRule="auto"/>
        <w:ind w:firstLine="420" w:firstLineChars="200"/>
        <w:rPr>
          <w:rFonts w:ascii="宋体" w:hAnsi="宋体" w:cs="宋体"/>
          <w:szCs w:val="21"/>
        </w:rPr>
      </w:pPr>
      <w:bookmarkStart w:id="5" w:name="_Toc28359086"/>
      <w:bookmarkStart w:id="6" w:name="_Toc28359009"/>
      <w:r>
        <w:rPr>
          <w:rFonts w:hint="eastAsia" w:ascii="宋体" w:hAnsi="宋体" w:cs="宋体"/>
          <w:szCs w:val="21"/>
        </w:rPr>
        <w:t>联系人：</w:t>
      </w:r>
      <w:r>
        <w:rPr>
          <w:rFonts w:hint="eastAsia" w:ascii="宋体" w:hAnsi="宋体"/>
          <w:szCs w:val="21"/>
          <w:lang w:val="en"/>
        </w:rPr>
        <w:t>季海燕</w:t>
      </w:r>
      <w:r>
        <w:rPr>
          <w:rFonts w:hint="eastAsia" w:ascii="宋体" w:hAnsi="宋体" w:cs="宋体"/>
          <w:szCs w:val="21"/>
        </w:rPr>
        <w:t xml:space="preserve">           </w:t>
      </w:r>
    </w:p>
    <w:p>
      <w:pPr>
        <w:spacing w:line="384" w:lineRule="auto"/>
        <w:ind w:firstLine="420" w:firstLineChars="200"/>
        <w:rPr>
          <w:rFonts w:ascii="宋体" w:hAnsi="宋体" w:cs="宋体"/>
          <w:szCs w:val="21"/>
        </w:rPr>
      </w:pPr>
      <w:r>
        <w:rPr>
          <w:rFonts w:hint="eastAsia" w:ascii="宋体" w:hAnsi="宋体" w:cs="宋体"/>
          <w:szCs w:val="21"/>
        </w:rPr>
        <w:t xml:space="preserve">联系方式 ：15195552829  </w:t>
      </w:r>
    </w:p>
    <w:p>
      <w:pPr>
        <w:spacing w:line="384" w:lineRule="auto"/>
        <w:ind w:firstLine="420" w:firstLineChars="200"/>
        <w:rPr>
          <w:rFonts w:ascii="宋体" w:hAnsi="宋体" w:cs="宋体"/>
          <w:szCs w:val="21"/>
        </w:rPr>
      </w:pPr>
      <w:r>
        <w:rPr>
          <w:rFonts w:hint="eastAsia" w:ascii="宋体" w:hAnsi="宋体" w:cs="宋体"/>
          <w:szCs w:val="21"/>
        </w:rPr>
        <w:t>（二）采购代理机构信息</w:t>
      </w:r>
      <w:bookmarkEnd w:id="5"/>
      <w:bookmarkEnd w:id="6"/>
    </w:p>
    <w:p>
      <w:pPr>
        <w:spacing w:line="384" w:lineRule="auto"/>
        <w:ind w:firstLine="420" w:firstLineChars="200"/>
        <w:rPr>
          <w:rFonts w:ascii="宋体" w:hAnsi="宋体" w:cs="宋体"/>
          <w:szCs w:val="21"/>
        </w:rPr>
      </w:pPr>
      <w:r>
        <w:rPr>
          <w:rFonts w:hint="eastAsia" w:ascii="宋体" w:hAnsi="宋体" w:cs="宋体"/>
          <w:szCs w:val="21"/>
        </w:rPr>
        <w:t xml:space="preserve">名    称：江苏唯诚建设咨询有限公司                   </w:t>
      </w:r>
    </w:p>
    <w:p>
      <w:pPr>
        <w:spacing w:line="384" w:lineRule="auto"/>
        <w:ind w:firstLine="420" w:firstLineChars="200"/>
        <w:rPr>
          <w:rFonts w:ascii="宋体" w:hAnsi="宋体" w:cs="宋体"/>
          <w:szCs w:val="21"/>
        </w:rPr>
      </w:pPr>
      <w:r>
        <w:rPr>
          <w:rFonts w:hint="eastAsia" w:ascii="宋体" w:hAnsi="宋体" w:cs="宋体"/>
          <w:szCs w:val="21"/>
        </w:rPr>
        <w:t xml:space="preserve">地　  址：扬州维扬路106-1号，扬州商城国际大厦19F　　　　　　　　　　　  </w:t>
      </w:r>
    </w:p>
    <w:p>
      <w:pPr>
        <w:spacing w:line="384" w:lineRule="auto"/>
        <w:ind w:firstLine="420" w:firstLineChars="200"/>
        <w:rPr>
          <w:rFonts w:ascii="宋体" w:hAnsi="宋体" w:eastAsia="宋体" w:cs="Times New Roman"/>
          <w:color w:val="000000"/>
          <w:szCs w:val="21"/>
        </w:rPr>
      </w:pPr>
      <w:r>
        <w:rPr>
          <w:rFonts w:hint="eastAsia" w:ascii="宋体" w:hAnsi="宋体" w:cs="宋体"/>
          <w:szCs w:val="21"/>
        </w:rPr>
        <w:t xml:space="preserve">联系人：曾远洋 13665205389　　　　　　   　　　  </w:t>
      </w:r>
    </w:p>
    <w:p>
      <w:pPr>
        <w:adjustRightInd w:val="0"/>
        <w:snapToGrid w:val="0"/>
        <w:spacing w:line="384" w:lineRule="auto"/>
        <w:ind w:firstLine="422" w:firstLineChars="200"/>
        <w:rPr>
          <w:rFonts w:ascii="宋体" w:hAnsi="宋体" w:eastAsia="宋体" w:cs="Times New Roman"/>
          <w:b/>
          <w:bCs/>
          <w:color w:val="000000"/>
          <w:szCs w:val="21"/>
        </w:rPr>
      </w:pPr>
      <w:r>
        <w:rPr>
          <w:rFonts w:hint="eastAsia" w:ascii="宋体" w:hAnsi="宋体" w:eastAsia="宋体" w:cs="Times New Roman"/>
          <w:b/>
          <w:bCs/>
          <w:color w:val="000000"/>
          <w:szCs w:val="21"/>
        </w:rPr>
        <w:t>七、本次磋商响应文件制作份数要求</w:t>
      </w:r>
    </w:p>
    <w:p>
      <w:pPr>
        <w:adjustRightInd w:val="0"/>
        <w:snapToGrid w:val="0"/>
        <w:spacing w:line="384" w:lineRule="auto"/>
        <w:ind w:firstLine="420" w:firstLineChars="200"/>
        <w:rPr>
          <w:rFonts w:ascii="宋体" w:hAnsi="宋体" w:eastAsia="宋体" w:cs="Times New Roman"/>
          <w:color w:val="000000"/>
          <w:szCs w:val="21"/>
        </w:rPr>
      </w:pPr>
      <w:r>
        <w:rPr>
          <w:rFonts w:hint="eastAsia" w:ascii="宋体" w:hAnsi="宋体"/>
          <w:szCs w:val="21"/>
        </w:rPr>
        <w:t>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电子版壹份(一般应为U盘形式、随纸质正本文件一并提交)。当电子版文件和纸质正本文件不一致时，以纸质正本文件为准。电子版文件用于辅助评标和存档，投标人需承担前述不一致造成的不利后果。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pPr>
        <w:spacing w:line="384" w:lineRule="auto"/>
        <w:ind w:firstLine="422" w:firstLineChars="200"/>
        <w:rPr>
          <w:rFonts w:ascii="宋体" w:hAnsi="宋体" w:eastAsia="宋体" w:cs="Times New Roman"/>
          <w:b/>
          <w:bCs/>
          <w:color w:val="000000"/>
          <w:szCs w:val="21"/>
        </w:rPr>
      </w:pPr>
      <w:r>
        <w:rPr>
          <w:rFonts w:hint="eastAsia" w:ascii="宋体" w:hAnsi="宋体" w:eastAsia="宋体" w:cs="Times New Roman"/>
          <w:b/>
          <w:bCs/>
          <w:color w:val="000000"/>
          <w:szCs w:val="21"/>
        </w:rPr>
        <w:t>八、本次磋商保证金要求：不收取磋商保证金</w:t>
      </w:r>
    </w:p>
    <w:p>
      <w:pPr>
        <w:numPr>
          <w:ilvl w:val="0"/>
          <w:numId w:val="4"/>
        </w:numPr>
        <w:tabs>
          <w:tab w:val="left" w:pos="900"/>
        </w:tabs>
        <w:spacing w:line="384" w:lineRule="auto"/>
        <w:ind w:firstLine="422" w:firstLineChars="200"/>
        <w:jc w:val="left"/>
        <w:rPr>
          <w:rFonts w:ascii="宋体" w:hAnsi="宋体" w:eastAsia="宋体" w:cs="Times New Roman"/>
          <w:b/>
          <w:bCs/>
          <w:color w:val="000000"/>
          <w:szCs w:val="21"/>
        </w:rPr>
      </w:pPr>
      <w:r>
        <w:rPr>
          <w:rFonts w:hint="eastAsia" w:ascii="宋体" w:hAnsi="宋体" w:eastAsia="宋体" w:cs="Times New Roman"/>
          <w:b/>
          <w:bCs/>
          <w:color w:val="000000"/>
          <w:szCs w:val="21"/>
        </w:rPr>
        <w:t>其他说明事项：</w:t>
      </w:r>
    </w:p>
    <w:p>
      <w:pPr>
        <w:spacing w:line="384" w:lineRule="auto"/>
        <w:ind w:firstLine="420" w:firstLineChars="200"/>
        <w:jc w:val="left"/>
        <w:rPr>
          <w:rFonts w:ascii="宋体" w:hAnsi="宋体" w:eastAsia="宋体" w:cs="Times New Roman"/>
          <w:szCs w:val="21"/>
        </w:rPr>
      </w:pPr>
      <w:r>
        <w:rPr>
          <w:rFonts w:hint="eastAsia" w:ascii="宋体" w:hAnsi="宋体" w:eastAsia="宋体" w:cs="Times New Roman"/>
          <w:color w:val="000000"/>
          <w:szCs w:val="21"/>
        </w:rPr>
        <w:t>（一）</w:t>
      </w:r>
      <w:r>
        <w:rPr>
          <w:rFonts w:hint="eastAsia" w:ascii="宋体" w:hAnsi="宋体" w:eastAsia="宋体" w:cs="Times New Roman"/>
          <w:i/>
          <w:iCs/>
          <w:color w:val="000000"/>
          <w:szCs w:val="21"/>
          <w:u w:val="single"/>
        </w:rPr>
        <w:t>本磋商文件中斜体下划线部分为实质性响应文件，为必须遵守的条件，如不满足将作无效响应文件处理</w:t>
      </w:r>
      <w:r>
        <w:rPr>
          <w:rFonts w:hint="eastAsia" w:ascii="宋体" w:hAnsi="宋体" w:eastAsia="宋体" w:cs="Times New Roman"/>
          <w:color w:val="000000"/>
          <w:szCs w:val="21"/>
        </w:rPr>
        <w:t>。</w:t>
      </w:r>
    </w:p>
    <w:p>
      <w:pPr>
        <w:spacing w:line="360" w:lineRule="auto"/>
        <w:ind w:firstLine="420" w:firstLineChars="200"/>
        <w:jc w:val="right"/>
        <w:rPr>
          <w:rFonts w:ascii="宋体" w:hAnsi="宋体" w:eastAsia="宋体" w:cs="Times New Roman"/>
          <w:szCs w:val="21"/>
        </w:rPr>
      </w:pPr>
      <w:r>
        <w:rPr>
          <w:rFonts w:hint="eastAsia" w:ascii="宋体" w:hAnsi="宋体" w:eastAsia="宋体" w:cs="Times New Roman"/>
          <w:szCs w:val="21"/>
        </w:rPr>
        <w:t>江苏唯诚建设咨询有限公司</w:t>
      </w:r>
    </w:p>
    <w:p>
      <w:pPr>
        <w:wordWrap w:val="0"/>
        <w:spacing w:line="360" w:lineRule="auto"/>
        <w:ind w:firstLine="420" w:firstLineChars="200"/>
        <w:jc w:val="right"/>
        <w:rPr>
          <w:rFonts w:ascii="宋体" w:hAnsi="宋体" w:eastAsia="宋体" w:cs="Times New Roman"/>
          <w:szCs w:val="21"/>
        </w:rPr>
      </w:pPr>
      <w:r>
        <w:rPr>
          <w:rFonts w:hint="eastAsia" w:ascii="宋体" w:hAnsi="宋体" w:eastAsia="宋体" w:cs="Times New Roman"/>
          <w:szCs w:val="21"/>
        </w:rPr>
        <w:t>2026年6月</w:t>
      </w:r>
      <w:r>
        <w:rPr>
          <w:rFonts w:hint="eastAsia" w:ascii="宋体" w:hAnsi="宋体" w:eastAsia="宋体" w:cs="Times New Roman"/>
          <w:szCs w:val="21"/>
          <w:lang w:val="en-US" w:eastAsia="zh-CN"/>
        </w:rPr>
        <w:t>22</w:t>
      </w:r>
      <w:r>
        <w:rPr>
          <w:rFonts w:hint="eastAsia" w:ascii="宋体" w:hAnsi="宋体" w:eastAsia="宋体" w:cs="Times New Roman"/>
          <w:szCs w:val="21"/>
        </w:rPr>
        <w:t>日</w:t>
      </w:r>
    </w:p>
    <w:bookmarkEnd w:id="1"/>
    <w:bookmarkEnd w:id="2"/>
    <w:p>
      <w:pPr>
        <w:spacing w:line="360" w:lineRule="auto"/>
        <w:ind w:firstLine="720" w:firstLineChars="200"/>
        <w:jc w:val="right"/>
        <w:rPr>
          <w:rFonts w:ascii="宋体" w:hAnsi="宋体" w:eastAsia="宋体" w:cs="Arial"/>
          <w:bCs/>
          <w:sz w:val="36"/>
          <w:szCs w:val="36"/>
        </w:rPr>
        <w:sectPr>
          <w:headerReference r:id="rId4" w:type="first"/>
          <w:footerReference r:id="rId6" w:type="first"/>
          <w:headerReference r:id="rId3" w:type="default"/>
          <w:footerReference r:id="rId5" w:type="default"/>
          <w:pgSz w:w="11900" w:h="16838"/>
          <w:pgMar w:top="844" w:right="1440" w:bottom="456" w:left="1440" w:header="0" w:footer="0" w:gutter="0"/>
          <w:pgNumType w:start="1"/>
          <w:cols w:space="720" w:num="1"/>
        </w:sectPr>
      </w:pPr>
      <w:bookmarkStart w:id="7" w:name="_Hlt26668836"/>
      <w:bookmarkEnd w:id="7"/>
      <w:bookmarkStart w:id="8" w:name="_Hlt26954810"/>
      <w:bookmarkEnd w:id="8"/>
      <w:bookmarkStart w:id="9" w:name="_Hlt26670330"/>
      <w:bookmarkEnd w:id="9"/>
      <w:bookmarkStart w:id="10" w:name="_Hlt26954907"/>
      <w:bookmarkEnd w:id="10"/>
      <w:bookmarkStart w:id="11" w:name="_Hlt26954824"/>
      <w:bookmarkEnd w:id="11"/>
      <w:bookmarkStart w:id="12" w:name="_Toc513029209"/>
      <w:bookmarkStart w:id="13" w:name="_Toc14577347"/>
      <w:bookmarkStart w:id="14" w:name="_Toc61149549"/>
    </w:p>
    <w:p>
      <w:pPr>
        <w:keepNext/>
        <w:keepLines/>
        <w:spacing w:before="260" w:after="260" w:line="416" w:lineRule="auto"/>
        <w:ind w:firstLine="723"/>
        <w:jc w:val="center"/>
        <w:outlineLvl w:val="1"/>
        <w:rPr>
          <w:rFonts w:ascii="宋体" w:hAnsi="宋体" w:eastAsia="宋体" w:cs="Arial"/>
          <w:b/>
          <w:bCs/>
          <w:sz w:val="15"/>
          <w:szCs w:val="15"/>
        </w:rPr>
      </w:pPr>
      <w:r>
        <w:rPr>
          <w:rFonts w:hint="eastAsia" w:ascii="宋体" w:hAnsi="宋体" w:eastAsia="宋体" w:cs="Arial"/>
          <w:b/>
          <w:bCs/>
          <w:sz w:val="36"/>
          <w:szCs w:val="36"/>
        </w:rPr>
        <w:t>第二章  磋商须知</w:t>
      </w:r>
    </w:p>
    <w:p>
      <w:pPr>
        <w:spacing w:after="143" w:afterLines="50" w:line="360" w:lineRule="auto"/>
        <w:jc w:val="center"/>
        <w:rPr>
          <w:rFonts w:ascii="宋体" w:hAnsi="宋体" w:eastAsia="宋体" w:cs="Times New Roman"/>
          <w:b/>
          <w:bCs/>
          <w:szCs w:val="21"/>
        </w:rPr>
      </w:pPr>
      <w:r>
        <w:rPr>
          <w:rFonts w:hint="eastAsia" w:ascii="宋体" w:hAnsi="宋体" w:eastAsia="宋体" w:cs="Times New Roman"/>
          <w:bCs/>
          <w:szCs w:val="21"/>
        </w:rPr>
        <w:t>（参加竞争性磋商的投标人以下简称“投标人”）</w:t>
      </w:r>
    </w:p>
    <w:bookmarkEnd w:id="12"/>
    <w:bookmarkEnd w:id="13"/>
    <w:bookmarkEnd w:id="14"/>
    <w:p>
      <w:pPr>
        <w:tabs>
          <w:tab w:val="left" w:pos="900"/>
        </w:tabs>
        <w:spacing w:line="360" w:lineRule="auto"/>
        <w:ind w:firstLine="422" w:firstLineChars="200"/>
        <w:jc w:val="left"/>
        <w:rPr>
          <w:rFonts w:ascii="宋体" w:hAnsi="宋体" w:eastAsia="宋体" w:cs="Times New Roman"/>
          <w:b/>
          <w:szCs w:val="21"/>
        </w:rPr>
      </w:pPr>
      <w:r>
        <w:rPr>
          <w:rFonts w:hint="eastAsia" w:ascii="宋体" w:hAnsi="宋体" w:eastAsia="宋体" w:cs="Times New Roman"/>
          <w:b/>
          <w:szCs w:val="21"/>
        </w:rPr>
        <w:t>一、总则</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1、适用范围</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 本竞争性磋商文件（以下简称磋商文件）仅适用此项目。</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 本项目按照项目分包，分别确定各分包成交投标人。</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2、项目采购方式</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本次采购采取竞争性磋商的方式。</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3、合格的投标人</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3.1满足本磋商文件“竞争性磋商采购邀请”中合格投标人资格要求的规定。</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3.2 满足本磋商文件实质性要求和条件的规定。</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4、参加磋商费用</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4.1参加磋商投标人应自行承担所有与参加磋商有关的费用。不论最终的成交结果如何，江苏唯诚建设咨询有限公司（以下简称代理机构） 在任何情况下均无义务和责任承担这些费用。</w:t>
      </w:r>
    </w:p>
    <w:p>
      <w:pPr>
        <w:tabs>
          <w:tab w:val="left" w:pos="900"/>
        </w:tabs>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szCs w:val="21"/>
        </w:rPr>
        <w:t>4.2</w:t>
      </w:r>
      <w:r>
        <w:rPr>
          <w:rFonts w:hint="eastAsia" w:ascii="宋体" w:hAnsi="宋体" w:cs="宋体"/>
          <w:szCs w:val="21"/>
        </w:rPr>
        <w:t>本次采购由成交人在领取成交通知书前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pPr>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cs="宋体"/>
          <w:szCs w:val="21"/>
        </w:rPr>
        <w:t>代理服务费以</w:t>
      </w:r>
      <w:r>
        <w:rPr>
          <w:rFonts w:hint="eastAsia" w:ascii="宋体" w:hAnsi="宋体" w:eastAsia="宋体" w:cs="Times New Roman"/>
          <w:color w:val="000000"/>
          <w:szCs w:val="21"/>
        </w:rPr>
        <w:t>人民币支付；</w:t>
      </w:r>
    </w:p>
    <w:p>
      <w:pPr>
        <w:spacing w:line="360" w:lineRule="auto"/>
        <w:ind w:firstLine="420" w:firstLineChars="200"/>
        <w:jc w:val="left"/>
        <w:rPr>
          <w:rFonts w:ascii="宋体" w:hAnsi="宋体" w:eastAsia="宋体" w:cs="Times New Roman"/>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）支付方式：一次性以电汇、转账、支票、现金等形式支付；</w:t>
      </w:r>
    </w:p>
    <w:p>
      <w:pPr>
        <w:spacing w:line="360" w:lineRule="auto"/>
        <w:ind w:firstLine="420" w:firstLineChars="200"/>
        <w:jc w:val="left"/>
        <w:rPr>
          <w:rFonts w:ascii="Times New Roman" w:hAnsi="Times New Roman" w:eastAsia="楷体_GB2312" w:cs="Times New Roman"/>
          <w:szCs w:val="24"/>
        </w:rPr>
      </w:pPr>
      <w:bookmarkStart w:id="15" w:name="page7"/>
      <w:bookmarkEnd w:id="15"/>
      <w:r>
        <w:rPr>
          <w:rFonts w:hint="eastAsia" w:ascii="宋体" w:hAnsi="宋体" w:eastAsia="宋体" w:cs="宋体"/>
          <w:szCs w:val="21"/>
        </w:rPr>
        <w:t>（3）</w:t>
      </w:r>
      <w:r>
        <w:rPr>
          <w:rFonts w:ascii="宋体" w:hAnsi="宋体" w:eastAsia="宋体" w:cs="宋体"/>
          <w:szCs w:val="21"/>
        </w:rPr>
        <w:t>费</w:t>
      </w:r>
      <w:r>
        <w:rPr>
          <w:rFonts w:hint="eastAsia" w:ascii="宋体" w:hAnsi="宋体" w:eastAsia="宋体" w:cs="宋体"/>
          <w:szCs w:val="21"/>
        </w:rPr>
        <w:t>用</w:t>
      </w:r>
      <w:r>
        <w:rPr>
          <w:rFonts w:ascii="宋体" w:hAnsi="宋体" w:eastAsia="宋体" w:cs="宋体"/>
          <w:szCs w:val="21"/>
        </w:rPr>
        <w:t>不在报价中单列，包含在总价中</w:t>
      </w:r>
      <w:r>
        <w:rPr>
          <w:rFonts w:hint="eastAsia" w:ascii="宋体" w:hAnsi="宋体" w:eastAsia="宋体" w:cs="宋体"/>
          <w:szCs w:val="21"/>
        </w:rPr>
        <w:t>；</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招标代理服务费</w:t>
      </w:r>
      <w:r>
        <w:rPr>
          <w:rFonts w:ascii="宋体" w:hAnsi="宋体" w:eastAsia="宋体" w:cs="宋体"/>
          <w:b/>
          <w:bCs/>
          <w:szCs w:val="21"/>
        </w:rPr>
        <w:t>开户银行：</w:t>
      </w:r>
      <w:r>
        <w:rPr>
          <w:rFonts w:hint="eastAsia" w:ascii="宋体" w:hAnsi="宋体" w:eastAsia="宋体" w:cs="宋体"/>
          <w:b/>
          <w:bCs/>
          <w:szCs w:val="21"/>
        </w:rPr>
        <w:t>江苏银行扬州广陵支行</w:t>
      </w:r>
    </w:p>
    <w:p>
      <w:pPr>
        <w:spacing w:line="360" w:lineRule="auto"/>
        <w:ind w:firstLine="422" w:firstLineChars="200"/>
        <w:jc w:val="left"/>
        <w:rPr>
          <w:rFonts w:ascii="宋体" w:hAnsi="宋体" w:eastAsia="宋体" w:cs="宋体"/>
          <w:b/>
          <w:bCs/>
          <w:szCs w:val="21"/>
        </w:rPr>
      </w:pPr>
      <w:r>
        <w:rPr>
          <w:rFonts w:ascii="宋体" w:hAnsi="宋体" w:eastAsia="宋体" w:cs="宋体"/>
          <w:b/>
          <w:bCs/>
          <w:szCs w:val="21"/>
        </w:rPr>
        <w:t>   </w:t>
      </w:r>
      <w:r>
        <w:rPr>
          <w:rFonts w:hint="eastAsia" w:ascii="宋体" w:hAnsi="宋体" w:eastAsia="宋体" w:cs="宋体"/>
          <w:b/>
          <w:bCs/>
          <w:szCs w:val="21"/>
        </w:rPr>
        <w:t xml:space="preserve">            </w:t>
      </w:r>
      <w:r>
        <w:rPr>
          <w:rFonts w:ascii="宋体" w:hAnsi="宋体" w:eastAsia="宋体" w:cs="宋体"/>
          <w:b/>
          <w:bCs/>
          <w:szCs w:val="21"/>
        </w:rPr>
        <w:t>开户名称：江苏唯诚建设咨询有限公司</w:t>
      </w:r>
    </w:p>
    <w:p>
      <w:pPr>
        <w:spacing w:line="360" w:lineRule="auto"/>
        <w:ind w:firstLine="422" w:firstLineChars="200"/>
        <w:jc w:val="left"/>
        <w:rPr>
          <w:rFonts w:ascii="宋体" w:hAnsi="宋体" w:eastAsia="宋体" w:cs="宋体"/>
          <w:szCs w:val="21"/>
        </w:rPr>
      </w:pPr>
      <w:r>
        <w:rPr>
          <w:rFonts w:ascii="宋体" w:hAnsi="宋体" w:eastAsia="宋体" w:cs="宋体"/>
          <w:b/>
          <w:bCs/>
          <w:szCs w:val="21"/>
        </w:rPr>
        <w:t>   </w:t>
      </w:r>
      <w:r>
        <w:rPr>
          <w:rFonts w:hint="eastAsia" w:ascii="宋体" w:hAnsi="宋体" w:eastAsia="宋体" w:cs="宋体"/>
          <w:b/>
          <w:bCs/>
          <w:szCs w:val="21"/>
        </w:rPr>
        <w:t xml:space="preserve">            </w:t>
      </w:r>
      <w:r>
        <w:rPr>
          <w:rFonts w:hint="eastAsia" w:ascii="宋体" w:hAnsi="宋体" w:cs="宋体"/>
          <w:b/>
          <w:bCs/>
          <w:szCs w:val="21"/>
        </w:rPr>
        <w:t>开户帐号：05000140900000685</w:t>
      </w:r>
    </w:p>
    <w:p>
      <w:pPr>
        <w:spacing w:line="360" w:lineRule="auto"/>
        <w:ind w:firstLine="420" w:firstLineChars="200"/>
        <w:jc w:val="left"/>
        <w:rPr>
          <w:rFonts w:ascii="Times New Roman" w:hAnsi="Times New Roman" w:eastAsia="宋体" w:cs="Times New Roman"/>
          <w:szCs w:val="24"/>
        </w:rPr>
      </w:pPr>
      <w:r>
        <w:rPr>
          <w:rFonts w:hint="eastAsia" w:ascii="宋体" w:hAnsi="宋体" w:cs="宋体"/>
          <w:bCs/>
          <w:szCs w:val="21"/>
        </w:rPr>
        <w:t>4.3评委评审费包含招标代理服务费中，无需支付其他费用。</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5、磋商文件的约束力</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投标人一旦下载了本磋商文件并决定参加磋商，即被认为接受了本磋商文件的规定和约束，并且视为自竞争性磋商公告期限届满之日起已经知道或应当知道自身权益是否受到了损害。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w:t>
      </w:r>
      <w:bookmarkStart w:id="16" w:name="_Toc20823283"/>
      <w:bookmarkStart w:id="17" w:name="_Toc16938527"/>
      <w:bookmarkStart w:id="18" w:name="_Toc513029211"/>
      <w:bookmarkStart w:id="19" w:name="_Toc462564070"/>
      <w:r>
        <w:rPr>
          <w:rFonts w:hint="eastAsia" w:ascii="宋体" w:hAnsi="宋体" w:eastAsia="宋体" w:cs="Times New Roman"/>
          <w:szCs w:val="21"/>
        </w:rPr>
        <w:t>磋商文件的</w:t>
      </w:r>
      <w:bookmarkEnd w:id="16"/>
      <w:bookmarkEnd w:id="17"/>
      <w:bookmarkEnd w:id="18"/>
      <w:bookmarkEnd w:id="19"/>
      <w:r>
        <w:rPr>
          <w:rFonts w:hint="eastAsia" w:ascii="宋体" w:hAnsi="宋体" w:eastAsia="宋体" w:cs="Times New Roman"/>
          <w:szCs w:val="21"/>
        </w:rPr>
        <w:t>询问及修改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6.1任何要求对磋商文件进行询问的投标人，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南京邮电大学通达学院采购招标信息网”、“中国招标投标公共服务平台”上发布更正公告通知所有获取磋商文件的投标人。不足5日的，代理机构应当顺延提交首次响应文件截止时间。</w:t>
      </w:r>
    </w:p>
    <w:p>
      <w:pPr>
        <w:tabs>
          <w:tab w:val="left" w:pos="900"/>
        </w:tabs>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szCs w:val="21"/>
        </w:rPr>
        <w:t>6.2</w:t>
      </w:r>
      <w:r>
        <w:rPr>
          <w:rFonts w:hint="eastAsia" w:ascii="宋体" w:hAnsi="宋体" w:eastAsia="宋体" w:cs="Times New Roman"/>
          <w:color w:val="000000"/>
          <w:szCs w:val="21"/>
        </w:rPr>
        <w:t>代理机构或采购人可以视采购项目的具体情况，组织投标人进行现场考察或召开磋商前答疑会，但不单独或分别组织只有一个投标人参加的现场考察和答疑会。</w:t>
      </w:r>
    </w:p>
    <w:p>
      <w:pPr>
        <w:tabs>
          <w:tab w:val="left" w:pos="900"/>
        </w:tabs>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7、磋商文件的解释</w:t>
      </w:r>
    </w:p>
    <w:p>
      <w:pPr>
        <w:spacing w:line="360" w:lineRule="auto"/>
        <w:ind w:firstLine="420" w:firstLineChars="200"/>
        <w:jc w:val="left"/>
        <w:rPr>
          <w:rFonts w:ascii="宋体" w:hAnsi="宋体" w:eastAsia="宋体" w:cs="Times New Roman"/>
          <w:bCs/>
          <w:color w:val="000000"/>
          <w:szCs w:val="21"/>
        </w:rPr>
      </w:pPr>
      <w:r>
        <w:rPr>
          <w:rFonts w:hint="eastAsia" w:ascii="宋体" w:hAnsi="宋体" w:eastAsia="宋体" w:cs="Times New Roman"/>
          <w:bCs/>
          <w:color w:val="000000"/>
          <w:szCs w:val="21"/>
        </w:rPr>
        <w:t>7.1 本磋商文件由代理机构负责解释。</w:t>
      </w:r>
      <w:bookmarkStart w:id="20" w:name="_Hlt26670354"/>
      <w:bookmarkEnd w:id="20"/>
      <w:bookmarkStart w:id="21" w:name="_Hlt26670345"/>
      <w:bookmarkEnd w:id="21"/>
      <w:bookmarkStart w:id="22" w:name="_Hlt26954830"/>
      <w:bookmarkEnd w:id="22"/>
      <w:bookmarkStart w:id="23" w:name="_Hlt26670348"/>
      <w:bookmarkEnd w:id="23"/>
      <w:bookmarkStart w:id="24" w:name="_Hlt26954828"/>
      <w:bookmarkEnd w:id="24"/>
      <w:bookmarkStart w:id="25" w:name="_Hlt26954832"/>
      <w:bookmarkEnd w:id="25"/>
      <w:bookmarkStart w:id="26" w:name="_Hlt26668969"/>
      <w:bookmarkEnd w:id="26"/>
      <w:bookmarkStart w:id="27" w:name="_Toc61149553"/>
      <w:bookmarkStart w:id="28" w:name="_Toc14577351"/>
      <w:bookmarkStart w:id="29" w:name="_Toc462564072"/>
      <w:bookmarkStart w:id="30" w:name="_Toc513029213"/>
    </w:p>
    <w:p>
      <w:pPr>
        <w:spacing w:line="360" w:lineRule="auto"/>
        <w:ind w:firstLine="422" w:firstLineChars="200"/>
        <w:jc w:val="left"/>
        <w:rPr>
          <w:rFonts w:ascii="宋体" w:hAnsi="宋体" w:eastAsia="宋体" w:cs="Times New Roman"/>
          <w:b/>
          <w:szCs w:val="21"/>
        </w:rPr>
      </w:pPr>
      <w:r>
        <w:rPr>
          <w:rFonts w:hint="eastAsia" w:ascii="宋体" w:hAnsi="宋体" w:eastAsia="宋体" w:cs="Times New Roman"/>
          <w:b/>
          <w:szCs w:val="21"/>
        </w:rPr>
        <w:t>二、磋商响应文件的编制</w:t>
      </w:r>
      <w:bookmarkEnd w:id="27"/>
      <w:bookmarkEnd w:id="28"/>
      <w:bookmarkEnd w:id="29"/>
      <w:bookmarkEnd w:id="30"/>
    </w:p>
    <w:p>
      <w:pPr>
        <w:tabs>
          <w:tab w:val="left" w:pos="900"/>
        </w:tabs>
        <w:spacing w:line="360" w:lineRule="auto"/>
        <w:ind w:firstLine="420" w:firstLineChars="200"/>
        <w:jc w:val="left"/>
        <w:rPr>
          <w:rFonts w:ascii="宋体" w:hAnsi="宋体" w:eastAsia="宋体" w:cs="Times New Roman"/>
          <w:szCs w:val="21"/>
        </w:rPr>
      </w:pPr>
      <w:bookmarkStart w:id="31" w:name="_Toc14577361"/>
      <w:bookmarkStart w:id="32" w:name="_Toc61149561"/>
      <w:bookmarkStart w:id="33" w:name="_Toc513029223"/>
      <w:r>
        <w:rPr>
          <w:rFonts w:hint="eastAsia" w:ascii="宋体" w:hAnsi="宋体" w:eastAsia="宋体" w:cs="Times New Roman"/>
          <w:szCs w:val="21"/>
        </w:rPr>
        <w:t>1、磋商响应文件份数和签署</w:t>
      </w:r>
      <w:bookmarkEnd w:id="31"/>
      <w:bookmarkEnd w:id="32"/>
      <w:bookmarkEnd w:id="33"/>
    </w:p>
    <w:p>
      <w:pPr>
        <w:tabs>
          <w:tab w:val="left" w:pos="900"/>
        </w:tabs>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szCs w:val="21"/>
        </w:rPr>
        <w:t>1.1磋商投标人应严格按照采购邀请要求准备磋商响应文件（以下简称响应文件），每份响应文件须清楚地标明“正本”或“</w:t>
      </w:r>
      <w:r>
        <w:rPr>
          <w:rFonts w:hint="eastAsia" w:ascii="宋体" w:hAnsi="宋体" w:eastAsia="宋体" w:cs="Times New Roman"/>
          <w:color w:val="000000"/>
          <w:szCs w:val="21"/>
        </w:rPr>
        <w:t>副本”字样。</w:t>
      </w:r>
    </w:p>
    <w:p>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color w:val="000000"/>
          <w:szCs w:val="21"/>
        </w:rPr>
        <w:t>响应文件的正本和所有的副本均需打印或复印。响应文件正本中，磋商文件要求提供原件的必须按照要求提供，文字材料需打印或用不</w:t>
      </w:r>
      <w:r>
        <w:rPr>
          <w:rFonts w:hint="eastAsia" w:ascii="宋体" w:hAnsi="宋体" w:eastAsia="宋体" w:cs="Times New Roman"/>
          <w:szCs w:val="21"/>
        </w:rPr>
        <w:t>褪色墨水书写，响应文件正本须经法定代表人或授权代表签字和加盖磋商投标人公章。本磋商文件所表述（指定）的公章是指刻有投标人法定名称的印章，不包括合同、财务、税务、发票等形式的业务专用章。</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 除磋商投标人对错处做必要修改外，响应文件不得行间插字、涂改或增删。如有修改错漏处，必须由响应文件签署人签字或盖章。</w:t>
      </w:r>
    </w:p>
    <w:p>
      <w:pPr>
        <w:tabs>
          <w:tab w:val="left" w:pos="900"/>
        </w:tabs>
        <w:spacing w:line="360" w:lineRule="auto"/>
        <w:ind w:firstLine="420" w:firstLineChars="200"/>
        <w:jc w:val="left"/>
        <w:rPr>
          <w:rFonts w:ascii="宋体" w:hAnsi="宋体" w:eastAsia="宋体" w:cs="Times New Roman"/>
          <w:szCs w:val="21"/>
        </w:rPr>
      </w:pPr>
      <w:bookmarkStart w:id="34" w:name="_Hlt26954834"/>
      <w:bookmarkEnd w:id="34"/>
      <w:bookmarkStart w:id="35" w:name="_Toc14577353"/>
      <w:bookmarkStart w:id="36" w:name="_Toc61149555"/>
      <w:bookmarkStart w:id="37" w:name="_Toc462564074"/>
      <w:bookmarkStart w:id="38" w:name="_Toc513029215"/>
      <w:bookmarkStart w:id="39" w:name="_Toc61149554"/>
      <w:bookmarkStart w:id="40" w:name="_Toc14577352"/>
      <w:bookmarkStart w:id="41" w:name="_Toc462564073"/>
      <w:bookmarkStart w:id="42" w:name="_Toc513029214"/>
      <w:r>
        <w:rPr>
          <w:rFonts w:hint="eastAsia" w:ascii="宋体" w:hAnsi="宋体" w:eastAsia="宋体" w:cs="Times New Roman"/>
          <w:szCs w:val="21"/>
        </w:rPr>
        <w:t>2、响应文件</w:t>
      </w:r>
      <w:bookmarkEnd w:id="35"/>
      <w:bookmarkEnd w:id="36"/>
      <w:bookmarkEnd w:id="37"/>
      <w:bookmarkEnd w:id="38"/>
      <w:r>
        <w:rPr>
          <w:rFonts w:hint="eastAsia" w:ascii="宋体" w:hAnsi="宋体" w:eastAsia="宋体" w:cs="Times New Roman"/>
          <w:szCs w:val="21"/>
        </w:rPr>
        <w:t>编制要求</w:t>
      </w:r>
    </w:p>
    <w:bookmarkEnd w:id="39"/>
    <w:bookmarkEnd w:id="40"/>
    <w:bookmarkEnd w:id="41"/>
    <w:bookmarkEnd w:id="42"/>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2.1磋商投标人提交的响应文件以及磋商投标人与代理机构及采购人就有关磋商的所有来往函电均应使用简体中文。磋商文件中既有中文也有外文的，以中文意义为准。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2.2 除技术性能另有规定外，响应文件所使用的度量衡单位，均须采用国家法定计量单位。</w:t>
      </w:r>
    </w:p>
    <w:p>
      <w:pPr>
        <w:tabs>
          <w:tab w:val="left" w:pos="900"/>
        </w:tabs>
        <w:spacing w:line="360" w:lineRule="auto"/>
        <w:ind w:firstLine="420" w:firstLineChars="200"/>
        <w:jc w:val="left"/>
        <w:rPr>
          <w:rFonts w:ascii="宋体" w:hAnsi="宋体" w:eastAsia="宋体" w:cs="Times New Roman"/>
          <w:szCs w:val="21"/>
        </w:rPr>
      </w:pPr>
      <w:bookmarkStart w:id="43" w:name="_Hlt26954836"/>
      <w:bookmarkEnd w:id="43"/>
      <w:bookmarkStart w:id="44" w:name="_Hlt26670357"/>
      <w:bookmarkEnd w:id="44"/>
      <w:bookmarkStart w:id="45" w:name="_Toc14577357"/>
      <w:bookmarkStart w:id="46" w:name="_Toc61149558"/>
      <w:bookmarkStart w:id="47" w:name="_Toc513029219"/>
      <w:bookmarkStart w:id="48" w:name="_Toc513029217"/>
      <w:bookmarkStart w:id="49" w:name="_Toc14577355"/>
      <w:bookmarkStart w:id="50" w:name="_Toc61149557"/>
      <w:r>
        <w:rPr>
          <w:rFonts w:hint="eastAsia" w:ascii="宋体" w:hAnsi="宋体" w:eastAsia="宋体" w:cs="Times New Roman"/>
          <w:szCs w:val="21"/>
        </w:rPr>
        <w:t>3、参加磋商投标人资格的文件</w:t>
      </w:r>
      <w:bookmarkEnd w:id="45"/>
      <w:bookmarkEnd w:id="46"/>
      <w:bookmarkEnd w:id="47"/>
      <w:r>
        <w:rPr>
          <w:rFonts w:hint="eastAsia" w:ascii="宋体" w:hAnsi="宋体" w:eastAsia="宋体" w:cs="Times New Roman"/>
          <w:szCs w:val="21"/>
        </w:rPr>
        <w:t>证明</w:t>
      </w:r>
    </w:p>
    <w:p>
      <w:pPr>
        <w:tabs>
          <w:tab w:val="left" w:pos="900"/>
        </w:tabs>
        <w:spacing w:line="360" w:lineRule="auto"/>
        <w:ind w:firstLine="420" w:firstLineChars="200"/>
        <w:jc w:val="left"/>
        <w:rPr>
          <w:rFonts w:ascii="宋体" w:hAnsi="宋体" w:eastAsia="宋体" w:cs="Times New Roman"/>
          <w:szCs w:val="21"/>
        </w:rPr>
      </w:pPr>
      <w:bookmarkStart w:id="51" w:name="_Hlt26668999"/>
      <w:bookmarkEnd w:id="51"/>
      <w:r>
        <w:rPr>
          <w:rFonts w:hint="eastAsia" w:ascii="宋体" w:hAnsi="宋体" w:eastAsia="宋体" w:cs="Times New Roman"/>
          <w:szCs w:val="21"/>
        </w:rPr>
        <w:t>3.1磋商投标人应提交证明其有资格参加磋商和成交后有能力独立履行合同的文件，并作为其响应文件的一部分。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3.2磋商投标人除必须具有履行合同所需提供的设备以及服务的能力外，还必须具备相应的财务、技术方面的能力。</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3.3磋商投标人应填写并提交磋商文件所附的“资格证明文件”。</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4、磋商响应报价</w:t>
      </w:r>
      <w:bookmarkEnd w:id="48"/>
      <w:bookmarkEnd w:id="49"/>
      <w:bookmarkStart w:id="52" w:name="_Hlt26670373"/>
      <w:bookmarkEnd w:id="52"/>
      <w:r>
        <w:rPr>
          <w:rFonts w:hint="eastAsia" w:ascii="宋体" w:hAnsi="宋体" w:eastAsia="宋体" w:cs="Times New Roman"/>
          <w:szCs w:val="21"/>
        </w:rPr>
        <w:t>表</w:t>
      </w:r>
      <w:bookmarkEnd w:id="50"/>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4.1</w:t>
      </w:r>
      <w:r>
        <w:rPr>
          <w:rFonts w:hint="eastAsia" w:ascii="宋体" w:hAnsi="宋体" w:eastAsia="宋体" w:cs="Times New Roman"/>
          <w:color w:val="000000"/>
          <w:szCs w:val="21"/>
        </w:rPr>
        <w:t>磋商投标人应按照磋商文件规定格式填报磋商响应报价表。每项产品或服务只允许有一个报价，任何有选择的报价将不予接受，磋商文件中</w:t>
      </w:r>
      <w:r>
        <w:rPr>
          <w:rFonts w:hint="eastAsia" w:ascii="宋体" w:hAnsi="宋体" w:eastAsia="宋体" w:cs="Times New Roman"/>
          <w:szCs w:val="21"/>
        </w:rPr>
        <w:t>另有规定的按规定执行。</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4.2标的物</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详见项目需求。</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4.3有关费用处理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本次采购磋商投标人的总报价应包括为完成本项目发生的所有费用，本磋商文件中另有规定的除外。</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4.4其它费用处理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磋商文件未列明，而磋商投标人认为必须的费用也须列入报价。</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4.5报价采用的货币</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响应文件中的单价和总价，无特殊规定的采用人民币报价，以元为单位标注。磋商文件中另有规定的按规定执行。</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4.6 磋商响应报价表上的价格应按磋商文件规定填写。</w:t>
      </w:r>
    </w:p>
    <w:p>
      <w:pPr>
        <w:tabs>
          <w:tab w:val="left" w:pos="900"/>
        </w:tabs>
        <w:spacing w:line="360" w:lineRule="auto"/>
        <w:ind w:firstLine="420" w:firstLineChars="200"/>
        <w:jc w:val="left"/>
        <w:rPr>
          <w:rFonts w:ascii="宋体" w:hAnsi="宋体" w:eastAsia="宋体" w:cs="Times New Roman"/>
          <w:szCs w:val="21"/>
        </w:rPr>
      </w:pPr>
      <w:bookmarkStart w:id="53" w:name="_Hlt26954846"/>
      <w:bookmarkEnd w:id="53"/>
      <w:bookmarkStart w:id="54" w:name="_Hlt26670486"/>
      <w:bookmarkEnd w:id="54"/>
      <w:bookmarkStart w:id="55" w:name="_Hlt26670482"/>
      <w:bookmarkEnd w:id="55"/>
      <w:bookmarkStart w:id="56" w:name="_Hlt26954848"/>
      <w:bookmarkEnd w:id="56"/>
      <w:bookmarkStart w:id="57" w:name="_Hlt26670425"/>
      <w:bookmarkEnd w:id="57"/>
      <w:bookmarkStart w:id="58" w:name="_Hlt26954842"/>
      <w:bookmarkEnd w:id="58"/>
      <w:bookmarkStart w:id="59" w:name="_Hlt26954731"/>
      <w:bookmarkEnd w:id="59"/>
      <w:bookmarkStart w:id="60" w:name="_Hlt26954844"/>
      <w:bookmarkEnd w:id="60"/>
      <w:bookmarkStart w:id="61" w:name="_Hlt26670403"/>
      <w:bookmarkEnd w:id="61"/>
      <w:bookmarkStart w:id="62" w:name="_Hlt26668983"/>
      <w:bookmarkEnd w:id="62"/>
      <w:bookmarkStart w:id="63" w:name="_Toc14577359"/>
      <w:bookmarkStart w:id="64" w:name="_Toc513029221"/>
      <w:bookmarkStart w:id="65" w:name="_Toc61149559"/>
      <w:r>
        <w:rPr>
          <w:rFonts w:hint="eastAsia" w:ascii="宋体" w:hAnsi="宋体" w:eastAsia="宋体" w:cs="Times New Roman"/>
          <w:szCs w:val="21"/>
        </w:rPr>
        <w:t>5、项目需求响应方案</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5.1提供为完成本项目的总体实施方案。</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5.2对磋商文件中项目需求的技术与商务条款要求逐项作出应答，并提供依据或说明。</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5.3磋商投标人认为需要的其他技术文件或说明。</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6、磋商保证金</w:t>
      </w:r>
      <w:bookmarkEnd w:id="63"/>
      <w:bookmarkEnd w:id="64"/>
      <w:bookmarkEnd w:id="65"/>
      <w:r>
        <w:rPr>
          <w:rFonts w:hint="eastAsia" w:ascii="宋体" w:hAnsi="宋体" w:eastAsia="宋体" w:cs="Times New Roman"/>
          <w:szCs w:val="21"/>
        </w:rPr>
        <w:t>：无</w:t>
      </w:r>
    </w:p>
    <w:p>
      <w:pPr>
        <w:tabs>
          <w:tab w:val="left" w:pos="900"/>
        </w:tabs>
        <w:spacing w:line="360" w:lineRule="auto"/>
        <w:ind w:firstLine="422" w:firstLineChars="200"/>
        <w:jc w:val="left"/>
        <w:rPr>
          <w:rFonts w:ascii="宋体" w:hAnsi="宋体" w:eastAsia="宋体" w:cs="Times New Roman"/>
          <w:b/>
          <w:szCs w:val="21"/>
        </w:rPr>
      </w:pPr>
      <w:bookmarkStart w:id="66" w:name="_Hlt26954739"/>
      <w:bookmarkEnd w:id="66"/>
      <w:bookmarkStart w:id="67" w:name="_Hlt26954852"/>
      <w:bookmarkEnd w:id="67"/>
      <w:bookmarkStart w:id="68" w:name="_Hlt26670493"/>
      <w:bookmarkEnd w:id="68"/>
      <w:bookmarkStart w:id="69" w:name="_Hlt26954749"/>
      <w:bookmarkEnd w:id="69"/>
      <w:bookmarkStart w:id="70" w:name="_Hlt26954734"/>
      <w:bookmarkEnd w:id="70"/>
      <w:bookmarkStart w:id="71" w:name="_Hlt26954854"/>
      <w:bookmarkEnd w:id="71"/>
      <w:bookmarkStart w:id="72" w:name="_Hlt26954850"/>
      <w:bookmarkEnd w:id="72"/>
      <w:bookmarkStart w:id="73" w:name="_Hlt26670489"/>
      <w:bookmarkEnd w:id="73"/>
      <w:bookmarkStart w:id="74" w:name="_Toc513029224"/>
      <w:bookmarkStart w:id="75" w:name="_Toc61149562"/>
      <w:bookmarkStart w:id="76" w:name="_Toc14577362"/>
      <w:r>
        <w:rPr>
          <w:rFonts w:hint="eastAsia" w:ascii="宋体" w:hAnsi="宋体" w:eastAsia="宋体" w:cs="Times New Roman"/>
          <w:b/>
          <w:szCs w:val="21"/>
        </w:rPr>
        <w:t>三、响应文件的递交</w:t>
      </w:r>
      <w:bookmarkEnd w:id="74"/>
      <w:bookmarkEnd w:id="75"/>
      <w:bookmarkEnd w:id="76"/>
    </w:p>
    <w:p>
      <w:pPr>
        <w:tabs>
          <w:tab w:val="left" w:pos="900"/>
        </w:tabs>
        <w:spacing w:line="360" w:lineRule="auto"/>
        <w:ind w:firstLine="420" w:firstLineChars="200"/>
        <w:jc w:val="left"/>
        <w:rPr>
          <w:rFonts w:ascii="宋体" w:hAnsi="宋体" w:eastAsia="宋体" w:cs="Times New Roman"/>
          <w:szCs w:val="21"/>
        </w:rPr>
      </w:pPr>
      <w:bookmarkStart w:id="77" w:name="_Hlt26954856"/>
      <w:bookmarkEnd w:id="77"/>
      <w:bookmarkStart w:id="78" w:name="_Toc61149563"/>
      <w:bookmarkStart w:id="79" w:name="_Toc14577363"/>
      <w:bookmarkStart w:id="80" w:name="_Toc462564084"/>
      <w:bookmarkStart w:id="81" w:name="_Toc513029225"/>
      <w:r>
        <w:rPr>
          <w:rFonts w:hint="eastAsia" w:ascii="宋体" w:hAnsi="宋体" w:eastAsia="宋体" w:cs="Times New Roman"/>
          <w:szCs w:val="21"/>
        </w:rPr>
        <w:t>1、响应文件</w:t>
      </w:r>
      <w:bookmarkStart w:id="82" w:name="_Hlt26954743"/>
      <w:bookmarkEnd w:id="82"/>
      <w:r>
        <w:rPr>
          <w:rFonts w:hint="eastAsia" w:ascii="宋体" w:hAnsi="宋体" w:eastAsia="宋体" w:cs="Times New Roman"/>
          <w:szCs w:val="21"/>
        </w:rPr>
        <w:t>的密封和标记</w:t>
      </w:r>
      <w:bookmarkEnd w:id="78"/>
      <w:bookmarkEnd w:id="79"/>
      <w:bookmarkEnd w:id="80"/>
      <w:bookmarkEnd w:id="81"/>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1.1磋商投标人应严格按照采购邀请要求的份数准备响应文件，每份响应文件须清楚地标明“正本”或“副本”字样。一旦正本和副本不符，以正本为准。磋商投标人应将响应文件正本和所有副本密封。</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1.2密封的响应文件应：</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（1）按采购邀请中注明的地址送达规定地点；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（2）注明参加磋商项目名称、磋商文件编号及参加的分包号；</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（3）密封包装上应写明磋商投标人名称和地址。</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1.3如果密封包装未按要求密封和加写标记，代理机构对误投或过早启封概不负责。对由此造成提前开封的响应文件，代理机构将予以拒绝，作无效响应处理。</w:t>
      </w:r>
    </w:p>
    <w:p>
      <w:pPr>
        <w:tabs>
          <w:tab w:val="left" w:pos="900"/>
        </w:tabs>
        <w:spacing w:line="360" w:lineRule="auto"/>
        <w:ind w:firstLine="420" w:firstLineChars="200"/>
        <w:jc w:val="left"/>
        <w:rPr>
          <w:rFonts w:ascii="宋体" w:hAnsi="宋体" w:eastAsia="宋体" w:cs="Times New Roman"/>
          <w:szCs w:val="21"/>
        </w:rPr>
      </w:pPr>
      <w:bookmarkStart w:id="83" w:name="_Hlt26670496"/>
      <w:bookmarkEnd w:id="83"/>
      <w:bookmarkStart w:id="84" w:name="_Hlt26954858"/>
      <w:bookmarkEnd w:id="84"/>
      <w:bookmarkStart w:id="85" w:name="_Hlt26954752"/>
      <w:bookmarkEnd w:id="85"/>
      <w:bookmarkStart w:id="86" w:name="_Toc513029226"/>
      <w:bookmarkStart w:id="87" w:name="_Toc14577364"/>
      <w:bookmarkStart w:id="88" w:name="_Toc61149564"/>
      <w:r>
        <w:rPr>
          <w:rFonts w:hint="eastAsia" w:ascii="宋体" w:hAnsi="宋体" w:eastAsia="宋体" w:cs="Times New Roman"/>
          <w:szCs w:val="21"/>
        </w:rPr>
        <w:t>2、</w:t>
      </w:r>
      <w:bookmarkEnd w:id="86"/>
      <w:bookmarkEnd w:id="87"/>
      <w:bookmarkEnd w:id="88"/>
      <w:r>
        <w:rPr>
          <w:rFonts w:hint="eastAsia" w:ascii="宋体" w:hAnsi="宋体" w:eastAsia="宋体" w:cs="Times New Roman"/>
          <w:szCs w:val="21"/>
        </w:rPr>
        <w:t>响应文件开启时间</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2.1代理机构收到响应文件的时间不得迟于本磋商文件规定的响应文件接收截止时间。</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color w:val="000000"/>
          <w:szCs w:val="21"/>
        </w:rPr>
        <w:t>2.2代理机构有权通过修改磋商文件推迟响应文件接收截止时间，</w:t>
      </w:r>
      <w:r>
        <w:rPr>
          <w:rFonts w:hint="eastAsia" w:ascii="宋体" w:hAnsi="宋体" w:eastAsia="宋体" w:cs="Times New Roman"/>
          <w:szCs w:val="21"/>
        </w:rPr>
        <w:t>在此情况下，磋商投标人的所有权利和义务以及受制的响应文件接收截止时间均应以延长后新的响应文件接收截止时间为准。</w:t>
      </w:r>
    </w:p>
    <w:p>
      <w:pPr>
        <w:tabs>
          <w:tab w:val="left" w:pos="900"/>
        </w:tabs>
        <w:spacing w:line="360" w:lineRule="auto"/>
        <w:ind w:firstLine="420" w:firstLineChars="200"/>
        <w:jc w:val="left"/>
        <w:rPr>
          <w:rFonts w:ascii="宋体" w:hAnsi="宋体" w:eastAsia="宋体" w:cs="Times New Roman"/>
          <w:szCs w:val="21"/>
        </w:rPr>
      </w:pPr>
      <w:bookmarkStart w:id="89" w:name="_Hlt26954860"/>
      <w:bookmarkEnd w:id="89"/>
      <w:bookmarkStart w:id="90" w:name="_Toc513029227"/>
      <w:bookmarkStart w:id="91" w:name="_Toc61149565"/>
      <w:bookmarkStart w:id="92" w:name="_Toc14577365"/>
      <w:r>
        <w:rPr>
          <w:rFonts w:hint="eastAsia" w:ascii="宋体" w:hAnsi="宋体" w:eastAsia="宋体" w:cs="Times New Roman"/>
          <w:szCs w:val="21"/>
        </w:rPr>
        <w:t>3、迟交的响应文件</w:t>
      </w:r>
      <w:bookmarkEnd w:id="90"/>
      <w:bookmarkEnd w:id="91"/>
      <w:bookmarkEnd w:id="92"/>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3.1代理机构将拒绝在规定的响应文件接收截止时间后接收任何响应文件。</w:t>
      </w:r>
    </w:p>
    <w:p>
      <w:pPr>
        <w:tabs>
          <w:tab w:val="left" w:pos="900"/>
        </w:tabs>
        <w:spacing w:line="360" w:lineRule="auto"/>
        <w:ind w:firstLine="420" w:firstLineChars="200"/>
        <w:jc w:val="left"/>
        <w:rPr>
          <w:rFonts w:ascii="宋体" w:hAnsi="宋体" w:eastAsia="宋体" w:cs="Times New Roman"/>
          <w:szCs w:val="21"/>
        </w:rPr>
      </w:pPr>
      <w:bookmarkStart w:id="93" w:name="_Hlt26954862"/>
      <w:bookmarkEnd w:id="93"/>
      <w:bookmarkStart w:id="94" w:name="_Hlt26954754"/>
      <w:bookmarkEnd w:id="94"/>
      <w:bookmarkStart w:id="95" w:name="_Toc513029228"/>
      <w:bookmarkStart w:id="96" w:name="_Toc61149566"/>
      <w:bookmarkStart w:id="97" w:name="_Toc14577366"/>
      <w:r>
        <w:rPr>
          <w:rFonts w:hint="eastAsia" w:ascii="宋体" w:hAnsi="宋体" w:eastAsia="宋体" w:cs="Times New Roman"/>
          <w:szCs w:val="21"/>
        </w:rPr>
        <w:t>4、响应文件</w:t>
      </w:r>
      <w:bookmarkStart w:id="98" w:name="_Hlt26670588"/>
      <w:r>
        <w:rPr>
          <w:rFonts w:hint="eastAsia" w:ascii="宋体" w:hAnsi="宋体" w:eastAsia="宋体" w:cs="Times New Roman"/>
          <w:szCs w:val="21"/>
        </w:rPr>
        <w:t>的修改</w:t>
      </w:r>
      <w:bookmarkEnd w:id="98"/>
      <w:r>
        <w:rPr>
          <w:rFonts w:hint="eastAsia" w:ascii="宋体" w:hAnsi="宋体" w:eastAsia="宋体" w:cs="Times New Roman"/>
          <w:szCs w:val="21"/>
        </w:rPr>
        <w:t>和撤回</w:t>
      </w:r>
      <w:bookmarkEnd w:id="95"/>
      <w:bookmarkEnd w:id="96"/>
      <w:bookmarkEnd w:id="97"/>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4.1磋商投标人在递交响应文件后，可以修改或撤回其谈判响应文件，但这种修改和撤回，必须在规定的响应文件接收截止时间前，以书面形式送达指定地点。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4.2磋商投标人的修改或撤回通知书，应按本文件规定进行编制、密封、标记和发送，并应在封套上加注“修改”和“撤回”字样。</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4.3 磋商投标人在提交最后报价之前，可以根据磋商情况退出磋商。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5、磋商响应有效期</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5.1 磋商响应有效期为代理机构规定的响应文件接收截止时间后六十（60）天。磋商响应有效期比规定短的将被视为非实质性响应性而予以拒绝。</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5.2 在特殊情况下，代理机构于原磋商响应有效期满之前，可向磋商投标人提出延长磋商响应有效期的要求。这种要求与答复均应采用书面形式。磋商投标人可以拒绝代理机构的这一要求而放弃磋商响应。同意延长磋商响应有效期的磋商投标人既不能要求也不允许修改其响应文件，同时受磋商响应有效期约束的所有权利与义务均延长至新的有效期。</w:t>
      </w:r>
    </w:p>
    <w:p>
      <w:pPr>
        <w:tabs>
          <w:tab w:val="left" w:pos="900"/>
        </w:tabs>
        <w:spacing w:line="360" w:lineRule="auto"/>
        <w:ind w:firstLine="422" w:firstLineChars="200"/>
        <w:jc w:val="left"/>
        <w:rPr>
          <w:rFonts w:ascii="宋体" w:hAnsi="宋体" w:eastAsia="宋体" w:cs="Times New Roman"/>
          <w:b/>
          <w:szCs w:val="21"/>
        </w:rPr>
      </w:pPr>
      <w:bookmarkStart w:id="99" w:name="_Hlt26670523"/>
      <w:bookmarkEnd w:id="99"/>
      <w:bookmarkStart w:id="100" w:name="_Hlt26954864"/>
      <w:bookmarkEnd w:id="100"/>
      <w:r>
        <w:rPr>
          <w:rFonts w:hint="eastAsia" w:ascii="宋体" w:hAnsi="宋体" w:eastAsia="宋体" w:cs="Times New Roman"/>
          <w:b/>
          <w:szCs w:val="21"/>
        </w:rPr>
        <w:t>四、磋商与评审</w:t>
      </w:r>
    </w:p>
    <w:p>
      <w:pPr>
        <w:tabs>
          <w:tab w:val="left" w:pos="900"/>
        </w:tabs>
        <w:spacing w:line="360" w:lineRule="auto"/>
        <w:ind w:firstLine="420" w:firstLineChars="200"/>
        <w:jc w:val="left"/>
        <w:rPr>
          <w:rFonts w:ascii="宋体" w:hAnsi="宋体" w:eastAsia="宋体" w:cs="Times New Roman"/>
          <w:szCs w:val="21"/>
        </w:rPr>
      </w:pPr>
      <w:bookmarkStart w:id="101" w:name="_Toc16938546"/>
      <w:bookmarkStart w:id="102" w:name="_Toc20823302"/>
      <w:bookmarkStart w:id="103" w:name="_Toc513029230"/>
      <w:r>
        <w:rPr>
          <w:rFonts w:hint="eastAsia" w:ascii="宋体" w:hAnsi="宋体" w:eastAsia="宋体" w:cs="Times New Roman"/>
          <w:szCs w:val="21"/>
        </w:rPr>
        <w:t>1、</w:t>
      </w:r>
      <w:bookmarkEnd w:id="101"/>
      <w:bookmarkEnd w:id="102"/>
      <w:bookmarkEnd w:id="103"/>
      <w:r>
        <w:rPr>
          <w:rFonts w:hint="eastAsia" w:ascii="宋体" w:hAnsi="宋体" w:eastAsia="宋体" w:cs="Times New Roman"/>
          <w:szCs w:val="21"/>
        </w:rPr>
        <w:t>磋商仪式</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1.1代理机构将在采购邀请中规定的时间和地点组织磋商开始仪式，仪式由代理机构主持，磋商投标人应委派携带有效证件的代表准时参加，参加仪式的代表需签名以证明其出席。</w:t>
      </w:r>
    </w:p>
    <w:p>
      <w:pPr>
        <w:tabs>
          <w:tab w:val="left" w:pos="900"/>
        </w:tabs>
        <w:spacing w:line="360" w:lineRule="auto"/>
        <w:ind w:firstLine="420" w:firstLineChars="200"/>
        <w:jc w:val="left"/>
        <w:rPr>
          <w:rFonts w:ascii="宋体" w:hAnsi="宋体" w:eastAsia="宋体" w:cs="Times New Roman"/>
          <w:szCs w:val="21"/>
        </w:rPr>
      </w:pPr>
      <w:bookmarkStart w:id="104" w:name="_Toc513029231"/>
      <w:bookmarkStart w:id="105" w:name="_Toc16938547"/>
      <w:bookmarkStart w:id="106" w:name="_Toc20823303"/>
      <w:r>
        <w:rPr>
          <w:rFonts w:hint="eastAsia" w:ascii="宋体" w:hAnsi="宋体" w:eastAsia="宋体" w:cs="Times New Roman"/>
          <w:szCs w:val="21"/>
        </w:rPr>
        <w:t>2、磋商小组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2.1 磋商开始仪式结束后，代理机构将立即组织磋商小组进行评审。</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2.2 磋商小组由政府采购评审专家、采购人代表组成，且人员构成符合政府采购有关规定。</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3、磋商评审过程的保密</w:t>
      </w:r>
      <w:bookmarkEnd w:id="104"/>
      <w:bookmarkEnd w:id="105"/>
      <w:bookmarkEnd w:id="106"/>
      <w:r>
        <w:rPr>
          <w:rFonts w:hint="eastAsia" w:ascii="宋体" w:hAnsi="宋体" w:eastAsia="宋体" w:cs="Times New Roman"/>
          <w:szCs w:val="21"/>
        </w:rPr>
        <w:t>与公正</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3.1磋商小组</w:t>
      </w:r>
      <w:r>
        <w:rPr>
          <w:rFonts w:ascii="宋体" w:hAnsi="宋体" w:eastAsia="宋体" w:cs="Times New Roman"/>
          <w:szCs w:val="21"/>
        </w:rPr>
        <w:t>、采购人和</w:t>
      </w:r>
      <w:r>
        <w:rPr>
          <w:rFonts w:hint="eastAsia" w:ascii="宋体" w:hAnsi="宋体" w:eastAsia="宋体" w:cs="Times New Roman"/>
          <w:szCs w:val="21"/>
        </w:rPr>
        <w:t>代理机构</w:t>
      </w:r>
      <w:r>
        <w:rPr>
          <w:rFonts w:ascii="宋体" w:hAnsi="宋体" w:eastAsia="宋体" w:cs="Times New Roman"/>
          <w:szCs w:val="21"/>
        </w:rPr>
        <w:t>工作人员、相关监督人员等与评审工作有关的人员，对评审情况以及在评审过程中获悉的国家秘密、商业秘密负有保密责任</w:t>
      </w:r>
      <w:r>
        <w:rPr>
          <w:rFonts w:hint="eastAsia" w:ascii="宋体" w:hAnsi="宋体" w:eastAsia="宋体" w:cs="Times New Roman"/>
          <w:szCs w:val="21"/>
        </w:rPr>
        <w:t>。</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3.2在磋商评审过程中，磋商投标人不得以任何行为影响磋商评审过程，否则其响应文件将被作为无效响应文件。</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3.3磋商小组成员应当按照客观、公正、审慎的原则，根据磋商文件规定的评审程序、评审方法和评审标准进行独立评审。未实质性响应磋商文件的响应文件按无效响应处理，磋商小组应当告知提交响应文件的投标人。</w:t>
      </w:r>
    </w:p>
    <w:p>
      <w:pPr>
        <w:tabs>
          <w:tab w:val="left" w:pos="900"/>
        </w:tabs>
        <w:spacing w:line="360" w:lineRule="auto"/>
        <w:ind w:firstLine="420" w:firstLineChars="200"/>
        <w:jc w:val="left"/>
        <w:rPr>
          <w:rFonts w:ascii="宋体" w:hAnsi="宋体" w:eastAsia="宋体" w:cs="Times New Roman"/>
          <w:szCs w:val="21"/>
        </w:rPr>
      </w:pPr>
      <w:bookmarkStart w:id="107" w:name="_Toc16938548"/>
      <w:bookmarkStart w:id="108" w:name="_Toc513029232"/>
      <w:bookmarkStart w:id="109" w:name="_Toc20823304"/>
      <w:r>
        <w:rPr>
          <w:rFonts w:hint="eastAsia" w:ascii="宋体" w:hAnsi="宋体" w:eastAsia="宋体" w:cs="Times New Roman"/>
          <w:szCs w:val="21"/>
        </w:rPr>
        <w:t>4、评审过程的澄清</w:t>
      </w:r>
      <w:bookmarkEnd w:id="107"/>
      <w:bookmarkEnd w:id="108"/>
      <w:bookmarkEnd w:id="109"/>
      <w:r>
        <w:rPr>
          <w:rFonts w:hint="eastAsia" w:ascii="宋体" w:hAnsi="宋体" w:eastAsia="宋体" w:cs="Times New Roman"/>
          <w:szCs w:val="21"/>
        </w:rPr>
        <w:t>、说明和更正</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1</w:t>
      </w:r>
      <w:r>
        <w:rPr>
          <w:rFonts w:hint="eastAsia" w:ascii="宋体" w:hAnsi="宋体" w:eastAsia="宋体" w:cs="Times New Roman"/>
          <w:szCs w:val="21"/>
        </w:rPr>
        <w:t>磋商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4.2接到磋商小组要求的投标人应派人按磋商小组通知的时间和地点做出书面澄清、说明或更正。投标人的澄清、说明或者更正应当由法定代表人或授权代表签字或者加盖公章。由授权代表签字的，应当附法人授权书。投标人为自然人的，应当由本人签字并附身份证明。</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4.3 接到磋商小组澄清要求的投标人如未按规定做出澄清，其风险由投标人自行承担。</w:t>
      </w:r>
    </w:p>
    <w:p>
      <w:pPr>
        <w:tabs>
          <w:tab w:val="left" w:pos="900"/>
        </w:tabs>
        <w:spacing w:line="360" w:lineRule="auto"/>
        <w:ind w:firstLine="420" w:firstLineChars="200"/>
        <w:jc w:val="left"/>
        <w:rPr>
          <w:rFonts w:ascii="宋体" w:hAnsi="宋体" w:eastAsia="宋体" w:cs="Times New Roman"/>
          <w:szCs w:val="21"/>
        </w:rPr>
      </w:pPr>
      <w:bookmarkStart w:id="110" w:name="_Toc16938549"/>
      <w:bookmarkStart w:id="111" w:name="_Toc513029233"/>
      <w:bookmarkStart w:id="112" w:name="_Toc20823305"/>
      <w:r>
        <w:rPr>
          <w:rFonts w:hint="eastAsia" w:ascii="宋体" w:hAnsi="宋体" w:eastAsia="宋体" w:cs="Times New Roman"/>
          <w:szCs w:val="21"/>
        </w:rPr>
        <w:t>5、对响应文件的初审</w:t>
      </w:r>
      <w:bookmarkEnd w:id="110"/>
      <w:bookmarkEnd w:id="111"/>
      <w:bookmarkEnd w:id="112"/>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5.1响应文件初审分为资格性检查和符合性检查。</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资格性检查：依据法律法规和磋商文件的规定，采购人对响应文件中的资格证明文件等进行审查，以确定投标人是否具备参加磋商的资格。</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所谓重大偏离或保留是指与磋商文件规定的实质性要求存在负偏离，或者在实质上与磋商文件不一致，而且限制了合同中买方和见证方的权利或投标人的义务，纠正这些偏离或保留将会对其他实质性响应要求的投标人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5.3 被认定为未实质性响应磋商文件的响应文件的情形</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（1）未按照磋商文件规定要求密封、签署、盖章的；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（2）投标人在报价时采用选择性报价；</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（3）投标人不具备磋商文件中规定资格要求的；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（4）不符合法律、法规和磋商文件中规定的其他实质性要求和条件的；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（5）其他法律、法规及本磋商文件规定的属未实质性响应的响应文件的情形。</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5.4 未实质性响应磋商文件的响应文件按无效响应处理，磋商小组将予以拒绝，投标人不得通过修改或撤销不合要求的偏离或保留而使其响应文件成为实质性响应的文件。</w:t>
      </w:r>
    </w:p>
    <w:p>
      <w:pPr>
        <w:tabs>
          <w:tab w:val="left" w:pos="900"/>
        </w:tabs>
        <w:spacing w:line="360" w:lineRule="auto"/>
        <w:ind w:firstLine="420" w:firstLineChars="200"/>
        <w:jc w:val="left"/>
        <w:rPr>
          <w:rFonts w:ascii="宋体" w:hAnsi="宋体" w:eastAsia="宋体" w:cs="Times New Roman"/>
          <w:szCs w:val="21"/>
        </w:rPr>
      </w:pPr>
      <w:bookmarkStart w:id="113" w:name="_Toc16938550"/>
      <w:bookmarkStart w:id="114" w:name="_Toc20823306"/>
      <w:bookmarkStart w:id="115" w:name="_Toc513029234"/>
      <w:r>
        <w:rPr>
          <w:rFonts w:hint="eastAsia" w:ascii="宋体" w:hAnsi="宋体" w:eastAsia="宋体" w:cs="Times New Roman"/>
          <w:szCs w:val="21"/>
        </w:rPr>
        <w:t>6、</w:t>
      </w:r>
      <w:bookmarkEnd w:id="113"/>
      <w:bookmarkEnd w:id="114"/>
      <w:bookmarkEnd w:id="115"/>
      <w:r>
        <w:rPr>
          <w:rFonts w:hint="eastAsia" w:ascii="宋体" w:hAnsi="宋体" w:eastAsia="宋体" w:cs="Times New Roman"/>
          <w:szCs w:val="21"/>
        </w:rPr>
        <w:t>磋商程序及评审方法和标准</w:t>
      </w:r>
    </w:p>
    <w:p>
      <w:pPr>
        <w:tabs>
          <w:tab w:val="left" w:pos="900"/>
        </w:tabs>
        <w:spacing w:line="360" w:lineRule="auto"/>
        <w:ind w:firstLine="420" w:firstLineChars="200"/>
        <w:jc w:val="left"/>
        <w:rPr>
          <w:rFonts w:ascii="宋体" w:hAnsi="宋体" w:eastAsia="宋体" w:cs="Times New Roman"/>
          <w:szCs w:val="21"/>
        </w:rPr>
      </w:pPr>
      <w:bookmarkStart w:id="116" w:name="_Toc16938551"/>
      <w:bookmarkStart w:id="117" w:name="_Toc513029235"/>
      <w:bookmarkStart w:id="118" w:name="_Toc20823307"/>
      <w:r>
        <w:rPr>
          <w:rFonts w:hint="eastAsia" w:ascii="宋体" w:hAnsi="宋体" w:eastAsia="宋体" w:cs="Times New Roman"/>
          <w:szCs w:val="21"/>
        </w:rPr>
        <w:t>6.1磋商程序</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6.1.1 对于通过资格性和符合性审查的投标人，磋商小组所有成员将集中与单一投标人分别进行磋商。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投标人。投标人应当按照磋商文件的变动情况和磋商小组的要求重新提交响应文件，并由其法定代表人或授权代表签字或者加盖公章。</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6.1.2 </w:t>
      </w:r>
      <w:r>
        <w:rPr>
          <w:rFonts w:ascii="宋体" w:hAnsi="宋体" w:eastAsia="宋体" w:cs="Times New Roman"/>
          <w:szCs w:val="21"/>
        </w:rPr>
        <w:t>磋商文件能够详细列明采购标的的技术、服务要求的，磋商结束后，磋商小组</w:t>
      </w:r>
      <w:r>
        <w:rPr>
          <w:rFonts w:hint="eastAsia" w:ascii="宋体" w:hAnsi="宋体" w:eastAsia="宋体" w:cs="Times New Roman"/>
          <w:szCs w:val="21"/>
        </w:rPr>
        <w:t>将</w:t>
      </w:r>
      <w:r>
        <w:rPr>
          <w:rFonts w:ascii="宋体" w:hAnsi="宋体" w:eastAsia="宋体" w:cs="Times New Roman"/>
          <w:szCs w:val="21"/>
        </w:rPr>
        <w:t>要求所有实质性响应的</w:t>
      </w:r>
      <w:r>
        <w:rPr>
          <w:rFonts w:hint="eastAsia" w:ascii="宋体" w:hAnsi="宋体" w:eastAsia="宋体" w:cs="Times New Roman"/>
          <w:szCs w:val="21"/>
        </w:rPr>
        <w:t>投标人</w:t>
      </w:r>
      <w:r>
        <w:rPr>
          <w:rFonts w:ascii="宋体" w:hAnsi="宋体" w:eastAsia="宋体" w:cs="Times New Roman"/>
          <w:szCs w:val="21"/>
        </w:rPr>
        <w:t>在规定时间内提交最后报价。</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磋商文件不能详细列明采购标的的技术、服务要求，需经磋商由投标人提供最终设计方案或解决方案的，磋商结束后，磋商小组将按照少数服从多数的原则投票推荐3家以上投标人的设计方案或者解决方案，并要求其在规定时间内提交最后报价。</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最后报价是投标人响应文件的有效组成部分。符合《政府采购竞争性磋商采购方式管理暂行办法》第三条第四项及《财政部关于竞争性磋商采购方式管理暂行办法有关问题的补充通知》（财库[2013]124号）规定情形的，提交最后报价的投标人可以为2家。</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6.1.3 磋商投标人未在磋商小组规定的时间内完成最后报价的视为放弃磋商，其磋商响应按无效响应处理。最后报价须由磋商投标人法定代表人或授权代表签字或者加盖公章。</w:t>
      </w:r>
      <w:r>
        <w:rPr>
          <w:rFonts w:ascii="宋体" w:hAnsi="宋体" w:eastAsia="宋体" w:cs="Times New Roman"/>
          <w:szCs w:val="21"/>
        </w:rPr>
        <w:t>已提交响应文件的</w:t>
      </w:r>
      <w:r>
        <w:rPr>
          <w:rFonts w:hint="eastAsia" w:ascii="宋体" w:hAnsi="宋体" w:eastAsia="宋体" w:cs="Times New Roman"/>
          <w:szCs w:val="21"/>
        </w:rPr>
        <w:t>投标人</w:t>
      </w:r>
      <w:r>
        <w:rPr>
          <w:rFonts w:ascii="宋体" w:hAnsi="宋体" w:eastAsia="宋体" w:cs="Times New Roman"/>
          <w:szCs w:val="21"/>
        </w:rPr>
        <w:t>，在提交最后报价之前，可以根据磋商情况退出磋商。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6.2 评审方法和标准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6.2.1评审方法。经磋商确定最终采购需求的投标人后，由磋商小组采用综合评分法对投标人的响应文件和最后报价进行综合评分。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综合评分法，是指响应文件满足磋商文件全部实质性要求且按评审因素的量化指标评审得分最高的投标人为成交候选投标人的评审方法。评审时，磋商小组各成员独立对每个有效响应的文件进行评价、打分，然后汇总每个投标人每项评分因素的得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6.2.2评审标准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见本磋商文件第五章规定。</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6.3采购活动终止的情况</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出现下列情形之一的，本次竞争性磋商采购活动将被终止：</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（1）因情况变化，不再符合规定的竞争性磋商采购方式适用情形的；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（2）出现影响采购公正的违法、违规行为的；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（3）除本磋商文件第6.1.2条第三款规定的情形外，在采购过程中符合要求的投标人或者报价未超过采购预算的投标人不足3家的。</w:t>
      </w:r>
    </w:p>
    <w:bookmarkEnd w:id="116"/>
    <w:bookmarkEnd w:id="117"/>
    <w:bookmarkEnd w:id="118"/>
    <w:p>
      <w:pPr>
        <w:tabs>
          <w:tab w:val="left" w:pos="900"/>
        </w:tabs>
        <w:spacing w:line="360" w:lineRule="auto"/>
        <w:ind w:firstLine="422" w:firstLineChars="200"/>
        <w:jc w:val="left"/>
        <w:rPr>
          <w:rFonts w:ascii="宋体" w:hAnsi="宋体" w:eastAsia="宋体" w:cs="Times New Roman"/>
          <w:b/>
          <w:szCs w:val="21"/>
        </w:rPr>
      </w:pPr>
      <w:r>
        <w:rPr>
          <w:rFonts w:hint="eastAsia" w:ascii="宋体" w:hAnsi="宋体" w:eastAsia="宋体" w:cs="Times New Roman"/>
          <w:b/>
          <w:szCs w:val="21"/>
        </w:rPr>
        <w:t>五、成交</w:t>
      </w:r>
    </w:p>
    <w:p>
      <w:pPr>
        <w:tabs>
          <w:tab w:val="left" w:pos="900"/>
        </w:tabs>
        <w:spacing w:line="360" w:lineRule="auto"/>
        <w:ind w:firstLine="420" w:firstLineChars="200"/>
        <w:jc w:val="left"/>
        <w:rPr>
          <w:rFonts w:ascii="宋体" w:hAnsi="宋体" w:eastAsia="宋体" w:cs="Times New Roman"/>
          <w:szCs w:val="21"/>
        </w:rPr>
      </w:pPr>
      <w:bookmarkStart w:id="119" w:name="_Toc513029238"/>
      <w:bookmarkStart w:id="120" w:name="_Toc16938554"/>
      <w:bookmarkStart w:id="121" w:name="_Toc20823310"/>
      <w:r>
        <w:rPr>
          <w:rFonts w:hint="eastAsia" w:ascii="宋体" w:hAnsi="宋体" w:eastAsia="宋体" w:cs="Times New Roman"/>
          <w:szCs w:val="21"/>
        </w:rPr>
        <w:t>1、</w:t>
      </w:r>
      <w:bookmarkEnd w:id="119"/>
      <w:r>
        <w:rPr>
          <w:rFonts w:hint="eastAsia" w:ascii="宋体" w:hAnsi="宋体" w:eastAsia="宋体" w:cs="Times New Roman"/>
          <w:szCs w:val="21"/>
        </w:rPr>
        <w:t>确定</w:t>
      </w:r>
      <w:bookmarkEnd w:id="120"/>
      <w:bookmarkEnd w:id="121"/>
      <w:r>
        <w:rPr>
          <w:rFonts w:hint="eastAsia" w:ascii="宋体" w:hAnsi="宋体" w:eastAsia="宋体" w:cs="Times New Roman"/>
          <w:szCs w:val="21"/>
        </w:rPr>
        <w:t>成交单位</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 磋商小组根据综合评分情况，按照评审得分由高到低顺序推荐3名或以上成交候选投标人，并编写评审报告。符合本文件第6.1.2条情形的，可以推荐2家成交候选投标人。评审得分相同的，按照技术指标优劣顺序推荐。</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1.2采购人根据磋商小推荐的组成交候选人确定成交投标人。采购人确定成交投标人后，代理机构将在</w:t>
      </w:r>
      <w:r>
        <w:rPr>
          <w:rFonts w:hint="eastAsia" w:ascii="宋体" w:hAnsi="宋体" w:eastAsia="宋体" w:cs="Arial"/>
          <w:color w:val="000000"/>
          <w:spacing w:val="-6"/>
          <w:szCs w:val="21"/>
        </w:rPr>
        <w:t>“南京邮电大学通达学院采购招标信息网”、“中国招标投标公共服务平台”</w:t>
      </w:r>
      <w:r>
        <w:rPr>
          <w:rFonts w:hint="eastAsia" w:ascii="宋体" w:hAnsi="宋体" w:eastAsia="宋体" w:cs="Times New Roman"/>
          <w:szCs w:val="21"/>
        </w:rPr>
        <w:t>发布成交结果公告，公告期限为1个工作日。</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1.3若有充分证据证明，成交投标人出现下列情况之一的，一经查实，将被取消成交资格：</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（1）提供虚假材料谋取成交的；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（2）与评审专家、采购人、其他投标人或者代理机构工作人员恶意串通的；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（3）向评审专家、采购人或代理机构工作人员行贿或者提供其他不正当利益的；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（4）恶意竞争，最终总报价明显低于其自身合理成本且又无法提供证明的；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（5）不满足本磋商文件规定的实质性要求，但在评审过程中又未被磋商小组发现的；</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（6）成交后无正当理由拒不与采购人签订政府采购合同或者未按照磋商文件确定的事项签订政府采购合同；</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（7）将政府采购合同转包；</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（8）法律、法规、规章规定的属于成交无效的其他情形。</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2、质疑处理</w:t>
      </w:r>
    </w:p>
    <w:p>
      <w:pPr>
        <w:tabs>
          <w:tab w:val="left" w:pos="900"/>
        </w:tabs>
        <w:spacing w:line="360" w:lineRule="auto"/>
        <w:ind w:firstLine="420" w:firstLineChars="200"/>
        <w:jc w:val="left"/>
        <w:rPr>
          <w:rFonts w:ascii="宋体" w:hAnsi="宋体" w:eastAsia="宋体" w:cs="Times New Roman"/>
          <w:color w:val="FF0000"/>
          <w:szCs w:val="21"/>
        </w:rPr>
      </w:pPr>
      <w:r>
        <w:rPr>
          <w:rFonts w:hint="eastAsia" w:ascii="宋体" w:hAnsi="宋体" w:eastAsia="宋体" w:cs="Times New Roman"/>
          <w:szCs w:val="21"/>
        </w:rPr>
        <w:t>2.1磋商投标人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 HYPERLINK "http://zfcg.yangzhou.gov.cn/zfcgw/zcfg/lm_list.shtml" </w:instrText>
      </w:r>
      <w:r>
        <w:fldChar w:fldCharType="separate"/>
      </w:r>
      <w:r>
        <w:rPr>
          <w:rFonts w:ascii="宋体" w:hAnsi="宋体" w:eastAsia="宋体" w:cs="Times New Roman"/>
          <w:color w:val="0000FF"/>
          <w:szCs w:val="21"/>
          <w:u w:val="single"/>
        </w:rPr>
        <w:t>http://zfcg.yangzhou.gov.cn</w:t>
      </w:r>
      <w:r>
        <w:rPr>
          <w:rFonts w:ascii="宋体" w:hAnsi="宋体" w:eastAsia="宋体" w:cs="Times New Roman"/>
          <w:color w:val="0000FF"/>
          <w:szCs w:val="21"/>
          <w:u w:val="single"/>
        </w:rPr>
        <w:fldChar w:fldCharType="end"/>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上述应知其权益受到损害之日，是指：</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对可以质疑的磋商文件提出质疑的，为收到磋商文件之日或者磋商文件公告期限届满之日；</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对采购过程提出质疑的，为各采购程序环节结束之日；</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对成交结果提出质疑的，为成交结果公告期限届满之日。</w:t>
      </w:r>
    </w:p>
    <w:p>
      <w:pPr>
        <w:spacing w:line="360" w:lineRule="auto"/>
        <w:ind w:firstLine="420" w:firstLineChars="200"/>
        <w:jc w:val="left"/>
        <w:rPr>
          <w:rFonts w:ascii="宋体" w:hAnsi="宋体" w:eastAsia="宋体" w:cs="Times New Roman"/>
          <w:color w:val="FF0000"/>
          <w:szCs w:val="21"/>
        </w:rPr>
      </w:pPr>
      <w:r>
        <w:rPr>
          <w:rFonts w:hint="eastAsia" w:ascii="宋体" w:hAnsi="宋体" w:eastAsia="宋体" w:cs="Times New Roman"/>
          <w:szCs w:val="21"/>
        </w:rPr>
        <w:t>2.2质疑必须由磋商投标人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 HYPERLINK "http://zfcg.yangzhou.gov.cn/zfcgw/zcfg/lm_list.shtml" </w:instrText>
      </w:r>
      <w:r>
        <w:fldChar w:fldCharType="separate"/>
      </w:r>
      <w:r>
        <w:rPr>
          <w:rFonts w:ascii="宋体" w:hAnsi="宋体" w:eastAsia="宋体" w:cs="Times New Roman"/>
          <w:color w:val="0000FF"/>
          <w:szCs w:val="21"/>
          <w:u w:val="single"/>
        </w:rPr>
        <w:t>http://zfcg.yangzhou.gov.cn</w:t>
      </w:r>
      <w:r>
        <w:rPr>
          <w:rFonts w:ascii="宋体" w:hAnsi="宋体" w:eastAsia="宋体" w:cs="Times New Roman"/>
          <w:color w:val="0000FF"/>
          <w:szCs w:val="21"/>
          <w:u w:val="single"/>
        </w:rPr>
        <w:fldChar w:fldCharType="end"/>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2.3未参加磋商采购活动的投标人或在磋商采购活动中自身权益未受到损害的投标人所提出的质疑不予受理。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2.4质疑函应当包括下列内容：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（1）质疑投标人的名称、地址、邮编、联系人、联系电话；</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（2）具体的质疑事项及明确的请求；</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（3）认为自己合法权益受到损害或可能受到损害的相关证据材料；</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（4）提起质疑的日期；</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2.5代理机构收到质疑函后，将对质疑的形式和内容进行审查，如质疑函内容、格式不符合规定，代理机构将告知质疑人进行补正。</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2.6质疑人应当在法定质疑期限内进行补正并重新提交质疑函，拒不补正或者在法定期限内未重新提交质疑函的，为无效质疑，代理机构有权不予受理。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2.7对于内容、格式符合规定的质疑函，代理机构将在收到参加谈判投标人的书面质疑后七个工作日内作出答复，并以书面形式通知质疑投标人和其他相关投标人，答复的内容不涉及商业秘密。</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2.8投标人提出书面质疑必须有理、有据，不得恶意质疑或提交虚假质疑。否则，一经查实，代理机构有权依据政府采购的有关规定，报请政府采购监管部门对该投标人进行相应的行政处罚。</w:t>
      </w:r>
    </w:p>
    <w:p>
      <w:pPr>
        <w:tabs>
          <w:tab w:val="left" w:pos="900"/>
        </w:tabs>
        <w:spacing w:line="360" w:lineRule="auto"/>
        <w:ind w:firstLine="422" w:firstLineChars="200"/>
        <w:jc w:val="left"/>
        <w:rPr>
          <w:rFonts w:ascii="宋体" w:hAnsi="宋体" w:eastAsia="宋体" w:cs="Times New Roman"/>
          <w:b/>
          <w:szCs w:val="21"/>
        </w:rPr>
      </w:pPr>
      <w:bookmarkStart w:id="122" w:name="_Toc513029237"/>
      <w:bookmarkStart w:id="123" w:name="_Toc20823309"/>
      <w:bookmarkStart w:id="124" w:name="_Toc16938553"/>
      <w:r>
        <w:rPr>
          <w:rFonts w:hint="eastAsia" w:ascii="宋体" w:hAnsi="宋体" w:eastAsia="宋体" w:cs="Times New Roman"/>
          <w:b/>
          <w:szCs w:val="21"/>
        </w:rPr>
        <w:t>六、合同签订相关事项</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1、签订合同</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l成交投标人确定后，代理机构将向成交投标人发出成交通知书。成交投标人应按成交通知书规定的时间、地点,按照磋商文件确定的事项与采购人签订政府购买服务合同，且不得迟于成交通知书发出之日起三十日内，由此给采购人造成损失的，成交投标人还应承担赔偿责任。</w:t>
      </w:r>
    </w:p>
    <w:p>
      <w:pPr>
        <w:tabs>
          <w:tab w:val="left" w:pos="900"/>
        </w:tabs>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 磋商文件、成交投标人的响应文件及磋商采购过程中有关澄清、承诺文件均应作为合同附件。</w:t>
      </w:r>
    </w:p>
    <w:p>
      <w:pPr>
        <w:tabs>
          <w:tab w:val="left" w:pos="900"/>
        </w:tabs>
        <w:spacing w:line="360" w:lineRule="auto"/>
        <w:ind w:firstLine="420" w:firstLineChars="200"/>
        <w:jc w:val="left"/>
        <w:rPr>
          <w:rFonts w:ascii="宋体" w:hAnsi="宋体" w:eastAsia="宋体" w:cs="Arial"/>
          <w:b/>
          <w:bCs/>
          <w:sz w:val="36"/>
          <w:szCs w:val="36"/>
        </w:rPr>
      </w:pPr>
      <w:r>
        <w:rPr>
          <w:rFonts w:hint="eastAsia" w:ascii="宋体" w:hAnsi="宋体" w:eastAsia="宋体" w:cs="Times New Roman"/>
          <w:szCs w:val="21"/>
        </w:rPr>
        <w:t>1.3 签订合同后，</w:t>
      </w:r>
      <w:r>
        <w:rPr>
          <w:rFonts w:hint="eastAsia" w:ascii="宋体" w:hAnsi="宋体" w:eastAsia="宋体" w:cs="Times New Roman"/>
          <w:i/>
          <w:szCs w:val="21"/>
          <w:u w:val="single"/>
        </w:rPr>
        <w:t>成交投标人不得将成交产品或服务进行转包。</w:t>
      </w:r>
      <w:r>
        <w:rPr>
          <w:rFonts w:hint="eastAsia" w:ascii="宋体" w:hAnsi="宋体" w:eastAsia="宋体" w:cs="Times New Roman"/>
          <w:szCs w:val="21"/>
        </w:rPr>
        <w:t>未经采购人同意，成交投标人也不得采用分包的形式履行合同，否则采购人有权终止合同，成交投标人的履约保证金将不予退还。转包或分包造成采购人损失的，成交投标人应承担相应赔偿责任</w:t>
      </w:r>
      <w:bookmarkEnd w:id="122"/>
      <w:bookmarkEnd w:id="123"/>
      <w:bookmarkEnd w:id="124"/>
      <w:bookmarkStart w:id="125" w:name="_Toc497133092"/>
      <w:bookmarkStart w:id="126" w:name="_Toc267251513"/>
      <w:bookmarkStart w:id="127" w:name="_Toc267251509"/>
      <w:bookmarkStart w:id="128" w:name="_Toc267251515"/>
      <w:bookmarkStart w:id="129" w:name="_Toc267251511"/>
      <w:bookmarkStart w:id="130" w:name="_Toc267251510"/>
      <w:bookmarkStart w:id="131" w:name="_Toc267251514"/>
      <w:r>
        <w:rPr>
          <w:rFonts w:hint="eastAsia" w:ascii="宋体" w:hAnsi="宋体" w:eastAsia="宋体" w:cs="Times New Roman"/>
          <w:szCs w:val="21"/>
        </w:rPr>
        <w:t>。</w:t>
      </w:r>
    </w:p>
    <w:p>
      <w:pPr>
        <w:spacing w:line="360" w:lineRule="auto"/>
        <w:ind w:firstLine="420" w:firstLineChars="200"/>
        <w:rPr>
          <w:rFonts w:ascii="宋体" w:hAnsi="宋体" w:cs="宋体"/>
          <w:szCs w:val="21"/>
        </w:rPr>
      </w:pPr>
      <w:r>
        <w:rPr>
          <w:rFonts w:hint="eastAsia" w:ascii="宋体" w:hAnsi="宋体" w:cs="宋体"/>
          <w:szCs w:val="21"/>
        </w:rPr>
        <w:t>2、履约保证金：</w:t>
      </w:r>
    </w:p>
    <w:p>
      <w:pPr>
        <w:tabs>
          <w:tab w:val="left" w:pos="900"/>
        </w:tabs>
        <w:spacing w:line="380" w:lineRule="exact"/>
        <w:ind w:firstLine="420" w:firstLineChars="200"/>
        <w:rPr>
          <w:rFonts w:ascii="宋体" w:hAnsi="宋体" w:eastAsia="宋体" w:cs="宋体"/>
          <w:szCs w:val="21"/>
        </w:rPr>
      </w:pPr>
      <w:r>
        <w:rPr>
          <w:rFonts w:hint="eastAsia" w:ascii="宋体" w:hAnsi="宋体" w:eastAsia="宋体" w:cs="宋体"/>
          <w:szCs w:val="21"/>
        </w:rPr>
        <w:t>2.1</w:t>
      </w:r>
      <w:r>
        <w:rPr>
          <w:rFonts w:hint="eastAsia" w:ascii="宋体" w:hAnsi="宋体" w:cs="宋体"/>
          <w:kern w:val="0"/>
          <w:szCs w:val="21"/>
        </w:rPr>
        <w:t>乙方应在签订合同前</w:t>
      </w:r>
      <w:r>
        <w:rPr>
          <w:rFonts w:hint="eastAsia" w:ascii="宋体" w:hAnsi="宋体" w:eastAsia="宋体" w:cs="宋体"/>
          <w:szCs w:val="21"/>
        </w:rPr>
        <w:t>向采购人缴纳贰万元整（人民币）至指定账户作为履约保证金。</w:t>
      </w:r>
    </w:p>
    <w:p>
      <w:pPr>
        <w:tabs>
          <w:tab w:val="left" w:pos="900"/>
        </w:tabs>
        <w:spacing w:line="380" w:lineRule="exact"/>
        <w:ind w:firstLine="420" w:firstLineChars="200"/>
        <w:rPr>
          <w:rFonts w:ascii="宋体" w:hAnsi="宋体" w:eastAsia="宋体" w:cs="宋体"/>
          <w:szCs w:val="21"/>
        </w:rPr>
      </w:pPr>
      <w:r>
        <w:rPr>
          <w:rFonts w:hint="eastAsia" w:ascii="宋体" w:hAnsi="宋体" w:eastAsia="宋体" w:cs="宋体"/>
          <w:szCs w:val="21"/>
        </w:rPr>
        <w:t>2.2 如成交投标人未能履行合同规定的义务，采购人有权根据工程质量验收结果从履约保证金中取得补偿。工程验收合格以后七个工作日内无息退还给成交投标人。</w:t>
      </w:r>
    </w:p>
    <w:p>
      <w:pPr>
        <w:tabs>
          <w:tab w:val="left" w:pos="900"/>
        </w:tabs>
        <w:spacing w:line="380" w:lineRule="exact"/>
        <w:ind w:firstLine="420" w:firstLineChars="200"/>
        <w:sectPr>
          <w:footerReference r:id="rId10" w:type="first"/>
          <w:headerReference r:id="rId7" w:type="default"/>
          <w:footerReference r:id="rId8" w:type="default"/>
          <w:footerReference r:id="rId9" w:type="even"/>
          <w:pgSz w:w="11906" w:h="16838"/>
          <w:pgMar w:top="1440" w:right="1247" w:bottom="1440" w:left="1247" w:header="1191" w:footer="907" w:gutter="0"/>
          <w:cols w:space="720" w:num="1"/>
          <w:docGrid w:type="lines" w:linePitch="286" w:charSpace="0"/>
        </w:sectPr>
      </w:pPr>
      <w:r>
        <w:rPr>
          <w:rFonts w:hint="eastAsia" w:ascii="宋体" w:hAnsi="宋体" w:eastAsia="宋体" w:cs="宋体"/>
          <w:szCs w:val="21"/>
        </w:rPr>
        <w:t>2.3履约保证金用以约束成交投标人在合同履行中的行为，弥补合同执行中由于自身行为可能给采购人带来的各种损失。如果成交投标人不同意按照规定去做，代理机构有权取消本次采购成交决定，不予退还其履约保证金。</w:t>
      </w:r>
    </w:p>
    <w:p>
      <w:pPr>
        <w:keepNext/>
        <w:keepLines/>
        <w:spacing w:before="260" w:after="260" w:line="416" w:lineRule="auto"/>
        <w:ind w:firstLine="723"/>
        <w:jc w:val="center"/>
        <w:outlineLvl w:val="1"/>
        <w:rPr>
          <w:rFonts w:ascii="宋体" w:hAnsi="宋体" w:eastAsia="宋体" w:cs="Arial"/>
          <w:b/>
          <w:bCs/>
          <w:sz w:val="36"/>
          <w:szCs w:val="36"/>
        </w:rPr>
      </w:pPr>
      <w:r>
        <w:rPr>
          <w:rFonts w:hint="eastAsia" w:ascii="宋体" w:hAnsi="宋体" w:eastAsia="宋体" w:cs="Arial"/>
          <w:b/>
          <w:bCs/>
          <w:sz w:val="36"/>
          <w:szCs w:val="36"/>
        </w:rPr>
        <w:t>第三章 合同条款及格式</w:t>
      </w:r>
      <w:bookmarkEnd w:id="125"/>
    </w:p>
    <w:bookmarkEnd w:id="126"/>
    <w:bookmarkEnd w:id="127"/>
    <w:bookmarkEnd w:id="128"/>
    <w:bookmarkEnd w:id="129"/>
    <w:bookmarkEnd w:id="130"/>
    <w:bookmarkEnd w:id="131"/>
    <w:p>
      <w:pPr>
        <w:spacing w:before="156" w:beforeLines="50" w:after="156" w:afterLines="50"/>
        <w:ind w:firstLine="420" w:firstLineChars="200"/>
        <w:outlineLvl w:val="0"/>
        <w:rPr>
          <w:rFonts w:hAnsi="宋体" w:cs="宋体"/>
        </w:rPr>
      </w:pPr>
      <w:bookmarkStart w:id="132" w:name="_Hlt16619369"/>
      <w:bookmarkEnd w:id="132"/>
      <w:r>
        <w:rPr>
          <w:rFonts w:hAnsi="宋体" w:cs="宋体"/>
        </w:rPr>
        <w:t>以下为中标后签定本项目合同的通用条款，</w:t>
      </w:r>
      <w:r>
        <w:rPr>
          <w:rFonts w:hint="eastAsia" w:hAnsi="宋体" w:cs="宋体"/>
        </w:rPr>
        <w:t>成交投标人</w:t>
      </w:r>
      <w:r>
        <w:rPr>
          <w:rFonts w:hAnsi="宋体" w:cs="宋体"/>
        </w:rPr>
        <w:t>不得提出实质性的修改。关于专用条款将由采购人与</w:t>
      </w:r>
      <w:r>
        <w:rPr>
          <w:rFonts w:hint="eastAsia" w:hAnsi="宋体" w:cs="宋体"/>
        </w:rPr>
        <w:t>成交投标人</w:t>
      </w:r>
      <w:r>
        <w:rPr>
          <w:rFonts w:hAnsi="宋体" w:cs="宋体"/>
        </w:rPr>
        <w:t>结合本项目具体情况协商后</w:t>
      </w:r>
      <w:r>
        <w:rPr>
          <w:rFonts w:hint="eastAsia" w:hAnsi="宋体" w:cs="宋体"/>
        </w:rPr>
        <w:t>签订。</w:t>
      </w:r>
    </w:p>
    <w:p>
      <w:pPr>
        <w:spacing w:line="360" w:lineRule="auto"/>
        <w:jc w:val="center"/>
        <w:rPr>
          <w:rFonts w:ascii="宋体" w:hAnsi="宋体"/>
          <w:szCs w:val="21"/>
        </w:rPr>
      </w:pPr>
      <w:r>
        <w:rPr>
          <w:rFonts w:hint="eastAsia" w:ascii="宋体" w:hAnsi="宋体"/>
          <w:b/>
          <w:snapToGrid w:val="0"/>
          <w:szCs w:val="21"/>
        </w:rPr>
        <w:t>南京邮电大学通达学院</w:t>
      </w:r>
      <w:r>
        <w:rPr>
          <w:rFonts w:hint="eastAsia" w:ascii="宋体" w:hAnsi="宋体"/>
          <w:b/>
          <w:snapToGrid w:val="0"/>
          <w:szCs w:val="21"/>
          <w:u w:val="single"/>
        </w:rPr>
        <w:t xml:space="preserve">                  </w:t>
      </w:r>
      <w:r>
        <w:rPr>
          <w:rFonts w:hint="eastAsia" w:ascii="宋体" w:hAnsi="宋体"/>
          <w:b/>
          <w:snapToGrid w:val="0"/>
          <w:szCs w:val="21"/>
        </w:rPr>
        <w:t>工程合同</w:t>
      </w:r>
    </w:p>
    <w:p>
      <w:pPr>
        <w:spacing w:line="360" w:lineRule="auto"/>
        <w:ind w:firstLine="420" w:firstLineChars="200"/>
        <w:rPr>
          <w:rFonts w:ascii="宋体" w:hAnsi="宋体"/>
          <w:szCs w:val="21"/>
        </w:rPr>
      </w:pPr>
      <w:r>
        <w:rPr>
          <w:rFonts w:hint="eastAsia" w:ascii="宋体" w:hAnsi="宋体"/>
          <w:szCs w:val="21"/>
        </w:rPr>
        <w:t>甲方：南京邮电大学通达学院                     项目编号：TDCG2026016</w:t>
      </w:r>
    </w:p>
    <w:p>
      <w:pPr>
        <w:spacing w:line="360" w:lineRule="auto"/>
        <w:ind w:firstLine="420" w:firstLineChars="200"/>
        <w:rPr>
          <w:rFonts w:ascii="宋体" w:hAnsi="宋体"/>
          <w:szCs w:val="21"/>
        </w:rPr>
      </w:pPr>
      <w:r>
        <w:rPr>
          <w:rFonts w:hint="eastAsia" w:ascii="宋体" w:hAnsi="宋体"/>
          <w:szCs w:val="21"/>
        </w:rPr>
        <w:t>乙方：</w:t>
      </w:r>
    </w:p>
    <w:p>
      <w:pPr>
        <w:spacing w:line="360" w:lineRule="auto"/>
        <w:ind w:firstLine="420" w:firstLineChars="200"/>
        <w:rPr>
          <w:rFonts w:ascii="宋体" w:hAnsi="宋体" w:cs="宋体"/>
          <w:szCs w:val="21"/>
        </w:rPr>
      </w:pPr>
      <w:r>
        <w:rPr>
          <w:rFonts w:hint="eastAsia" w:ascii="宋体" w:hAnsi="宋体" w:cs="宋体"/>
          <w:szCs w:val="21"/>
        </w:rPr>
        <w:t>按照《中华人民共和国民法典》及其他有关法律法规的有关规定，结合本工程实际情况，遵守平等、自愿、公平和诚实信用原则，经双方协商达成如下协议：</w:t>
      </w:r>
    </w:p>
    <w:p>
      <w:pPr>
        <w:spacing w:line="384" w:lineRule="auto"/>
        <w:ind w:firstLine="422" w:firstLineChars="200"/>
        <w:outlineLvl w:val="1"/>
        <w:rPr>
          <w:rFonts w:ascii="宋体" w:hAnsi="宋体" w:cs="宋体"/>
          <w:b/>
          <w:bCs/>
          <w:szCs w:val="21"/>
        </w:rPr>
      </w:pPr>
      <w:r>
        <w:rPr>
          <w:rFonts w:hint="eastAsia" w:ascii="宋体" w:hAnsi="宋体" w:cs="宋体"/>
          <w:b/>
          <w:szCs w:val="21"/>
        </w:rPr>
        <w:t>一、合同组成</w:t>
      </w:r>
    </w:p>
    <w:p>
      <w:pPr>
        <w:spacing w:line="384" w:lineRule="auto"/>
        <w:ind w:firstLine="422" w:firstLineChars="200"/>
        <w:rPr>
          <w:rStyle w:val="115"/>
          <w:rFonts w:ascii="宋体" w:hAnsi="宋体" w:cs="宋体"/>
          <w:szCs w:val="21"/>
        </w:rPr>
      </w:pPr>
      <w:r>
        <w:rPr>
          <w:rFonts w:hint="eastAsia" w:ascii="宋体" w:hAnsi="宋体" w:cs="宋体"/>
          <w:b/>
          <w:szCs w:val="21"/>
        </w:rPr>
        <w:t xml:space="preserve">    </w:t>
      </w:r>
      <w:r>
        <w:rPr>
          <w:rStyle w:val="115"/>
          <w:rFonts w:hint="eastAsia" w:ascii="宋体" w:hAnsi="宋体" w:cs="宋体"/>
          <w:szCs w:val="21"/>
        </w:rPr>
        <w:t>下列关于</w:t>
      </w:r>
      <w:r>
        <w:rPr>
          <w:rStyle w:val="115"/>
          <w:rFonts w:hint="eastAsia" w:ascii="宋体" w:hAnsi="宋体" w:cs="宋体"/>
          <w:szCs w:val="21"/>
          <w:u w:val="single"/>
        </w:rPr>
        <w:t xml:space="preserve">            </w:t>
      </w:r>
      <w:r>
        <w:rPr>
          <w:rStyle w:val="115"/>
          <w:rFonts w:hint="eastAsia" w:ascii="宋体" w:hAnsi="宋体" w:cs="宋体"/>
          <w:szCs w:val="21"/>
        </w:rPr>
        <w:t>文件、乙方提交的响应文件均是构成本合同不可分割的部分，还包括：</w:t>
      </w:r>
    </w:p>
    <w:p>
      <w:pPr>
        <w:spacing w:line="384" w:lineRule="auto"/>
        <w:ind w:firstLine="420" w:firstLineChars="200"/>
        <w:rPr>
          <w:rStyle w:val="115"/>
          <w:rFonts w:ascii="宋体" w:hAnsi="宋体" w:cs="宋体"/>
          <w:szCs w:val="21"/>
        </w:rPr>
      </w:pPr>
      <w:r>
        <w:rPr>
          <w:rStyle w:val="115"/>
          <w:rFonts w:hint="eastAsia" w:ascii="宋体" w:hAnsi="宋体" w:cs="宋体"/>
          <w:szCs w:val="21"/>
        </w:rPr>
        <w:t>（1）合同条款；</w:t>
      </w:r>
    </w:p>
    <w:p>
      <w:pPr>
        <w:spacing w:line="384" w:lineRule="auto"/>
        <w:ind w:firstLine="420" w:firstLineChars="200"/>
        <w:rPr>
          <w:rStyle w:val="115"/>
          <w:rFonts w:ascii="宋体" w:hAnsi="宋体" w:cs="宋体"/>
          <w:szCs w:val="21"/>
        </w:rPr>
      </w:pPr>
      <w:r>
        <w:rPr>
          <w:rStyle w:val="115"/>
          <w:rFonts w:hint="eastAsia" w:ascii="宋体" w:hAnsi="宋体" w:cs="宋体"/>
          <w:szCs w:val="21"/>
        </w:rPr>
        <w:t>（2）响应承诺函；</w:t>
      </w:r>
    </w:p>
    <w:p>
      <w:pPr>
        <w:spacing w:line="384" w:lineRule="auto"/>
        <w:ind w:firstLine="420" w:firstLineChars="200"/>
        <w:rPr>
          <w:rStyle w:val="115"/>
          <w:rFonts w:ascii="宋体" w:hAnsi="宋体" w:cs="宋体"/>
          <w:szCs w:val="21"/>
        </w:rPr>
      </w:pPr>
      <w:r>
        <w:rPr>
          <w:rStyle w:val="115"/>
          <w:rFonts w:hint="eastAsia" w:ascii="宋体" w:hAnsi="宋体" w:cs="宋体"/>
          <w:szCs w:val="21"/>
        </w:rPr>
        <w:t>（3）最后报价表；</w:t>
      </w:r>
    </w:p>
    <w:p>
      <w:pPr>
        <w:spacing w:line="384" w:lineRule="auto"/>
        <w:ind w:firstLine="420" w:firstLineChars="200"/>
        <w:rPr>
          <w:rStyle w:val="115"/>
          <w:rFonts w:ascii="宋体" w:hAnsi="宋体" w:cs="宋体"/>
          <w:szCs w:val="21"/>
        </w:rPr>
      </w:pPr>
      <w:r>
        <w:rPr>
          <w:rStyle w:val="115"/>
          <w:rFonts w:hint="eastAsia" w:ascii="宋体" w:hAnsi="宋体" w:cs="宋体"/>
          <w:szCs w:val="21"/>
        </w:rPr>
        <w:t>（4）报价明细表；</w:t>
      </w:r>
    </w:p>
    <w:p>
      <w:pPr>
        <w:spacing w:line="384" w:lineRule="auto"/>
        <w:ind w:firstLine="420" w:firstLineChars="200"/>
        <w:rPr>
          <w:rStyle w:val="115"/>
          <w:rFonts w:ascii="宋体" w:hAnsi="宋体" w:cs="宋体"/>
          <w:szCs w:val="21"/>
        </w:rPr>
      </w:pPr>
      <w:r>
        <w:rPr>
          <w:rStyle w:val="115"/>
          <w:rFonts w:hint="eastAsia" w:ascii="宋体" w:hAnsi="宋体" w:cs="宋体"/>
          <w:szCs w:val="21"/>
        </w:rPr>
        <w:t>（5）工程方案及服务承诺；</w:t>
      </w:r>
    </w:p>
    <w:p>
      <w:pPr>
        <w:spacing w:line="384" w:lineRule="auto"/>
        <w:ind w:firstLine="420" w:firstLineChars="200"/>
        <w:rPr>
          <w:rStyle w:val="115"/>
          <w:rFonts w:ascii="宋体" w:hAnsi="宋体" w:cs="宋体"/>
          <w:szCs w:val="21"/>
        </w:rPr>
      </w:pPr>
      <w:r>
        <w:rPr>
          <w:rStyle w:val="115"/>
          <w:rFonts w:hint="eastAsia" w:ascii="宋体" w:hAnsi="宋体" w:cs="宋体"/>
          <w:szCs w:val="21"/>
        </w:rPr>
        <w:t>（6）成交通知书；</w:t>
      </w:r>
    </w:p>
    <w:p>
      <w:pPr>
        <w:spacing w:line="384" w:lineRule="auto"/>
        <w:ind w:firstLine="420" w:firstLineChars="200"/>
        <w:rPr>
          <w:rStyle w:val="115"/>
          <w:rFonts w:ascii="宋体" w:hAnsi="宋体" w:cs="宋体"/>
          <w:szCs w:val="21"/>
        </w:rPr>
      </w:pPr>
      <w:r>
        <w:rPr>
          <w:rStyle w:val="115"/>
          <w:rFonts w:hint="eastAsia" w:ascii="宋体" w:hAnsi="宋体" w:cs="宋体"/>
          <w:szCs w:val="21"/>
        </w:rPr>
        <w:t>（7）甲方、乙方商定的其他必要文件。</w:t>
      </w:r>
    </w:p>
    <w:p>
      <w:pPr>
        <w:spacing w:line="384" w:lineRule="auto"/>
        <w:ind w:firstLine="422" w:firstLineChars="200"/>
        <w:outlineLvl w:val="1"/>
        <w:rPr>
          <w:rFonts w:ascii="宋体" w:hAnsi="宋体" w:cs="宋体"/>
          <w:b/>
          <w:szCs w:val="21"/>
        </w:rPr>
      </w:pPr>
      <w:r>
        <w:rPr>
          <w:rFonts w:hint="eastAsia" w:ascii="宋体" w:hAnsi="宋体" w:cs="宋体"/>
          <w:b/>
          <w:szCs w:val="21"/>
        </w:rPr>
        <w:t>二、工程概况</w:t>
      </w:r>
    </w:p>
    <w:p>
      <w:pPr>
        <w:spacing w:line="384" w:lineRule="auto"/>
        <w:ind w:firstLine="420" w:firstLineChars="200"/>
        <w:rPr>
          <w:rFonts w:ascii="宋体" w:hAnsi="宋体" w:cs="宋体"/>
          <w:szCs w:val="21"/>
        </w:rPr>
      </w:pPr>
      <w:r>
        <w:rPr>
          <w:rFonts w:hint="eastAsia" w:ascii="宋体" w:hAnsi="宋体" w:cs="宋体"/>
          <w:szCs w:val="21"/>
        </w:rPr>
        <w:t>1.工程名称：</w:t>
      </w:r>
      <w:r>
        <w:rPr>
          <w:rFonts w:hint="eastAsia" w:ascii="宋体" w:hAnsi="宋体" w:cs="宋体"/>
          <w:szCs w:val="21"/>
          <w:u w:val="single"/>
        </w:rPr>
        <w:t xml:space="preserve">                     </w:t>
      </w:r>
    </w:p>
    <w:p>
      <w:pPr>
        <w:spacing w:line="384" w:lineRule="auto"/>
        <w:ind w:firstLine="420" w:firstLineChars="200"/>
        <w:rPr>
          <w:rFonts w:ascii="宋体" w:hAnsi="宋体" w:cs="宋体"/>
          <w:szCs w:val="21"/>
          <w:u w:val="single"/>
        </w:rPr>
      </w:pPr>
      <w:r>
        <w:rPr>
          <w:rFonts w:hint="eastAsia" w:ascii="宋体" w:hAnsi="宋体" w:cs="宋体"/>
          <w:szCs w:val="21"/>
        </w:rPr>
        <w:t>2.工程地点：</w:t>
      </w:r>
      <w:r>
        <w:rPr>
          <w:rFonts w:hint="eastAsia" w:ascii="宋体" w:hAnsi="宋体" w:cs="宋体"/>
          <w:szCs w:val="21"/>
          <w:u w:val="single"/>
        </w:rPr>
        <w:t xml:space="preserve">                     </w:t>
      </w:r>
    </w:p>
    <w:p>
      <w:pPr>
        <w:spacing w:line="384" w:lineRule="auto"/>
        <w:ind w:firstLine="420" w:firstLineChars="200"/>
        <w:rPr>
          <w:rFonts w:ascii="宋体" w:hAnsi="宋体" w:cs="宋体"/>
          <w:szCs w:val="21"/>
        </w:rPr>
      </w:pPr>
      <w:r>
        <w:rPr>
          <w:rFonts w:hint="eastAsia" w:ascii="宋体" w:hAnsi="宋体" w:cs="宋体"/>
          <w:szCs w:val="21"/>
        </w:rPr>
        <w:t>3.承包范围：</w:t>
      </w:r>
      <w:r>
        <w:rPr>
          <w:rFonts w:hint="eastAsia" w:ascii="宋体" w:hAnsi="宋体" w:cs="宋体"/>
          <w:szCs w:val="21"/>
          <w:u w:val="single"/>
        </w:rPr>
        <w:t xml:space="preserve">                                  </w:t>
      </w:r>
      <w:r>
        <w:rPr>
          <w:rFonts w:hint="eastAsia" w:ascii="宋体" w:hAnsi="宋体" w:cs="宋体"/>
          <w:szCs w:val="21"/>
        </w:rPr>
        <w:t>文件所规定的工程范围</w:t>
      </w:r>
    </w:p>
    <w:p>
      <w:pPr>
        <w:spacing w:line="384" w:lineRule="auto"/>
        <w:ind w:firstLine="420" w:firstLineChars="200"/>
        <w:rPr>
          <w:rFonts w:ascii="宋体" w:hAnsi="宋体" w:cs="宋体"/>
          <w:szCs w:val="21"/>
        </w:rPr>
      </w:pPr>
      <w:r>
        <w:rPr>
          <w:rFonts w:hint="eastAsia" w:ascii="宋体" w:hAnsi="宋体" w:cs="宋体"/>
          <w:szCs w:val="21"/>
        </w:rPr>
        <w:t>4.承包方式：包工包料</w:t>
      </w:r>
    </w:p>
    <w:p>
      <w:pPr>
        <w:spacing w:line="384" w:lineRule="auto"/>
        <w:ind w:firstLine="420" w:firstLineChars="200"/>
        <w:rPr>
          <w:rFonts w:ascii="宋体" w:hAnsi="宋体" w:cs="宋体"/>
          <w:szCs w:val="21"/>
        </w:rPr>
      </w:pPr>
      <w:r>
        <w:rPr>
          <w:rFonts w:hint="eastAsia" w:ascii="宋体" w:hAnsi="宋体" w:cs="宋体"/>
          <w:szCs w:val="21"/>
        </w:rPr>
        <w:t>5.工期：</w:t>
      </w:r>
      <w:r>
        <w:rPr>
          <w:rFonts w:hint="eastAsia" w:ascii="宋体" w:hAnsi="宋体" w:cs="宋体"/>
          <w:b/>
          <w:bCs/>
          <w:szCs w:val="21"/>
        </w:rPr>
        <w:t>本工程工期60个日历天，拟于   年  月   日开工，   年 月  日竣工</w:t>
      </w:r>
      <w:r>
        <w:rPr>
          <w:rFonts w:hint="eastAsia" w:ascii="宋体" w:hAnsi="宋体" w:cs="宋体"/>
          <w:szCs w:val="21"/>
        </w:rPr>
        <w:t>，具体开工时间以采购人通知为准。</w:t>
      </w:r>
    </w:p>
    <w:p>
      <w:pPr>
        <w:spacing w:line="384" w:lineRule="auto"/>
        <w:ind w:firstLine="420" w:firstLineChars="200"/>
        <w:rPr>
          <w:rFonts w:ascii="宋体" w:hAnsi="宋体" w:cs="宋体"/>
          <w:szCs w:val="21"/>
        </w:rPr>
      </w:pPr>
      <w:r>
        <w:rPr>
          <w:rFonts w:hint="eastAsia" w:ascii="宋体" w:hAnsi="宋体" w:cs="宋体"/>
          <w:szCs w:val="21"/>
        </w:rPr>
        <w:t>6.工程质量：合格。</w:t>
      </w:r>
    </w:p>
    <w:p>
      <w:pPr>
        <w:spacing w:line="384" w:lineRule="auto"/>
        <w:ind w:firstLine="420" w:firstLineChars="200"/>
      </w:pPr>
      <w:r>
        <w:rPr>
          <w:rFonts w:hint="eastAsia" w:ascii="宋体" w:hAnsi="宋体" w:cs="宋体"/>
          <w:szCs w:val="21"/>
        </w:rPr>
        <w:t>7.暂定价为：人民币（大写）</w:t>
      </w:r>
      <w:r>
        <w:rPr>
          <w:rFonts w:hint="eastAsia" w:ascii="宋体" w:hAnsi="宋体" w:cs="宋体"/>
          <w:szCs w:val="21"/>
          <w:u w:val="single"/>
        </w:rPr>
        <w:t xml:space="preserve">                     ￥：      元</w:t>
      </w:r>
      <w:r>
        <w:rPr>
          <w:rFonts w:hint="eastAsia" w:ascii="宋体" w:hAnsi="宋体" w:cs="宋体"/>
          <w:szCs w:val="21"/>
        </w:rPr>
        <w:t xml:space="preserve">。  </w:t>
      </w:r>
      <w:r>
        <w:rPr>
          <w:rFonts w:hint="eastAsia" w:ascii="宋体" w:hAnsi="宋体" w:cs="宋体"/>
          <w:b/>
          <w:szCs w:val="21"/>
        </w:rPr>
        <w:t>（合同价为暂定价，最终合同价以审计部门审定结算价为准）</w:t>
      </w:r>
      <w:r>
        <w:rPr>
          <w:rFonts w:hint="eastAsia" w:ascii="宋体" w:hAnsi="宋体" w:cs="宋体"/>
          <w:szCs w:val="21"/>
        </w:rPr>
        <w:t xml:space="preserve">      </w:t>
      </w:r>
    </w:p>
    <w:p>
      <w:pPr>
        <w:widowControl/>
        <w:snapToGrid w:val="0"/>
        <w:spacing w:line="384" w:lineRule="auto"/>
        <w:ind w:firstLine="422" w:firstLineChars="200"/>
        <w:jc w:val="left"/>
        <w:rPr>
          <w:rFonts w:ascii="宋体" w:hAnsi="宋体" w:cs="宋体"/>
          <w:b/>
          <w:bCs/>
          <w:kern w:val="0"/>
          <w:szCs w:val="21"/>
        </w:rPr>
      </w:pPr>
      <w:r>
        <w:rPr>
          <w:rFonts w:hint="eastAsia" w:ascii="宋体" w:hAnsi="宋体" w:cs="宋体"/>
          <w:b/>
          <w:bCs/>
          <w:kern w:val="0"/>
          <w:szCs w:val="21"/>
        </w:rPr>
        <w:t>三、双方工作：</w:t>
      </w:r>
    </w:p>
    <w:p>
      <w:pPr>
        <w:widowControl/>
        <w:snapToGrid w:val="0"/>
        <w:spacing w:line="384" w:lineRule="auto"/>
        <w:ind w:firstLine="420" w:firstLineChars="200"/>
        <w:jc w:val="left"/>
        <w:rPr>
          <w:rFonts w:ascii="宋体" w:hAnsi="宋体" w:cs="宋体"/>
          <w:b/>
          <w:bCs/>
          <w:kern w:val="0"/>
          <w:szCs w:val="21"/>
        </w:rPr>
      </w:pPr>
      <w:r>
        <w:rPr>
          <w:rFonts w:hint="eastAsia" w:ascii="宋体" w:hAnsi="宋体" w:cs="宋体"/>
          <w:kern w:val="0"/>
          <w:szCs w:val="21"/>
        </w:rPr>
        <w:t>（一）甲方工作</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1.办理施工所涉及的各种申请、批件等各项手续，协助乙方接通施工所需的水、电，协调有关部门做好通道、电梯、消防设备的使用和保护。</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2.提供原始水电线路图及装饰装修地点钥匙。</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3.指派为甲方代表，负责对工程质量、进度进行监督检查，办理验收、变更登记手续和其他事宜。</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4.如确实需要拆除原建筑物结构或设备管线，负责到有关部门办理相应审批手续，擅自同意拆改原有建筑物结构或设备管线，由此发生的损失或事故，由甲方负责并承担由此造成的经济损失。</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5.协调有关部门做好现场保卫、消防、垃圾临时堆放指定点等工作。</w:t>
      </w:r>
    </w:p>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（二）乙方工作</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1.提交施工方案和进度计划，交甲方审定。</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2.严格执行施工规范、安全操作规程、防火安全和环境保护规定。严格按照图纸或双方确认的 作法说明进行施工，做好各项事宜。保证施工现场的整洁，每日完工后清扫施工现场。</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3.指派为乙方驻工地代表，负责履行合同，组织施工，按期限保质保量完成施工任务，解决由乙方负责的各项事宜。</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遵守国家或地方政府及有关部门对施工现场的规定，妥善保护好现场的设施、设备管线不受破坏，做好施工现场保卫、清洁和垃圾清运等工作，费用乙方承担。施工中未经甲方书面同意不得随意拆改原建筑物结构及各种设备管线。未经甲方书面同意擅自拆改原建筑物结构或设备管线，由此发生的损失或造成的事故，由乙方负责并承担损失。</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5.乙方在施工中应妥善保管甲方堆放在现场的家具、陈设以及工程成品；工程竣工未移交甲方之前，负责对现场的一切设施和工程成品进行保护，费用乙方承担，造成现场的设施和工程成品损坏丢失的，由乙方承担一切责任，并照价赔偿。</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四、工期：</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1.甲方要求比合同约定的工期提前竣工时，应征得乙方同意，并支付乙方因赶工采取的措施费用。每提前一天，甲方支付乙方合同价的千分之一。</w:t>
      </w:r>
    </w:p>
    <w:p>
      <w:pPr>
        <w:snapToGrid w:val="0"/>
        <w:spacing w:line="384" w:lineRule="auto"/>
        <w:rPr>
          <w:rFonts w:ascii="宋体" w:hAnsi="宋体" w:cs="宋体"/>
          <w:szCs w:val="21"/>
        </w:rPr>
      </w:pPr>
      <w:r>
        <w:rPr>
          <w:rFonts w:hint="eastAsia" w:ascii="宋体" w:hAnsi="宋体" w:cs="宋体"/>
          <w:szCs w:val="21"/>
        </w:rPr>
        <w:t xml:space="preserve">    2.由于甲方变更设计或增加工程量，以及提出增加设计范围外的工程项目，甲方应及时通知乙方，并给予办理签证，造成工期的延误，甲方承担责任，工期相应顺延，费用增加按相关规定。</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3.因乙方原因，不能按期开工或中途无故停工，影响工期，工期不顺延，且承担因工期延误造成的相关损失。</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4.由于工程质量原因返工，乙方承担责任，工期不顺延。若因此造成甲方或第三人的损失，乙方负责赔偿。</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5.非乙方原因造成的停电、停水及不可抗力因素影响，导致停工8小时以上（一周内累计计算），工期相应顺延，费用不增加。</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五、工程质量检查及验收：</w:t>
      </w:r>
    </w:p>
    <w:p>
      <w:pPr>
        <w:snapToGrid w:val="0"/>
        <w:spacing w:line="384" w:lineRule="auto"/>
        <w:rPr>
          <w:rFonts w:ascii="宋体" w:hAnsi="宋体" w:cs="宋体"/>
          <w:szCs w:val="21"/>
        </w:rPr>
      </w:pPr>
      <w:r>
        <w:rPr>
          <w:rFonts w:hint="eastAsia" w:ascii="宋体" w:hAnsi="宋体" w:cs="宋体"/>
          <w:szCs w:val="21"/>
        </w:rPr>
        <w:t xml:space="preserve">    1.本工程质量评定验收标准的依据：（1）双方确认的施工图纸、做法说明、设计变更；（2）《建筑装饰装修工程质量验收规范》（GB50210-2001）等国家指定的施工及验收规范为质量评定验收标准。</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2.中间验收项目：</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3.甲方不定期对乙方施工所用材料按照建筑见证抽检要求进行复试，乙方应提供材料合格证和复试报告，检测结果如不合格，由乙方承担所有损失。</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甲乙双方应及时办理每道工序的检查与验收手续。当工程已具备覆盖、遮盖条件或达到中间验收标准，乙方自检，并于24小时前书面通知甲方参加。验收合格，甲方监理或甲方代表在验收记录上签字后，方可进入下道工序。未经验收，一律被视为上道工序未完成，必须重做。甲方或甲方代表经乙方书面通知后不参加隐蔽工程和中间工程验收，乙方可自行验收，视为甲方已经认可。若甲方要求复验时，乙方应按要求办理复验；若复验合格，甲方应承担复验费用，由此造成停工，工期顺延；若复验不合格，其复验及返工费用由乙方承担，且工期不顺延。</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5.工程竣工后，乙方应书面通知甲方验收，甲方自接到验收通知2日内组织验收，验收合格后，双方在验收文件上签字确认，并办理验收、移交手续。如甲方在规定时间内不能组织验收，需及时通知乙方，另定验收日期。</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6.工程竣工后，甲方未经验收擅自使用的部分，视为甲方验收合格。</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六、工程价款及结算：</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1.双方商定本合同价款结算采用第</w:t>
      </w:r>
      <w:r>
        <w:rPr>
          <w:rFonts w:hint="eastAsia" w:ascii="宋体" w:hAnsi="宋体" w:cs="宋体"/>
          <w:kern w:val="0"/>
          <w:szCs w:val="21"/>
          <w:u w:val="single"/>
        </w:rPr>
        <w:t xml:space="preserve">  （2）   </w:t>
      </w:r>
      <w:r>
        <w:rPr>
          <w:rFonts w:hint="eastAsia" w:ascii="宋体" w:hAnsi="宋体" w:cs="宋体"/>
          <w:kern w:val="0"/>
          <w:szCs w:val="21"/>
        </w:rPr>
        <w:t>种</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（1）固定总价。</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（2）固定单价，工程量按实结算方式。</w:t>
      </w:r>
    </w:p>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2.</w:t>
      </w:r>
      <w:bookmarkStart w:id="133" w:name="OLE_LINK2"/>
      <w:r>
        <w:rPr>
          <w:rFonts w:hint="eastAsia" w:ascii="宋体" w:hAnsi="宋体" w:cs="宋体"/>
          <w:b/>
          <w:bCs/>
          <w:kern w:val="0"/>
          <w:szCs w:val="21"/>
        </w:rPr>
        <w:t>付款方式：</w:t>
      </w:r>
      <w:r>
        <w:rPr>
          <w:rFonts w:hint="eastAsia" w:ascii="宋体" w:hAnsi="宋体" w:cs="宋体"/>
          <w:kern w:val="0"/>
          <w:szCs w:val="21"/>
          <w:u w:val="single"/>
        </w:rPr>
        <w:t>本工程无预付款；完工验收合格后付至合同价的70 %；经审计后付至审定价的 97 %，同时扣除审计费，余款在质保期到后全额无息付清，须提供正规发票，审计费按南京邮电大学审计相关规定执行</w:t>
      </w:r>
      <w:r>
        <w:rPr>
          <w:rFonts w:hint="eastAsia" w:ascii="宋体" w:hAnsi="宋体" w:cs="宋体"/>
          <w:kern w:val="0"/>
          <w:szCs w:val="21"/>
        </w:rPr>
        <w:t>。</w:t>
      </w:r>
    </w:p>
    <w:p>
      <w:pPr>
        <w:widowControl/>
        <w:snapToGrid w:val="0"/>
        <w:spacing w:line="384" w:lineRule="auto"/>
        <w:jc w:val="left"/>
        <w:rPr>
          <w:rFonts w:ascii="宋体" w:hAnsi="宋体" w:cs="宋体"/>
          <w:kern w:val="0"/>
          <w:szCs w:val="21"/>
        </w:rPr>
      </w:pPr>
      <w:r>
        <w:rPr>
          <w:rFonts w:hint="eastAsia" w:ascii="宋体" w:hAnsi="宋体" w:cs="宋体"/>
          <w:kern w:val="0"/>
          <w:szCs w:val="21"/>
        </w:rPr>
        <w:t>建设项目结算审计，应按下列规定支付审计费用：</w:t>
      </w:r>
    </w:p>
    <w:bookmarkEnd w:id="133"/>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（1）单项工程核减率超过10%的，其审计费用全部由施工单位承担，并由学校从施工单位工程款中扣除（下同）；</w:t>
      </w:r>
    </w:p>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（2）单项工程核减率在5%—10%（含10%）之间的，其审计费用由学校承担20%，施工单位承担80%；</w:t>
      </w:r>
    </w:p>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（3）单项工程核减率在5%及其以下的，其审计费用由学校承担。</w:t>
      </w:r>
    </w:p>
    <w:p>
      <w:pPr>
        <w:widowControl/>
        <w:snapToGrid w:val="0"/>
        <w:spacing w:line="384" w:lineRule="auto"/>
        <w:ind w:firstLine="422" w:firstLineChars="200"/>
        <w:jc w:val="left"/>
        <w:rPr>
          <w:rFonts w:ascii="宋体" w:hAnsi="宋体" w:cs="宋体"/>
          <w:b/>
          <w:bCs/>
          <w:kern w:val="0"/>
          <w:szCs w:val="21"/>
        </w:rPr>
      </w:pPr>
      <w:r>
        <w:rPr>
          <w:rFonts w:hint="eastAsia" w:ascii="宋体" w:hAnsi="宋体" w:cs="宋体"/>
          <w:b/>
          <w:bCs/>
          <w:kern w:val="0"/>
          <w:szCs w:val="21"/>
        </w:rPr>
        <w:t>本工程实行履约担保制度，合同签订前，乙方交纳人民币20000元作为本合同的履约保证金，工程验收合格以后无息退还。如乙方对校区有破坏，需要按市价在履约保证金中扣除。</w:t>
      </w:r>
    </w:p>
    <w:p>
      <w:pPr>
        <w:adjustRightInd w:val="0"/>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.乙方必须在竣工10天内办理竣工资料移交手续，否则不予办理竣工结算。</w:t>
      </w:r>
    </w:p>
    <w:p>
      <w:pPr>
        <w:adjustRightInd w:val="0"/>
        <w:spacing w:line="360" w:lineRule="auto"/>
        <w:ind w:firstLine="420" w:firstLineChars="200"/>
        <w:rPr>
          <w:rFonts w:ascii="宋体" w:hAnsi="宋体" w:cs="宋体"/>
          <w:b/>
          <w:bCs/>
          <w:kern w:val="0"/>
          <w:szCs w:val="21"/>
        </w:rPr>
      </w:pPr>
      <w:r>
        <w:rPr>
          <w:rFonts w:ascii="宋体" w:hAnsi="宋体" w:cs="宋体"/>
          <w:szCs w:val="21"/>
        </w:rPr>
        <w:t>4</w:t>
      </w:r>
      <w:r>
        <w:rPr>
          <w:rFonts w:hint="eastAsia" w:ascii="宋体" w:hAnsi="宋体" w:cs="宋体"/>
          <w:szCs w:val="21"/>
        </w:rPr>
        <w:t>.工程竣工验收合格后，乙方未发生违约情形的，乙方凭竣工验收文件提出全部退还保证金申请，甲方予以办理保证金退还手续。</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七、安全生产和防火：</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1.甲方提供的施工图纸或做法说明，应符合《中华人民共和国消防条例》和有关防火设计规范。</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2.乙方在施工期间应严格遵守《中华人民共和国建筑法》、《建筑安装工程安全技术规程》、《建筑安装工程安全操作规程》、《中华人民共和国消防条例》和其他相关的法规、规范。</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由于乙方在施工生产过程中违反有关安全操作规程和消防条例，导致发生安全事故或火灾事故，乙方应承担因安全措施不力由此引发的一切安全后果及经济损失，甲方不承担任何责任，若给甲方造成相关其他损失的，甲方有权向乙方追偿。</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八、违约责任：</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1.甲方或乙方未按本合同条款约定内容履行自己的各项义务致使合同无法履行，应承担相应的违约金，赔偿因其违约给对方造成的损失，违约方按合同约定总价款的</w:t>
      </w:r>
      <w:r>
        <w:rPr>
          <w:rFonts w:hint="eastAsia" w:ascii="宋体" w:hAnsi="宋体" w:cs="宋体"/>
          <w:kern w:val="0"/>
          <w:szCs w:val="21"/>
          <w:u w:val="single"/>
        </w:rPr>
        <w:t xml:space="preserve"> 5% </w:t>
      </w:r>
      <w:r>
        <w:rPr>
          <w:rFonts w:hint="eastAsia" w:ascii="宋体" w:hAnsi="宋体" w:cs="宋体"/>
          <w:kern w:val="0"/>
          <w:szCs w:val="21"/>
        </w:rPr>
        <w:t>支付违约金。如实际损失大于合同总价款的，则按实际损失支付违约金。</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2.由于甲方原因导致中途停工，工期顺延。甲方不按合同的约定拨付工程款，每拖延一天，拖延工程款部分按中国银行的短期贷款利率支付违约金。</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3.由于乙方原因，逾期竣工，每逾期一天，乙方支付甲方违约金；乙方需继续履行合同，除非甲方单方解除合同，且不承担违约责任。</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4.乙方应妥善保护甲方提供的设备及现场堆放的家具、陈设和工程成品，如造成损失，应照价赔偿。</w:t>
      </w:r>
    </w:p>
    <w:p>
      <w:pPr>
        <w:snapToGrid w:val="0"/>
        <w:spacing w:line="384" w:lineRule="auto"/>
        <w:rPr>
          <w:rFonts w:ascii="宋体" w:hAnsi="宋体" w:cs="宋体"/>
          <w:szCs w:val="21"/>
        </w:rPr>
      </w:pPr>
      <w:r>
        <w:rPr>
          <w:rFonts w:hint="eastAsia" w:ascii="宋体" w:hAnsi="宋体" w:cs="宋体"/>
          <w:szCs w:val="21"/>
        </w:rPr>
        <w:t xml:space="preserve">    5.乙方因保证工程所用材料应为符合本项目要求、并符合国家相关标准的合格产品。凡乙方采购的材料，如不符合质量要求或规格有差异，应禁止使用。若已使用，对工程造成的损失全部由乙方承担。</w:t>
      </w:r>
    </w:p>
    <w:p>
      <w:pPr>
        <w:snapToGrid w:val="0"/>
        <w:spacing w:line="384" w:lineRule="auto"/>
        <w:rPr>
          <w:rFonts w:ascii="宋体" w:hAnsi="宋体" w:cs="宋体"/>
          <w:szCs w:val="21"/>
        </w:rPr>
      </w:pPr>
      <w:r>
        <w:rPr>
          <w:rFonts w:hint="eastAsia" w:ascii="宋体" w:hAnsi="宋体" w:cs="宋体"/>
          <w:szCs w:val="21"/>
        </w:rPr>
        <w:t xml:space="preserve">    6.乙方如中途退场，甲方有权要求乙方两天内撤离现场（包括人员、材料、机械设备等），乙方所完成的工程量自动放弃，不向甲方索要已完成的工程量款，作为由此造成甲方损失的赔偿，给甲方造成的损失大于工程量款的，甲方有权要求乙方继续赔偿。</w:t>
      </w:r>
    </w:p>
    <w:p>
      <w:pPr>
        <w:widowControl/>
        <w:snapToGrid w:val="0"/>
        <w:spacing w:line="384" w:lineRule="auto"/>
        <w:jc w:val="left"/>
        <w:rPr>
          <w:rFonts w:ascii="宋体" w:hAnsi="宋体" w:cs="宋体"/>
          <w:kern w:val="0"/>
          <w:szCs w:val="21"/>
        </w:rPr>
      </w:pPr>
      <w:r>
        <w:rPr>
          <w:rFonts w:hint="eastAsia" w:ascii="宋体" w:hAnsi="宋体" w:cs="宋体"/>
          <w:b/>
          <w:bCs/>
          <w:kern w:val="0"/>
          <w:szCs w:val="21"/>
        </w:rPr>
        <w:t>九、保修：</w:t>
      </w:r>
      <w:r>
        <w:rPr>
          <w:rFonts w:hint="eastAsia" w:ascii="宋体" w:hAnsi="宋体" w:cs="宋体"/>
          <w:kern w:val="0"/>
          <w:szCs w:val="21"/>
        </w:rPr>
        <w:t>本工程保修期为</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年，自工程经甲方验收合格之日起开始起算。</w:t>
      </w:r>
    </w:p>
    <w:p>
      <w:pPr>
        <w:pStyle w:val="20"/>
        <w:snapToGrid w:val="0"/>
        <w:spacing w:before="120" w:after="120" w:line="384" w:lineRule="auto"/>
        <w:rPr>
          <w:rFonts w:hint="default" w:hAnsi="宋体" w:cs="宋体" w:eastAsiaTheme="minorEastAsia"/>
          <w:b/>
          <w:bCs/>
          <w:kern w:val="0"/>
          <w:szCs w:val="21"/>
        </w:rPr>
      </w:pPr>
      <w:r>
        <w:rPr>
          <w:rFonts w:hAnsi="宋体" w:cs="宋体" w:eastAsiaTheme="minorEastAsia"/>
          <w:b/>
          <w:bCs/>
          <w:kern w:val="0"/>
          <w:szCs w:val="21"/>
        </w:rPr>
        <w:t>十、履约保证金</w:t>
      </w:r>
    </w:p>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1.乙方应在合同签订前向甲方交纳贰万元整(小写：20000 元）的履约保证金，乙方未按时足额向甲方交纳履约保证金的，甲方有权拒绝乙方提供施工。如成交投标人未能履行合同规定的义务，采购人有权根据工程质量验收结果从履约保证金中取得补偿。</w:t>
      </w:r>
    </w:p>
    <w:p>
      <w:pPr>
        <w:widowControl/>
        <w:snapToGrid w:val="0"/>
        <w:spacing w:line="384" w:lineRule="auto"/>
        <w:ind w:firstLine="420" w:firstLineChars="200"/>
        <w:jc w:val="left"/>
        <w:rPr>
          <w:rFonts w:ascii="宋体" w:hAnsi="宋体" w:cs="宋体"/>
          <w:kern w:val="0"/>
          <w:szCs w:val="21"/>
        </w:rPr>
      </w:pPr>
      <w:r>
        <w:rPr>
          <w:rFonts w:hint="eastAsia" w:ascii="宋体" w:hAnsi="宋体" w:cs="宋体"/>
          <w:kern w:val="0"/>
          <w:szCs w:val="21"/>
        </w:rPr>
        <w:t>2.收取履约保证金的，允许乙方自主选择支票、汇票、本票、保函等非现金形式缴纳或提交，</w:t>
      </w:r>
      <w:r>
        <w:rPr>
          <w:rFonts w:hint="eastAsia" w:ascii="宋体" w:hAnsi="宋体" w:eastAsia="宋体" w:cs="宋体"/>
          <w:szCs w:val="21"/>
        </w:rPr>
        <w:t>工程验收合格以后七个工作日内无息退还给成交投标人。</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十一、其他：</w:t>
      </w:r>
    </w:p>
    <w:p>
      <w:pPr>
        <w:snapToGrid w:val="0"/>
        <w:spacing w:line="384" w:lineRule="auto"/>
        <w:rPr>
          <w:rFonts w:ascii="宋体" w:hAnsi="宋体" w:cs="宋体"/>
          <w:szCs w:val="21"/>
        </w:rPr>
      </w:pPr>
      <w:r>
        <w:rPr>
          <w:rFonts w:hint="eastAsia" w:ascii="宋体" w:hAnsi="宋体" w:cs="宋体"/>
          <w:szCs w:val="21"/>
        </w:rPr>
        <w:t xml:space="preserve">    1.乙方要时刻注意施工安全，同时尽量避免在校园内产生很大的噪声，以免影响学生的正常学习和人身安全。</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2.乙方在施工过程中，因乙方原因发生的工程安全事故，均由乙方负责解决，并承担全部法律责任和损失，与甲方无关。</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3.乙方应与其施工人员建立合法的劳动关系或者劳务关系，其与施工人员发生的一切劳资争议、纠纷等均与甲方无关，由乙方自行解决，给甲方造成不利影响的，甲方有权向乙方进行追诉。</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4.本合同约定的由乙方承担的赔偿责任，若由甲方先行垫付的，甲方可从合同款中先期扣除，不足部分应由乙方补足。</w:t>
      </w:r>
    </w:p>
    <w:p>
      <w:pPr>
        <w:widowControl/>
        <w:snapToGrid w:val="0"/>
        <w:spacing w:line="384" w:lineRule="auto"/>
        <w:jc w:val="left"/>
        <w:rPr>
          <w:rFonts w:ascii="宋体" w:hAnsi="宋体" w:cs="宋体"/>
          <w:kern w:val="0"/>
          <w:szCs w:val="21"/>
        </w:rPr>
      </w:pPr>
      <w:r>
        <w:rPr>
          <w:rFonts w:hint="eastAsia" w:ascii="宋体" w:hAnsi="宋体" w:cs="宋体"/>
          <w:b/>
          <w:bCs/>
          <w:kern w:val="0"/>
          <w:szCs w:val="21"/>
        </w:rPr>
        <w:t>十二、争议解决</w:t>
      </w:r>
      <w:r>
        <w:rPr>
          <w:rFonts w:hint="eastAsia" w:ascii="宋体" w:hAnsi="宋体" w:cs="宋体"/>
          <w:kern w:val="0"/>
          <w:szCs w:val="21"/>
        </w:rPr>
        <w:t>：本合同履行过程中，如有争议，双方应当协商解决。协商不成时，采用诉讼解决，由甲方所在地人民法院诉讼管辖。</w:t>
      </w:r>
    </w:p>
    <w:p>
      <w:pPr>
        <w:widowControl/>
        <w:snapToGrid w:val="0"/>
        <w:spacing w:line="384" w:lineRule="auto"/>
        <w:jc w:val="left"/>
        <w:rPr>
          <w:rFonts w:ascii="宋体" w:hAnsi="宋体" w:cs="宋体"/>
          <w:b/>
          <w:bCs/>
          <w:kern w:val="0"/>
          <w:szCs w:val="21"/>
        </w:rPr>
      </w:pPr>
      <w:r>
        <w:rPr>
          <w:rFonts w:hint="eastAsia" w:ascii="宋体" w:hAnsi="宋体" w:cs="宋体"/>
          <w:b/>
          <w:bCs/>
          <w:kern w:val="0"/>
          <w:szCs w:val="21"/>
        </w:rPr>
        <w:t>十三、合同的生效、变更、解除和终止</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1.合同生效时间为：甲乙双方签字日期。</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2.本合同未尽事宜双方可另行协商，签订书面补充协议，与本合同具有同等的法律效力。</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3.有下列情形之一的可以解除合同。</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（1）甲乙双方协商一致；</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（2）因不可抗力致使合同无法履行。</w:t>
      </w:r>
    </w:p>
    <w:p>
      <w:pPr>
        <w:widowControl/>
        <w:snapToGrid w:val="0"/>
        <w:spacing w:line="384" w:lineRule="auto"/>
        <w:jc w:val="left"/>
        <w:rPr>
          <w:rFonts w:ascii="宋体" w:hAnsi="宋体" w:cs="宋体"/>
          <w:kern w:val="0"/>
          <w:szCs w:val="21"/>
        </w:rPr>
      </w:pPr>
      <w:r>
        <w:rPr>
          <w:rFonts w:hint="eastAsia" w:ascii="宋体" w:hAnsi="宋体" w:cs="宋体"/>
          <w:kern w:val="0"/>
          <w:szCs w:val="21"/>
        </w:rPr>
        <w:t xml:space="preserve">    4.合同终止：甲乙双方履行完本合同全部义务，工程已办理移交手续，工程竣工结算价款支付完毕，本合同即告终止（但本合同保修及争议解决条款继续有效）。</w:t>
      </w:r>
    </w:p>
    <w:p>
      <w:pPr>
        <w:snapToGrid w:val="0"/>
        <w:spacing w:line="384" w:lineRule="auto"/>
        <w:rPr>
          <w:rFonts w:ascii="宋体" w:hAnsi="宋体" w:cs="宋体"/>
          <w:b/>
          <w:bCs/>
          <w:szCs w:val="21"/>
        </w:rPr>
      </w:pPr>
      <w:r>
        <w:rPr>
          <w:rFonts w:hint="eastAsia" w:ascii="宋体" w:hAnsi="宋体" w:cs="宋体"/>
          <w:b/>
          <w:bCs/>
          <w:szCs w:val="21"/>
        </w:rPr>
        <w:t>十四、附则：</w:t>
      </w:r>
    </w:p>
    <w:p>
      <w:pPr>
        <w:snapToGrid w:val="0"/>
        <w:spacing w:line="384" w:lineRule="auto"/>
        <w:ind w:firstLine="420" w:firstLineChars="200"/>
        <w:rPr>
          <w:rFonts w:ascii="宋体" w:hAnsi="宋体"/>
          <w:szCs w:val="21"/>
        </w:rPr>
      </w:pPr>
      <w:r>
        <w:rPr>
          <w:rFonts w:ascii="宋体" w:hAnsi="宋体"/>
          <w:szCs w:val="21"/>
        </w:rPr>
        <w:t>本合同由甲、乙双方</w:t>
      </w:r>
      <w:r>
        <w:rPr>
          <w:rFonts w:hint="eastAsia" w:ascii="宋体" w:hAnsi="宋体"/>
          <w:szCs w:val="21"/>
        </w:rPr>
        <w:t>共同</w:t>
      </w:r>
      <w:r>
        <w:rPr>
          <w:rFonts w:ascii="宋体" w:hAnsi="宋体"/>
          <w:szCs w:val="21"/>
        </w:rPr>
        <w:t>签订，合同一式</w:t>
      </w:r>
      <w:r>
        <w:rPr>
          <w:rFonts w:hint="eastAsia" w:ascii="宋体" w:hAnsi="宋体"/>
          <w:szCs w:val="21"/>
        </w:rPr>
        <w:t>陆</w:t>
      </w:r>
      <w:r>
        <w:rPr>
          <w:rFonts w:ascii="宋体" w:hAnsi="宋体"/>
          <w:szCs w:val="21"/>
        </w:rPr>
        <w:t>份，甲</w:t>
      </w:r>
      <w:r>
        <w:rPr>
          <w:rFonts w:hint="eastAsia" w:ascii="宋体" w:hAnsi="宋体"/>
          <w:szCs w:val="21"/>
        </w:rPr>
        <w:t>方伍</w:t>
      </w:r>
      <w:r>
        <w:rPr>
          <w:rFonts w:ascii="宋体" w:hAnsi="宋体"/>
          <w:szCs w:val="21"/>
        </w:rPr>
        <w:t>份、乙</w:t>
      </w:r>
      <w:r>
        <w:rPr>
          <w:rFonts w:hint="eastAsia" w:ascii="宋体" w:hAnsi="宋体"/>
          <w:szCs w:val="21"/>
        </w:rPr>
        <w:t>方壹</w:t>
      </w:r>
      <w:r>
        <w:rPr>
          <w:rFonts w:ascii="宋体" w:hAnsi="宋体"/>
          <w:szCs w:val="21"/>
        </w:rPr>
        <w:t>份。</w:t>
      </w:r>
      <w:r>
        <w:rPr>
          <w:rFonts w:hint="eastAsia" w:ascii="宋体" w:hAnsi="宋体"/>
          <w:szCs w:val="21"/>
        </w:rPr>
        <w:t>自双方签字、盖章之日起生效。</w:t>
      </w:r>
    </w:p>
    <w:p>
      <w:pPr>
        <w:spacing w:line="360" w:lineRule="auto"/>
        <w:rPr>
          <w:rFonts w:ascii="宋体" w:hAnsi="宋体" w:cs="宋体"/>
          <w:szCs w:val="21"/>
        </w:rPr>
      </w:pPr>
    </w:p>
    <w:tbl>
      <w:tblPr>
        <w:tblStyle w:val="39"/>
        <w:tblW w:w="0" w:type="auto"/>
        <w:tblInd w:w="-108" w:type="dxa"/>
        <w:tblLayout w:type="autofit"/>
        <w:tblCellMar>
          <w:top w:w="0" w:type="dxa"/>
          <w:left w:w="108" w:type="dxa"/>
          <w:bottom w:w="0" w:type="dxa"/>
          <w:right w:w="108" w:type="dxa"/>
        </w:tblCellMar>
      </w:tblPr>
      <w:tblGrid>
        <w:gridCol w:w="4779"/>
        <w:gridCol w:w="3851"/>
      </w:tblGrid>
      <w:tr>
        <w:tblPrEx>
          <w:tblCellMar>
            <w:top w:w="0" w:type="dxa"/>
            <w:left w:w="108" w:type="dxa"/>
            <w:bottom w:w="0" w:type="dxa"/>
            <w:right w:w="108" w:type="dxa"/>
          </w:tblCellMar>
        </w:tblPrEx>
        <w:tc>
          <w:tcPr>
            <w:tcW w:w="5074" w:type="dxa"/>
          </w:tcPr>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甲方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单位名称：南京邮电大学通达学院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单位地址：扬州市润扬南路33号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法定代表人：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委托代理人（签字）：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联系电话：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开户银行：江苏银行扬州东城支行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户名：南京邮电大学通达学院                  </w:t>
            </w:r>
          </w:p>
          <w:p>
            <w:pPr>
              <w:spacing w:line="480" w:lineRule="exact"/>
              <w:rPr>
                <w:rFonts w:ascii="宋体" w:hAnsi="宋体" w:eastAsia="宋体" w:cs="宋体"/>
                <w:color w:val="000000"/>
                <w:szCs w:val="21"/>
              </w:rPr>
            </w:pPr>
            <w:r>
              <w:rPr>
                <w:rFonts w:hint="eastAsia" w:ascii="宋体" w:hAnsi="宋体" w:eastAsia="宋体" w:cs="宋体"/>
                <w:color w:val="000000"/>
                <w:szCs w:val="21"/>
              </w:rPr>
              <w:t>账号：90150188000177163</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税号：52320000509200179F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电话：0514-89716083                         </w:t>
            </w:r>
          </w:p>
          <w:p>
            <w:pPr>
              <w:spacing w:line="480" w:lineRule="exact"/>
              <w:rPr>
                <w:rFonts w:ascii="宋体" w:hAnsi="宋体" w:eastAsia="宋体" w:cs="宋体"/>
                <w:color w:val="000000"/>
                <w:szCs w:val="21"/>
              </w:rPr>
            </w:pPr>
          </w:p>
          <w:p>
            <w:pPr>
              <w:spacing w:line="480" w:lineRule="exact"/>
              <w:rPr>
                <w:rFonts w:ascii="宋体" w:hAnsi="宋体" w:eastAsia="宋体" w:cs="宋体"/>
                <w:color w:val="000000"/>
                <w:szCs w:val="21"/>
              </w:rPr>
            </w:pPr>
            <w:r>
              <w:rPr>
                <w:rFonts w:hint="eastAsia" w:ascii="宋体" w:hAnsi="宋体" w:eastAsia="宋体" w:cs="宋体"/>
                <w:color w:val="000000"/>
                <w:szCs w:val="21"/>
              </w:rPr>
              <w:t>签约日期（即合同生效日期）：    年   月    日</w:t>
            </w:r>
          </w:p>
        </w:tc>
        <w:tc>
          <w:tcPr>
            <w:tcW w:w="4183" w:type="dxa"/>
          </w:tcPr>
          <w:p>
            <w:pPr>
              <w:spacing w:line="480" w:lineRule="exact"/>
              <w:rPr>
                <w:rFonts w:ascii="宋体" w:hAnsi="宋体" w:eastAsia="宋体" w:cs="宋体"/>
                <w:color w:val="000000"/>
                <w:szCs w:val="21"/>
              </w:rPr>
            </w:pPr>
            <w:r>
              <w:rPr>
                <w:rFonts w:hint="eastAsia" w:ascii="宋体" w:hAnsi="宋体" w:eastAsia="宋体" w:cs="宋体"/>
                <w:color w:val="000000"/>
                <w:szCs w:val="21"/>
              </w:rPr>
              <w:t>乙方</w:t>
            </w:r>
          </w:p>
          <w:p>
            <w:pPr>
              <w:spacing w:line="480" w:lineRule="exact"/>
              <w:rPr>
                <w:rFonts w:ascii="宋体" w:hAnsi="宋体" w:eastAsia="宋体" w:cs="宋体"/>
                <w:color w:val="000000"/>
                <w:szCs w:val="21"/>
              </w:rPr>
            </w:pPr>
            <w:r>
              <w:rPr>
                <w:rFonts w:hint="eastAsia" w:ascii="宋体" w:hAnsi="宋体" w:eastAsia="宋体" w:cs="宋体"/>
                <w:color w:val="000000"/>
                <w:szCs w:val="21"/>
              </w:rPr>
              <w:t>单位名称：</w:t>
            </w:r>
          </w:p>
          <w:p>
            <w:pPr>
              <w:spacing w:line="480" w:lineRule="exact"/>
              <w:rPr>
                <w:rFonts w:ascii="宋体" w:hAnsi="宋体" w:eastAsia="宋体" w:cs="宋体"/>
                <w:color w:val="000000"/>
                <w:szCs w:val="21"/>
              </w:rPr>
            </w:pPr>
            <w:r>
              <w:rPr>
                <w:rFonts w:hint="eastAsia" w:ascii="宋体" w:hAnsi="宋体" w:eastAsia="宋体" w:cs="宋体"/>
                <w:color w:val="000000"/>
                <w:szCs w:val="21"/>
              </w:rPr>
              <w:t>单位地址：</w:t>
            </w:r>
          </w:p>
          <w:p>
            <w:pPr>
              <w:spacing w:line="480" w:lineRule="exact"/>
              <w:rPr>
                <w:rFonts w:ascii="宋体" w:hAnsi="宋体" w:eastAsia="宋体" w:cs="宋体"/>
                <w:color w:val="000000"/>
                <w:szCs w:val="21"/>
              </w:rPr>
            </w:pPr>
            <w:r>
              <w:rPr>
                <w:rFonts w:hint="eastAsia" w:ascii="宋体" w:hAnsi="宋体" w:eastAsia="宋体" w:cs="宋体"/>
                <w:color w:val="000000"/>
                <w:szCs w:val="21"/>
              </w:rPr>
              <w:t>法定代表人：</w:t>
            </w:r>
          </w:p>
          <w:p>
            <w:pPr>
              <w:spacing w:line="480" w:lineRule="exact"/>
              <w:rPr>
                <w:rFonts w:ascii="宋体" w:hAnsi="宋体" w:eastAsia="宋体" w:cs="宋体"/>
                <w:color w:val="000000"/>
                <w:szCs w:val="21"/>
              </w:rPr>
            </w:pPr>
            <w:r>
              <w:rPr>
                <w:rFonts w:hint="eastAsia" w:ascii="宋体" w:hAnsi="宋体" w:eastAsia="宋体" w:cs="宋体"/>
                <w:color w:val="000000"/>
                <w:szCs w:val="21"/>
              </w:rPr>
              <w:t>委托代理人（签字）：</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联系电话：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开户银行：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户名：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账号： </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行号：  </w:t>
            </w:r>
          </w:p>
          <w:p>
            <w:pPr>
              <w:spacing w:line="480" w:lineRule="exact"/>
              <w:rPr>
                <w:rFonts w:ascii="宋体" w:hAnsi="宋体" w:eastAsia="宋体" w:cs="宋体"/>
                <w:color w:val="000000"/>
                <w:szCs w:val="21"/>
              </w:rPr>
            </w:pPr>
            <w:r>
              <w:rPr>
                <w:rFonts w:hint="eastAsia" w:ascii="宋体" w:hAnsi="宋体" w:eastAsia="宋体" w:cs="宋体"/>
                <w:color w:val="000000"/>
                <w:szCs w:val="21"/>
              </w:rPr>
              <w:t>项目联系人：</w:t>
            </w:r>
          </w:p>
          <w:p>
            <w:pPr>
              <w:spacing w:line="480" w:lineRule="exact"/>
              <w:rPr>
                <w:rFonts w:ascii="宋体" w:hAnsi="宋体" w:eastAsia="宋体" w:cs="宋体"/>
                <w:color w:val="000000"/>
                <w:szCs w:val="21"/>
              </w:rPr>
            </w:pPr>
            <w:r>
              <w:rPr>
                <w:rFonts w:hint="eastAsia" w:ascii="宋体" w:hAnsi="宋体" w:eastAsia="宋体" w:cs="宋体"/>
                <w:color w:val="000000"/>
                <w:szCs w:val="21"/>
              </w:rPr>
              <w:t>联系电话：</w:t>
            </w:r>
          </w:p>
        </w:tc>
      </w:tr>
    </w:tbl>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r>
        <w:rPr>
          <w:rFonts w:hint="eastAsia" w:ascii="宋体" w:hAnsi="宋体" w:cs="宋体"/>
          <w:b/>
          <w:bCs/>
          <w:color w:val="000000"/>
          <w:sz w:val="22"/>
          <w:szCs w:val="22"/>
        </w:rPr>
        <w:t>安全责任协议书</w:t>
      </w:r>
    </w:p>
    <w:p>
      <w:pPr>
        <w:spacing w:line="360" w:lineRule="auto"/>
        <w:rPr>
          <w:rFonts w:hint="eastAsia" w:ascii="宋体" w:hAnsi="宋体" w:cs="宋体" w:eastAsiaTheme="minorEastAsia"/>
          <w:color w:val="000000"/>
          <w:szCs w:val="21"/>
          <w:lang w:eastAsia="zh-CN"/>
        </w:rPr>
      </w:pPr>
      <w:r>
        <w:rPr>
          <w:rFonts w:hint="eastAsia" w:ascii="宋体" w:hAnsi="宋体" w:cs="宋体"/>
          <w:color w:val="000000"/>
          <w:szCs w:val="21"/>
        </w:rPr>
        <w:t>甲方</w:t>
      </w:r>
      <w:r>
        <w:rPr>
          <w:rFonts w:hint="eastAsia" w:ascii="宋体" w:hAnsi="宋体" w:cs="宋体"/>
          <w:color w:val="000000"/>
          <w:szCs w:val="21"/>
          <w:lang w:eastAsia="zh-CN"/>
        </w:rPr>
        <w:t>：</w:t>
      </w:r>
    </w:p>
    <w:p>
      <w:pPr>
        <w:spacing w:line="360" w:lineRule="auto"/>
        <w:rPr>
          <w:rFonts w:hint="eastAsia" w:ascii="宋体" w:hAnsi="宋体" w:cs="宋体" w:eastAsiaTheme="minorEastAsia"/>
          <w:color w:val="000000"/>
          <w:szCs w:val="21"/>
          <w:lang w:eastAsia="zh-CN"/>
        </w:rPr>
      </w:pPr>
      <w:r>
        <w:rPr>
          <w:rFonts w:hint="eastAsia" w:ascii="宋体" w:hAnsi="宋体" w:cs="宋体"/>
          <w:color w:val="000000"/>
          <w:szCs w:val="21"/>
        </w:rPr>
        <w:t>乙方</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为做好乙方从甲方承包的工程项目施工作业及后续使用的安全管理工作，经双方充分协商签订本协议。</w:t>
      </w:r>
    </w:p>
    <w:p>
      <w:pPr>
        <w:spacing w:line="360" w:lineRule="auto"/>
        <w:rPr>
          <w:rFonts w:ascii="宋体" w:hAnsi="宋体" w:cs="宋体"/>
          <w:color w:val="000000"/>
          <w:szCs w:val="21"/>
        </w:rPr>
      </w:pPr>
      <w:r>
        <w:rPr>
          <w:rFonts w:hint="eastAsia" w:ascii="宋体" w:hAnsi="宋体" w:cs="宋体"/>
          <w:color w:val="000000"/>
          <w:szCs w:val="21"/>
        </w:rPr>
        <w:t>第一条:本协议为乙方从甲方承包的所有工程项目的施工和使用安全协议。</w:t>
      </w:r>
    </w:p>
    <w:p>
      <w:pPr>
        <w:spacing w:line="360" w:lineRule="auto"/>
        <w:rPr>
          <w:rFonts w:ascii="宋体" w:hAnsi="宋体" w:cs="宋体"/>
          <w:color w:val="000000"/>
          <w:szCs w:val="21"/>
        </w:rPr>
      </w:pPr>
      <w:r>
        <w:rPr>
          <w:rFonts w:hint="eastAsia" w:ascii="宋体" w:hAnsi="宋体" w:cs="宋体"/>
          <w:color w:val="000000"/>
          <w:szCs w:val="21"/>
        </w:rPr>
        <w:t>第二条:甲方安全责任</w:t>
      </w:r>
    </w:p>
    <w:p>
      <w:pPr>
        <w:spacing w:line="360" w:lineRule="auto"/>
        <w:rPr>
          <w:rFonts w:ascii="宋体" w:hAnsi="宋体" w:cs="宋体"/>
          <w:color w:val="000000"/>
          <w:szCs w:val="21"/>
        </w:rPr>
      </w:pPr>
      <w:r>
        <w:rPr>
          <w:rFonts w:hint="eastAsia" w:ascii="宋体" w:hAnsi="宋体" w:cs="宋体"/>
          <w:color w:val="000000"/>
          <w:szCs w:val="21"/>
        </w:rPr>
        <w:t>进场施工作业前对乙方负责人进行现场口头的安全事项说明，其内容是:项目的安全规章制度及对该工程项目有关联的安全注意事项。</w:t>
      </w:r>
    </w:p>
    <w:p>
      <w:pPr>
        <w:spacing w:line="360" w:lineRule="auto"/>
        <w:rPr>
          <w:rFonts w:ascii="宋体" w:hAnsi="宋体" w:cs="宋体"/>
          <w:color w:val="000000"/>
          <w:szCs w:val="21"/>
        </w:rPr>
      </w:pPr>
      <w:r>
        <w:rPr>
          <w:rFonts w:hint="eastAsia" w:ascii="宋体" w:hAnsi="宋体" w:cs="宋体"/>
          <w:color w:val="000000"/>
          <w:szCs w:val="21"/>
        </w:rPr>
        <w:t>第三条:乙方安全责任</w:t>
      </w:r>
    </w:p>
    <w:p>
      <w:pPr>
        <w:spacing w:line="360" w:lineRule="auto"/>
        <w:rPr>
          <w:rFonts w:ascii="宋体" w:hAnsi="宋体" w:cs="宋体"/>
          <w:color w:val="000000"/>
          <w:szCs w:val="21"/>
        </w:rPr>
      </w:pPr>
      <w:r>
        <w:rPr>
          <w:rFonts w:hint="eastAsia" w:ascii="宋体" w:hAnsi="宋体" w:cs="宋体"/>
          <w:color w:val="000000"/>
          <w:szCs w:val="21"/>
        </w:rPr>
        <w:t>(一)乙方负责人为安全生产责任人，负责该工程项目的日常安全管理工作，严格遵守安全生产规章制度，并指定专人负责监管安全施工作业。</w:t>
      </w:r>
    </w:p>
    <w:p>
      <w:pPr>
        <w:spacing w:line="360" w:lineRule="auto"/>
        <w:rPr>
          <w:rFonts w:ascii="宋体" w:hAnsi="宋体" w:cs="宋体"/>
          <w:color w:val="000000"/>
          <w:szCs w:val="21"/>
        </w:rPr>
      </w:pPr>
      <w:r>
        <w:rPr>
          <w:rFonts w:hint="eastAsia" w:ascii="宋体" w:hAnsi="宋体" w:cs="宋体"/>
          <w:color w:val="000000"/>
          <w:szCs w:val="21"/>
        </w:rPr>
        <w:t>(二)开工前必须对所属人员进行安全注意事项、措施交底的安全教育，不安排未经安全教育人员进入作业场所。</w:t>
      </w:r>
    </w:p>
    <w:p>
      <w:pPr>
        <w:spacing w:line="360" w:lineRule="auto"/>
        <w:rPr>
          <w:rFonts w:ascii="宋体" w:hAnsi="宋体" w:cs="宋体"/>
          <w:color w:val="000000"/>
          <w:szCs w:val="21"/>
        </w:rPr>
      </w:pPr>
      <w:r>
        <w:rPr>
          <w:rFonts w:hint="eastAsia" w:ascii="宋体" w:hAnsi="宋体" w:cs="宋体"/>
          <w:color w:val="000000"/>
          <w:szCs w:val="21"/>
        </w:rPr>
        <w:t>(三)需使用业主的机械、电器等设备设施，必须经得业主或甲方同意，并对其安全防护措施负责和承担安全责任。</w:t>
      </w:r>
    </w:p>
    <w:p>
      <w:pPr>
        <w:spacing w:line="360" w:lineRule="auto"/>
        <w:rPr>
          <w:rFonts w:ascii="宋体" w:hAnsi="宋体" w:cs="宋体"/>
          <w:color w:val="000000"/>
          <w:szCs w:val="21"/>
        </w:rPr>
      </w:pPr>
      <w:r>
        <w:rPr>
          <w:rFonts w:hint="eastAsia" w:ascii="宋体" w:hAnsi="宋体" w:cs="宋体"/>
          <w:color w:val="000000"/>
          <w:szCs w:val="21"/>
        </w:rPr>
        <w:t>(四)教育和监管所属人员不得随意进入非该施工作业项目区域外的场所及触摸启动机械、电器、控制阀等设备，否则因由此而引起的事故，乙方负全部责任。</w:t>
      </w:r>
    </w:p>
    <w:p>
      <w:pPr>
        <w:spacing w:line="360" w:lineRule="auto"/>
        <w:rPr>
          <w:rFonts w:ascii="宋体" w:hAnsi="宋体" w:cs="宋体"/>
          <w:color w:val="000000"/>
          <w:szCs w:val="21"/>
        </w:rPr>
      </w:pPr>
      <w:r>
        <w:rPr>
          <w:rFonts w:hint="eastAsia" w:ascii="宋体" w:hAnsi="宋体" w:cs="宋体"/>
          <w:color w:val="000000"/>
          <w:szCs w:val="21"/>
        </w:rPr>
        <w:t>(五)对该工程项目的安全施工作业以及对参与该工程作业的所使用的全部人员的安全负责。</w:t>
      </w:r>
    </w:p>
    <w:p>
      <w:pPr>
        <w:spacing w:line="360" w:lineRule="auto"/>
        <w:rPr>
          <w:rFonts w:ascii="宋体" w:hAnsi="宋体" w:cs="宋体"/>
          <w:color w:val="000000"/>
          <w:szCs w:val="21"/>
        </w:rPr>
      </w:pPr>
      <w:r>
        <w:rPr>
          <w:rFonts w:hint="eastAsia" w:ascii="宋体" w:hAnsi="宋体" w:cs="宋体"/>
          <w:color w:val="000000"/>
          <w:szCs w:val="21"/>
        </w:rPr>
        <w:t>(六)乙方的任何人员均不得在施工叉、生活区打架斗殴、酗酒赌博。严禁酒后上班。</w:t>
      </w:r>
    </w:p>
    <w:p>
      <w:pPr>
        <w:spacing w:line="360" w:lineRule="auto"/>
        <w:rPr>
          <w:rFonts w:ascii="宋体" w:hAnsi="宋体" w:cs="宋体"/>
          <w:color w:val="000000"/>
          <w:szCs w:val="21"/>
        </w:rPr>
      </w:pPr>
      <w:r>
        <w:rPr>
          <w:rFonts w:hint="eastAsia" w:ascii="宋体" w:hAnsi="宋体" w:cs="宋体"/>
          <w:color w:val="000000"/>
          <w:szCs w:val="21"/>
        </w:rPr>
        <w:t>(七)乙方负责所承包项目的全部安全责任(包含施工过程中，及完工后甲方正常使用过程的所有安全事项)，如果在施工和使用过程中发生因乙方原因(包含施工规范操作，材料安全系数等)造成的生产安全事故，由乙方承担全部的事故责任和经济责任。</w:t>
      </w:r>
    </w:p>
    <w:p>
      <w:pPr>
        <w:spacing w:line="360" w:lineRule="auto"/>
        <w:rPr>
          <w:rFonts w:ascii="宋体" w:hAnsi="宋体" w:cs="宋体"/>
          <w:color w:val="000000"/>
          <w:szCs w:val="21"/>
        </w:rPr>
      </w:pPr>
      <w:r>
        <w:rPr>
          <w:rFonts w:hint="eastAsia" w:ascii="宋体" w:hAnsi="宋体" w:cs="宋体"/>
          <w:color w:val="000000"/>
          <w:szCs w:val="21"/>
        </w:rPr>
        <w:t>第四条:甲、乙双方严格遵守本合同条款，履行各自的职责，搞好文明施工作业。</w:t>
      </w:r>
    </w:p>
    <w:p>
      <w:pPr>
        <w:spacing w:line="360" w:lineRule="auto"/>
        <w:rPr>
          <w:rFonts w:ascii="宋体" w:hAnsi="宋体" w:cs="宋体"/>
          <w:color w:val="000000"/>
          <w:szCs w:val="21"/>
        </w:rPr>
      </w:pPr>
      <w:r>
        <w:rPr>
          <w:rFonts w:hint="eastAsia" w:ascii="宋体" w:hAnsi="宋体" w:cs="宋体"/>
          <w:color w:val="000000"/>
          <w:szCs w:val="21"/>
        </w:rPr>
        <w:t>第五条:本协议双方签字盖章后生效，一式两份，甲、乙方各执一份。</w:t>
      </w:r>
    </w:p>
    <w:p>
      <w:pPr>
        <w:spacing w:line="360" w:lineRule="auto"/>
        <w:rPr>
          <w:rFonts w:ascii="宋体" w:hAnsi="宋体" w:cs="宋体"/>
          <w:color w:val="000000"/>
          <w:szCs w:val="21"/>
        </w:rPr>
      </w:pPr>
      <w:r>
        <w:rPr>
          <w:rFonts w:hint="eastAsia" w:ascii="宋体" w:hAnsi="宋体" w:cs="宋体"/>
          <w:color w:val="000000"/>
          <w:szCs w:val="21"/>
        </w:rPr>
        <w:t>甲方                                      年  月  日</w:t>
      </w:r>
    </w:p>
    <w:p>
      <w:pPr>
        <w:rPr>
          <w:color w:val="000000"/>
          <w:szCs w:val="21"/>
        </w:rPr>
      </w:pPr>
      <w:r>
        <w:rPr>
          <w:rFonts w:hint="eastAsia" w:ascii="宋体" w:hAnsi="宋体" w:cs="宋体"/>
          <w:color w:val="000000"/>
          <w:szCs w:val="21"/>
        </w:rPr>
        <w:t>乙方                                      年  月  日</w:t>
      </w:r>
    </w:p>
    <w:p>
      <w:pPr>
        <w:spacing w:before="156" w:beforeLines="50" w:line="420" w:lineRule="exact"/>
        <w:ind w:firstLine="422" w:firstLineChars="200"/>
        <w:rPr>
          <w:rFonts w:ascii="宋体" w:hAnsi="宋体" w:eastAsia="宋体" w:cs="宋体"/>
          <w:b/>
          <w:szCs w:val="21"/>
        </w:rPr>
      </w:pPr>
      <w:bookmarkStart w:id="134" w:name="_Toc61149622"/>
      <w:bookmarkStart w:id="135" w:name="_Toc23828480"/>
      <w:bookmarkStart w:id="136" w:name="_Toc26554097"/>
    </w:p>
    <w:p>
      <w:pPr>
        <w:spacing w:before="156" w:beforeLines="50" w:line="420" w:lineRule="exact"/>
        <w:ind w:firstLine="422" w:firstLineChars="200"/>
        <w:rPr>
          <w:rFonts w:ascii="宋体" w:hAnsi="宋体" w:eastAsia="宋体" w:cs="宋体"/>
          <w:b/>
          <w:szCs w:val="21"/>
        </w:rPr>
      </w:pPr>
    </w:p>
    <w:p>
      <w:pPr>
        <w:spacing w:before="156" w:beforeLines="50" w:line="420" w:lineRule="exact"/>
        <w:ind w:firstLine="723" w:firstLineChars="200"/>
        <w:jc w:val="center"/>
        <w:rPr>
          <w:rFonts w:ascii="宋体" w:hAnsi="宋体" w:eastAsia="宋体" w:cs="宋体"/>
          <w:b/>
          <w:szCs w:val="21"/>
        </w:rPr>
      </w:pPr>
      <w:r>
        <w:rPr>
          <w:rFonts w:hint="eastAsia" w:ascii="宋体" w:hAnsi="宋体" w:eastAsia="宋体" w:cs="Arial"/>
          <w:b/>
          <w:bCs/>
          <w:sz w:val="36"/>
          <w:szCs w:val="36"/>
        </w:rPr>
        <w:t>第四章 项目需求</w:t>
      </w:r>
    </w:p>
    <w:p>
      <w:pPr>
        <w:spacing w:before="156" w:beforeLines="50" w:line="420" w:lineRule="exact"/>
        <w:ind w:firstLine="422" w:firstLineChars="200"/>
        <w:rPr>
          <w:rFonts w:ascii="黑体" w:hAnsi="黑体" w:eastAsia="黑体" w:cs="黑体"/>
          <w:bCs/>
          <w:sz w:val="28"/>
          <w:szCs w:val="28"/>
        </w:rPr>
      </w:pPr>
      <w:r>
        <w:rPr>
          <w:rFonts w:hint="eastAsia" w:ascii="宋体" w:hAnsi="宋体" w:eastAsia="宋体" w:cs="宋体"/>
          <w:b/>
          <w:szCs w:val="21"/>
        </w:rPr>
        <w:t>一、项目内容</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学校图书馆屋面建成时间久远，原有防水层老化、开裂、脱层，多处屋面出现渗水、漏水，已影响图书馆室内正常使用及馆藏文献安全。为消除渗漏隐患、恢复屋面使用功能、保障馆藏资产，需对多个区域屋面（扇形区域、史书阁走廊、报告厅、连廊、卫生间、设备间、楼梯间、咖啡吧顶部）实施防水修缮。</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drawing>
          <wp:anchor distT="0" distB="0" distL="0" distR="0" simplePos="0" relativeHeight="251662336" behindDoc="0" locked="0" layoutInCell="1" allowOverlap="1">
            <wp:simplePos x="0" y="0"/>
            <wp:positionH relativeFrom="column">
              <wp:posOffset>2665095</wp:posOffset>
            </wp:positionH>
            <wp:positionV relativeFrom="paragraph">
              <wp:posOffset>69850</wp:posOffset>
            </wp:positionV>
            <wp:extent cx="2519680" cy="1888490"/>
            <wp:effectExtent l="0" t="0" r="635" b="14605"/>
            <wp:wrapTopAndBottom/>
            <wp:docPr id="3" name="图片 3" descr="F:\xwechat_files\taowacjw_9298\temp\RWTemp\2026-06\9e20f478899dc29eb19741386f9343c8\30567dc543ea6ef91e99d217dec93d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xwechat_files\taowacjw_9298\temp\RWTemp\2026-06\9e20f478899dc29eb19741386f9343c8\30567dc543ea6ef91e99d217dec93d7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20000" cy="1889090"/>
                    </a:xfrm>
                    <a:prstGeom prst="rect">
                      <a:avLst/>
                    </a:prstGeom>
                    <a:noFill/>
                    <a:ln>
                      <a:noFill/>
                    </a:ln>
                  </pic:spPr>
                </pic:pic>
              </a:graphicData>
            </a:graphic>
          </wp:anchor>
        </w:drawing>
      </w:r>
      <w:r>
        <w:rPr>
          <w:rFonts w:hint="eastAsia" w:ascii="宋体" w:hAnsi="宋体" w:cs="宋体"/>
          <w:kern w:val="0"/>
          <w:szCs w:val="21"/>
        </w:rPr>
        <w:drawing>
          <wp:anchor distT="0" distB="0" distL="0" distR="0" simplePos="0" relativeHeight="251661312" behindDoc="0" locked="0" layoutInCell="1" allowOverlap="1">
            <wp:simplePos x="0" y="0"/>
            <wp:positionH relativeFrom="column">
              <wp:posOffset>77470</wp:posOffset>
            </wp:positionH>
            <wp:positionV relativeFrom="paragraph">
              <wp:posOffset>84455</wp:posOffset>
            </wp:positionV>
            <wp:extent cx="2519680" cy="1889125"/>
            <wp:effectExtent l="0" t="0" r="635" b="13970"/>
            <wp:wrapTopAndBottom/>
            <wp:docPr id="1" name="图片 1" descr="F:\xwechat_files\taowacjw_9298\temp\RWTemp\2026-06\9e20f478899dc29eb19741386f9343c8\399a243b93167d5c69c3940eb7a1f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xwechat_files\taowacjw_9298\temp\RWTemp\2026-06\9e20f478899dc29eb19741386f9343c8\399a243b93167d5c69c3940eb7a1fb1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20000" cy="1889704"/>
                    </a:xfrm>
                    <a:prstGeom prst="rect">
                      <a:avLst/>
                    </a:prstGeom>
                    <a:noFill/>
                    <a:ln>
                      <a:noFill/>
                    </a:ln>
                  </pic:spPr>
                </pic:pic>
              </a:graphicData>
            </a:graphic>
          </wp:anchor>
        </w:drawing>
      </w:r>
      <w:r>
        <w:rPr>
          <w:rFonts w:hint="eastAsia" w:ascii="宋体" w:hAnsi="宋体" w:cs="宋体"/>
          <w:kern w:val="0"/>
          <w:szCs w:val="21"/>
        </w:rPr>
        <w:t>注：具体位置示意图详见附件。</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工程内容包括拆除原有面层拆除、排水系统处理（疏通、改造、增加等）、挡水条修复、涂膜防水、卷材防水、刚性保护性、面层装饰等，详见工程量清单。</w:t>
      </w:r>
    </w:p>
    <w:p>
      <w:pPr>
        <w:snapToGrid w:val="0"/>
        <w:spacing w:line="400" w:lineRule="exact"/>
        <w:ind w:firstLine="422" w:firstLineChars="200"/>
        <w:rPr>
          <w:rFonts w:ascii="宋体" w:hAnsi="宋体" w:cs="宋体"/>
          <w:kern w:val="0"/>
          <w:szCs w:val="21"/>
        </w:rPr>
      </w:pPr>
      <w:r>
        <w:rPr>
          <w:rFonts w:hint="eastAsia" w:ascii="宋体" w:hAnsi="宋体" w:cs="宋体"/>
          <w:b/>
          <w:bCs/>
          <w:kern w:val="0"/>
          <w:szCs w:val="21"/>
        </w:rPr>
        <w:t>二、工程主要内容及要求</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（一）总体要求</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1、工程质量能须满足招标文件的要求。符合我国现行各建筑工程施工操作规范及施工验收规范的各项有关规定。</w:t>
      </w:r>
    </w:p>
    <w:p>
      <w:pPr>
        <w:snapToGrid w:val="0"/>
        <w:spacing w:line="400" w:lineRule="exact"/>
        <w:ind w:firstLine="420" w:firstLineChars="200"/>
        <w:rPr>
          <w:rFonts w:ascii="宋体" w:hAnsi="宋体" w:cs="宋体"/>
          <w:b w:val="0"/>
          <w:bCs/>
          <w:i/>
          <w:iCs/>
          <w:kern w:val="0"/>
          <w:szCs w:val="21"/>
          <w:highlight w:val="none"/>
          <w:u w:val="single"/>
        </w:rPr>
      </w:pPr>
      <w:r>
        <w:rPr>
          <w:rFonts w:hint="eastAsia" w:ascii="宋体" w:hAnsi="宋体" w:cs="宋体"/>
          <w:b w:val="0"/>
          <w:bCs/>
          <w:i/>
          <w:iCs/>
          <w:kern w:val="0"/>
          <w:szCs w:val="21"/>
          <w:highlight w:val="none"/>
          <w:u w:val="single"/>
        </w:rPr>
        <w:t>2、施工所使用的材料为正规厂家合格产品。投标人在投标报价时须在《承包人供应材料一览表》中注明品牌、厂家、型号及规格，并提供样品，一旦中标后，严格按照本表所注明的材料进行供。</w:t>
      </w:r>
      <w:r>
        <w:rPr>
          <w:rFonts w:hint="eastAsia" w:ascii="宋体" w:hAnsi="宋体" w:cs="宋体"/>
          <w:b/>
          <w:bCs w:val="0"/>
          <w:i/>
          <w:iCs/>
          <w:kern w:val="0"/>
          <w:szCs w:val="21"/>
          <w:highlight w:val="none"/>
          <w:u w:val="single"/>
        </w:rPr>
        <w:t>（主要材料为：SBS改性沥青防水卷材、非固化橡胶沥青防水涂料、丙烯酸。《承包人供应材料一览表》</w:t>
      </w:r>
      <w:r>
        <w:rPr>
          <w:rFonts w:hint="eastAsia" w:ascii="宋体" w:hAnsi="宋体" w:cs="宋体"/>
          <w:b/>
          <w:bCs w:val="0"/>
          <w:i/>
          <w:iCs/>
          <w:kern w:val="0"/>
          <w:szCs w:val="21"/>
          <w:highlight w:val="none"/>
          <w:u w:val="single"/>
          <w:lang w:val="en-US" w:eastAsia="zh-CN"/>
        </w:rPr>
        <w:t>格式自拟，不提供作无效响应</w:t>
      </w:r>
      <w:r>
        <w:rPr>
          <w:rFonts w:hint="eastAsia" w:ascii="宋体" w:hAnsi="宋体" w:cs="宋体"/>
          <w:b/>
          <w:bCs w:val="0"/>
          <w:i/>
          <w:iCs/>
          <w:kern w:val="0"/>
          <w:szCs w:val="21"/>
          <w:highlight w:val="none"/>
          <w:u w:val="single"/>
        </w:rPr>
        <w:t>）</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3、各种建筑材料、制品及配件应具有符合国家或行业技术标准的产品质量证明文件，严禁使用不合格的材料、制品和配件。本工程所用主要材料SBS改性沥青防水卷材及非固化橡胶沥青防水涂料，推荐使用东方雨虹、科顺、北新等品牌（要求本工程所用材料不限于、不低于以上品牌，所有材料必须满足绿色环保的质量要求）。</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（二）施工工艺</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找平找坡：采用抗裂砂浆找平找坡，平均厚度30mm，表面抹光，坡度保持原样1%-3%，确保排水通畅，无积水隐患。确保平整、干燥、坚实，无起砂、空鼓、开裂、油污，含水率符合防水材料施工要求。阴阳角应做成圆弧或45°坡角，圆弧半径≥50mm。</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2、附加层施工：在阴阳角、管根、水落口、明沟、卷材搭接缝等易渗漏部位，必须先做防水附加层，附加层宽度≥500mm，每边超出接缝宽度≥250mm。</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3、非固化橡胶沥青防水涂料施工：采用刮涂或喷涂施工，厚度均匀，总厚度≥2mm，所有区域包括翻上墙体、下挂300mm部位均需满涂，不得漏涂、露底。</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4、SBS改性沥青防水卷材施工：采用铺贴配合热熔法满粘施工，单层铺设，卷材长短边搭接宽度≥100mm，搭接缝满粘压实，错缝铺设，错缝间距≥500mm。卷材上翻至挡水条底部收口密封，墙面立面搭接上翻高度≥300mm，平台边缘下挂尺寸≥300mm。</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5、搭接缝密封：所有卷材搭接缝必须采用密封膏进行密封收边，密封宽度≥10mm，确保密封严实，无渗漏隐患。</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6、挡水条修复：所有女儿墙底部混凝土挡水条恢复原样，包括墙体植筋、细石钢筋混凝土修补，修补完成后所有挡水条采用可外露聚氨酯涂刷两遍。</w:t>
      </w:r>
      <w:r>
        <w:rPr>
          <w:rFonts w:hint="eastAsia" w:ascii="宋体" w:hAnsi="宋体" w:cs="宋体"/>
          <w:kern w:val="0"/>
          <w:szCs w:val="21"/>
        </w:rPr>
        <w:tab/>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7、排水系统处理：所有平台未改造的下水管道及天沟排水沟均需清理疏通，确保排水通畅，每个排水口加装防堵网片；排水管改造、新增下水管须按规范要求施工，穿楼板部位做好防水封堵，确保无渗漏。</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8、面层恢复：所有施工完成后，按清单要求恢复。</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9、搭接要求</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（1）带挡水条部位：非固化涂料、防水卷材统一上翻至挡水条底部收口密封；</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（2）墙体立面搭接：墙面开槽预埋，防水层沿墙面上翻完成面高度300mm；</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（3）平台下挂搭接：平台边缘防水层向下下挂尺寸300mm；</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（4）平台平面搭接：卷材长短边搭接宽度按规范预留，搭接缝满粘压实；非固化涂刷覆盖搭接缝，错缝铺设，阴阳角增设附加层，搭接处密封收边。</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（三）其他要求</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1、关于成品保护：所报综合单价均需考虑成品保护费用，</w:t>
      </w:r>
      <w:bookmarkStart w:id="137" w:name="OLE_LINK15"/>
      <w:bookmarkStart w:id="138" w:name="OLE_LINK14"/>
      <w:r>
        <w:rPr>
          <w:rFonts w:hint="eastAsia" w:ascii="宋体" w:hAnsi="宋体" w:cs="宋体"/>
          <w:kern w:val="0"/>
          <w:szCs w:val="21"/>
        </w:rPr>
        <w:t>结算时不另行计算。</w:t>
      </w:r>
      <w:bookmarkEnd w:id="137"/>
      <w:bookmarkEnd w:id="138"/>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2、本项目的脚手架费用，请投标人在报价中综合考虑，结算时不得调整。</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3、投标人必须充分勘察现场实际情况，自行考虑施工围挡、材料运输及堆场、加工场所需要的临时设施等费用，包含在综合单价中，结算时不另行计算。</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4、粗、精保洁费用，考虑在现有分部分项清单报价或措施费报价中，结算时不另行计算。</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5、所有挡水条、明沟、排水沟等设施（除面层）均按原做法进行恢复，工程量清单特征描述不全时，应综合考虑施工规范、地方规章等要求，恢复原样，所产生的费用计入投标报价中</w:t>
      </w:r>
      <w:bookmarkStart w:id="139" w:name="OLE_LINK29"/>
      <w:r>
        <w:rPr>
          <w:rFonts w:hint="eastAsia" w:ascii="宋体" w:hAnsi="宋体" w:cs="宋体"/>
          <w:kern w:val="0"/>
          <w:szCs w:val="21"/>
        </w:rPr>
        <w:t>，结算时不另行计算。</w:t>
      </w:r>
      <w:bookmarkEnd w:id="139"/>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6、工程竣工验收前，完成清单工作量，垃圾清运完毕，并按规定提供竣工资料及竣工示意图。</w:t>
      </w:r>
    </w:p>
    <w:p>
      <w:pPr>
        <w:widowControl/>
        <w:numPr>
          <w:ilvl w:val="255"/>
          <w:numId w:val="0"/>
        </w:numPr>
        <w:snapToGrid w:val="0"/>
        <w:spacing w:line="400" w:lineRule="exact"/>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四、其它投标须知</w:t>
      </w:r>
    </w:p>
    <w:p>
      <w:pPr>
        <w:pStyle w:val="20"/>
        <w:snapToGrid w:val="0"/>
        <w:spacing w:line="380" w:lineRule="exact"/>
        <w:ind w:firstLine="420" w:firstLineChars="200"/>
        <w:rPr>
          <w:rFonts w:hint="default" w:hAnsi="宋体"/>
        </w:rPr>
      </w:pPr>
      <w:r>
        <w:rPr>
          <w:rFonts w:hAnsi="宋体"/>
        </w:rPr>
        <w:t>1、质保期：5年，验收合格之日起开始起算。</w:t>
      </w:r>
    </w:p>
    <w:p>
      <w:pPr>
        <w:pStyle w:val="20"/>
        <w:snapToGrid w:val="0"/>
        <w:spacing w:line="380" w:lineRule="exact"/>
        <w:ind w:firstLine="420" w:firstLineChars="200"/>
        <w:rPr>
          <w:rFonts w:hint="default" w:hAnsi="宋体"/>
        </w:rPr>
      </w:pPr>
      <w:r>
        <w:rPr>
          <w:rFonts w:hAnsi="宋体"/>
        </w:rPr>
        <w:t>2、付款方式：本工程无预付款；完工验收合格后付至合同价的70 %；经审计后付至审定价的97 %，同时扣除审计费，余款在质保期到后全额无息付清，须提供正规发票，审计费按南京邮电大学审计相关规定执行。具体如下：</w:t>
      </w:r>
    </w:p>
    <w:p>
      <w:pPr>
        <w:pStyle w:val="20"/>
        <w:snapToGrid w:val="0"/>
        <w:spacing w:line="380" w:lineRule="exact"/>
        <w:ind w:firstLine="420" w:firstLineChars="200"/>
        <w:rPr>
          <w:rFonts w:hint="default" w:hAnsi="宋体"/>
        </w:rPr>
      </w:pPr>
      <w:r>
        <w:rPr>
          <w:rFonts w:hAnsi="宋体"/>
        </w:rPr>
        <w:t>建设项目结算审计，应按下列规定支付审计费用：</w:t>
      </w:r>
    </w:p>
    <w:p>
      <w:pPr>
        <w:pStyle w:val="20"/>
        <w:snapToGrid w:val="0"/>
        <w:spacing w:line="380" w:lineRule="exact"/>
        <w:ind w:firstLine="420" w:firstLineChars="200"/>
        <w:rPr>
          <w:rFonts w:hint="default" w:hAnsi="宋体"/>
        </w:rPr>
      </w:pPr>
      <w:r>
        <w:rPr>
          <w:rFonts w:hAnsi="宋体"/>
        </w:rPr>
        <w:t>（1）单项工程核减率超过10%的，其审计费用全部由施工单位承担，并由学校从施工单位工程款中扣除（下同）；</w:t>
      </w:r>
    </w:p>
    <w:p>
      <w:pPr>
        <w:pStyle w:val="20"/>
        <w:snapToGrid w:val="0"/>
        <w:spacing w:line="380" w:lineRule="exact"/>
        <w:ind w:firstLine="420" w:firstLineChars="200"/>
        <w:rPr>
          <w:rFonts w:hint="default" w:hAnsi="宋体"/>
        </w:rPr>
      </w:pPr>
      <w:r>
        <w:rPr>
          <w:rFonts w:hAnsi="宋体"/>
        </w:rPr>
        <w:t>（2）单项工程核减率在5%—10%（含10%）之间的，其审计费用由学校承担20%，施工单位承担80%；</w:t>
      </w:r>
    </w:p>
    <w:p>
      <w:pPr>
        <w:pStyle w:val="20"/>
        <w:snapToGrid w:val="0"/>
        <w:spacing w:line="380" w:lineRule="exact"/>
        <w:ind w:firstLine="420" w:firstLineChars="200"/>
        <w:rPr>
          <w:rFonts w:hint="default" w:hAnsi="宋体"/>
        </w:rPr>
      </w:pPr>
      <w:r>
        <w:rPr>
          <w:rFonts w:hAnsi="宋体"/>
        </w:rPr>
        <w:t>（3）单项工程核减率在5%及其以下的，其审计费用由学校承担。</w:t>
      </w:r>
    </w:p>
    <w:p>
      <w:pPr>
        <w:pStyle w:val="20"/>
        <w:snapToGrid w:val="0"/>
        <w:spacing w:line="380" w:lineRule="exact"/>
        <w:ind w:firstLine="420" w:firstLineChars="200"/>
        <w:rPr>
          <w:rFonts w:hint="default"/>
        </w:rPr>
      </w:pPr>
      <w:r>
        <w:rPr>
          <w:rFonts w:hAnsi="宋体"/>
        </w:rPr>
        <w:t>本工程实行履约担保制度，合同签订前，乙方交纳人民币 20000 元作为本合同的履约保证金，工程验收合格以后无息退还。如乙方对校区有破坏，需要按市价在履约保证金中扣除。</w:t>
      </w:r>
    </w:p>
    <w:p>
      <w:pPr>
        <w:pStyle w:val="20"/>
        <w:snapToGrid w:val="0"/>
        <w:spacing w:line="380" w:lineRule="exact"/>
        <w:ind w:firstLine="420" w:firstLineChars="200"/>
        <w:rPr>
          <w:rFonts w:hint="default" w:hAnsi="宋体"/>
        </w:rPr>
      </w:pPr>
      <w:r>
        <w:rPr>
          <w:rFonts w:hAnsi="宋体"/>
        </w:rPr>
        <w:t>3、投标人采购的材料须达到环保要求。</w:t>
      </w:r>
    </w:p>
    <w:p>
      <w:pPr>
        <w:pStyle w:val="20"/>
        <w:snapToGrid w:val="0"/>
        <w:spacing w:line="380" w:lineRule="exact"/>
        <w:ind w:firstLine="420" w:firstLineChars="200"/>
        <w:rPr>
          <w:rFonts w:hint="default" w:hAnsi="宋体"/>
        </w:rPr>
      </w:pPr>
      <w:r>
        <w:rPr>
          <w:rFonts w:hAnsi="宋体"/>
        </w:rPr>
        <w:t xml:space="preserve">4、施工过程中产生的垃圾及时清运，费用由成交投标人承担；建设工程不能影响整体美观，不能影响其他设施、设备的使用及功能，不能影响采购人正常工作开展。 </w:t>
      </w:r>
    </w:p>
    <w:p>
      <w:pPr>
        <w:pStyle w:val="20"/>
        <w:snapToGrid w:val="0"/>
        <w:spacing w:line="380" w:lineRule="exact"/>
        <w:ind w:firstLine="420" w:firstLineChars="200"/>
        <w:rPr>
          <w:rFonts w:hint="default" w:hAnsi="宋体"/>
        </w:rPr>
      </w:pPr>
      <w:r>
        <w:rPr>
          <w:rFonts w:hAnsi="宋体"/>
        </w:rPr>
        <w:t xml:space="preserve">5、施工过程中，投标人需采取措施保护现场及周边相关物品、设施等，因投标人的不规范操作、误操作等原因造成相关设施的损坏、设备的停用等后果均由投标人承担，由投标人原样修复并自行承担相关费用。 </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6、所有磋商报价以人民币表示，投标人报价单位为万元，保留小数点后两位。</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7、投标人在磋商截止时间前修改磋商函中的磋商总报价，应同时修改“工程量清单”中的相应报价。</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8、报价中单价、合价均采用人民币表示。已标价的工程量清单必须按照磋商文件所提供的格式填入，工程量清单中的每一子目须填入单价或价格，且只允许有一个报价。</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9、工程量清单成交价的单价或金额，应包括所需人工费、材料费、施工机械使用费和管理费及利润等所有费用。</w:t>
      </w:r>
    </w:p>
    <w:p>
      <w:pPr>
        <w:widowControl/>
        <w:spacing w:line="380" w:lineRule="exact"/>
        <w:ind w:firstLine="420" w:firstLineChars="200"/>
        <w:jc w:val="left"/>
        <w:rPr>
          <w:rFonts w:ascii="宋体" w:hAnsi="宋体" w:cs="宋体"/>
          <w:iCs/>
          <w:kern w:val="0"/>
          <w:szCs w:val="21"/>
        </w:rPr>
      </w:pPr>
      <w:r>
        <w:rPr>
          <w:rFonts w:hint="eastAsia" w:ascii="宋体" w:hAnsi="宋体" w:cs="宋体"/>
          <w:kern w:val="0"/>
          <w:szCs w:val="21"/>
        </w:rPr>
        <w:t>10、</w:t>
      </w:r>
      <w:r>
        <w:rPr>
          <w:rFonts w:hint="eastAsia" w:ascii="宋体" w:hAnsi="宋体" w:cs="宋体"/>
          <w:iCs/>
          <w:kern w:val="0"/>
          <w:szCs w:val="21"/>
        </w:rPr>
        <w:t>投标人的磋商报价，应当包括完成提供的工程量清单范围内的所有项目以及与本项目相关的所需的全部费用，投标人已标价工程量清单中如果出现少算、漏算费用或未填单价和合价的工程项目，其费用视为已分摊在工程量清单中其他已标价的相关子目的单价或价格之中。除本采购文件或合同另有约定外，结算时不得调整。</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11、成交投标人需积极主动地配合采购人进行相关检测及施工完毕后验收，确保通过检测和验收，若出现检测不合格或验收不合格的情况，成交投标人需要重新返工直至检测通过并且验收合格，由此导致的返工费等相关其他费用，由成交投标人自行承担，并且采购人有权从工程款中扣除。</w:t>
      </w:r>
    </w:p>
    <w:p>
      <w:pPr>
        <w:widowControl/>
        <w:spacing w:line="380" w:lineRule="exact"/>
        <w:ind w:firstLine="420" w:firstLineChars="200"/>
        <w:jc w:val="left"/>
        <w:rPr>
          <w:rFonts w:ascii="宋体" w:hAnsi="宋体" w:cs="宋体"/>
          <w:kern w:val="0"/>
          <w:szCs w:val="21"/>
          <w:highlight w:val="yellow"/>
        </w:rPr>
      </w:pPr>
    </w:p>
    <w:p>
      <w:pPr>
        <w:tabs>
          <w:tab w:val="left" w:pos="0"/>
        </w:tabs>
        <w:spacing w:line="360" w:lineRule="auto"/>
        <w:ind w:firstLine="720"/>
        <w:jc w:val="center"/>
        <w:rPr>
          <w:rFonts w:ascii="宋体" w:hAnsi="宋体" w:eastAsia="宋体" w:cs="Arial"/>
          <w:b/>
          <w:bCs/>
          <w:sz w:val="36"/>
          <w:szCs w:val="36"/>
          <w:highlight w:val="yellow"/>
        </w:rPr>
      </w:pPr>
    </w:p>
    <w:p>
      <w:pPr>
        <w:tabs>
          <w:tab w:val="left" w:pos="0"/>
        </w:tabs>
        <w:spacing w:line="360" w:lineRule="auto"/>
        <w:ind w:firstLine="723"/>
        <w:jc w:val="center"/>
        <w:rPr>
          <w:rFonts w:ascii="宋体" w:hAnsi="宋体" w:eastAsia="宋体" w:cs="Arial"/>
          <w:bCs/>
          <w:sz w:val="36"/>
          <w:szCs w:val="36"/>
        </w:rPr>
      </w:pPr>
      <w:r>
        <w:rPr>
          <w:rFonts w:hint="eastAsia" w:ascii="宋体" w:hAnsi="宋体" w:eastAsia="宋体" w:cs="Arial"/>
          <w:b/>
          <w:bCs/>
          <w:sz w:val="36"/>
          <w:szCs w:val="36"/>
        </w:rPr>
        <w:t>第五章 评审方法和评审标准</w:t>
      </w:r>
    </w:p>
    <w:p>
      <w:pPr>
        <w:pStyle w:val="101"/>
        <w:spacing w:before="0" w:after="0"/>
        <w:ind w:firstLine="422" w:firstLineChars="200"/>
        <w:rPr>
          <w:rFonts w:ascii="宋体" w:hAnsi="宋体"/>
          <w:b/>
          <w:kern w:val="2"/>
          <w:sz w:val="21"/>
          <w:szCs w:val="21"/>
        </w:rPr>
      </w:pPr>
      <w:r>
        <w:rPr>
          <w:rFonts w:hint="eastAsia" w:ascii="宋体" w:hAnsi="宋体"/>
          <w:b/>
          <w:kern w:val="2"/>
          <w:sz w:val="21"/>
          <w:szCs w:val="21"/>
        </w:rPr>
        <w:t>一、评标方法</w:t>
      </w:r>
    </w:p>
    <w:p>
      <w:pPr>
        <w:ind w:firstLine="420" w:firstLineChars="200"/>
        <w:rPr>
          <w:rFonts w:ascii="宋体" w:hAnsi="宋体"/>
          <w:szCs w:val="21"/>
        </w:rPr>
      </w:pPr>
      <w:r>
        <w:rPr>
          <w:rFonts w:hint="eastAsia" w:ascii="宋体" w:hAnsi="宋体"/>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成交候选人。</w:t>
      </w:r>
    </w:p>
    <w:p>
      <w:pPr>
        <w:pStyle w:val="106"/>
        <w:ind w:firstLine="422"/>
      </w:pPr>
      <w:r>
        <w:rPr>
          <w:rFonts w:hint="eastAsia" w:ascii="宋体" w:hAnsi="宋体" w:eastAsia="宋体" w:cs="Times New Roman"/>
          <w:b/>
          <w:szCs w:val="21"/>
        </w:rPr>
        <w:t>二、评分标准</w:t>
      </w:r>
    </w:p>
    <w:tbl>
      <w:tblPr>
        <w:tblStyle w:val="39"/>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385"/>
        <w:gridCol w:w="6929"/>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6"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序号</w:t>
            </w:r>
          </w:p>
        </w:tc>
        <w:tc>
          <w:tcPr>
            <w:tcW w:w="138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评分因素</w:t>
            </w:r>
          </w:p>
        </w:tc>
        <w:tc>
          <w:tcPr>
            <w:tcW w:w="6929"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评审标准</w:t>
            </w:r>
          </w:p>
        </w:tc>
        <w:tc>
          <w:tcPr>
            <w:tcW w:w="691"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76"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1</w:t>
            </w:r>
          </w:p>
        </w:tc>
        <w:tc>
          <w:tcPr>
            <w:tcW w:w="1385" w:type="dxa"/>
            <w:vAlign w:val="center"/>
          </w:tcPr>
          <w:p>
            <w:pPr>
              <w:widowControl/>
              <w:spacing w:line="27" w:lineRule="atLeast"/>
              <w:jc w:val="center"/>
              <w:rPr>
                <w:rFonts w:asciiTheme="minorEastAsia" w:hAnsiTheme="minorEastAsia"/>
                <w:color w:val="000000"/>
                <w:szCs w:val="21"/>
              </w:rPr>
            </w:pPr>
            <w:r>
              <w:rPr>
                <w:rFonts w:hint="eastAsia" w:cs="仿宋" w:asciiTheme="minorEastAsia" w:hAnsiTheme="minorEastAsia"/>
                <w:kern w:val="0"/>
                <w:szCs w:val="21"/>
              </w:rPr>
              <w:t>价格（</w:t>
            </w:r>
            <w:r>
              <w:rPr>
                <w:rFonts w:cs="仿宋" w:asciiTheme="minorEastAsia" w:hAnsiTheme="minorEastAsia"/>
                <w:kern w:val="0"/>
                <w:szCs w:val="21"/>
              </w:rPr>
              <w:t>30</w:t>
            </w:r>
            <w:r>
              <w:rPr>
                <w:rFonts w:hint="eastAsia" w:cs="仿宋" w:asciiTheme="minorEastAsia" w:hAnsiTheme="minorEastAsia"/>
                <w:kern w:val="0"/>
                <w:szCs w:val="21"/>
              </w:rPr>
              <w:t>分）</w:t>
            </w:r>
          </w:p>
        </w:tc>
        <w:tc>
          <w:tcPr>
            <w:tcW w:w="6929" w:type="dxa"/>
            <w:vAlign w:val="center"/>
          </w:tcPr>
          <w:p>
            <w:pPr>
              <w:spacing w:line="276" w:lineRule="auto"/>
              <w:rPr>
                <w:rFonts w:asciiTheme="minorEastAsia" w:hAnsiTheme="minorEastAsia"/>
                <w:color w:val="000000"/>
                <w:szCs w:val="21"/>
              </w:rPr>
            </w:pPr>
            <w:r>
              <w:rPr>
                <w:rFonts w:hint="eastAsia" w:ascii="宋体" w:hAnsi="宋体" w:cs="Cambria"/>
                <w:kern w:val="0"/>
                <w:szCs w:val="21"/>
              </w:rPr>
              <w:t>以满足磋商文件要求且最终报价最低的供应商的价格为磋商基准价，其价格分得满分3</w:t>
            </w:r>
            <w:r>
              <w:rPr>
                <w:rFonts w:ascii="宋体" w:hAnsi="宋体" w:cs="Cambria"/>
                <w:kern w:val="0"/>
                <w:szCs w:val="21"/>
              </w:rPr>
              <w:t>0</w:t>
            </w:r>
            <w:r>
              <w:rPr>
                <w:rFonts w:hint="eastAsia" w:ascii="宋体" w:hAnsi="宋体" w:cs="Cambria"/>
                <w:kern w:val="0"/>
                <w:szCs w:val="21"/>
              </w:rPr>
              <w:t>分。其他供应商价格得分统一按下列公式计算：磋商报价得分=（磋商基准价/其他最后磋商报价）×3</w:t>
            </w:r>
            <w:r>
              <w:rPr>
                <w:rFonts w:ascii="宋体" w:hAnsi="宋体" w:cs="Cambria"/>
                <w:kern w:val="0"/>
                <w:szCs w:val="21"/>
              </w:rPr>
              <w:t>0</w:t>
            </w:r>
            <w:r>
              <w:rPr>
                <w:rFonts w:hint="eastAsia" w:ascii="宋体" w:hAnsi="宋体" w:cs="Cambria"/>
                <w:kern w:val="0"/>
                <w:szCs w:val="21"/>
              </w:rPr>
              <w:t>×100%（保留两位小数）。</w:t>
            </w:r>
          </w:p>
        </w:tc>
        <w:tc>
          <w:tcPr>
            <w:tcW w:w="691" w:type="dxa"/>
            <w:vAlign w:val="center"/>
          </w:tcPr>
          <w:p>
            <w:pPr>
              <w:widowControl/>
              <w:spacing w:line="360" w:lineRule="auto"/>
              <w:jc w:val="center"/>
              <w:rPr>
                <w:rFonts w:asciiTheme="minorEastAsia" w:hAnsiTheme="minorEastAsia"/>
                <w:color w:val="000000"/>
                <w:szCs w:val="21"/>
              </w:rPr>
            </w:pPr>
            <w:r>
              <w:rPr>
                <w:rFonts w:cs="仿宋" w:asciiTheme="minorEastAsia" w:hAnsiTheme="minorEastAsia"/>
                <w:kern w:val="0"/>
                <w:szCs w:val="21"/>
              </w:rPr>
              <w:t>30</w:t>
            </w:r>
            <w:r>
              <w:rPr>
                <w:rFonts w:hint="eastAsia" w:cs="仿宋" w:asciiTheme="minorEastAsia" w:hAnsiTheme="minorEastAsia"/>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76"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c>
          <w:tcPr>
            <w:tcW w:w="1385" w:type="dxa"/>
            <w:vAlign w:val="center"/>
          </w:tcPr>
          <w:p>
            <w:pPr>
              <w:jc w:val="center"/>
              <w:rPr>
                <w:rFonts w:asciiTheme="minorEastAsia" w:hAnsiTheme="minorEastAsia"/>
                <w:szCs w:val="21"/>
              </w:rPr>
            </w:pPr>
            <w:r>
              <w:rPr>
                <w:rFonts w:hint="eastAsia" w:asciiTheme="minorEastAsia" w:hAnsiTheme="minorEastAsia"/>
                <w:szCs w:val="21"/>
              </w:rPr>
              <w:t>投标人业绩  （</w:t>
            </w:r>
            <w:r>
              <w:rPr>
                <w:rFonts w:asciiTheme="minorEastAsia" w:hAnsiTheme="minorEastAsia"/>
                <w:szCs w:val="21"/>
              </w:rPr>
              <w:t>6</w:t>
            </w:r>
            <w:r>
              <w:rPr>
                <w:rFonts w:hint="eastAsia" w:asciiTheme="minorEastAsia" w:hAnsiTheme="minorEastAsia"/>
                <w:szCs w:val="21"/>
              </w:rPr>
              <w:t>分）</w:t>
            </w:r>
          </w:p>
        </w:tc>
        <w:tc>
          <w:tcPr>
            <w:tcW w:w="6929" w:type="dxa"/>
            <w:vAlign w:val="center"/>
          </w:tcPr>
          <w:p>
            <w:pPr>
              <w:rPr>
                <w:rFonts w:ascii="宋体" w:hAnsi="宋体" w:cs="宋体"/>
                <w:szCs w:val="21"/>
              </w:rPr>
            </w:pPr>
            <w:r>
              <w:rPr>
                <w:rFonts w:hint="eastAsia" w:ascii="宋体" w:hAnsi="宋体" w:cs="宋体"/>
              </w:rPr>
              <w:t>投</w:t>
            </w:r>
            <w:r>
              <w:rPr>
                <w:rFonts w:hint="eastAsia" w:ascii="宋体" w:hAnsi="宋体" w:cs="宋体"/>
                <w:kern w:val="0"/>
                <w:szCs w:val="21"/>
              </w:rPr>
              <w:t>标供应商</w:t>
            </w:r>
            <w:r>
              <w:rPr>
                <w:rFonts w:hint="eastAsia" w:ascii="宋体" w:hAnsi="宋体" w:cs="宋体"/>
                <w:szCs w:val="21"/>
              </w:rPr>
              <w:t>自202</w:t>
            </w:r>
            <w:r>
              <w:rPr>
                <w:rFonts w:ascii="宋体" w:hAnsi="宋体" w:cs="宋体"/>
                <w:szCs w:val="21"/>
              </w:rPr>
              <w:t>3</w:t>
            </w:r>
            <w:r>
              <w:rPr>
                <w:rFonts w:hint="eastAsia" w:ascii="宋体" w:hAnsi="宋体" w:cs="宋体"/>
                <w:szCs w:val="21"/>
              </w:rPr>
              <w:t>年</w:t>
            </w:r>
            <w:r>
              <w:rPr>
                <w:rFonts w:ascii="宋体" w:hAnsi="宋体" w:cs="宋体"/>
                <w:szCs w:val="21"/>
              </w:rPr>
              <w:t>6</w:t>
            </w:r>
            <w:r>
              <w:rPr>
                <w:rFonts w:hint="eastAsia" w:ascii="宋体" w:hAnsi="宋体" w:cs="宋体"/>
                <w:szCs w:val="21"/>
              </w:rPr>
              <w:t>月1日以来的类似项目业绩，每提供一个得2分，最高得6分。</w:t>
            </w:r>
          </w:p>
          <w:p>
            <w:pPr>
              <w:rPr>
                <w:rFonts w:ascii="宋体" w:hAnsi="宋体" w:eastAsia="宋体" w:cs="宋体"/>
                <w:szCs w:val="21"/>
              </w:rPr>
            </w:pPr>
            <w:r>
              <w:rPr>
                <w:rFonts w:hint="eastAsia" w:ascii="宋体" w:hAnsi="宋体" w:cs="宋体"/>
                <w:b/>
                <w:bCs/>
                <w:szCs w:val="21"/>
              </w:rPr>
              <w:t>注：提供中标（成交）通知书、施工合同及工程竣工验收证明材料，时间以工程竣工验收证明材料中的竣工验收合格时间为准。</w:t>
            </w:r>
            <w:r>
              <w:rPr>
                <w:rFonts w:hint="eastAsia" w:ascii="宋体" w:hAnsi="宋体" w:eastAsia="宋体" w:cs="宋体"/>
                <w:b/>
                <w:bCs/>
              </w:rPr>
              <w:t>原件备查，不提供原件不得分。</w:t>
            </w:r>
          </w:p>
        </w:tc>
        <w:tc>
          <w:tcPr>
            <w:tcW w:w="691" w:type="dxa"/>
            <w:vAlign w:val="center"/>
          </w:tcPr>
          <w:p>
            <w:pPr>
              <w:jc w:val="center"/>
              <w:rPr>
                <w:rFonts w:ascii="宋体" w:hAnsi="宋体" w:cs="宋体"/>
                <w:szCs w:val="21"/>
              </w:rPr>
            </w:pPr>
            <w:r>
              <w:rPr>
                <w:rFonts w:hint="eastAsia" w:ascii="宋体" w:hAnsi="宋体" w:cs="宋体"/>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76"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3</w:t>
            </w:r>
          </w:p>
        </w:tc>
        <w:tc>
          <w:tcPr>
            <w:tcW w:w="1385" w:type="dxa"/>
            <w:vAlign w:val="center"/>
          </w:tcPr>
          <w:p>
            <w:pPr>
              <w:jc w:val="center"/>
              <w:rPr>
                <w:rFonts w:asciiTheme="minorEastAsia" w:hAnsiTheme="minorEastAsia"/>
                <w:szCs w:val="21"/>
              </w:rPr>
            </w:pPr>
            <w:r>
              <w:rPr>
                <w:rFonts w:hint="eastAsia" w:asciiTheme="minorEastAsia" w:hAnsiTheme="minorEastAsia"/>
                <w:szCs w:val="21"/>
                <w:lang w:eastAsia="zh-CN"/>
              </w:rPr>
              <w:t>项目经理</w:t>
            </w:r>
            <w:r>
              <w:rPr>
                <w:rFonts w:hint="eastAsia" w:asciiTheme="minorEastAsia" w:hAnsiTheme="minorEastAsia"/>
                <w:szCs w:val="21"/>
              </w:rPr>
              <w:t>业绩      （</w:t>
            </w:r>
            <w:r>
              <w:rPr>
                <w:rFonts w:asciiTheme="minorEastAsia" w:hAnsiTheme="minorEastAsia"/>
                <w:szCs w:val="21"/>
              </w:rPr>
              <w:t>4</w:t>
            </w:r>
            <w:r>
              <w:rPr>
                <w:rFonts w:hint="eastAsia" w:asciiTheme="minorEastAsia" w:hAnsiTheme="minorEastAsia"/>
                <w:szCs w:val="21"/>
              </w:rPr>
              <w:t>分）</w:t>
            </w:r>
          </w:p>
        </w:tc>
        <w:tc>
          <w:tcPr>
            <w:tcW w:w="6929" w:type="dxa"/>
            <w:vAlign w:val="center"/>
          </w:tcPr>
          <w:p>
            <w:pPr>
              <w:rPr>
                <w:rFonts w:ascii="宋体" w:hAnsi="宋体" w:cs="宋体"/>
                <w:szCs w:val="21"/>
              </w:rPr>
            </w:pPr>
            <w:r>
              <w:rPr>
                <w:rFonts w:hint="eastAsia" w:ascii="宋体" w:hAnsi="宋体" w:cs="宋体"/>
              </w:rPr>
              <w:t>投</w:t>
            </w:r>
            <w:r>
              <w:rPr>
                <w:rFonts w:hint="eastAsia" w:ascii="宋体" w:hAnsi="宋体" w:cs="宋体"/>
                <w:kern w:val="0"/>
                <w:szCs w:val="21"/>
              </w:rPr>
              <w:t>标供应商</w:t>
            </w:r>
            <w:r>
              <w:rPr>
                <w:rFonts w:hint="eastAsia" w:ascii="宋体" w:hAnsi="宋体" w:cs="宋体"/>
                <w:szCs w:val="21"/>
              </w:rPr>
              <w:t>拟派</w:t>
            </w:r>
            <w:r>
              <w:rPr>
                <w:rFonts w:hint="eastAsia" w:ascii="宋体" w:hAnsi="宋体" w:cs="宋体"/>
                <w:szCs w:val="21"/>
                <w:lang w:eastAsia="zh-CN"/>
              </w:rPr>
              <w:t>项目经理</w:t>
            </w:r>
            <w:r>
              <w:rPr>
                <w:rFonts w:hint="eastAsia" w:ascii="宋体" w:hAnsi="宋体" w:cs="宋体"/>
                <w:szCs w:val="21"/>
              </w:rPr>
              <w:t>自202</w:t>
            </w:r>
            <w:r>
              <w:rPr>
                <w:rFonts w:ascii="宋体" w:hAnsi="宋体" w:cs="宋体"/>
                <w:szCs w:val="21"/>
              </w:rPr>
              <w:t>3</w:t>
            </w:r>
            <w:r>
              <w:rPr>
                <w:rFonts w:hint="eastAsia" w:ascii="宋体" w:hAnsi="宋体" w:cs="宋体"/>
                <w:szCs w:val="21"/>
              </w:rPr>
              <w:t>年</w:t>
            </w:r>
            <w:r>
              <w:rPr>
                <w:rFonts w:ascii="宋体" w:hAnsi="宋体" w:cs="宋体"/>
                <w:szCs w:val="21"/>
              </w:rPr>
              <w:t>6</w:t>
            </w:r>
            <w:r>
              <w:rPr>
                <w:rFonts w:hint="eastAsia" w:ascii="宋体" w:hAnsi="宋体" w:cs="宋体"/>
                <w:szCs w:val="21"/>
              </w:rPr>
              <w:t>月1日以来的类似项目业绩，每提供一个得2分，最高得4分。</w:t>
            </w:r>
          </w:p>
          <w:p>
            <w:pPr>
              <w:rPr>
                <w:rFonts w:ascii="宋体" w:hAnsi="宋体" w:cs="宋体"/>
                <w:szCs w:val="21"/>
              </w:rPr>
            </w:pPr>
            <w:r>
              <w:rPr>
                <w:rFonts w:hint="eastAsia" w:ascii="宋体" w:hAnsi="宋体" w:cs="宋体"/>
                <w:b/>
                <w:bCs/>
                <w:szCs w:val="21"/>
              </w:rPr>
              <w:t>注：提供中标（成交）通知书、施工合同及工程竣工验收证明材料，时间以工程竣工验收证明材料中的竣工验收合格时间为准。</w:t>
            </w:r>
            <w:r>
              <w:rPr>
                <w:rFonts w:hint="eastAsia" w:ascii="宋体" w:hAnsi="宋体" w:eastAsia="宋体" w:cs="宋体"/>
                <w:b/>
                <w:bCs/>
              </w:rPr>
              <w:t>原件备查，不提供原件不得分</w:t>
            </w:r>
            <w:r>
              <w:rPr>
                <w:rFonts w:hint="eastAsia" w:ascii="宋体" w:hAnsi="宋体" w:cs="宋体"/>
                <w:b/>
                <w:bCs/>
                <w:szCs w:val="21"/>
              </w:rPr>
              <w:t>。投标人业绩和</w:t>
            </w:r>
            <w:r>
              <w:rPr>
                <w:rFonts w:hint="eastAsia" w:ascii="宋体" w:hAnsi="宋体" w:cs="宋体"/>
                <w:b/>
                <w:bCs/>
                <w:szCs w:val="21"/>
                <w:lang w:eastAsia="zh-CN"/>
              </w:rPr>
              <w:t>项目经理</w:t>
            </w:r>
            <w:r>
              <w:rPr>
                <w:rFonts w:hint="eastAsia" w:ascii="宋体" w:hAnsi="宋体" w:cs="宋体"/>
                <w:b/>
                <w:bCs/>
                <w:szCs w:val="21"/>
              </w:rPr>
              <w:t>业绩不可兼得。</w:t>
            </w:r>
          </w:p>
        </w:tc>
        <w:tc>
          <w:tcPr>
            <w:tcW w:w="691" w:type="dxa"/>
            <w:vAlign w:val="center"/>
          </w:tcPr>
          <w:p>
            <w:pPr>
              <w:jc w:val="center"/>
              <w:rPr>
                <w:rFonts w:ascii="宋体" w:hAnsi="宋体" w:cs="宋体"/>
                <w:szCs w:val="21"/>
              </w:rPr>
            </w:pPr>
            <w:r>
              <w:rPr>
                <w:rFonts w:hint="eastAsia" w:ascii="宋体" w:hAnsi="宋体" w:cs="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76"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4</w:t>
            </w:r>
          </w:p>
        </w:tc>
        <w:tc>
          <w:tcPr>
            <w:tcW w:w="1385" w:type="dxa"/>
            <w:vAlign w:val="center"/>
          </w:tcPr>
          <w:p>
            <w:pPr>
              <w:jc w:val="center"/>
              <w:rPr>
                <w:rFonts w:asciiTheme="minorEastAsia" w:hAnsiTheme="minorEastAsia"/>
                <w:szCs w:val="21"/>
              </w:rPr>
            </w:pPr>
            <w:r>
              <w:rPr>
                <w:rFonts w:hint="eastAsia" w:asciiTheme="minorEastAsia" w:hAnsiTheme="minorEastAsia"/>
                <w:szCs w:val="21"/>
              </w:rPr>
              <w:t>样品（</w:t>
            </w:r>
            <w:r>
              <w:rPr>
                <w:rFonts w:asciiTheme="minorEastAsia" w:hAnsiTheme="minorEastAsia"/>
                <w:szCs w:val="21"/>
              </w:rPr>
              <w:t>12</w:t>
            </w:r>
            <w:r>
              <w:rPr>
                <w:rFonts w:hint="eastAsia" w:asciiTheme="minorEastAsia" w:hAnsiTheme="minorEastAsia"/>
                <w:szCs w:val="21"/>
              </w:rPr>
              <w:t>分）</w:t>
            </w:r>
          </w:p>
        </w:tc>
        <w:tc>
          <w:tcPr>
            <w:tcW w:w="6929" w:type="dxa"/>
            <w:vAlign w:val="center"/>
          </w:tcPr>
          <w:p>
            <w:pPr>
              <w:rPr>
                <w:rFonts w:asciiTheme="minorEastAsia" w:hAnsiTheme="minorEastAsia"/>
                <w:szCs w:val="21"/>
              </w:rPr>
            </w:pPr>
            <w:r>
              <w:rPr>
                <w:rFonts w:hint="eastAsia" w:asciiTheme="minorEastAsia" w:hAnsiTheme="minorEastAsia"/>
                <w:szCs w:val="21"/>
              </w:rPr>
              <w:t>对投标人所提供的样品情况（所用材质、产品性能、技术参数等方面）</w:t>
            </w:r>
          </w:p>
          <w:p>
            <w:pPr>
              <w:rPr>
                <w:rFonts w:asciiTheme="minorEastAsia" w:hAnsiTheme="minorEastAsia"/>
                <w:szCs w:val="21"/>
              </w:rPr>
            </w:pPr>
            <w:r>
              <w:rPr>
                <w:rFonts w:hint="eastAsia" w:asciiTheme="minorEastAsia" w:hAnsiTheme="minorEastAsia"/>
                <w:szCs w:val="21"/>
              </w:rPr>
              <w:t>进行评分：主要材料SBS改性沥青防水卷材（不小于30*30cm，标明品牌）、非固化橡胶沥青防水涂料（不少于50g）、丙烯酸样品（底板为水泥压力板，颜色天蓝色）（不小于30*30cm）；</w:t>
            </w:r>
          </w:p>
          <w:p>
            <w:pPr>
              <w:rPr>
                <w:rFonts w:ascii="宋体" w:hAnsi="宋体" w:cs="宋体"/>
                <w:szCs w:val="21"/>
              </w:rPr>
            </w:pPr>
            <w:r>
              <w:rPr>
                <w:rFonts w:hint="eastAsia" w:ascii="宋体" w:hAnsi="宋体" w:cs="宋体"/>
                <w:b/>
                <w:bCs/>
                <w:szCs w:val="21"/>
              </w:rPr>
              <w:t>SBS改性沥青防水卷材</w:t>
            </w:r>
            <w:r>
              <w:rPr>
                <w:rFonts w:hint="eastAsia" w:ascii="宋体" w:hAnsi="宋体" w:cs="宋体"/>
                <w:szCs w:val="21"/>
              </w:rPr>
              <w:t>样品的整体功能（包括：实用性、功能性等）、选用材质、工艺水平及质量等内容，与采购文件项目需求符合度高，得</w:t>
            </w:r>
            <w:r>
              <w:rPr>
                <w:rFonts w:ascii="宋体" w:hAnsi="宋体" w:cs="宋体"/>
                <w:szCs w:val="21"/>
              </w:rPr>
              <w:t>6</w:t>
            </w:r>
            <w:r>
              <w:rPr>
                <w:rFonts w:hint="eastAsia" w:ascii="宋体" w:hAnsi="宋体" w:cs="宋体"/>
                <w:szCs w:val="21"/>
              </w:rPr>
              <w:t>分；基本达到要求，实用，得4分；存在瑕疵、做工略毛糙，得</w:t>
            </w:r>
            <w:r>
              <w:rPr>
                <w:rFonts w:ascii="宋体" w:hAnsi="宋体" w:cs="宋体"/>
                <w:szCs w:val="21"/>
              </w:rPr>
              <w:t>2</w:t>
            </w:r>
            <w:r>
              <w:rPr>
                <w:rFonts w:hint="eastAsia" w:ascii="宋体" w:hAnsi="宋体" w:cs="宋体"/>
                <w:szCs w:val="21"/>
              </w:rPr>
              <w:t>分；符合度低、做工粗糙、有明显瑕疵的不得分。</w:t>
            </w:r>
          </w:p>
          <w:p>
            <w:pPr>
              <w:rPr>
                <w:rFonts w:ascii="宋体" w:hAnsi="宋体" w:cs="宋体"/>
                <w:szCs w:val="21"/>
              </w:rPr>
            </w:pPr>
            <w:r>
              <w:rPr>
                <w:rFonts w:hint="eastAsia" w:ascii="宋体" w:hAnsi="宋体" w:cs="宋体"/>
                <w:b/>
                <w:bCs/>
                <w:szCs w:val="21"/>
              </w:rPr>
              <w:t>非固化橡胶沥青防水涂料</w:t>
            </w:r>
            <w:r>
              <w:rPr>
                <w:rFonts w:hint="eastAsia" w:ascii="宋体" w:hAnsi="宋体" w:cs="宋体"/>
                <w:szCs w:val="21"/>
              </w:rPr>
              <w:t>样品的整体功能（包括：实用性、功能性等）、选用材质、工艺水平及质量等内容，与采购文件项目需求符合度高，得</w:t>
            </w:r>
            <w:r>
              <w:rPr>
                <w:rFonts w:ascii="宋体" w:hAnsi="宋体" w:cs="宋体"/>
                <w:szCs w:val="21"/>
              </w:rPr>
              <w:t>3</w:t>
            </w:r>
            <w:r>
              <w:rPr>
                <w:rFonts w:hint="eastAsia" w:ascii="宋体" w:hAnsi="宋体" w:cs="宋体"/>
                <w:szCs w:val="21"/>
              </w:rPr>
              <w:t>分；基本达到要求，实用，得2分；存在瑕疵、做工略毛糙，得1分；符合度低、做工粗糙、有明显瑕疵的不得分。</w:t>
            </w:r>
          </w:p>
          <w:p>
            <w:pPr>
              <w:rPr>
                <w:rFonts w:ascii="宋体" w:hAnsi="宋体" w:cs="宋体"/>
                <w:szCs w:val="21"/>
              </w:rPr>
            </w:pPr>
            <w:r>
              <w:rPr>
                <w:rFonts w:hint="eastAsia" w:ascii="宋体" w:hAnsi="宋体" w:cs="宋体"/>
                <w:b/>
                <w:bCs/>
                <w:szCs w:val="21"/>
              </w:rPr>
              <w:t>丙烯酸</w:t>
            </w:r>
            <w:r>
              <w:rPr>
                <w:rFonts w:hint="eastAsia" w:ascii="宋体" w:hAnsi="宋体" w:cs="宋体"/>
                <w:szCs w:val="21"/>
              </w:rPr>
              <w:t>样品的整体功能（包括：实用性、功能性等）、选用材质、工艺水平及质量等内容，与采购文件项目需求符合度高，得</w:t>
            </w:r>
            <w:r>
              <w:rPr>
                <w:rFonts w:ascii="宋体" w:hAnsi="宋体" w:cs="宋体"/>
                <w:szCs w:val="21"/>
              </w:rPr>
              <w:t>3</w:t>
            </w:r>
            <w:r>
              <w:rPr>
                <w:rFonts w:hint="eastAsia" w:ascii="宋体" w:hAnsi="宋体" w:cs="宋体"/>
                <w:szCs w:val="21"/>
              </w:rPr>
              <w:t>分；基本达到要求，实用，得2分；存在瑕疵、做工略毛糙，得1分；符合度低、做工粗糙、有明显瑕疵的不得分。</w:t>
            </w:r>
          </w:p>
          <w:p>
            <w:pPr>
              <w:rPr>
                <w:rFonts w:ascii="宋体" w:hAnsi="宋体" w:cs="宋体"/>
                <w:szCs w:val="21"/>
              </w:rPr>
            </w:pPr>
            <w:r>
              <w:rPr>
                <w:rFonts w:hint="eastAsia" w:ascii="宋体" w:hAnsi="宋体" w:cs="宋体"/>
                <w:szCs w:val="21"/>
              </w:rPr>
              <w:t>注：如出现下列任何一种情况，该项均不得分。1、不提供样品或提供的样品不全的；2、样品粘贴设置投标人单位名称、标志或有其他明显特殊标志且未采取措施遮盖标志的。</w:t>
            </w:r>
          </w:p>
          <w:p>
            <w:pPr>
              <w:rPr>
                <w:rFonts w:asciiTheme="minorEastAsia" w:hAnsiTheme="minorEastAsia"/>
                <w:szCs w:val="21"/>
              </w:rPr>
            </w:pPr>
            <w:r>
              <w:rPr>
                <w:rFonts w:hint="eastAsia" w:ascii="宋体" w:hAnsi="宋体" w:cs="宋体"/>
                <w:szCs w:val="21"/>
              </w:rPr>
              <w:t>（所有样品费用由供应商承担，成交供应商样品将作为中标后供货质量对比样本封存。）</w:t>
            </w:r>
          </w:p>
        </w:tc>
        <w:tc>
          <w:tcPr>
            <w:tcW w:w="691" w:type="dxa"/>
            <w:vAlign w:val="center"/>
          </w:tcPr>
          <w:p>
            <w:pPr>
              <w:jc w:val="center"/>
              <w:rPr>
                <w:rFonts w:asciiTheme="minorEastAsia" w:hAnsiTheme="minorEastAsia"/>
                <w:color w:val="FF0000"/>
                <w:szCs w:val="21"/>
              </w:rPr>
            </w:pPr>
            <w:r>
              <w:rPr>
                <w:rFonts w:asciiTheme="minorEastAsia" w:hAnsiTheme="minorEastAsia"/>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76"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5</w:t>
            </w:r>
          </w:p>
        </w:tc>
        <w:tc>
          <w:tcPr>
            <w:tcW w:w="1385" w:type="dxa"/>
            <w:vAlign w:val="center"/>
          </w:tcPr>
          <w:p>
            <w:pPr>
              <w:jc w:val="center"/>
              <w:rPr>
                <w:rFonts w:asciiTheme="minorEastAsia" w:hAnsiTheme="minorEastAsia"/>
                <w:szCs w:val="21"/>
              </w:rPr>
            </w:pPr>
            <w:r>
              <w:rPr>
                <w:rFonts w:hint="eastAsia" w:asciiTheme="minorEastAsia" w:hAnsiTheme="minorEastAsia"/>
                <w:szCs w:val="21"/>
              </w:rPr>
              <w:t>项目经理答辩        （</w:t>
            </w:r>
            <w:r>
              <w:rPr>
                <w:rFonts w:asciiTheme="minorEastAsia" w:hAnsiTheme="minorEastAsia"/>
                <w:szCs w:val="21"/>
              </w:rPr>
              <w:t>8</w:t>
            </w:r>
            <w:r>
              <w:rPr>
                <w:rFonts w:hint="eastAsia" w:asciiTheme="minorEastAsia" w:hAnsiTheme="minorEastAsia"/>
                <w:szCs w:val="21"/>
              </w:rPr>
              <w:t>分）</w:t>
            </w:r>
          </w:p>
        </w:tc>
        <w:tc>
          <w:tcPr>
            <w:tcW w:w="6929" w:type="dxa"/>
            <w:vAlign w:val="center"/>
          </w:tcPr>
          <w:p>
            <w:pPr>
              <w:rPr>
                <w:rFonts w:asciiTheme="minorEastAsia" w:hAnsiTheme="minorEastAsia"/>
                <w:szCs w:val="21"/>
              </w:rPr>
            </w:pPr>
            <w:r>
              <w:rPr>
                <w:rFonts w:hint="eastAsia" w:ascii="宋体" w:hAnsi="宋体"/>
                <w:szCs w:val="21"/>
              </w:rPr>
              <w:t>针对项目理解及重难点把控、施工工艺与技术方案、安全文明及工期管控现场答辩。上述方案全面具体、科学合理、操作可行得</w:t>
            </w:r>
            <w:r>
              <w:rPr>
                <w:rFonts w:ascii="宋体" w:hAnsi="宋体"/>
                <w:szCs w:val="21"/>
              </w:rPr>
              <w:t>8</w:t>
            </w:r>
            <w:r>
              <w:rPr>
                <w:rFonts w:hint="eastAsia" w:ascii="宋体" w:hAnsi="宋体"/>
                <w:szCs w:val="21"/>
              </w:rPr>
              <w:t>分；上述方案较具体、较合理、具有一定可操作性得</w:t>
            </w:r>
            <w:r>
              <w:rPr>
                <w:rFonts w:ascii="宋体" w:hAnsi="宋体"/>
                <w:szCs w:val="21"/>
              </w:rPr>
              <w:t>5</w:t>
            </w:r>
            <w:r>
              <w:rPr>
                <w:rFonts w:hint="eastAsia" w:ascii="宋体" w:hAnsi="宋体"/>
                <w:szCs w:val="21"/>
              </w:rPr>
              <w:t>分；上述方案全面性、科学性、操作性一般得</w:t>
            </w:r>
            <w:r>
              <w:rPr>
                <w:rFonts w:hint="eastAsia" w:ascii="宋体" w:hAnsi="宋体"/>
                <w:szCs w:val="21"/>
                <w:lang w:val="en-US" w:eastAsia="zh-CN"/>
              </w:rPr>
              <w:t>2</w:t>
            </w:r>
            <w:r>
              <w:rPr>
                <w:rFonts w:hint="eastAsia" w:ascii="宋体" w:hAnsi="宋体"/>
                <w:szCs w:val="21"/>
              </w:rPr>
              <w:t>分；不参加不得分。</w:t>
            </w:r>
          </w:p>
        </w:tc>
        <w:tc>
          <w:tcPr>
            <w:tcW w:w="691" w:type="dxa"/>
            <w:vAlign w:val="center"/>
          </w:tcPr>
          <w:p>
            <w:pPr>
              <w:jc w:val="center"/>
              <w:rPr>
                <w:rFonts w:asciiTheme="minorEastAsia" w:hAnsiTheme="minorEastAsia"/>
                <w:color w:val="000000"/>
                <w:szCs w:val="21"/>
              </w:rPr>
            </w:pPr>
            <w:r>
              <w:rPr>
                <w:rFonts w:asciiTheme="minorEastAsia" w:hAnsiTheme="minorEastAsia"/>
                <w:color w:val="000000"/>
                <w:szCs w:val="21"/>
              </w:rPr>
              <w:t>8</w:t>
            </w:r>
            <w:r>
              <w:rPr>
                <w:rFonts w:hint="eastAsia" w:asciiTheme="minorEastAsia" w:hAnsiTheme="minorEastAsia"/>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6" w:type="dxa"/>
            <w:vMerge w:val="restart"/>
            <w:vAlign w:val="center"/>
          </w:tcPr>
          <w:p>
            <w:pPr>
              <w:jc w:val="center"/>
              <w:rPr>
                <w:rFonts w:asciiTheme="minorEastAsia" w:hAnsiTheme="minorEastAsia"/>
                <w:color w:val="000000"/>
                <w:szCs w:val="21"/>
              </w:rPr>
            </w:pPr>
            <w:r>
              <w:rPr>
                <w:rFonts w:asciiTheme="minorEastAsia" w:hAnsiTheme="minorEastAsia"/>
                <w:color w:val="000000"/>
                <w:szCs w:val="21"/>
              </w:rPr>
              <w:t>6</w:t>
            </w:r>
          </w:p>
        </w:tc>
        <w:tc>
          <w:tcPr>
            <w:tcW w:w="1385" w:type="dxa"/>
            <w:vMerge w:val="restart"/>
            <w:vAlign w:val="center"/>
          </w:tcPr>
          <w:p>
            <w:pPr>
              <w:jc w:val="center"/>
              <w:rPr>
                <w:rFonts w:asciiTheme="minorEastAsia" w:hAnsiTheme="minorEastAsia"/>
                <w:color w:val="000000"/>
                <w:szCs w:val="21"/>
              </w:rPr>
            </w:pPr>
            <w:r>
              <w:rPr>
                <w:rFonts w:asciiTheme="minorEastAsia" w:hAnsiTheme="minorEastAsia"/>
                <w:color w:val="000000"/>
                <w:szCs w:val="21"/>
              </w:rPr>
              <w:t>施工</w:t>
            </w:r>
            <w:r>
              <w:rPr>
                <w:rFonts w:hint="eastAsia" w:asciiTheme="minorEastAsia" w:hAnsiTheme="minorEastAsia"/>
                <w:color w:val="000000"/>
                <w:szCs w:val="21"/>
              </w:rPr>
              <w:t>方案  （4</w:t>
            </w:r>
            <w:r>
              <w:rPr>
                <w:rFonts w:asciiTheme="minorEastAsia" w:hAnsiTheme="minorEastAsia"/>
                <w:color w:val="000000"/>
                <w:szCs w:val="21"/>
              </w:rPr>
              <w:t>0</w:t>
            </w:r>
            <w:r>
              <w:rPr>
                <w:rFonts w:hint="eastAsia" w:asciiTheme="minorEastAsia" w:hAnsiTheme="minorEastAsia"/>
                <w:color w:val="000000"/>
                <w:szCs w:val="21"/>
              </w:rPr>
              <w:t>分）</w:t>
            </w:r>
          </w:p>
        </w:tc>
        <w:tc>
          <w:tcPr>
            <w:tcW w:w="6929" w:type="dxa"/>
            <w:vAlign w:val="center"/>
          </w:tcPr>
          <w:p>
            <w:pPr>
              <w:spacing w:line="276" w:lineRule="auto"/>
              <w:rPr>
                <w:rFonts w:asciiTheme="minorEastAsia" w:hAnsiTheme="minorEastAsia"/>
                <w:color w:val="000000"/>
                <w:szCs w:val="21"/>
              </w:rPr>
            </w:pPr>
            <w:r>
              <w:rPr>
                <w:rFonts w:hint="eastAsia" w:cs="仿宋" w:asciiTheme="minorEastAsia" w:hAnsiTheme="minorEastAsia"/>
                <w:szCs w:val="21"/>
              </w:rPr>
              <w:t>评委根据供应商对本项目的了解程度、重点、难点和关键点的分析情况进行综合评分，项目了解、重点、难点和关键点分析全面、准确，可操作性强的得8分；项目了解、重点、难点和关键点分析较为全面，可操作性良好的得5分；项目了解、重点、难点和关键点分析一般的得</w:t>
            </w:r>
            <w:r>
              <w:rPr>
                <w:rFonts w:cs="仿宋" w:asciiTheme="minorEastAsia" w:hAnsiTheme="minorEastAsia"/>
                <w:szCs w:val="21"/>
              </w:rPr>
              <w:t>2</w:t>
            </w:r>
            <w:r>
              <w:rPr>
                <w:rFonts w:hint="eastAsia" w:cs="仿宋" w:asciiTheme="minorEastAsia" w:hAnsiTheme="minorEastAsia"/>
                <w:szCs w:val="21"/>
              </w:rPr>
              <w:t>分；未提供不得分。</w:t>
            </w:r>
          </w:p>
        </w:tc>
        <w:tc>
          <w:tcPr>
            <w:tcW w:w="691" w:type="dxa"/>
            <w:vAlign w:val="center"/>
          </w:tcPr>
          <w:p>
            <w:pPr>
              <w:widowControl/>
              <w:spacing w:line="360" w:lineRule="auto"/>
              <w:jc w:val="center"/>
              <w:rPr>
                <w:rFonts w:asciiTheme="minorEastAsia" w:hAnsiTheme="minorEastAsia"/>
                <w:color w:val="000000"/>
                <w:szCs w:val="21"/>
              </w:rPr>
            </w:pPr>
            <w:r>
              <w:rPr>
                <w:rFonts w:hint="eastAsia" w:cs="仿宋" w:asciiTheme="minorEastAsia" w:hAnsiTheme="minorEastAsia"/>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6" w:type="dxa"/>
            <w:vMerge w:val="continue"/>
            <w:vAlign w:val="center"/>
          </w:tcPr>
          <w:p>
            <w:pPr>
              <w:rPr>
                <w:rFonts w:asciiTheme="minorEastAsia" w:hAnsiTheme="minorEastAsia"/>
                <w:color w:val="000000"/>
                <w:szCs w:val="21"/>
              </w:rPr>
            </w:pPr>
          </w:p>
        </w:tc>
        <w:tc>
          <w:tcPr>
            <w:tcW w:w="1385" w:type="dxa"/>
            <w:vMerge w:val="continue"/>
            <w:vAlign w:val="center"/>
          </w:tcPr>
          <w:p>
            <w:pPr>
              <w:rPr>
                <w:rFonts w:asciiTheme="minorEastAsia" w:hAnsiTheme="minorEastAsia"/>
                <w:color w:val="000000"/>
                <w:szCs w:val="21"/>
              </w:rPr>
            </w:pPr>
          </w:p>
        </w:tc>
        <w:tc>
          <w:tcPr>
            <w:tcW w:w="6929" w:type="dxa"/>
            <w:vAlign w:val="center"/>
          </w:tcPr>
          <w:p>
            <w:pPr>
              <w:spacing w:line="276" w:lineRule="auto"/>
              <w:rPr>
                <w:rFonts w:asciiTheme="minorEastAsia" w:hAnsiTheme="minorEastAsia"/>
                <w:color w:val="000000"/>
                <w:szCs w:val="21"/>
              </w:rPr>
            </w:pPr>
            <w:r>
              <w:rPr>
                <w:rFonts w:hint="eastAsia" w:cs="仿宋" w:asciiTheme="minorEastAsia" w:hAnsiTheme="minorEastAsia"/>
                <w:szCs w:val="21"/>
              </w:rPr>
              <w:t>评委根据投标文件提供的施工组织方案（包括但不限于方案设计、施工部署、施工准备、施工工艺、质量保证措施、施工进度计划和工期保证措施等内容）进行综合评分，上述方案充分结合项目实际情况，施工工艺先进，科学性、合理性和可操作性强的得8分；上述方案基本结合项目需求，具有一定的先进性、科学性、合理性和可操作性的得5分；上述方案施工工艺一般，科学性、合理性和可操作性一般的得</w:t>
            </w:r>
            <w:r>
              <w:rPr>
                <w:rFonts w:cs="仿宋" w:asciiTheme="minorEastAsia" w:hAnsiTheme="minorEastAsia"/>
                <w:szCs w:val="21"/>
              </w:rPr>
              <w:t>2</w:t>
            </w:r>
            <w:r>
              <w:rPr>
                <w:rFonts w:hint="eastAsia" w:cs="仿宋" w:asciiTheme="minorEastAsia" w:hAnsiTheme="minorEastAsia"/>
                <w:szCs w:val="21"/>
              </w:rPr>
              <w:t>分；未提供不得分。</w:t>
            </w:r>
          </w:p>
        </w:tc>
        <w:tc>
          <w:tcPr>
            <w:tcW w:w="691" w:type="dxa"/>
            <w:vAlign w:val="center"/>
          </w:tcPr>
          <w:p>
            <w:pPr>
              <w:widowControl/>
              <w:spacing w:line="360" w:lineRule="auto"/>
              <w:jc w:val="center"/>
              <w:rPr>
                <w:rFonts w:asciiTheme="minorEastAsia" w:hAnsiTheme="minorEastAsia"/>
                <w:color w:val="000000"/>
                <w:szCs w:val="21"/>
              </w:rPr>
            </w:pPr>
            <w:r>
              <w:rPr>
                <w:rFonts w:hint="eastAsia" w:cs="仿宋" w:asciiTheme="minorEastAsia" w:hAnsiTheme="minorEastAsia"/>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6" w:type="dxa"/>
            <w:vMerge w:val="continue"/>
            <w:vAlign w:val="center"/>
          </w:tcPr>
          <w:p>
            <w:pPr>
              <w:rPr>
                <w:rFonts w:asciiTheme="minorEastAsia" w:hAnsiTheme="minorEastAsia"/>
                <w:color w:val="000000"/>
                <w:szCs w:val="21"/>
              </w:rPr>
            </w:pPr>
          </w:p>
        </w:tc>
        <w:tc>
          <w:tcPr>
            <w:tcW w:w="1385" w:type="dxa"/>
            <w:vMerge w:val="continue"/>
            <w:vAlign w:val="center"/>
          </w:tcPr>
          <w:p>
            <w:pPr>
              <w:rPr>
                <w:rFonts w:asciiTheme="minorEastAsia" w:hAnsiTheme="minorEastAsia"/>
                <w:color w:val="000000"/>
                <w:szCs w:val="21"/>
              </w:rPr>
            </w:pPr>
          </w:p>
        </w:tc>
        <w:tc>
          <w:tcPr>
            <w:tcW w:w="6929" w:type="dxa"/>
            <w:vAlign w:val="center"/>
          </w:tcPr>
          <w:p>
            <w:pPr>
              <w:spacing w:line="276" w:lineRule="auto"/>
              <w:rPr>
                <w:rFonts w:asciiTheme="minorEastAsia" w:hAnsiTheme="minorEastAsia"/>
                <w:color w:val="000000"/>
                <w:szCs w:val="21"/>
              </w:rPr>
            </w:pPr>
            <w:r>
              <w:rPr>
                <w:rFonts w:hint="eastAsia" w:cs="仿宋" w:asciiTheme="minorEastAsia" w:hAnsiTheme="minorEastAsia"/>
                <w:szCs w:val="21"/>
              </w:rPr>
              <w:t>评委根据投标文件提供的劳动力、机械设备和材料投入计划及其保证措施等方面进行综合评分，上述内容全面合理、科学可行的得8分；上述内容较合理、较科学的得5分；上述内容具有的全面性、科学性、合理性与可行性一般的得</w:t>
            </w:r>
            <w:r>
              <w:rPr>
                <w:rFonts w:cs="仿宋" w:asciiTheme="minorEastAsia" w:hAnsiTheme="minorEastAsia"/>
                <w:szCs w:val="21"/>
              </w:rPr>
              <w:t>2</w:t>
            </w:r>
            <w:r>
              <w:rPr>
                <w:rFonts w:hint="eastAsia" w:cs="仿宋" w:asciiTheme="minorEastAsia" w:hAnsiTheme="minorEastAsia"/>
                <w:szCs w:val="21"/>
              </w:rPr>
              <w:t>分；未提供不得分。</w:t>
            </w:r>
          </w:p>
        </w:tc>
        <w:tc>
          <w:tcPr>
            <w:tcW w:w="691" w:type="dxa"/>
            <w:vAlign w:val="center"/>
          </w:tcPr>
          <w:p>
            <w:pPr>
              <w:widowControl/>
              <w:spacing w:line="360" w:lineRule="auto"/>
              <w:jc w:val="center"/>
              <w:rPr>
                <w:rFonts w:asciiTheme="minorEastAsia" w:hAnsiTheme="minorEastAsia"/>
                <w:color w:val="000000"/>
                <w:szCs w:val="21"/>
              </w:rPr>
            </w:pPr>
            <w:r>
              <w:rPr>
                <w:rFonts w:hint="eastAsia" w:cs="仿宋" w:asciiTheme="minorEastAsia" w:hAnsiTheme="minorEastAsia"/>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6" w:type="dxa"/>
            <w:vMerge w:val="continue"/>
            <w:vAlign w:val="center"/>
          </w:tcPr>
          <w:p>
            <w:pPr>
              <w:rPr>
                <w:rFonts w:asciiTheme="minorEastAsia" w:hAnsiTheme="minorEastAsia"/>
                <w:color w:val="000000"/>
                <w:szCs w:val="21"/>
              </w:rPr>
            </w:pPr>
          </w:p>
        </w:tc>
        <w:tc>
          <w:tcPr>
            <w:tcW w:w="1385" w:type="dxa"/>
            <w:vMerge w:val="continue"/>
            <w:vAlign w:val="center"/>
          </w:tcPr>
          <w:p>
            <w:pPr>
              <w:rPr>
                <w:rFonts w:asciiTheme="minorEastAsia" w:hAnsiTheme="minorEastAsia"/>
                <w:color w:val="000000"/>
                <w:szCs w:val="21"/>
              </w:rPr>
            </w:pPr>
          </w:p>
        </w:tc>
        <w:tc>
          <w:tcPr>
            <w:tcW w:w="6929" w:type="dxa"/>
            <w:vAlign w:val="center"/>
          </w:tcPr>
          <w:p>
            <w:pPr>
              <w:spacing w:line="276" w:lineRule="auto"/>
              <w:rPr>
                <w:rFonts w:asciiTheme="minorEastAsia" w:hAnsiTheme="minorEastAsia"/>
                <w:color w:val="000000"/>
                <w:szCs w:val="21"/>
              </w:rPr>
            </w:pPr>
            <w:r>
              <w:rPr>
                <w:rFonts w:hint="eastAsia" w:cs="仿宋" w:asciiTheme="minorEastAsia" w:hAnsiTheme="minorEastAsia"/>
                <w:szCs w:val="21"/>
              </w:rPr>
              <w:t>评委根据投标文件提供的安全保障措施和安全文明服务保障措施的科学性、合理性及可操作性等进行综合评分，上述内容全面合理、科学可行的得8分；上述内容较合理、较科学的得5分；上述内容具有的全面性、科学性、合理性与可行性一般的得</w:t>
            </w:r>
            <w:r>
              <w:rPr>
                <w:rFonts w:cs="仿宋" w:asciiTheme="minorEastAsia" w:hAnsiTheme="minorEastAsia"/>
                <w:szCs w:val="21"/>
              </w:rPr>
              <w:t>2</w:t>
            </w:r>
            <w:r>
              <w:rPr>
                <w:rFonts w:hint="eastAsia" w:cs="仿宋" w:asciiTheme="minorEastAsia" w:hAnsiTheme="minorEastAsia"/>
                <w:szCs w:val="21"/>
              </w:rPr>
              <w:t>分；未提供不得分。</w:t>
            </w:r>
          </w:p>
        </w:tc>
        <w:tc>
          <w:tcPr>
            <w:tcW w:w="691" w:type="dxa"/>
            <w:vAlign w:val="center"/>
          </w:tcPr>
          <w:p>
            <w:pPr>
              <w:widowControl/>
              <w:spacing w:line="360" w:lineRule="auto"/>
              <w:jc w:val="center"/>
              <w:rPr>
                <w:rFonts w:asciiTheme="minorEastAsia" w:hAnsiTheme="minorEastAsia"/>
                <w:color w:val="000000"/>
                <w:szCs w:val="21"/>
              </w:rPr>
            </w:pPr>
            <w:r>
              <w:rPr>
                <w:rFonts w:hint="eastAsia" w:cs="仿宋" w:asciiTheme="minorEastAsia" w:hAnsiTheme="minorEastAsia"/>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6" w:type="dxa"/>
            <w:vMerge w:val="continue"/>
            <w:vAlign w:val="center"/>
          </w:tcPr>
          <w:p>
            <w:pPr>
              <w:rPr>
                <w:rFonts w:asciiTheme="minorEastAsia" w:hAnsiTheme="minorEastAsia"/>
                <w:color w:val="000000"/>
                <w:szCs w:val="21"/>
              </w:rPr>
            </w:pPr>
          </w:p>
        </w:tc>
        <w:tc>
          <w:tcPr>
            <w:tcW w:w="1385" w:type="dxa"/>
            <w:vMerge w:val="continue"/>
            <w:vAlign w:val="center"/>
          </w:tcPr>
          <w:p>
            <w:pPr>
              <w:rPr>
                <w:rFonts w:asciiTheme="minorEastAsia" w:hAnsiTheme="minorEastAsia"/>
                <w:color w:val="000000"/>
                <w:szCs w:val="21"/>
              </w:rPr>
            </w:pPr>
          </w:p>
        </w:tc>
        <w:tc>
          <w:tcPr>
            <w:tcW w:w="6929" w:type="dxa"/>
            <w:vAlign w:val="center"/>
          </w:tcPr>
          <w:p>
            <w:pPr>
              <w:spacing w:line="276" w:lineRule="auto"/>
              <w:rPr>
                <w:rFonts w:asciiTheme="minorEastAsia" w:hAnsiTheme="minorEastAsia"/>
                <w:color w:val="000000"/>
                <w:szCs w:val="21"/>
              </w:rPr>
            </w:pPr>
            <w:r>
              <w:rPr>
                <w:rFonts w:hint="eastAsia" w:cs="仿宋" w:asciiTheme="minorEastAsia" w:hAnsiTheme="minorEastAsia"/>
                <w:szCs w:val="21"/>
              </w:rPr>
              <w:t>评委根据供应商对本项目的服务承诺进行综合评分，服务承诺全面、准确，可操作性强的得8分；服务承诺较为全面，可操作性良好的得5分；服务承诺一般的得</w:t>
            </w:r>
            <w:r>
              <w:rPr>
                <w:rFonts w:cs="仿宋" w:asciiTheme="minorEastAsia" w:hAnsiTheme="minorEastAsia"/>
                <w:szCs w:val="21"/>
              </w:rPr>
              <w:t>2</w:t>
            </w:r>
            <w:r>
              <w:rPr>
                <w:rFonts w:hint="eastAsia" w:cs="仿宋" w:asciiTheme="minorEastAsia" w:hAnsiTheme="minorEastAsia"/>
                <w:szCs w:val="21"/>
              </w:rPr>
              <w:t>分；未提供不得分。</w:t>
            </w:r>
          </w:p>
        </w:tc>
        <w:tc>
          <w:tcPr>
            <w:tcW w:w="691" w:type="dxa"/>
            <w:vAlign w:val="center"/>
          </w:tcPr>
          <w:p>
            <w:pPr>
              <w:widowControl/>
              <w:spacing w:line="360" w:lineRule="auto"/>
              <w:jc w:val="center"/>
              <w:rPr>
                <w:rFonts w:asciiTheme="minorEastAsia" w:hAnsiTheme="minorEastAsia"/>
                <w:color w:val="000000"/>
                <w:szCs w:val="21"/>
              </w:rPr>
            </w:pPr>
            <w:r>
              <w:rPr>
                <w:rFonts w:hint="eastAsia" w:cs="仿宋" w:asciiTheme="minorEastAsia" w:hAnsiTheme="minorEastAsia"/>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790" w:type="dxa"/>
            <w:gridSpan w:val="3"/>
            <w:vAlign w:val="center"/>
          </w:tcPr>
          <w:p>
            <w:pPr>
              <w:jc w:val="right"/>
              <w:rPr>
                <w:rFonts w:asciiTheme="minorEastAsia" w:hAnsiTheme="minorEastAsia"/>
                <w:color w:val="000000"/>
                <w:szCs w:val="21"/>
              </w:rPr>
            </w:pPr>
            <w:r>
              <w:rPr>
                <w:rFonts w:hint="eastAsia" w:asciiTheme="minorEastAsia" w:hAnsiTheme="minorEastAsia"/>
                <w:color w:val="000000"/>
                <w:szCs w:val="21"/>
              </w:rPr>
              <w:t>合计</w:t>
            </w:r>
          </w:p>
        </w:tc>
        <w:tc>
          <w:tcPr>
            <w:tcW w:w="691" w:type="dxa"/>
            <w:vAlign w:val="center"/>
          </w:tcPr>
          <w:p>
            <w:pPr>
              <w:rPr>
                <w:rFonts w:asciiTheme="minorEastAsia" w:hAnsiTheme="minorEastAsia"/>
                <w:color w:val="000000"/>
                <w:szCs w:val="21"/>
              </w:rPr>
            </w:pPr>
            <w:r>
              <w:rPr>
                <w:rFonts w:hint="eastAsia" w:asciiTheme="minorEastAsia" w:hAnsiTheme="minorEastAsia"/>
                <w:color w:val="000000"/>
                <w:szCs w:val="21"/>
              </w:rPr>
              <w:t>100分</w:t>
            </w:r>
          </w:p>
        </w:tc>
      </w:tr>
    </w:tbl>
    <w:p>
      <w:pPr>
        <w:spacing w:line="400" w:lineRule="exact"/>
        <w:rPr>
          <w:rFonts w:ascii="宋体" w:hAnsi="宋体"/>
          <w:b/>
          <w:bCs/>
          <w:szCs w:val="21"/>
        </w:rPr>
      </w:pPr>
      <w:r>
        <w:rPr>
          <w:rFonts w:hint="eastAsia" w:ascii="宋体" w:hAnsi="宋体"/>
          <w:b/>
          <w:bCs/>
          <w:szCs w:val="21"/>
        </w:rPr>
        <w:t>三、异常低价投标审查</w:t>
      </w:r>
    </w:p>
    <w:p>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szCs w:val="21"/>
        </w:rPr>
      </w:pPr>
      <w:r>
        <w:rPr>
          <w:rFonts w:ascii="宋体" w:hAnsi="宋体" w:eastAsia="宋体" w:cs="宋体"/>
          <w:szCs w:val="21"/>
        </w:rPr>
        <w:t>异常低价投标（响应）</w:t>
      </w:r>
    </w:p>
    <w:p>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szCs w:val="21"/>
        </w:rPr>
      </w:pPr>
      <w:r>
        <w:rPr>
          <w:rFonts w:ascii="宋体" w:hAnsi="宋体" w:eastAsia="宋体" w:cs="宋体"/>
          <w:szCs w:val="21"/>
        </w:rPr>
        <w:t>投标（响应）报价低于全部通过符合性审查供应商投标（响应）报价平均值50%的，即投标（响应）报价&lt;全部通过符合性审查供应商投标（响应）报价平均值×50%；</w:t>
      </w:r>
    </w:p>
    <w:p>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szCs w:val="21"/>
        </w:rPr>
      </w:pPr>
      <w:r>
        <w:rPr>
          <w:rFonts w:ascii="宋体" w:hAnsi="宋体" w:eastAsia="宋体" w:cs="宋体"/>
          <w:szCs w:val="21"/>
        </w:rPr>
        <w:t>投标（响应）报价低于通过符合性审查的次低报价供应商投标（响应）报价50%的，即投标（响应）报价&lt;通过符合性审查的次低报价供应商投标（响应）报价×50%；</w:t>
      </w:r>
    </w:p>
    <w:p>
      <w:pPr>
        <w:pBdr>
          <w:top w:val="none" w:color="000000" w:sz="0" w:space="0"/>
          <w:left w:val="none" w:color="000000" w:sz="0" w:space="0"/>
          <w:bottom w:val="none" w:color="000000" w:sz="0" w:space="0"/>
          <w:right w:val="none" w:color="000000" w:sz="0" w:space="0"/>
        </w:pBdr>
        <w:spacing w:line="360" w:lineRule="auto"/>
        <w:ind w:firstLine="422"/>
        <w:rPr>
          <w:szCs w:val="21"/>
        </w:rPr>
      </w:pPr>
      <w:r>
        <w:rPr>
          <w:rFonts w:ascii="宋体" w:hAnsi="宋体" w:eastAsia="宋体" w:cs="宋体"/>
          <w:szCs w:val="21"/>
        </w:rPr>
        <w:t>投标（响应）报价低于采购项目最高限价 45% 的，即投标（响应）报价&lt;采购项目最高限价×45% ；</w:t>
      </w:r>
    </w:p>
    <w:p>
      <w:pPr>
        <w:pBdr>
          <w:top w:val="none" w:color="000000" w:sz="0" w:space="0"/>
          <w:left w:val="none" w:color="000000" w:sz="0" w:space="0"/>
          <w:bottom w:val="none" w:color="000000" w:sz="0" w:space="0"/>
          <w:right w:val="none" w:color="000000" w:sz="0" w:space="0"/>
        </w:pBdr>
        <w:spacing w:line="360" w:lineRule="auto"/>
        <w:ind w:firstLine="422"/>
        <w:rPr>
          <w:szCs w:val="21"/>
        </w:rPr>
      </w:pPr>
      <w:r>
        <w:rPr>
          <w:rFonts w:ascii="宋体" w:hAnsi="宋体" w:eastAsia="宋体" w:cs="宋体"/>
          <w:szCs w:val="21"/>
        </w:rPr>
        <w:t>评审委员会认定的供应商报价过低、有可能影响产品质量或者不能诚信履约的其他情形。</w:t>
      </w:r>
    </w:p>
    <w:p>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szCs w:val="21"/>
        </w:rPr>
      </w:pPr>
      <w:r>
        <w:rPr>
          <w:rFonts w:ascii="宋体" w:hAnsi="宋体" w:eastAsia="宋体" w:cs="宋体"/>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szCs w:val="21"/>
        </w:rPr>
      </w:pPr>
      <w:r>
        <w:rPr>
          <w:rFonts w:ascii="宋体" w:hAnsi="宋体" w:eastAsia="宋体" w:cs="宋体"/>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szCs w:val="21"/>
        </w:rPr>
      </w:pPr>
      <w:r>
        <w:rPr>
          <w:rFonts w:ascii="宋体" w:hAnsi="宋体" w:eastAsia="宋体" w:cs="宋体"/>
          <w:szCs w:val="21"/>
        </w:rPr>
        <w:t>异常低价投标（响应）审查的启动原因、审查意见和审查结果应当在评审报告中记录，并随供应商提供的相关书面说明及证明材料，以及评审委员会有关互联网浏览、查询历史一并归档。</w:t>
      </w:r>
    </w:p>
    <w:p>
      <w:pPr>
        <w:tabs>
          <w:tab w:val="left" w:pos="780"/>
        </w:tabs>
        <w:ind w:left="420"/>
        <w:rPr>
          <w:rFonts w:ascii="Times New Roman" w:hAnsi="Times New Roman" w:eastAsia="宋体" w:cs="Times New Roman"/>
          <w:szCs w:val="24"/>
        </w:rPr>
      </w:pPr>
    </w:p>
    <w:p>
      <w:pPr>
        <w:ind w:firstLine="643"/>
        <w:rPr>
          <w:rFonts w:ascii="楷体_GB2312" w:hAnsi="Times New Roman" w:eastAsia="楷体_GB2312" w:cs="Times New Roman"/>
          <w:sz w:val="32"/>
          <w:szCs w:val="21"/>
        </w:rPr>
      </w:pPr>
    </w:p>
    <w:p>
      <w:pPr>
        <w:keepNext/>
        <w:keepLines/>
        <w:spacing w:before="260" w:after="260" w:line="360" w:lineRule="auto"/>
        <w:ind w:firstLine="883"/>
        <w:jc w:val="center"/>
        <w:outlineLvl w:val="1"/>
        <w:rPr>
          <w:rFonts w:ascii="宋体" w:hAnsi="宋体" w:eastAsia="宋体" w:cs="Arial"/>
          <w:b/>
          <w:bCs/>
          <w:sz w:val="44"/>
          <w:szCs w:val="44"/>
        </w:rPr>
      </w:pPr>
      <w:r>
        <w:rPr>
          <w:rFonts w:hint="eastAsia" w:ascii="宋体" w:hAnsi="宋体" w:eastAsia="宋体" w:cs="Arial"/>
          <w:b/>
          <w:bCs/>
          <w:sz w:val="44"/>
          <w:szCs w:val="44"/>
        </w:rPr>
        <w:t>第六章  竞争性磋商响应文件格式</w:t>
      </w:r>
    </w:p>
    <w:p>
      <w:pPr>
        <w:keepNext/>
        <w:keepLines/>
        <w:spacing w:before="260" w:after="260" w:line="360" w:lineRule="auto"/>
        <w:ind w:firstLine="880"/>
        <w:jc w:val="center"/>
        <w:outlineLvl w:val="1"/>
        <w:rPr>
          <w:rFonts w:ascii="宋体" w:hAnsi="宋体" w:eastAsia="宋体" w:cs="Arial"/>
          <w:b/>
          <w:bCs/>
          <w:sz w:val="44"/>
          <w:szCs w:val="44"/>
        </w:rPr>
      </w:pPr>
    </w:p>
    <w:p>
      <w:pPr>
        <w:keepNext/>
        <w:keepLines/>
        <w:spacing w:before="260" w:after="260" w:line="360" w:lineRule="auto"/>
        <w:ind w:firstLine="883"/>
        <w:jc w:val="center"/>
        <w:outlineLvl w:val="1"/>
        <w:rPr>
          <w:rFonts w:ascii="宋体" w:hAnsi="宋体" w:eastAsia="宋体" w:cs="Arial"/>
          <w:b/>
          <w:bCs/>
          <w:sz w:val="44"/>
          <w:szCs w:val="44"/>
        </w:rPr>
      </w:pPr>
      <w:r>
        <w:rPr>
          <w:rFonts w:hint="eastAsia" w:ascii="宋体" w:hAnsi="宋体" w:eastAsia="宋体" w:cs="Arial"/>
          <w:b/>
          <w:bCs/>
          <w:sz w:val="44"/>
          <w:szCs w:val="44"/>
        </w:rPr>
        <w:t xml:space="preserve"> </w:t>
      </w:r>
    </w:p>
    <w:p>
      <w:pPr>
        <w:keepNext/>
        <w:keepLines/>
        <w:spacing w:before="260" w:after="260" w:line="480" w:lineRule="auto"/>
        <w:ind w:firstLine="883"/>
        <w:jc w:val="center"/>
        <w:outlineLvl w:val="1"/>
        <w:rPr>
          <w:rFonts w:ascii="宋体" w:hAnsi="宋体" w:eastAsia="宋体" w:cs="Arial"/>
          <w:b/>
          <w:bCs/>
          <w:sz w:val="44"/>
          <w:szCs w:val="44"/>
        </w:rPr>
      </w:pPr>
      <w:r>
        <w:rPr>
          <w:rFonts w:hint="eastAsia" w:ascii="宋体" w:hAnsi="宋体" w:eastAsia="宋体" w:cs="Arial"/>
          <w:b/>
          <w:bCs/>
          <w:sz w:val="44"/>
          <w:szCs w:val="44"/>
        </w:rPr>
        <w:t>竞争性磋商响应文件</w:t>
      </w:r>
    </w:p>
    <w:p>
      <w:pPr>
        <w:keepNext/>
        <w:keepLines/>
        <w:spacing w:before="260" w:after="260" w:line="480" w:lineRule="auto"/>
        <w:ind w:firstLine="880"/>
        <w:jc w:val="center"/>
        <w:outlineLvl w:val="1"/>
        <w:rPr>
          <w:rFonts w:ascii="宋体" w:hAnsi="宋体" w:eastAsia="宋体" w:cs="Arial"/>
          <w:b/>
          <w:bCs/>
          <w:sz w:val="44"/>
          <w:szCs w:val="44"/>
        </w:rPr>
      </w:pPr>
    </w:p>
    <w:p>
      <w:pPr>
        <w:keepNext/>
        <w:keepLines/>
        <w:spacing w:before="260" w:after="260" w:line="480" w:lineRule="auto"/>
        <w:ind w:firstLine="883"/>
        <w:jc w:val="center"/>
        <w:outlineLvl w:val="1"/>
        <w:rPr>
          <w:rFonts w:ascii="宋体" w:hAnsi="宋体" w:eastAsia="宋体" w:cs="Arial"/>
          <w:b/>
          <w:bCs/>
          <w:sz w:val="44"/>
          <w:szCs w:val="44"/>
        </w:rPr>
      </w:pPr>
      <w:r>
        <w:rPr>
          <w:rFonts w:hint="eastAsia" w:ascii="宋体" w:hAnsi="宋体" w:eastAsia="宋体" w:cs="Arial"/>
          <w:b/>
          <w:bCs/>
          <w:sz w:val="44"/>
          <w:szCs w:val="44"/>
        </w:rPr>
        <w:t>（正本或副本）</w:t>
      </w:r>
    </w:p>
    <w:p>
      <w:pPr>
        <w:keepNext/>
        <w:keepLines/>
        <w:spacing w:before="260" w:after="260" w:line="480" w:lineRule="auto"/>
        <w:ind w:firstLine="880"/>
        <w:jc w:val="center"/>
        <w:outlineLvl w:val="1"/>
        <w:rPr>
          <w:rFonts w:ascii="宋体" w:hAnsi="宋体" w:eastAsia="宋体" w:cs="Arial"/>
          <w:b/>
          <w:bCs/>
          <w:sz w:val="44"/>
          <w:szCs w:val="44"/>
        </w:rPr>
      </w:pPr>
    </w:p>
    <w:p>
      <w:pPr>
        <w:keepNext/>
        <w:keepLines/>
        <w:spacing w:before="260" w:after="260" w:line="480" w:lineRule="auto"/>
        <w:ind w:firstLine="880"/>
        <w:jc w:val="center"/>
        <w:outlineLvl w:val="1"/>
        <w:rPr>
          <w:rFonts w:ascii="宋体" w:hAnsi="宋体" w:eastAsia="宋体" w:cs="Arial"/>
          <w:b/>
          <w:bCs/>
          <w:sz w:val="44"/>
          <w:szCs w:val="44"/>
        </w:rPr>
      </w:pPr>
    </w:p>
    <w:p>
      <w:pPr>
        <w:tabs>
          <w:tab w:val="left" w:pos="2410"/>
        </w:tabs>
        <w:adjustRightInd w:val="0"/>
        <w:spacing w:before="120" w:after="120" w:line="360" w:lineRule="auto"/>
        <w:ind w:left="1134" w:leftChars="540" w:firstLine="643"/>
        <w:jc w:val="left"/>
        <w:textAlignment w:val="baseline"/>
        <w:rPr>
          <w:rFonts w:ascii="宋体" w:hAnsi="宋体" w:eastAsia="宋体" w:cs="Arial"/>
          <w:bCs/>
          <w:kern w:val="0"/>
          <w:sz w:val="32"/>
          <w:szCs w:val="32"/>
        </w:rPr>
      </w:pPr>
      <w:r>
        <w:rPr>
          <w:rFonts w:hint="eastAsia" w:ascii="宋体" w:hAnsi="宋体" w:eastAsia="宋体" w:cs="Arial"/>
          <w:bCs/>
          <w:kern w:val="0"/>
          <w:sz w:val="32"/>
          <w:szCs w:val="32"/>
        </w:rPr>
        <w:t>项目名称：</w:t>
      </w:r>
      <w:r>
        <w:rPr>
          <w:rFonts w:hint="eastAsia" w:ascii="宋体" w:hAnsi="宋体" w:eastAsia="宋体" w:cs="Arial"/>
          <w:bCs/>
          <w:kern w:val="0"/>
          <w:sz w:val="32"/>
          <w:szCs w:val="32"/>
          <w:u w:val="single"/>
        </w:rPr>
        <w:t>图书馆顶部部分区域屋面防水修缮工程</w:t>
      </w:r>
    </w:p>
    <w:p>
      <w:pPr>
        <w:tabs>
          <w:tab w:val="left" w:pos="2410"/>
        </w:tabs>
        <w:adjustRightInd w:val="0"/>
        <w:spacing w:before="120" w:after="120" w:line="360" w:lineRule="auto"/>
        <w:ind w:left="1134" w:leftChars="540" w:firstLine="643"/>
        <w:jc w:val="left"/>
        <w:textAlignment w:val="baseline"/>
        <w:rPr>
          <w:rFonts w:ascii="宋体" w:hAnsi="宋体" w:eastAsia="宋体" w:cs="Arial"/>
          <w:b/>
          <w:bCs/>
          <w:kern w:val="0"/>
          <w:sz w:val="32"/>
          <w:szCs w:val="32"/>
        </w:rPr>
      </w:pPr>
      <w:r>
        <w:rPr>
          <w:rFonts w:hint="eastAsia" w:ascii="宋体" w:hAnsi="宋体" w:eastAsia="宋体" w:cs="Arial"/>
          <w:bCs/>
          <w:kern w:val="0"/>
          <w:sz w:val="32"/>
          <w:szCs w:val="32"/>
        </w:rPr>
        <w:t>项目编号：</w:t>
      </w:r>
      <w:r>
        <w:rPr>
          <w:rFonts w:hint="eastAsia" w:ascii="宋体" w:hAnsi="宋体" w:eastAsia="宋体" w:cs="Arial"/>
          <w:kern w:val="0"/>
          <w:sz w:val="32"/>
          <w:szCs w:val="32"/>
          <w:u w:val="single"/>
        </w:rPr>
        <w:t>TDCG2026016</w:t>
      </w:r>
    </w:p>
    <w:p>
      <w:pPr>
        <w:tabs>
          <w:tab w:val="left" w:pos="2410"/>
        </w:tabs>
        <w:adjustRightInd w:val="0"/>
        <w:spacing w:before="120" w:after="120" w:line="360" w:lineRule="auto"/>
        <w:ind w:left="1134" w:leftChars="540" w:firstLine="643"/>
        <w:jc w:val="left"/>
        <w:textAlignment w:val="baseline"/>
        <w:rPr>
          <w:rFonts w:ascii="宋体" w:hAnsi="宋体" w:eastAsia="宋体" w:cs="Arial"/>
          <w:bCs/>
          <w:kern w:val="0"/>
          <w:sz w:val="32"/>
          <w:szCs w:val="32"/>
        </w:rPr>
      </w:pPr>
      <w:r>
        <w:rPr>
          <w:rFonts w:hint="eastAsia" w:ascii="宋体" w:hAnsi="宋体" w:eastAsia="宋体" w:cs="Arial"/>
          <w:bCs/>
          <w:kern w:val="0"/>
          <w:sz w:val="32"/>
          <w:szCs w:val="32"/>
        </w:rPr>
        <w:t xml:space="preserve">投标人名称：               </w:t>
      </w:r>
    </w:p>
    <w:p>
      <w:pPr>
        <w:tabs>
          <w:tab w:val="left" w:pos="2410"/>
        </w:tabs>
        <w:adjustRightInd w:val="0"/>
        <w:spacing w:before="120" w:after="120" w:line="360" w:lineRule="auto"/>
        <w:ind w:left="1134" w:leftChars="540" w:firstLine="643"/>
        <w:jc w:val="left"/>
        <w:textAlignment w:val="baseline"/>
        <w:rPr>
          <w:rFonts w:ascii="宋体" w:hAnsi="宋体" w:eastAsia="宋体" w:cs="Arial"/>
          <w:bCs/>
          <w:kern w:val="0"/>
          <w:sz w:val="32"/>
          <w:szCs w:val="32"/>
        </w:rPr>
      </w:pPr>
      <w:r>
        <w:rPr>
          <w:rFonts w:hint="eastAsia" w:ascii="宋体" w:hAnsi="宋体" w:eastAsia="宋体" w:cs="Arial"/>
          <w:bCs/>
          <w:kern w:val="0"/>
          <w:sz w:val="32"/>
          <w:szCs w:val="32"/>
        </w:rPr>
        <w:t>日期：</w:t>
      </w:r>
    </w:p>
    <w:p>
      <w:pPr>
        <w:keepNext/>
        <w:keepLines/>
        <w:spacing w:before="260" w:after="260" w:line="360" w:lineRule="auto"/>
        <w:ind w:firstLine="562"/>
        <w:jc w:val="center"/>
        <w:outlineLvl w:val="1"/>
        <w:rPr>
          <w:rFonts w:ascii="宋体" w:hAnsi="宋体" w:eastAsia="宋体" w:cs="Times New Roman"/>
          <w:b/>
          <w:sz w:val="28"/>
          <w:szCs w:val="28"/>
        </w:rPr>
      </w:pPr>
      <w:bookmarkStart w:id="140" w:name="_Toc24878535"/>
      <w:bookmarkStart w:id="141" w:name="_Toc120614284"/>
      <w:bookmarkStart w:id="142" w:name="_Toc513029281"/>
      <w:bookmarkStart w:id="143" w:name="_Toc120614291"/>
      <w:bookmarkStart w:id="144" w:name="_Toc22356583"/>
      <w:bookmarkStart w:id="145" w:name="_Toc23828483"/>
      <w:bookmarkStart w:id="146" w:name="_Toc26554103"/>
      <w:bookmarkStart w:id="147" w:name="_Toc49090582"/>
      <w:r>
        <w:rPr>
          <w:rFonts w:ascii="宋体" w:hAnsi="宋体" w:eastAsia="宋体" w:cs="Times New Roman"/>
          <w:b/>
          <w:sz w:val="28"/>
          <w:szCs w:val="28"/>
        </w:rPr>
        <w:br w:type="page"/>
      </w:r>
      <w:r>
        <w:rPr>
          <w:rFonts w:hint="eastAsia" w:ascii="宋体" w:hAnsi="宋体" w:eastAsia="宋体" w:cs="Times New Roman"/>
          <w:b/>
          <w:sz w:val="28"/>
          <w:szCs w:val="28"/>
        </w:rPr>
        <w:t>评分索引表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widowControl/>
              <w:shd w:val="clear" w:color="auto" w:fill="FFFFFF"/>
              <w:spacing w:line="360" w:lineRule="auto"/>
              <w:ind w:left="420"/>
              <w:contextualSpacing/>
              <w:jc w:val="center"/>
              <w:rPr>
                <w:rFonts w:ascii="宋体" w:hAnsi="宋体" w:eastAsia="宋体" w:cs="Times New Roman"/>
                <w:b/>
                <w:bCs/>
                <w:kern w:val="0"/>
                <w:szCs w:val="21"/>
                <w:lang w:bidi="en-US"/>
              </w:rPr>
            </w:pPr>
            <w:r>
              <w:rPr>
                <w:rFonts w:hint="eastAsia" w:ascii="宋体" w:hAnsi="宋体" w:eastAsia="宋体" w:cs="Times New Roman"/>
                <w:b/>
                <w:kern w:val="0"/>
                <w:szCs w:val="21"/>
                <w:lang w:eastAsia="en-US" w:bidi="en-US"/>
              </w:rPr>
              <w:t>评分项目</w:t>
            </w:r>
          </w:p>
        </w:tc>
        <w:tc>
          <w:tcPr>
            <w:tcW w:w="3570" w:type="dxa"/>
          </w:tcPr>
          <w:p>
            <w:pPr>
              <w:spacing w:line="360" w:lineRule="auto"/>
              <w:jc w:val="center"/>
              <w:rPr>
                <w:rFonts w:ascii="宋体" w:hAnsi="宋体" w:eastAsia="宋体" w:cs="Times New Roman"/>
                <w:b/>
                <w:szCs w:val="21"/>
              </w:rPr>
            </w:pPr>
            <w:r>
              <w:rPr>
                <w:rFonts w:hint="eastAsia" w:ascii="宋体" w:hAnsi="宋体" w:eastAsia="宋体" w:cs="Times New Roman"/>
                <w:b/>
                <w:kern w:val="0"/>
                <w:szCs w:val="21"/>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widowControl/>
              <w:shd w:val="clear" w:color="auto" w:fill="FFFFFF"/>
              <w:spacing w:line="360" w:lineRule="auto"/>
              <w:ind w:left="420" w:firstLine="420"/>
              <w:contextualSpacing/>
              <w:rPr>
                <w:rFonts w:ascii="宋体" w:hAnsi="宋体" w:eastAsia="宋体" w:cs="Times New Roman"/>
                <w:b/>
                <w:kern w:val="0"/>
                <w:szCs w:val="21"/>
                <w:lang w:bidi="en-US"/>
              </w:rPr>
            </w:pPr>
          </w:p>
        </w:tc>
        <w:tc>
          <w:tcPr>
            <w:tcW w:w="3570" w:type="dxa"/>
          </w:tcPr>
          <w:p>
            <w:pPr>
              <w:spacing w:line="360" w:lineRule="auto"/>
              <w:ind w:firstLine="420"/>
              <w:rPr>
                <w:rFonts w:ascii="宋体" w:hAnsi="宋体" w:eastAsia="宋体" w:cs="Times New Roman"/>
                <w:b/>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widowControl/>
              <w:shd w:val="clear" w:color="auto" w:fill="FFFFFF"/>
              <w:spacing w:line="360" w:lineRule="auto"/>
              <w:ind w:left="420"/>
              <w:contextualSpacing/>
              <w:rPr>
                <w:rFonts w:ascii="宋体" w:hAnsi="宋体" w:eastAsia="宋体" w:cs="Times New Roman"/>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widowControl/>
              <w:shd w:val="clear" w:color="auto" w:fill="FFFFFF"/>
              <w:spacing w:line="360" w:lineRule="auto"/>
              <w:ind w:left="420"/>
              <w:contextualSpacing/>
              <w:rPr>
                <w:rFonts w:ascii="宋体" w:hAnsi="宋体" w:eastAsia="宋体" w:cs="Times New Roman"/>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widowControl/>
              <w:shd w:val="clear" w:color="auto" w:fill="FFFFFF"/>
              <w:spacing w:line="360" w:lineRule="auto"/>
              <w:ind w:left="420" w:firstLine="420"/>
              <w:contextualSpacing/>
              <w:rPr>
                <w:rFonts w:ascii="宋体" w:hAnsi="宋体" w:eastAsia="宋体" w:cs="Times New Roman"/>
                <w:b/>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widowControl/>
              <w:shd w:val="clear" w:color="auto" w:fill="FFFFFF"/>
              <w:spacing w:line="360" w:lineRule="auto"/>
              <w:ind w:left="420" w:firstLine="420"/>
              <w:contextualSpacing/>
              <w:jc w:val="left"/>
              <w:rPr>
                <w:rFonts w:ascii="宋体" w:hAnsi="宋体" w:eastAsia="宋体" w:cs="Times New Roman"/>
                <w:b/>
                <w:bCs/>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widowControl/>
              <w:shd w:val="clear" w:color="auto" w:fill="FFFFFF"/>
              <w:spacing w:line="360" w:lineRule="auto"/>
              <w:ind w:left="42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widowControl/>
              <w:shd w:val="clear" w:color="auto" w:fill="FFFFFF"/>
              <w:spacing w:line="360" w:lineRule="auto"/>
              <w:ind w:left="420" w:firstLine="420"/>
              <w:contextualSpacing/>
              <w:jc w:val="left"/>
              <w:rPr>
                <w:rFonts w:ascii="宋体" w:hAnsi="宋体" w:eastAsia="宋体" w:cs="Times New Roman"/>
                <w:b/>
                <w:bCs/>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widowControl/>
              <w:shd w:val="clear" w:color="auto" w:fill="FFFFFF"/>
              <w:spacing w:line="360" w:lineRule="auto"/>
              <w:ind w:left="420" w:firstLine="420"/>
              <w:contextualSpacing/>
              <w:rPr>
                <w:rFonts w:ascii="宋体" w:hAnsi="宋体" w:eastAsia="宋体" w:cs="Times New Roman"/>
                <w:b/>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widowControl/>
              <w:shd w:val="clear" w:color="auto" w:fill="FFFFFF"/>
              <w:spacing w:line="360" w:lineRule="auto"/>
              <w:ind w:firstLine="420" w:firstLineChars="200"/>
              <w:contextualSpacing/>
              <w:jc w:val="left"/>
              <w:rPr>
                <w:rFonts w:ascii="宋体" w:hAnsi="宋体" w:eastAsia="宋体" w:cs="Times New Roman"/>
                <w:kern w:val="0"/>
                <w:szCs w:val="21"/>
                <w:lang w:bidi="en-US"/>
              </w:rPr>
            </w:pPr>
          </w:p>
        </w:tc>
        <w:tc>
          <w:tcPr>
            <w:tcW w:w="3570" w:type="dxa"/>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widowControl/>
              <w:shd w:val="clear" w:color="auto" w:fill="FFFFFF"/>
              <w:spacing w:line="360" w:lineRule="auto"/>
              <w:ind w:firstLine="420" w:firstLineChars="200"/>
              <w:contextualSpacing/>
              <w:jc w:val="left"/>
              <w:rPr>
                <w:rFonts w:ascii="宋体" w:hAnsi="宋体" w:eastAsia="宋体" w:cs="Times New Roman"/>
                <w:kern w:val="0"/>
                <w:szCs w:val="21"/>
                <w:lang w:bidi="en-US"/>
              </w:rPr>
            </w:pPr>
          </w:p>
        </w:tc>
        <w:tc>
          <w:tcPr>
            <w:tcW w:w="3570" w:type="dxa"/>
            <w:tcBorders>
              <w:bottom w:val="single" w:color="auto" w:sz="4" w:space="0"/>
            </w:tcBorders>
          </w:tcPr>
          <w:p>
            <w:pPr>
              <w:spacing w:line="360" w:lineRule="auto"/>
              <w:rPr>
                <w:rFonts w:ascii="宋体" w:hAnsi="宋体" w:eastAsia="宋体" w:cs="Times New Roman"/>
                <w:szCs w:val="21"/>
              </w:rPr>
            </w:pPr>
          </w:p>
        </w:tc>
      </w:tr>
    </w:tbl>
    <w:p>
      <w:pPr>
        <w:spacing w:line="360" w:lineRule="auto"/>
        <w:rPr>
          <w:rFonts w:ascii="宋体" w:hAnsi="宋体" w:eastAsia="宋体" w:cs="Times New Roman"/>
          <w:color w:val="FF0000"/>
          <w:szCs w:val="24"/>
        </w:rPr>
      </w:pPr>
    </w:p>
    <w:p>
      <w:pPr>
        <w:spacing w:line="360" w:lineRule="auto"/>
        <w:ind w:firstLine="643"/>
        <w:jc w:val="center"/>
        <w:rPr>
          <w:rFonts w:ascii="宋体" w:hAnsi="宋体" w:eastAsia="宋体" w:cs="Times New Roman"/>
          <w:b/>
          <w:bCs/>
          <w:szCs w:val="21"/>
        </w:rPr>
      </w:pPr>
      <w:r>
        <w:rPr>
          <w:rFonts w:ascii="宋体" w:hAnsi="宋体" w:eastAsia="宋体" w:cs="Times New Roman"/>
          <w:b/>
          <w:color w:val="000000"/>
          <w:sz w:val="32"/>
          <w:szCs w:val="32"/>
        </w:rPr>
        <w:br w:type="page"/>
      </w:r>
      <w:r>
        <w:rPr>
          <w:rFonts w:hint="eastAsia" w:ascii="宋体" w:hAnsi="宋体" w:eastAsia="宋体" w:cs="Times New Roman"/>
          <w:b/>
          <w:bCs/>
          <w:szCs w:val="21"/>
        </w:rPr>
        <w:t>响应文件主要目录</w:t>
      </w:r>
    </w:p>
    <w:p>
      <w:pPr>
        <w:spacing w:line="360" w:lineRule="auto"/>
        <w:ind w:firstLine="420"/>
        <w:jc w:val="center"/>
        <w:rPr>
          <w:rFonts w:ascii="宋体" w:hAnsi="宋体" w:eastAsia="宋体" w:cs="Times New Roman"/>
          <w:b/>
          <w:bCs/>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一、资格性和符合性检查响应对照表</w:t>
      </w:r>
    </w:p>
    <w:p>
      <w:pPr>
        <w:spacing w:line="360" w:lineRule="auto"/>
        <w:ind w:firstLine="422" w:firstLineChars="200"/>
        <w:rPr>
          <w:rFonts w:ascii="宋体" w:hAnsi="宋体" w:eastAsia="宋体" w:cs="Times New Roman"/>
          <w:bCs/>
          <w:szCs w:val="21"/>
        </w:rPr>
      </w:pPr>
      <w:r>
        <w:rPr>
          <w:rFonts w:hint="eastAsia" w:ascii="宋体" w:hAnsi="宋体" w:eastAsia="宋体" w:cs="Times New Roman"/>
          <w:b/>
          <w:bCs/>
          <w:szCs w:val="21"/>
        </w:rPr>
        <w:t>二</w:t>
      </w:r>
      <w:r>
        <w:rPr>
          <w:rFonts w:hint="eastAsia" w:ascii="宋体" w:hAnsi="宋体" w:eastAsia="宋体" w:cs="Times New Roman"/>
          <w:szCs w:val="21"/>
        </w:rPr>
        <w:t>、</w:t>
      </w:r>
      <w:r>
        <w:rPr>
          <w:rFonts w:hint="eastAsia" w:ascii="宋体" w:hAnsi="宋体" w:eastAsia="宋体" w:cs="Times New Roman"/>
          <w:bCs/>
          <w:szCs w:val="21"/>
        </w:rPr>
        <w:t>资信证明文件</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三、磋商响应函</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四、磋商响应报价表</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五、分项报价表</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六、技术参数响应及偏离表</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七、商务条款响应及偏离表</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w:t>
      </w:r>
      <w:r>
        <w:rPr>
          <w:rFonts w:hint="eastAsia" w:ascii="宋体" w:hAnsi="宋体" w:eastAsia="宋体" w:cs="Courier New"/>
          <w:szCs w:val="21"/>
        </w:rPr>
        <w:t>、</w:t>
      </w:r>
      <w:r>
        <w:rPr>
          <w:rFonts w:ascii="宋体" w:hAnsi="宋体" w:eastAsia="宋体" w:cs="Courier New"/>
          <w:szCs w:val="21"/>
        </w:rPr>
        <w:t>……</w:t>
      </w:r>
    </w:p>
    <w:p>
      <w:pPr>
        <w:keepNext/>
        <w:keepLines/>
        <w:spacing w:before="260" w:after="260" w:line="360" w:lineRule="auto"/>
        <w:ind w:firstLine="643"/>
        <w:jc w:val="center"/>
        <w:outlineLvl w:val="1"/>
        <w:rPr>
          <w:rFonts w:ascii="宋体" w:hAnsi="宋体" w:eastAsia="幼圆" w:cs="Times New Roman"/>
          <w:color w:val="000000"/>
          <w:sz w:val="32"/>
          <w:szCs w:val="32"/>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一、资格性和符合性检查响应对照表</w:t>
      </w:r>
    </w:p>
    <w:p>
      <w:pPr>
        <w:spacing w:line="360" w:lineRule="auto"/>
        <w:ind w:firstLine="422"/>
        <w:rPr>
          <w:rFonts w:ascii="宋体" w:hAnsi="宋体" w:eastAsia="宋体" w:cs="Times New Roman"/>
          <w:color w:val="000000"/>
          <w:szCs w:val="21"/>
        </w:rPr>
      </w:pPr>
      <w:r>
        <w:rPr>
          <w:rFonts w:hint="eastAsia" w:ascii="宋体" w:hAnsi="宋体" w:eastAsia="宋体" w:cs="Times New Roman"/>
          <w:color w:val="000000"/>
          <w:szCs w:val="21"/>
        </w:rPr>
        <w:t>投标人全称（加盖公章）：</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5447" w:type="dxa"/>
            <w:vAlign w:val="center"/>
          </w:tcPr>
          <w:p>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资格和符合性检查响应内容</w:t>
            </w:r>
          </w:p>
        </w:tc>
        <w:tc>
          <w:tcPr>
            <w:tcW w:w="1680" w:type="dxa"/>
            <w:vAlign w:val="center"/>
          </w:tcPr>
          <w:p>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是否响应</w:t>
            </w:r>
          </w:p>
          <w:p>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（填是或者否）</w:t>
            </w:r>
          </w:p>
        </w:tc>
        <w:tc>
          <w:tcPr>
            <w:tcW w:w="1785" w:type="dxa"/>
            <w:vAlign w:val="center"/>
          </w:tcPr>
          <w:p>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1</w:t>
            </w:r>
          </w:p>
        </w:tc>
        <w:tc>
          <w:tcPr>
            <w:tcW w:w="5447" w:type="dxa"/>
            <w:vAlign w:val="center"/>
          </w:tcPr>
          <w:p>
            <w:pPr>
              <w:spacing w:line="360" w:lineRule="auto"/>
              <w:rPr>
                <w:rFonts w:ascii="宋体" w:hAnsi="宋体" w:eastAsia="宋体" w:cs="Times New Roman"/>
                <w:i/>
                <w:iCs/>
                <w:color w:val="000000"/>
                <w:szCs w:val="21"/>
                <w:u w:val="single"/>
              </w:rPr>
            </w:pP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2</w:t>
            </w:r>
          </w:p>
        </w:tc>
        <w:tc>
          <w:tcPr>
            <w:tcW w:w="5447" w:type="dxa"/>
            <w:vAlign w:val="center"/>
          </w:tcPr>
          <w:p>
            <w:pPr>
              <w:spacing w:line="360" w:lineRule="auto"/>
              <w:rPr>
                <w:rFonts w:ascii="宋体" w:hAnsi="宋体" w:eastAsia="宋体" w:cs="Times New Roman"/>
                <w:i/>
                <w:iCs/>
                <w:color w:val="000000"/>
                <w:szCs w:val="21"/>
                <w:u w:val="single"/>
              </w:rPr>
            </w:pP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3</w:t>
            </w:r>
          </w:p>
        </w:tc>
        <w:tc>
          <w:tcPr>
            <w:tcW w:w="5447" w:type="dxa"/>
            <w:vAlign w:val="center"/>
          </w:tcPr>
          <w:p>
            <w:pPr>
              <w:spacing w:line="360" w:lineRule="auto"/>
              <w:rPr>
                <w:rFonts w:ascii="宋体" w:hAnsi="宋体" w:eastAsia="宋体" w:cs="Times New Roman"/>
                <w:i/>
                <w:iCs/>
                <w:color w:val="000000"/>
                <w:szCs w:val="21"/>
                <w:u w:val="single"/>
              </w:rPr>
            </w:pP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4</w:t>
            </w:r>
          </w:p>
        </w:tc>
        <w:tc>
          <w:tcPr>
            <w:tcW w:w="5447" w:type="dxa"/>
            <w:vAlign w:val="center"/>
          </w:tcPr>
          <w:p>
            <w:pPr>
              <w:spacing w:line="360" w:lineRule="auto"/>
              <w:rPr>
                <w:rFonts w:ascii="宋体" w:hAnsi="宋体" w:eastAsia="宋体" w:cs="Times New Roman"/>
                <w:i/>
                <w:iCs/>
                <w:color w:val="000000"/>
                <w:szCs w:val="21"/>
                <w:u w:val="single"/>
              </w:rPr>
            </w:pP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5</w:t>
            </w:r>
          </w:p>
        </w:tc>
        <w:tc>
          <w:tcPr>
            <w:tcW w:w="5447" w:type="dxa"/>
            <w:vAlign w:val="center"/>
          </w:tcPr>
          <w:p>
            <w:pPr>
              <w:snapToGrid w:val="0"/>
              <w:spacing w:line="360" w:lineRule="auto"/>
              <w:rPr>
                <w:rFonts w:ascii="宋体" w:hAnsi="宋体" w:eastAsia="宋体" w:cs="Times New Roman"/>
                <w:i/>
                <w:iCs/>
                <w:color w:val="000000"/>
                <w:szCs w:val="21"/>
                <w:u w:val="single"/>
              </w:rPr>
            </w:pP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6</w:t>
            </w:r>
          </w:p>
        </w:tc>
        <w:tc>
          <w:tcPr>
            <w:tcW w:w="5447" w:type="dxa"/>
            <w:vAlign w:val="center"/>
          </w:tcPr>
          <w:p>
            <w:pPr>
              <w:snapToGrid w:val="0"/>
              <w:spacing w:line="360" w:lineRule="auto"/>
              <w:rPr>
                <w:rFonts w:ascii="宋体" w:hAnsi="宋体" w:eastAsia="宋体" w:cs="Times New Roman"/>
                <w:i/>
                <w:iCs/>
                <w:color w:val="000000"/>
                <w:szCs w:val="21"/>
                <w:u w:val="single"/>
              </w:rPr>
            </w:pP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pPr>
              <w:spacing w:line="360" w:lineRule="auto"/>
              <w:rPr>
                <w:rFonts w:ascii="宋体" w:hAnsi="宋体" w:eastAsia="宋体" w:cs="Times New Roman"/>
                <w:i/>
                <w:color w:val="000000"/>
                <w:szCs w:val="21"/>
                <w:u w:val="single"/>
              </w:rPr>
            </w:pPr>
            <w:r>
              <w:rPr>
                <w:rFonts w:hint="eastAsia" w:ascii="宋体" w:hAnsi="宋体" w:eastAsia="宋体" w:cs="Times New Roman"/>
                <w:i/>
                <w:color w:val="000000"/>
                <w:szCs w:val="21"/>
                <w:u w:val="single"/>
              </w:rPr>
              <w:t>7</w:t>
            </w:r>
          </w:p>
        </w:tc>
        <w:tc>
          <w:tcPr>
            <w:tcW w:w="5447" w:type="dxa"/>
            <w:vAlign w:val="center"/>
          </w:tcPr>
          <w:p>
            <w:pPr>
              <w:snapToGrid w:val="0"/>
              <w:spacing w:line="360" w:lineRule="auto"/>
              <w:rPr>
                <w:rFonts w:ascii="宋体" w:hAnsi="宋体" w:eastAsia="宋体" w:cs="Times New Roman"/>
                <w:i/>
                <w:iCs/>
                <w:color w:val="000000"/>
                <w:szCs w:val="21"/>
                <w:u w:val="single"/>
              </w:rPr>
            </w:pPr>
            <w:r>
              <w:rPr>
                <w:rFonts w:hint="eastAsia" w:ascii="宋体" w:hAnsi="宋体" w:eastAsia="宋体" w:cs="Times New Roman"/>
                <w:i/>
                <w:iCs/>
                <w:color w:val="000000"/>
                <w:szCs w:val="21"/>
                <w:u w:val="single"/>
              </w:rPr>
              <w:t>磋商文件中的其他实质性要求</w:t>
            </w:r>
          </w:p>
        </w:tc>
        <w:tc>
          <w:tcPr>
            <w:tcW w:w="1680" w:type="dxa"/>
            <w:vAlign w:val="center"/>
          </w:tcPr>
          <w:p>
            <w:pPr>
              <w:spacing w:line="360" w:lineRule="auto"/>
              <w:rPr>
                <w:rFonts w:ascii="宋体" w:hAnsi="宋体" w:eastAsia="宋体" w:cs="Times New Roman"/>
                <w:color w:val="000000"/>
                <w:szCs w:val="21"/>
              </w:rPr>
            </w:pPr>
          </w:p>
        </w:tc>
        <w:tc>
          <w:tcPr>
            <w:tcW w:w="1785" w:type="dxa"/>
            <w:vAlign w:val="center"/>
          </w:tcPr>
          <w:p>
            <w:pPr>
              <w:spacing w:line="360" w:lineRule="auto"/>
              <w:rPr>
                <w:rFonts w:ascii="宋体" w:hAnsi="宋体" w:eastAsia="宋体" w:cs="Times New Roman"/>
                <w:color w:val="000000"/>
                <w:szCs w:val="21"/>
              </w:rPr>
            </w:pPr>
          </w:p>
        </w:tc>
      </w:tr>
    </w:tbl>
    <w:p>
      <w:pPr>
        <w:spacing w:line="360" w:lineRule="auto"/>
        <w:ind w:firstLine="420" w:firstLineChars="200"/>
        <w:rPr>
          <w:rFonts w:ascii="宋体" w:hAnsi="宋体" w:eastAsia="宋体" w:cs="Times New Roman"/>
          <w:szCs w:val="21"/>
        </w:rPr>
      </w:pPr>
    </w:p>
    <w:p>
      <w:pPr>
        <w:snapToGrid w:val="0"/>
        <w:spacing w:before="50" w:after="50" w:line="360" w:lineRule="auto"/>
        <w:rPr>
          <w:rFonts w:ascii="宋体" w:hAnsi="宋体" w:eastAsia="宋体" w:cs="Times New Roman"/>
          <w:szCs w:val="21"/>
        </w:rPr>
      </w:pPr>
      <w:r>
        <w:rPr>
          <w:rFonts w:hint="eastAsia" w:ascii="宋体" w:hAnsi="宋体" w:eastAsia="宋体" w:cs="Times New Roman"/>
          <w:szCs w:val="21"/>
        </w:rPr>
        <w:t xml:space="preserve"> </w:t>
      </w:r>
    </w:p>
    <w:p>
      <w:pPr>
        <w:snapToGrid w:val="0"/>
        <w:spacing w:before="50" w:after="50" w:line="360" w:lineRule="auto"/>
        <w:rPr>
          <w:rFonts w:ascii="宋体" w:hAnsi="宋体" w:eastAsia="宋体" w:cs="Times New Roman"/>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jc w:val="center"/>
        <w:rPr>
          <w:rFonts w:ascii="宋体" w:hAnsi="宋体" w:eastAsia="宋体" w:cs="Times New Roman"/>
          <w:b/>
          <w:color w:val="000000"/>
          <w:szCs w:val="21"/>
        </w:rPr>
      </w:pPr>
    </w:p>
    <w:p>
      <w:pPr>
        <w:spacing w:line="360" w:lineRule="auto"/>
        <w:ind w:firstLine="420"/>
        <w:rPr>
          <w:rFonts w:ascii="宋体" w:hAnsi="宋体" w:eastAsia="宋体" w:cs="Times New Roman"/>
          <w:b/>
          <w:color w:val="000000"/>
          <w:szCs w:val="21"/>
        </w:rPr>
      </w:pPr>
    </w:p>
    <w:p>
      <w:pPr>
        <w:spacing w:line="36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二、资信证明文件</w:t>
      </w:r>
    </w:p>
    <w:p>
      <w:pPr>
        <w:snapToGrid w:val="0"/>
        <w:spacing w:before="50" w:after="50" w:line="360" w:lineRule="auto"/>
        <w:rPr>
          <w:rFonts w:ascii="宋体" w:hAnsi="宋体" w:eastAsia="宋体" w:cs="Times New Roman"/>
          <w:b/>
          <w:bCs/>
          <w:szCs w:val="21"/>
        </w:rPr>
      </w:pPr>
      <w:r>
        <w:rPr>
          <w:rFonts w:hint="eastAsia" w:ascii="宋体" w:hAnsi="宋体" w:eastAsia="宋体" w:cs="Times New Roman"/>
          <w:szCs w:val="21"/>
        </w:rPr>
        <w:t xml:space="preserve">   </w:t>
      </w:r>
      <w:r>
        <w:rPr>
          <w:rFonts w:hint="eastAsia" w:ascii="宋体" w:hAnsi="宋体" w:eastAsia="宋体" w:cs="Times New Roman"/>
          <w:b/>
          <w:bCs/>
          <w:szCs w:val="21"/>
        </w:rPr>
        <w:t>（一）实质性资格证明文件目录</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pPr>
        <w:widowControl/>
        <w:snapToGrid w:val="0"/>
        <w:spacing w:line="360" w:lineRule="auto"/>
        <w:ind w:right="315"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pPr>
        <w:widowControl/>
        <w:snapToGrid w:val="0"/>
        <w:spacing w:line="360" w:lineRule="auto"/>
        <w:ind w:right="315"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 xml:space="preserve">； </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4.营业执照副本</w:t>
      </w:r>
      <w:r>
        <w:rPr>
          <w:rFonts w:hint="eastAsia" w:ascii="宋体" w:hAnsi="宋体" w:eastAsia="宋体" w:cs="Arial"/>
          <w:b/>
          <w:bCs/>
          <w:i/>
          <w:iCs/>
          <w:color w:val="000000"/>
          <w:spacing w:val="-6"/>
          <w:szCs w:val="21"/>
          <w:u w:val="single"/>
        </w:rPr>
        <w:t>(复印件加盖投标人公章)</w:t>
      </w:r>
      <w:r>
        <w:rPr>
          <w:rFonts w:hint="eastAsia" w:ascii="宋体" w:hAnsi="宋体" w:eastAsia="宋体" w:cs="Arial"/>
          <w:i/>
          <w:iCs/>
          <w:color w:val="000000"/>
          <w:spacing w:val="-6"/>
          <w:szCs w:val="21"/>
          <w:u w:val="single"/>
        </w:rPr>
        <w:t>；</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5.依法缴纳职工社会保障资金的证明材料</w:t>
      </w:r>
      <w:r>
        <w:rPr>
          <w:rFonts w:hint="eastAsia" w:ascii="宋体" w:hAnsi="宋体" w:eastAsia="宋体" w:cs="Arial"/>
          <w:b/>
          <w:bCs/>
          <w:i/>
          <w:iCs/>
          <w:color w:val="000000"/>
          <w:spacing w:val="-6"/>
          <w:szCs w:val="21"/>
          <w:u w:val="single"/>
        </w:rPr>
        <w:t>(复印件加盖投标人公章)</w:t>
      </w:r>
      <w:r>
        <w:rPr>
          <w:rFonts w:hint="eastAsia" w:ascii="宋体" w:hAnsi="宋体" w:eastAsia="宋体" w:cs="Arial"/>
          <w:i/>
          <w:iCs/>
          <w:color w:val="000000"/>
          <w:spacing w:val="-6"/>
          <w:szCs w:val="21"/>
          <w:u w:val="single"/>
        </w:rPr>
        <w:t>(税务、银行或社会保险基金管理部门出具的近一年内任意一份缴纳职工社会保障资金的缴款凭证或缴款证明)</w:t>
      </w:r>
    </w:p>
    <w:p>
      <w:pPr>
        <w:widowControl/>
        <w:snapToGrid w:val="0"/>
        <w:spacing w:line="360" w:lineRule="auto"/>
        <w:ind w:firstLine="398"/>
        <w:jc w:val="left"/>
        <w:rPr>
          <w:rFonts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6.投标人近一年内任意一份依法纳税的缴款凭证</w:t>
      </w:r>
      <w:r>
        <w:rPr>
          <w:rFonts w:hint="eastAsia" w:ascii="宋体" w:hAnsi="宋体" w:eastAsia="宋体" w:cs="Arial"/>
          <w:b/>
          <w:bCs/>
          <w:i/>
          <w:iCs/>
          <w:color w:val="000000"/>
          <w:spacing w:val="-6"/>
          <w:szCs w:val="21"/>
          <w:u w:val="single"/>
        </w:rPr>
        <w:t>(复印件加盖投标人公章)</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7.上一年度财务报告（成立不足一年不需提供）</w:t>
      </w:r>
      <w:r>
        <w:rPr>
          <w:rFonts w:hint="eastAsia" w:ascii="宋体" w:hAnsi="宋体" w:eastAsia="宋体" w:cs="Arial"/>
          <w:b/>
          <w:bCs/>
          <w:i/>
          <w:iCs/>
          <w:color w:val="000000"/>
          <w:spacing w:val="-6"/>
          <w:szCs w:val="21"/>
          <w:u w:val="single"/>
        </w:rPr>
        <w:t>(复印件加盖投标人公章)</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8.投标人参加本次政府采购活动前3年内在经营活动中没有重大违法记录的书面声明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9.未被“信用中国”网站（www.creditchina.gov.cn）、“中国政府采购网"(www.ccgp.gov.cn)列入失信被执行人、重大税收违法案件当事人名单、政府采购严重违法失信行为记录名单（提供网页截图加盖投标人公章）</w:t>
      </w:r>
    </w:p>
    <w:p>
      <w:pPr>
        <w:widowControl/>
        <w:snapToGrid w:val="0"/>
        <w:spacing w:line="360"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（二）落实政府采购政策需满足的资格要求：</w:t>
      </w:r>
      <w:r>
        <w:rPr>
          <w:rFonts w:hint="eastAsia" w:ascii="宋体" w:hAnsi="宋体" w:eastAsia="宋体" w:cs="Arial"/>
          <w:i/>
          <w:iCs/>
          <w:color w:val="000000"/>
          <w:spacing w:val="-6"/>
          <w:szCs w:val="21"/>
          <w:u w:val="single"/>
        </w:rPr>
        <w:t>无</w:t>
      </w:r>
    </w:p>
    <w:p>
      <w:pPr>
        <w:widowControl/>
        <w:snapToGrid w:val="0"/>
        <w:spacing w:line="360" w:lineRule="auto"/>
        <w:ind w:firstLine="396" w:firstLineChars="200"/>
        <w:jc w:val="left"/>
        <w:rPr>
          <w:rFonts w:ascii="宋体" w:hAnsi="宋体" w:eastAsia="宋体" w:cs="Arial"/>
          <w:color w:val="000000"/>
          <w:spacing w:val="-6"/>
          <w:szCs w:val="21"/>
        </w:rPr>
      </w:pPr>
      <w:r>
        <w:rPr>
          <w:rFonts w:hint="eastAsia" w:ascii="宋体" w:hAnsi="宋体" w:eastAsia="宋体" w:cs="Arial"/>
          <w:color w:val="000000"/>
          <w:spacing w:val="-6"/>
          <w:szCs w:val="21"/>
        </w:rPr>
        <w:t>（三）本项目的特定资格要求：</w:t>
      </w:r>
    </w:p>
    <w:p>
      <w:pPr>
        <w:widowControl/>
        <w:snapToGrid w:val="0"/>
        <w:spacing w:line="384" w:lineRule="auto"/>
        <w:ind w:firstLine="396" w:firstLineChars="200"/>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1.投标人具备建筑工程施工总承包三级及以上资质</w:t>
      </w:r>
      <w:r>
        <w:rPr>
          <w:rFonts w:hint="eastAsia" w:ascii="宋体" w:hAnsi="宋体" w:eastAsia="宋体" w:cs="Arial"/>
          <w:i/>
          <w:iCs/>
          <w:spacing w:val="-6"/>
          <w:szCs w:val="21"/>
          <w:u w:val="single"/>
        </w:rPr>
        <w:t>或</w:t>
      </w:r>
      <w:r>
        <w:rPr>
          <w:rFonts w:hint="eastAsia" w:ascii="宋体" w:hAnsi="宋体" w:eastAsia="宋体" w:cs="Arial"/>
          <w:i/>
          <w:iCs/>
          <w:color w:val="000000"/>
          <w:spacing w:val="-6"/>
          <w:szCs w:val="21"/>
          <w:u w:val="single"/>
        </w:rPr>
        <w:t>防水防腐保温工程专业承包贰级及以上资质并且具有有效的安全生产许可证。（提供证书复印件加盖投标人公章）</w:t>
      </w:r>
    </w:p>
    <w:p>
      <w:pPr>
        <w:widowControl/>
        <w:snapToGrid w:val="0"/>
        <w:spacing w:line="360" w:lineRule="auto"/>
        <w:ind w:firstLine="398"/>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w:t>
      </w:r>
      <w:r>
        <w:rPr>
          <w:rFonts w:hint="eastAsia" w:ascii="宋体" w:hAnsi="宋体" w:eastAsia="宋体" w:cs="Arial"/>
          <w:i/>
          <w:iCs/>
          <w:color w:val="000000"/>
          <w:spacing w:val="-6"/>
          <w:szCs w:val="21"/>
          <w:u w:val="single"/>
          <w:lang w:eastAsia="zh-CN"/>
        </w:rPr>
        <w:t>项目经理</w:t>
      </w:r>
      <w:r>
        <w:rPr>
          <w:rFonts w:hint="eastAsia" w:ascii="宋体" w:hAnsi="宋体" w:eastAsia="宋体" w:cs="Arial"/>
          <w:i/>
          <w:iCs/>
          <w:color w:val="000000"/>
          <w:spacing w:val="-6"/>
          <w:szCs w:val="21"/>
          <w:u w:val="single"/>
        </w:rPr>
        <w:t>具备注册建造师证建筑工程二级(含)以上且具有有效的安全生产考核合格证书(B证)。（拟派项目经理为本公司正式员工，提供投标人为其缴纳的社保机构出具的近一年内任意一个月的养老保险缴费证明材料，并提供有效证书复印件加盖公章）</w:t>
      </w:r>
    </w:p>
    <w:p>
      <w:pPr>
        <w:widowControl/>
        <w:snapToGrid w:val="0"/>
        <w:spacing w:line="360" w:lineRule="auto"/>
        <w:ind w:firstLine="398"/>
        <w:jc w:val="left"/>
        <w:rPr>
          <w:rFonts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lang w:val="en-US" w:eastAsia="zh-CN"/>
        </w:rPr>
        <w:t>3.</w:t>
      </w:r>
      <w:r>
        <w:rPr>
          <w:rFonts w:hint="eastAsia" w:ascii="宋体" w:hAnsi="宋体" w:eastAsia="宋体" w:cs="宋体"/>
          <w:i/>
          <w:iCs/>
          <w:szCs w:val="21"/>
          <w:u w:val="single"/>
          <w:lang w:val="en-US" w:eastAsia="zh-CN"/>
        </w:rPr>
        <w:t>投标人</w:t>
      </w:r>
      <w:r>
        <w:rPr>
          <w:rFonts w:hint="eastAsia" w:ascii="宋体" w:hAnsi="宋体" w:cs="宋体"/>
          <w:i/>
          <w:iCs/>
          <w:szCs w:val="21"/>
          <w:u w:val="single"/>
        </w:rPr>
        <w:t>拟派项目经理无在建工程承诺书</w:t>
      </w:r>
      <w:r>
        <w:rPr>
          <w:rFonts w:hint="eastAsia" w:ascii="宋体" w:hAnsi="宋体" w:cs="宋体"/>
          <w:b/>
          <w:bCs/>
          <w:i/>
          <w:iCs/>
          <w:szCs w:val="21"/>
          <w:u w:val="single"/>
        </w:rPr>
        <w:t>（原件）</w:t>
      </w: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2"/>
        <w:rPr>
          <w:rFonts w:ascii="宋体" w:hAnsi="宋体" w:eastAsia="宋体" w:cs="Times New Roman"/>
          <w:b/>
          <w:bCs/>
          <w:szCs w:val="21"/>
        </w:rPr>
      </w:pPr>
      <w:r>
        <w:rPr>
          <w:rFonts w:hint="eastAsia" w:ascii="宋体" w:hAnsi="宋体" w:eastAsia="宋体" w:cs="Times New Roman"/>
          <w:b/>
          <w:bCs/>
          <w:szCs w:val="21"/>
        </w:rPr>
        <w:t>备注：投标文件的正本和副本中均须提供上述资信证明文件。资信证明文件须清晰可辨，若有缺失或不清晰，将导致投标被拒绝且不允许在开标后补正。</w:t>
      </w:r>
    </w:p>
    <w:p>
      <w:pPr>
        <w:tabs>
          <w:tab w:val="left" w:pos="360"/>
        </w:tabs>
        <w:spacing w:line="360" w:lineRule="auto"/>
        <w:ind w:firstLine="422"/>
        <w:rPr>
          <w:rFonts w:ascii="宋体" w:hAnsi="宋体" w:eastAsia="宋体" w:cs="Times New Roman"/>
          <w:szCs w:val="21"/>
        </w:rPr>
      </w:pP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pPr>
    </w:p>
    <w:p>
      <w:pPr>
        <w:pStyle w:val="48"/>
        <w:rPr>
          <w:rFonts w:ascii="宋体" w:hAnsi="宋体"/>
          <w:b/>
          <w:bCs/>
          <w:szCs w:val="21"/>
        </w:rPr>
      </w:pPr>
    </w:p>
    <w:p>
      <w:pPr>
        <w:pStyle w:val="48"/>
        <w:rPr>
          <w:rFonts w:ascii="宋体" w:hAnsi="宋体"/>
          <w:b/>
          <w:bCs/>
          <w:szCs w:val="21"/>
        </w:rPr>
      </w:pPr>
    </w:p>
    <w:p>
      <w:pPr>
        <w:spacing w:line="360" w:lineRule="auto"/>
        <w:ind w:firstLine="420"/>
        <w:rPr>
          <w:rFonts w:ascii="宋体" w:hAnsi="宋体" w:eastAsia="宋体" w:cs="Times New Roman"/>
          <w:b/>
          <w:color w:val="000000"/>
          <w:szCs w:val="21"/>
        </w:rPr>
      </w:pPr>
    </w:p>
    <w:p>
      <w:pPr>
        <w:spacing w:line="360" w:lineRule="auto"/>
        <w:jc w:val="both"/>
        <w:rPr>
          <w:rFonts w:ascii="宋体" w:hAnsi="宋体" w:eastAsia="宋体" w:cs="Times New Roman"/>
          <w:b/>
          <w:color w:val="000000"/>
          <w:szCs w:val="21"/>
        </w:rPr>
      </w:pPr>
    </w:p>
    <w:p>
      <w:pPr>
        <w:spacing w:line="360" w:lineRule="auto"/>
        <w:jc w:val="center"/>
        <w:rPr>
          <w:rFonts w:ascii="宋体" w:hAnsi="宋体" w:eastAsia="宋体" w:cs="Times New Roman"/>
          <w:b/>
          <w:szCs w:val="21"/>
        </w:rPr>
      </w:pPr>
      <w:r>
        <w:rPr>
          <w:rFonts w:hint="eastAsia" w:ascii="宋体" w:hAnsi="宋体" w:eastAsia="宋体" w:cs="Times New Roman"/>
          <w:b/>
          <w:color w:val="000000"/>
          <w:szCs w:val="21"/>
        </w:rPr>
        <w:t>三、磋商响应函</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致：江苏唯诚建设咨询有限公司</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根据贵方的</w:t>
      </w:r>
      <w:r>
        <w:rPr>
          <w:rFonts w:hint="eastAsia" w:ascii="宋体" w:hAnsi="宋体" w:eastAsia="宋体" w:cs="Times New Roman"/>
          <w:szCs w:val="21"/>
          <w:u w:val="single"/>
        </w:rPr>
        <w:t xml:space="preserve">       </w:t>
      </w:r>
      <w:r>
        <w:rPr>
          <w:rFonts w:hint="eastAsia" w:ascii="宋体" w:hAnsi="宋体" w:eastAsia="宋体" w:cs="Times New Roman"/>
          <w:szCs w:val="21"/>
        </w:rPr>
        <w:t>号磋商文件，正式授权下述签字人_________ (姓名和职务)代表我方______________（投标人的名称），全权处理本次项目磋商采购的有关事宜。</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据此函，__________（签字人）兹宣布同意如下：</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1.按磋商文件规定的各项要求，向买方提供所需服务。</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2.我们已详细审核全部磋商文件及其有效补充文件，我们知道必须放弃提出含糊不清或误解问题的权利。</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3.我们同意从规定的</w:t>
      </w:r>
      <w:r>
        <w:rPr>
          <w:rFonts w:hint="eastAsia" w:ascii="宋体" w:hAnsi="宋体" w:eastAsia="宋体" w:cs="Times New Roman"/>
          <w:color w:val="000000"/>
          <w:szCs w:val="21"/>
        </w:rPr>
        <w:t>响应文件接收截止时间</w:t>
      </w:r>
      <w:r>
        <w:rPr>
          <w:rFonts w:hint="eastAsia" w:ascii="宋体" w:hAnsi="宋体" w:eastAsia="宋体" w:cs="Times New Roman"/>
          <w:szCs w:val="21"/>
        </w:rPr>
        <w:t>起遵循本响应文件，并在规定的磋商有效期期满之前均具有约束力。</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4.同意向贵方提供贵方可能另外要求的与磋商采购有关的任何证据或资料，并保证我方已提供和将要提供的文件是真实的、准确的。</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5.一旦我方成交，我方将根据磋商文件的规定，严格履行合同的责任和义务，并保证在磋商文件规定的时间完成项目，交付买方验收、使用。</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6.遵守磋商文件中要求的收费项目和标准。</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7.与本磋商采购有关的正式通讯地址为：</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地 址：                         邮 编：</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电 话：                         传 真：</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 xml:space="preserve">投标人开户行：                  账 户： </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法定代表人或授权代表姓名（签字）：     联系电话：</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 xml:space="preserve">投标人名称（公章）：            </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日 期：________年____月____日</w:t>
      </w: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pPr>
    </w:p>
    <w:p>
      <w:pPr>
        <w:tabs>
          <w:tab w:val="left" w:pos="360"/>
        </w:tabs>
        <w:spacing w:line="360" w:lineRule="auto"/>
        <w:ind w:firstLine="420"/>
        <w:jc w:val="center"/>
        <w:rPr>
          <w:rFonts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pPr>
        <w:spacing w:line="360" w:lineRule="auto"/>
        <w:ind w:firstLine="422" w:firstLineChars="200"/>
        <w:jc w:val="center"/>
        <w:rPr>
          <w:rFonts w:ascii="宋体" w:hAnsi="宋体" w:eastAsia="宋体" w:cs="Times New Roman"/>
          <w:b/>
          <w:bCs/>
          <w:szCs w:val="21"/>
        </w:rPr>
      </w:pPr>
      <w:r>
        <w:rPr>
          <w:rFonts w:hint="eastAsia" w:ascii="宋体" w:hAnsi="宋体" w:eastAsia="宋体" w:cs="Times New Roman"/>
          <w:b/>
          <w:bCs/>
          <w:szCs w:val="21"/>
        </w:rPr>
        <w:t>资 格 声 明</w:t>
      </w:r>
    </w:p>
    <w:p>
      <w:pPr>
        <w:spacing w:line="360" w:lineRule="auto"/>
        <w:rPr>
          <w:rFonts w:ascii="宋体" w:hAnsi="宋体" w:eastAsia="宋体" w:cs="Times New Roman"/>
          <w:szCs w:val="21"/>
        </w:rPr>
      </w:pPr>
      <w:r>
        <w:rPr>
          <w:rFonts w:hint="eastAsia" w:ascii="宋体" w:hAnsi="宋体" w:eastAsia="宋体" w:cs="Times New Roman"/>
          <w:szCs w:val="21"/>
        </w:rPr>
        <w:t>1、名称及其它情况：</w:t>
      </w:r>
    </w:p>
    <w:p>
      <w:pPr>
        <w:spacing w:line="360" w:lineRule="auto"/>
        <w:rPr>
          <w:rFonts w:ascii="宋体" w:hAnsi="宋体" w:eastAsia="宋体" w:cs="Times New Roman"/>
          <w:szCs w:val="21"/>
        </w:rPr>
      </w:pPr>
      <w:r>
        <w:rPr>
          <w:rFonts w:hint="eastAsia" w:ascii="宋体" w:hAnsi="宋体" w:eastAsia="宋体" w:cs="Times New Roman"/>
          <w:szCs w:val="21"/>
        </w:rPr>
        <w:t>（1）投标人名称：</w:t>
      </w:r>
      <w:r>
        <w:rPr>
          <w:rFonts w:hint="eastAsia" w:ascii="宋体" w:hAnsi="宋体" w:eastAsia="宋体" w:cs="Times New Roman"/>
          <w:szCs w:val="21"/>
          <w:u w:val="single"/>
        </w:rPr>
        <w:t xml:space="preserve">                            </w:t>
      </w:r>
    </w:p>
    <w:p>
      <w:pPr>
        <w:tabs>
          <w:tab w:val="left" w:pos="4530"/>
        </w:tabs>
        <w:spacing w:line="360" w:lineRule="auto"/>
        <w:rPr>
          <w:rFonts w:ascii="宋体" w:hAnsi="宋体" w:eastAsia="宋体" w:cs="Times New Roman"/>
          <w:szCs w:val="21"/>
        </w:rPr>
      </w:pPr>
      <w:r>
        <w:rPr>
          <w:rFonts w:hint="eastAsia" w:ascii="宋体" w:hAnsi="宋体" w:eastAsia="宋体" w:cs="Times New Roman"/>
          <w:szCs w:val="21"/>
        </w:rPr>
        <w:t>（2）地址：</w:t>
      </w:r>
      <w:r>
        <w:rPr>
          <w:rFonts w:hint="eastAsia" w:ascii="宋体" w:hAnsi="宋体" w:eastAsia="宋体" w:cs="Times New Roman"/>
          <w:szCs w:val="21"/>
          <w:u w:val="single"/>
        </w:rPr>
        <w:t xml:space="preserve">                           </w:t>
      </w:r>
      <w:r>
        <w:rPr>
          <w:rFonts w:hint="eastAsia" w:ascii="宋体" w:hAnsi="宋体" w:eastAsia="宋体" w:cs="Times New Roman"/>
          <w:szCs w:val="21"/>
        </w:rPr>
        <w:tab/>
      </w:r>
      <w:r>
        <w:rPr>
          <w:rFonts w:hint="eastAsia" w:ascii="宋体" w:hAnsi="宋体" w:eastAsia="宋体" w:cs="Times New Roman"/>
          <w:szCs w:val="21"/>
        </w:rPr>
        <w:t>邮编：</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pPr>
        <w:tabs>
          <w:tab w:val="left" w:pos="600"/>
          <w:tab w:val="left" w:pos="4320"/>
        </w:tabs>
        <w:spacing w:line="360" w:lineRule="auto"/>
        <w:ind w:firstLine="525" w:firstLineChars="250"/>
        <w:rPr>
          <w:rFonts w:ascii="宋体" w:hAnsi="宋体" w:eastAsia="宋体" w:cs="Times New Roman"/>
          <w:szCs w:val="21"/>
        </w:rPr>
      </w:pP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传真：</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u w:val="single"/>
        </w:rPr>
      </w:pPr>
      <w:r>
        <w:rPr>
          <w:rFonts w:hint="eastAsia" w:ascii="宋体" w:hAnsi="宋体" w:eastAsia="宋体" w:cs="Times New Roman"/>
          <w:szCs w:val="21"/>
        </w:rPr>
        <w:t>（3）成立和/或注册日期：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pPr>
        <w:spacing w:line="360" w:lineRule="auto"/>
        <w:rPr>
          <w:rFonts w:ascii="宋体" w:hAnsi="宋体" w:eastAsia="宋体" w:cs="Times New Roman"/>
          <w:szCs w:val="21"/>
        </w:rPr>
      </w:pPr>
      <w:r>
        <w:rPr>
          <w:rFonts w:hint="eastAsia" w:ascii="宋体" w:hAnsi="宋体" w:eastAsia="宋体" w:cs="Times New Roman"/>
          <w:szCs w:val="21"/>
        </w:rPr>
        <w:t>（4）法定代表人：</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u w:val="single"/>
        </w:rPr>
      </w:pPr>
      <w:r>
        <w:rPr>
          <w:rFonts w:hint="eastAsia" w:ascii="宋体" w:hAnsi="宋体" w:eastAsia="宋体" w:cs="Times New Roman"/>
          <w:szCs w:val="21"/>
        </w:rPr>
        <w:t>（5）实收资本：</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r>
        <w:rPr>
          <w:rFonts w:hint="eastAsia" w:ascii="宋体" w:hAnsi="宋体" w:eastAsia="宋体" w:cs="Times New Roman"/>
          <w:szCs w:val="21"/>
        </w:rPr>
        <w:t>（6）近期资产负债表：（到</w:t>
      </w:r>
      <w:r>
        <w:rPr>
          <w:rFonts w:hint="eastAsia" w:ascii="宋体" w:hAnsi="宋体" w:eastAsia="宋体" w:cs="Times New Roman"/>
          <w:szCs w:val="21"/>
          <w:u w:val="single"/>
        </w:rPr>
        <w:t>20  年12月31日</w:t>
      </w:r>
      <w:r>
        <w:rPr>
          <w:rFonts w:hint="eastAsia" w:ascii="宋体" w:hAnsi="宋体" w:eastAsia="宋体" w:cs="Times New Roman"/>
          <w:szCs w:val="21"/>
        </w:rPr>
        <w:t>）</w:t>
      </w:r>
    </w:p>
    <w:p>
      <w:pPr>
        <w:spacing w:line="360" w:lineRule="auto"/>
        <w:ind w:firstLine="422"/>
        <w:rPr>
          <w:rFonts w:ascii="宋体" w:hAnsi="宋体" w:eastAsia="宋体" w:cs="Times New Roman"/>
          <w:szCs w:val="21"/>
        </w:rPr>
      </w:pPr>
      <w:r>
        <w:rPr>
          <w:rFonts w:hint="eastAsia" w:ascii="宋体" w:hAnsi="宋体" w:eastAsia="宋体" w:cs="Times New Roman"/>
          <w:szCs w:val="21"/>
        </w:rPr>
        <w:t>&lt;1&gt; 固定资产：</w:t>
      </w:r>
      <w:r>
        <w:rPr>
          <w:rFonts w:hint="eastAsia" w:ascii="宋体" w:hAnsi="宋体" w:eastAsia="宋体" w:cs="Times New Roman"/>
          <w:szCs w:val="21"/>
          <w:u w:val="single"/>
        </w:rPr>
        <w:t xml:space="preserve">                          </w:t>
      </w:r>
    </w:p>
    <w:p>
      <w:pPr>
        <w:spacing w:line="360" w:lineRule="auto"/>
        <w:ind w:firstLine="422"/>
        <w:rPr>
          <w:rFonts w:ascii="宋体" w:hAnsi="宋体" w:eastAsia="宋体" w:cs="Times New Roman"/>
          <w:szCs w:val="21"/>
        </w:rPr>
      </w:pPr>
      <w:r>
        <w:rPr>
          <w:rFonts w:hint="eastAsia" w:ascii="宋体" w:hAnsi="宋体" w:eastAsia="宋体" w:cs="Times New Roman"/>
          <w:szCs w:val="21"/>
        </w:rPr>
        <w:t>&lt;2&gt; 流动资金：</w:t>
      </w:r>
      <w:r>
        <w:rPr>
          <w:rFonts w:hint="eastAsia" w:ascii="宋体" w:hAnsi="宋体" w:eastAsia="宋体" w:cs="Times New Roman"/>
          <w:szCs w:val="21"/>
          <w:u w:val="single"/>
        </w:rPr>
        <w:t xml:space="preserve">                          </w:t>
      </w:r>
    </w:p>
    <w:p>
      <w:pPr>
        <w:spacing w:line="360" w:lineRule="auto"/>
        <w:ind w:firstLine="422"/>
        <w:rPr>
          <w:rFonts w:ascii="宋体" w:hAnsi="宋体" w:eastAsia="宋体" w:cs="Times New Roman"/>
          <w:szCs w:val="21"/>
        </w:rPr>
      </w:pPr>
      <w:r>
        <w:rPr>
          <w:rFonts w:hint="eastAsia" w:ascii="宋体" w:hAnsi="宋体" w:eastAsia="宋体" w:cs="Times New Roman"/>
          <w:szCs w:val="21"/>
        </w:rPr>
        <w:t>&lt;3&gt; 长期负债：</w:t>
      </w:r>
      <w:r>
        <w:rPr>
          <w:rFonts w:hint="eastAsia" w:ascii="宋体" w:hAnsi="宋体" w:eastAsia="宋体" w:cs="Times New Roman"/>
          <w:szCs w:val="21"/>
          <w:u w:val="single"/>
        </w:rPr>
        <w:t xml:space="preserve">                          </w:t>
      </w:r>
    </w:p>
    <w:p>
      <w:pPr>
        <w:spacing w:line="360" w:lineRule="auto"/>
        <w:ind w:firstLine="422"/>
        <w:rPr>
          <w:rFonts w:ascii="宋体" w:hAnsi="宋体" w:eastAsia="宋体" w:cs="Times New Roman"/>
          <w:szCs w:val="21"/>
        </w:rPr>
      </w:pPr>
      <w:r>
        <w:rPr>
          <w:rFonts w:hint="eastAsia" w:ascii="宋体" w:hAnsi="宋体" w:eastAsia="宋体" w:cs="Times New Roman"/>
          <w:szCs w:val="21"/>
        </w:rPr>
        <w:t>&lt;4&gt; 短期负债：</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r>
        <w:rPr>
          <w:rFonts w:hint="eastAsia" w:ascii="宋体" w:hAnsi="宋体" w:eastAsia="宋体" w:cs="Times New Roman"/>
          <w:szCs w:val="21"/>
        </w:rPr>
        <w:t>2、近三年同类货物和服务的主要销售业绩（无有效联系人、联系方式和合同复印件的视为未填报本项目）：</w:t>
      </w:r>
    </w:p>
    <w:tbl>
      <w:tblPr>
        <w:tblStyle w:val="39"/>
        <w:tblW w:w="9286" w:type="dxa"/>
        <w:tblInd w:w="0" w:type="dxa"/>
        <w:tblLayout w:type="fixed"/>
        <w:tblCellMar>
          <w:top w:w="0" w:type="dxa"/>
          <w:left w:w="108" w:type="dxa"/>
          <w:bottom w:w="0" w:type="dxa"/>
          <w:right w:w="108" w:type="dxa"/>
        </w:tblCellMar>
      </w:tblPr>
      <w:tblGrid>
        <w:gridCol w:w="4643"/>
        <w:gridCol w:w="4643"/>
      </w:tblGrid>
      <w:tr>
        <w:tc>
          <w:tcPr>
            <w:tcW w:w="4643" w:type="dxa"/>
          </w:tcPr>
          <w:p>
            <w:pPr>
              <w:spacing w:line="360" w:lineRule="auto"/>
              <w:jc w:val="center"/>
              <w:rPr>
                <w:rFonts w:ascii="宋体" w:hAnsi="宋体" w:eastAsia="宋体" w:cs="Times New Roman"/>
                <w:szCs w:val="21"/>
                <w:u w:val="single"/>
              </w:rPr>
            </w:pPr>
            <w:r>
              <w:rPr>
                <w:rFonts w:hint="eastAsia" w:ascii="宋体" w:hAnsi="宋体" w:eastAsia="宋体" w:cs="Times New Roman"/>
                <w:szCs w:val="21"/>
                <w:u w:val="single"/>
              </w:rPr>
              <w:t>甲方名称、联系人、联系方式</w:t>
            </w:r>
          </w:p>
        </w:tc>
        <w:tc>
          <w:tcPr>
            <w:tcW w:w="4643" w:type="dxa"/>
          </w:tcPr>
          <w:p>
            <w:pPr>
              <w:spacing w:line="360" w:lineRule="auto"/>
              <w:jc w:val="center"/>
              <w:rPr>
                <w:rFonts w:ascii="宋体" w:hAnsi="宋体" w:eastAsia="宋体" w:cs="Times New Roman"/>
                <w:szCs w:val="21"/>
                <w:u w:val="single"/>
              </w:rPr>
            </w:pPr>
            <w:r>
              <w:rPr>
                <w:rFonts w:hint="eastAsia" w:ascii="宋体" w:hAnsi="宋体" w:eastAsia="宋体" w:cs="Times New Roman"/>
                <w:szCs w:val="21"/>
                <w:u w:val="single"/>
              </w:rPr>
              <w:t>项   目   名   称</w:t>
            </w:r>
          </w:p>
        </w:tc>
      </w:tr>
      <w:tr>
        <w:tblPrEx>
          <w:tblCellMar>
            <w:top w:w="0" w:type="dxa"/>
            <w:left w:w="108" w:type="dxa"/>
            <w:bottom w:w="0" w:type="dxa"/>
            <w:right w:w="108" w:type="dxa"/>
          </w:tblCellMar>
        </w:tblPrEx>
        <w:tc>
          <w:tcPr>
            <w:tcW w:w="4643" w:type="dxa"/>
          </w:tcPr>
          <w:p>
            <w:pPr>
              <w:spacing w:line="360" w:lineRule="auto"/>
              <w:rPr>
                <w:rFonts w:ascii="宋体" w:hAnsi="宋体" w:eastAsia="宋体" w:cs="Times New Roman"/>
                <w:szCs w:val="21"/>
              </w:rPr>
            </w:pPr>
            <w:r>
              <w:rPr>
                <w:rFonts w:hint="eastAsia" w:ascii="宋体" w:hAnsi="宋体" w:eastAsia="宋体" w:cs="Times New Roman"/>
                <w:szCs w:val="21"/>
                <w:u w:val="single"/>
              </w:rPr>
              <w:t xml:space="preserve">                                                    </w:t>
            </w:r>
          </w:p>
        </w:tc>
        <w:tc>
          <w:tcPr>
            <w:tcW w:w="4643" w:type="dxa"/>
          </w:tcPr>
          <w:p>
            <w:pPr>
              <w:spacing w:line="360" w:lineRule="auto"/>
              <w:rPr>
                <w:rFonts w:ascii="宋体" w:hAnsi="宋体" w:eastAsia="宋体" w:cs="Times New Roman"/>
                <w:szCs w:val="21"/>
              </w:rPr>
            </w:pPr>
            <w:r>
              <w:rPr>
                <w:rFonts w:hint="eastAsia" w:ascii="宋体" w:hAnsi="宋体" w:eastAsia="宋体" w:cs="Times New Roman"/>
                <w:szCs w:val="21"/>
                <w:u w:val="single"/>
              </w:rPr>
              <w:t xml:space="preserve">                                          </w:t>
            </w:r>
          </w:p>
        </w:tc>
      </w:tr>
    </w:tbl>
    <w:p>
      <w:pPr>
        <w:spacing w:line="360" w:lineRule="auto"/>
        <w:rPr>
          <w:rFonts w:ascii="宋体" w:hAnsi="宋体" w:eastAsia="宋体" w:cs="Times New Roman"/>
          <w:szCs w:val="21"/>
        </w:rPr>
      </w:pPr>
      <w:r>
        <w:rPr>
          <w:rFonts w:hint="eastAsia" w:ascii="宋体" w:hAnsi="宋体" w:eastAsia="宋体" w:cs="Times New Roman"/>
          <w:szCs w:val="21"/>
        </w:rPr>
        <w:t xml:space="preserve">3、近三年的营业额： </w:t>
      </w:r>
    </w:p>
    <w:tbl>
      <w:tblPr>
        <w:tblStyle w:val="39"/>
        <w:tblW w:w="0" w:type="auto"/>
        <w:tblInd w:w="0" w:type="dxa"/>
        <w:tblLayout w:type="fixed"/>
        <w:tblCellMar>
          <w:top w:w="0" w:type="dxa"/>
          <w:left w:w="108" w:type="dxa"/>
          <w:bottom w:w="0" w:type="dxa"/>
          <w:right w:w="108" w:type="dxa"/>
        </w:tblCellMar>
      </w:tblPr>
      <w:tblGrid>
        <w:gridCol w:w="2321"/>
        <w:gridCol w:w="2322"/>
        <w:gridCol w:w="2321"/>
        <w:gridCol w:w="2322"/>
      </w:tblGrid>
      <w:tr>
        <w:tblPrEx>
          <w:tblCellMar>
            <w:top w:w="0" w:type="dxa"/>
            <w:left w:w="108" w:type="dxa"/>
            <w:bottom w:w="0" w:type="dxa"/>
            <w:right w:w="108" w:type="dxa"/>
          </w:tblCellMar>
        </w:tblPrEx>
        <w:tc>
          <w:tcPr>
            <w:tcW w:w="2321" w:type="dxa"/>
          </w:tcPr>
          <w:p>
            <w:pPr>
              <w:spacing w:line="360" w:lineRule="auto"/>
              <w:jc w:val="center"/>
              <w:rPr>
                <w:rFonts w:ascii="宋体" w:hAnsi="宋体" w:eastAsia="宋体" w:cs="Times New Roman"/>
                <w:szCs w:val="21"/>
              </w:rPr>
            </w:pPr>
            <w:r>
              <w:rPr>
                <w:rFonts w:hint="eastAsia" w:ascii="宋体" w:hAnsi="宋体" w:eastAsia="宋体" w:cs="Times New Roman"/>
                <w:szCs w:val="21"/>
              </w:rPr>
              <w:t>年    份</w:t>
            </w:r>
          </w:p>
        </w:tc>
        <w:tc>
          <w:tcPr>
            <w:tcW w:w="2322" w:type="dxa"/>
          </w:tcPr>
          <w:p>
            <w:pPr>
              <w:spacing w:line="360" w:lineRule="auto"/>
              <w:jc w:val="center"/>
              <w:rPr>
                <w:rFonts w:ascii="宋体" w:hAnsi="宋体" w:eastAsia="宋体" w:cs="Times New Roman"/>
                <w:szCs w:val="21"/>
              </w:rPr>
            </w:pPr>
            <w:r>
              <w:rPr>
                <w:rFonts w:hint="eastAsia" w:ascii="宋体" w:hAnsi="宋体" w:eastAsia="宋体" w:cs="Times New Roman"/>
                <w:szCs w:val="21"/>
              </w:rPr>
              <w:t>国    内（万元）</w:t>
            </w:r>
          </w:p>
        </w:tc>
        <w:tc>
          <w:tcPr>
            <w:tcW w:w="2321" w:type="dxa"/>
          </w:tcPr>
          <w:p>
            <w:pPr>
              <w:spacing w:line="360" w:lineRule="auto"/>
              <w:jc w:val="center"/>
              <w:rPr>
                <w:rFonts w:ascii="宋体" w:hAnsi="宋体" w:eastAsia="宋体" w:cs="Times New Roman"/>
                <w:szCs w:val="21"/>
              </w:rPr>
            </w:pPr>
            <w:r>
              <w:rPr>
                <w:rFonts w:hint="eastAsia" w:ascii="宋体" w:hAnsi="宋体" w:eastAsia="宋体" w:cs="Times New Roman"/>
                <w:szCs w:val="21"/>
              </w:rPr>
              <w:t>出    口（万元）</w:t>
            </w:r>
          </w:p>
        </w:tc>
        <w:tc>
          <w:tcPr>
            <w:tcW w:w="2322" w:type="dxa"/>
          </w:tcPr>
          <w:p>
            <w:pPr>
              <w:spacing w:line="360" w:lineRule="auto"/>
              <w:jc w:val="center"/>
              <w:rPr>
                <w:rFonts w:ascii="宋体" w:hAnsi="宋体" w:eastAsia="宋体" w:cs="Times New Roman"/>
                <w:szCs w:val="21"/>
              </w:rPr>
            </w:pPr>
            <w:r>
              <w:rPr>
                <w:rFonts w:hint="eastAsia" w:ascii="宋体" w:hAnsi="宋体" w:eastAsia="宋体" w:cs="Times New Roman"/>
                <w:szCs w:val="21"/>
              </w:rPr>
              <w:t>总    额（万元）</w:t>
            </w:r>
          </w:p>
        </w:tc>
      </w:tr>
      <w:tr>
        <w:tblPrEx>
          <w:tblCellMar>
            <w:top w:w="0" w:type="dxa"/>
            <w:left w:w="108" w:type="dxa"/>
            <w:bottom w:w="0" w:type="dxa"/>
            <w:right w:w="108" w:type="dxa"/>
          </w:tblCellMar>
        </w:tblPrEx>
        <w:tc>
          <w:tcPr>
            <w:tcW w:w="2321" w:type="dxa"/>
          </w:tcPr>
          <w:p>
            <w:pPr>
              <w:spacing w:line="360" w:lineRule="auto"/>
              <w:jc w:val="center"/>
              <w:rPr>
                <w:rFonts w:ascii="宋体" w:hAnsi="宋体" w:eastAsia="宋体" w:cs="Times New Roman"/>
                <w:szCs w:val="21"/>
              </w:rPr>
            </w:pPr>
            <w:r>
              <w:rPr>
                <w:rFonts w:hint="eastAsia" w:ascii="宋体" w:hAnsi="宋体" w:eastAsia="宋体" w:cs="Times New Roman"/>
                <w:szCs w:val="21"/>
              </w:rPr>
              <w:t xml:space="preserve">    年</w:t>
            </w:r>
          </w:p>
        </w:tc>
        <w:tc>
          <w:tcPr>
            <w:tcW w:w="2322" w:type="dxa"/>
          </w:tcPr>
          <w:p>
            <w:pPr>
              <w:spacing w:line="360" w:lineRule="auto"/>
              <w:rPr>
                <w:rFonts w:ascii="宋体" w:hAnsi="宋体" w:eastAsia="宋体" w:cs="Times New Roman"/>
                <w:szCs w:val="21"/>
              </w:rPr>
            </w:pPr>
          </w:p>
        </w:tc>
        <w:tc>
          <w:tcPr>
            <w:tcW w:w="2321" w:type="dxa"/>
          </w:tcPr>
          <w:p>
            <w:pPr>
              <w:spacing w:line="360" w:lineRule="auto"/>
              <w:rPr>
                <w:rFonts w:ascii="宋体" w:hAnsi="宋体" w:eastAsia="宋体" w:cs="Times New Roman"/>
                <w:szCs w:val="21"/>
              </w:rPr>
            </w:pPr>
          </w:p>
        </w:tc>
        <w:tc>
          <w:tcPr>
            <w:tcW w:w="2322" w:type="dxa"/>
          </w:tcPr>
          <w:p>
            <w:pPr>
              <w:spacing w:line="360" w:lineRule="auto"/>
              <w:rPr>
                <w:rFonts w:ascii="宋体" w:hAnsi="宋体" w:eastAsia="宋体" w:cs="Times New Roman"/>
                <w:szCs w:val="21"/>
              </w:rPr>
            </w:pPr>
          </w:p>
        </w:tc>
      </w:tr>
      <w:tr>
        <w:tblPrEx>
          <w:tblCellMar>
            <w:top w:w="0" w:type="dxa"/>
            <w:left w:w="108" w:type="dxa"/>
            <w:bottom w:w="0" w:type="dxa"/>
            <w:right w:w="108" w:type="dxa"/>
          </w:tblCellMar>
        </w:tblPrEx>
        <w:tc>
          <w:tcPr>
            <w:tcW w:w="2321" w:type="dxa"/>
          </w:tcPr>
          <w:p>
            <w:pPr>
              <w:spacing w:line="360" w:lineRule="auto"/>
              <w:jc w:val="center"/>
              <w:rPr>
                <w:rFonts w:ascii="宋体" w:hAnsi="宋体" w:eastAsia="宋体" w:cs="Times New Roman"/>
                <w:szCs w:val="21"/>
              </w:rPr>
            </w:pPr>
            <w:r>
              <w:rPr>
                <w:rFonts w:hint="eastAsia" w:ascii="宋体" w:hAnsi="宋体" w:eastAsia="宋体" w:cs="Times New Roman"/>
                <w:szCs w:val="21"/>
              </w:rPr>
              <w:t xml:space="preserve">    年</w:t>
            </w:r>
          </w:p>
        </w:tc>
        <w:tc>
          <w:tcPr>
            <w:tcW w:w="2322" w:type="dxa"/>
          </w:tcPr>
          <w:p>
            <w:pPr>
              <w:spacing w:line="360" w:lineRule="auto"/>
              <w:rPr>
                <w:rFonts w:ascii="宋体" w:hAnsi="宋体" w:eastAsia="宋体" w:cs="Times New Roman"/>
                <w:szCs w:val="21"/>
              </w:rPr>
            </w:pPr>
          </w:p>
        </w:tc>
        <w:tc>
          <w:tcPr>
            <w:tcW w:w="2321" w:type="dxa"/>
          </w:tcPr>
          <w:p>
            <w:pPr>
              <w:spacing w:line="360" w:lineRule="auto"/>
              <w:rPr>
                <w:rFonts w:ascii="宋体" w:hAnsi="宋体" w:eastAsia="宋体" w:cs="Times New Roman"/>
                <w:szCs w:val="21"/>
              </w:rPr>
            </w:pPr>
          </w:p>
        </w:tc>
        <w:tc>
          <w:tcPr>
            <w:tcW w:w="2322" w:type="dxa"/>
          </w:tcPr>
          <w:p>
            <w:pPr>
              <w:spacing w:line="360" w:lineRule="auto"/>
              <w:rPr>
                <w:rFonts w:ascii="宋体" w:hAnsi="宋体" w:eastAsia="宋体" w:cs="Times New Roman"/>
                <w:szCs w:val="21"/>
              </w:rPr>
            </w:pPr>
          </w:p>
        </w:tc>
      </w:tr>
      <w:tr>
        <w:tblPrEx>
          <w:tblCellMar>
            <w:top w:w="0" w:type="dxa"/>
            <w:left w:w="108" w:type="dxa"/>
            <w:bottom w:w="0" w:type="dxa"/>
            <w:right w:w="108" w:type="dxa"/>
          </w:tblCellMar>
        </w:tblPrEx>
        <w:tc>
          <w:tcPr>
            <w:tcW w:w="2321" w:type="dxa"/>
          </w:tcPr>
          <w:p>
            <w:pPr>
              <w:spacing w:line="360" w:lineRule="auto"/>
              <w:jc w:val="center"/>
              <w:rPr>
                <w:rFonts w:ascii="宋体" w:hAnsi="宋体" w:eastAsia="宋体" w:cs="Times New Roman"/>
                <w:szCs w:val="21"/>
              </w:rPr>
            </w:pPr>
            <w:r>
              <w:rPr>
                <w:rFonts w:hint="eastAsia" w:ascii="宋体" w:hAnsi="宋体" w:eastAsia="宋体" w:cs="Times New Roman"/>
                <w:szCs w:val="21"/>
              </w:rPr>
              <w:t xml:space="preserve">    年</w:t>
            </w:r>
          </w:p>
        </w:tc>
        <w:tc>
          <w:tcPr>
            <w:tcW w:w="2322" w:type="dxa"/>
          </w:tcPr>
          <w:p>
            <w:pPr>
              <w:spacing w:line="360" w:lineRule="auto"/>
              <w:rPr>
                <w:rFonts w:ascii="宋体" w:hAnsi="宋体" w:eastAsia="宋体" w:cs="Times New Roman"/>
                <w:szCs w:val="21"/>
              </w:rPr>
            </w:pPr>
          </w:p>
        </w:tc>
        <w:tc>
          <w:tcPr>
            <w:tcW w:w="2321" w:type="dxa"/>
          </w:tcPr>
          <w:p>
            <w:pPr>
              <w:spacing w:line="360" w:lineRule="auto"/>
              <w:rPr>
                <w:rFonts w:ascii="宋体" w:hAnsi="宋体" w:eastAsia="宋体" w:cs="Times New Roman"/>
                <w:szCs w:val="21"/>
              </w:rPr>
            </w:pPr>
          </w:p>
        </w:tc>
        <w:tc>
          <w:tcPr>
            <w:tcW w:w="2322" w:type="dxa"/>
          </w:tcPr>
          <w:p>
            <w:pPr>
              <w:spacing w:line="360" w:lineRule="auto"/>
              <w:rPr>
                <w:rFonts w:ascii="宋体" w:hAnsi="宋体" w:eastAsia="宋体" w:cs="Times New Roman"/>
                <w:szCs w:val="21"/>
              </w:rPr>
            </w:pPr>
          </w:p>
        </w:tc>
      </w:tr>
    </w:tbl>
    <w:p>
      <w:pPr>
        <w:spacing w:line="360" w:lineRule="auto"/>
        <w:ind w:left="410" w:firstLine="422"/>
        <w:rPr>
          <w:rFonts w:ascii="宋体" w:hAnsi="宋体" w:eastAsia="宋体" w:cs="Times New Roman"/>
          <w:szCs w:val="21"/>
        </w:rPr>
      </w:pPr>
      <w:r>
        <w:rPr>
          <w:rFonts w:hint="eastAsia" w:ascii="宋体" w:hAnsi="宋体" w:eastAsia="宋体" w:cs="Times New Roman"/>
          <w:szCs w:val="21"/>
        </w:rPr>
        <w:t>4、本次采购要求的其他资格文件以及投标人认为需要声明的其他情况：</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szCs w:val="21"/>
        </w:rPr>
        <w:t>兹证明上述</w:t>
      </w:r>
      <w:r>
        <w:rPr>
          <w:rFonts w:hint="eastAsia" w:ascii="宋体" w:hAnsi="宋体" w:eastAsia="宋体" w:cs="Times New Roman"/>
          <w:color w:val="000000"/>
          <w:szCs w:val="21"/>
        </w:rPr>
        <w:t>声明是真实的、正确的，并提供了全部能提供的资料和数据，我们同意遵照贵方要求出示有关证明文件，如有虚假，自愿丧失中标资格，一年内退出扬州政府采购市场。</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投标人公章：</w:t>
      </w:r>
      <w:r>
        <w:rPr>
          <w:rFonts w:hint="eastAsia" w:ascii="宋体" w:hAnsi="宋体" w:eastAsia="宋体" w:cs="Times New Roman"/>
          <w:color w:val="000000"/>
          <w:szCs w:val="21"/>
          <w:u w:val="single"/>
        </w:rPr>
        <w:t xml:space="preserve">                         </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法定代表人或授权代表签字：</w:t>
      </w:r>
      <w:r>
        <w:rPr>
          <w:rFonts w:hint="eastAsia" w:ascii="宋体" w:hAnsi="宋体" w:eastAsia="宋体" w:cs="Times New Roman"/>
          <w:color w:val="000000"/>
          <w:szCs w:val="21"/>
          <w:u w:val="single"/>
        </w:rPr>
        <w:t xml:space="preserve">                          </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pPr>
        <w:spacing w:line="360" w:lineRule="auto"/>
        <w:jc w:val="center"/>
        <w:rPr>
          <w:rFonts w:ascii="宋体" w:hAnsi="宋体" w:eastAsia="宋体" w:cs="Times New Roman"/>
          <w:b/>
          <w:color w:val="000000"/>
          <w:szCs w:val="21"/>
        </w:rPr>
      </w:pPr>
      <w:r>
        <w:rPr>
          <w:rFonts w:hint="eastAsia" w:ascii="宋体" w:hAnsi="宋体" w:eastAsia="宋体" w:cs="Times New Roman"/>
          <w:b/>
          <w:bCs/>
          <w:color w:val="000000"/>
          <w:szCs w:val="21"/>
        </w:rPr>
        <w:t>（注：资格声明为格式文件,实质性内容请勿修改，否则将导致投标文件无效）</w:t>
      </w:r>
    </w:p>
    <w:p>
      <w:pPr>
        <w:tabs>
          <w:tab w:val="left" w:pos="360"/>
        </w:tabs>
        <w:spacing w:line="360" w:lineRule="auto"/>
        <w:ind w:firstLine="420"/>
        <w:jc w:val="center"/>
        <w:rPr>
          <w:rFonts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pPr>
        <w:tabs>
          <w:tab w:val="left" w:pos="360"/>
        </w:tabs>
        <w:spacing w:line="360" w:lineRule="auto"/>
        <w:ind w:firstLine="422"/>
        <w:jc w:val="center"/>
        <w:rPr>
          <w:rFonts w:ascii="宋体" w:hAnsi="宋体" w:eastAsia="宋体" w:cs="Times New Roman"/>
          <w:b/>
          <w:szCs w:val="21"/>
        </w:rPr>
      </w:pPr>
      <w:r>
        <w:rPr>
          <w:rFonts w:hint="eastAsia" w:ascii="宋体" w:hAnsi="宋体" w:eastAsia="宋体" w:cs="Times New Roman"/>
          <w:b/>
          <w:bCs/>
          <w:szCs w:val="21"/>
        </w:rPr>
        <w:t>法人</w:t>
      </w:r>
      <w:r>
        <w:rPr>
          <w:rFonts w:hint="eastAsia" w:ascii="宋体" w:hAnsi="宋体" w:eastAsia="宋体" w:cs="Times New Roman"/>
          <w:b/>
          <w:szCs w:val="21"/>
        </w:rPr>
        <w:t>授权书</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 xml:space="preserve">本授权书声明：____________（投标人名称）授权________________（被授权人的姓名）为我方就 </w:t>
      </w:r>
      <w:r>
        <w:rPr>
          <w:rFonts w:hint="eastAsia" w:ascii="宋体" w:hAnsi="宋体" w:eastAsia="宋体" w:cs="Times New Roman"/>
          <w:szCs w:val="21"/>
          <w:u w:val="single"/>
        </w:rPr>
        <w:t xml:space="preserve">       </w:t>
      </w:r>
      <w:r>
        <w:rPr>
          <w:rFonts w:hint="eastAsia" w:ascii="宋体" w:hAnsi="宋体" w:eastAsia="宋体" w:cs="Times New Roman"/>
          <w:szCs w:val="21"/>
        </w:rPr>
        <w:t>号项目采购活动的合法代理人，以本公司名义全权处理一切与该项目采购有关的事务。</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本授权书于______年____月____日起生效，特此声明。</w:t>
      </w:r>
    </w:p>
    <w:p>
      <w:pPr>
        <w:tabs>
          <w:tab w:val="left" w:pos="360"/>
        </w:tabs>
        <w:spacing w:line="360" w:lineRule="auto"/>
        <w:rPr>
          <w:rFonts w:ascii="宋体" w:hAnsi="宋体" w:eastAsia="宋体" w:cs="Times New Roman"/>
          <w:szCs w:val="21"/>
        </w:rPr>
      </w:pPr>
      <w:r>
        <w:rPr>
          <w:rFonts w:hint="eastAsia" w:ascii="宋体" w:hAnsi="宋体" w:eastAsia="宋体" w:cs="Times New Roman"/>
          <w:szCs w:val="21"/>
        </w:rPr>
        <w:t xml:space="preserve">     被授权人：_______________________</w:t>
      </w:r>
    </w:p>
    <w:p>
      <w:pPr>
        <w:tabs>
          <w:tab w:val="left" w:pos="360"/>
        </w:tabs>
        <w:spacing w:line="360" w:lineRule="auto"/>
        <w:rPr>
          <w:rFonts w:ascii="宋体" w:hAnsi="宋体" w:eastAsia="宋体" w:cs="Times New Roman"/>
          <w:szCs w:val="21"/>
        </w:rPr>
      </w:pPr>
      <w:r>
        <w:rPr>
          <w:rFonts w:hint="eastAsia" w:ascii="宋体" w:hAnsi="宋体" w:eastAsia="宋体" w:cs="Times New Roman"/>
          <w:szCs w:val="21"/>
        </w:rPr>
        <w:t xml:space="preserve">     单位名称：_____________________________________</w:t>
      </w:r>
    </w:p>
    <w:p>
      <w:pPr>
        <w:tabs>
          <w:tab w:val="left" w:pos="360"/>
        </w:tabs>
        <w:spacing w:line="360" w:lineRule="auto"/>
        <w:rPr>
          <w:rFonts w:ascii="宋体" w:hAnsi="宋体" w:eastAsia="宋体" w:cs="Times New Roman"/>
          <w:szCs w:val="21"/>
        </w:rPr>
      </w:pPr>
      <w:r>
        <w:rPr>
          <w:rFonts w:hint="eastAsia" w:ascii="宋体" w:hAnsi="宋体" w:eastAsia="宋体" w:cs="Times New Roman"/>
          <w:szCs w:val="21"/>
        </w:rPr>
        <w:t xml:space="preserve">     授权单位盖章：_________________________________</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单位名称：_____________________________________</w:t>
      </w:r>
    </w:p>
    <w:p>
      <w:pPr>
        <w:tabs>
          <w:tab w:val="left" w:pos="360"/>
        </w:tabs>
        <w:spacing w:line="360" w:lineRule="auto"/>
        <w:ind w:firstLine="422"/>
        <w:rPr>
          <w:rFonts w:ascii="宋体" w:hAnsi="宋体" w:eastAsia="宋体" w:cs="Times New Roman"/>
          <w:szCs w:val="21"/>
          <w:u w:val="single"/>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p>
    <w:p>
      <w:pPr>
        <w:tabs>
          <w:tab w:val="left" w:pos="360"/>
        </w:tabs>
        <w:spacing w:line="360" w:lineRule="auto"/>
        <w:ind w:firstLine="422"/>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tabs>
          <w:tab w:val="left" w:pos="360"/>
        </w:tabs>
        <w:spacing w:line="360" w:lineRule="auto"/>
        <w:ind w:firstLine="422"/>
        <w:rPr>
          <w:rFonts w:ascii="宋体" w:hAnsi="宋体" w:eastAsia="宋体" w:cs="Times New Roman"/>
          <w:szCs w:val="21"/>
        </w:rPr>
      </w:pPr>
    </w:p>
    <w:p>
      <w:pPr>
        <w:tabs>
          <w:tab w:val="left" w:pos="360"/>
        </w:tabs>
        <w:spacing w:line="360" w:lineRule="auto"/>
        <w:ind w:firstLine="422"/>
        <w:rPr>
          <w:rFonts w:ascii="宋体" w:hAnsi="宋体" w:eastAsia="宋体" w:cs="Times New Roman"/>
          <w:b/>
          <w:bCs/>
          <w:szCs w:val="21"/>
        </w:rPr>
      </w:pPr>
      <w:r>
        <w:rPr>
          <w:rFonts w:hint="eastAsia" w:ascii="宋体" w:hAnsi="宋体" w:eastAsia="宋体" w:cs="Times New Roman"/>
          <w:b/>
          <w:bCs/>
          <w:szCs w:val="21"/>
        </w:rPr>
        <w:t>被授权人身份证复印件：</w:t>
      </w:r>
    </w:p>
    <w:p>
      <w:pPr>
        <w:spacing w:line="360" w:lineRule="auto"/>
        <w:ind w:firstLine="422"/>
        <w:rPr>
          <w:rFonts w:ascii="宋体" w:hAnsi="宋体" w:eastAsia="宋体" w:cs="Times New Roman"/>
          <w:szCs w:val="21"/>
        </w:rPr>
      </w:pPr>
    </w:p>
    <w:p>
      <w:pPr>
        <w:spacing w:line="360" w:lineRule="auto"/>
        <w:ind w:firstLine="422"/>
        <w:rPr>
          <w:rFonts w:ascii="宋体" w:hAnsi="宋体" w:eastAsia="宋体" w:cs="Times New Roman"/>
          <w:szCs w:val="21"/>
        </w:rPr>
      </w:pPr>
    </w:p>
    <w:p>
      <w:pPr>
        <w:tabs>
          <w:tab w:val="left" w:pos="360"/>
        </w:tabs>
        <w:spacing w:line="360" w:lineRule="auto"/>
        <w:jc w:val="center"/>
        <w:rPr>
          <w:rFonts w:ascii="宋体" w:hAnsi="宋体" w:eastAsia="宋体" w:cs="Times New Roman"/>
          <w:szCs w:val="21"/>
        </w:rPr>
      </w:pPr>
      <w:r>
        <w:rPr>
          <w:rFonts w:ascii="宋体" w:hAnsi="宋体" w:eastAsia="宋体" w:cs="Times New Roman"/>
          <w:b/>
          <w:bCs/>
          <w:szCs w:val="21"/>
        </w:rPr>
        <w:br w:type="page"/>
      </w:r>
      <w:r>
        <w:rPr>
          <w:rFonts w:hint="eastAsia" w:ascii="宋体" w:hAnsi="宋体" w:eastAsia="宋体" w:cs="Times New Roman"/>
          <w:b/>
          <w:szCs w:val="21"/>
        </w:rPr>
        <w:t>参加政府采购活动前 3 年内在经营活动中没有重大违法记录的书面声明</w:t>
      </w:r>
    </w:p>
    <w:p>
      <w:pPr>
        <w:spacing w:line="360" w:lineRule="auto"/>
        <w:rPr>
          <w:rFonts w:ascii="宋体" w:hAnsi="宋体" w:eastAsia="宋体" w:cs="Times New Roman"/>
          <w:b/>
          <w:bCs/>
          <w:szCs w:val="21"/>
        </w:rPr>
      </w:pPr>
      <w:r>
        <w:rPr>
          <w:rFonts w:hint="eastAsia" w:ascii="宋体" w:hAnsi="宋体" w:eastAsia="宋体" w:cs="Times New Roman"/>
          <w:b/>
          <w:bCs/>
          <w:szCs w:val="21"/>
        </w:rPr>
        <w:t xml:space="preserve">                          </w:t>
      </w:r>
    </w:p>
    <w:p>
      <w:pPr>
        <w:spacing w:line="360" w:lineRule="auto"/>
        <w:jc w:val="center"/>
        <w:rPr>
          <w:rFonts w:ascii="宋体" w:hAnsi="宋体" w:eastAsia="宋体" w:cs="Times New Roman"/>
          <w:b/>
          <w:bCs/>
          <w:szCs w:val="21"/>
        </w:rPr>
      </w:pPr>
      <w:r>
        <w:rPr>
          <w:rFonts w:hint="eastAsia" w:ascii="宋体" w:hAnsi="宋体" w:eastAsia="宋体" w:cs="Times New Roman"/>
          <w:b/>
          <w:bCs/>
          <w:szCs w:val="21"/>
        </w:rPr>
        <w:t>声  明</w:t>
      </w:r>
    </w:p>
    <w:p>
      <w:pPr>
        <w:spacing w:line="360" w:lineRule="auto"/>
        <w:rPr>
          <w:rFonts w:ascii="宋体" w:hAnsi="宋体" w:eastAsia="宋体" w:cs="Times New Roman"/>
          <w:bCs/>
          <w:szCs w:val="21"/>
        </w:rPr>
      </w:pPr>
      <w:r>
        <w:rPr>
          <w:rFonts w:hint="eastAsia" w:ascii="宋体" w:hAnsi="宋体" w:eastAsia="宋体" w:cs="Times New Roman"/>
          <w:b/>
          <w:bCs/>
          <w:szCs w:val="21"/>
        </w:rPr>
        <w:t xml:space="preserve">    </w:t>
      </w:r>
      <w:r>
        <w:rPr>
          <w:rFonts w:hint="eastAsia" w:ascii="宋体" w:hAnsi="宋体" w:eastAsia="宋体" w:cs="Times New Roman"/>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Times New Roman"/>
          <w:bCs/>
          <w:szCs w:val="21"/>
        </w:rPr>
      </w:pPr>
      <w:r>
        <w:rPr>
          <w:rFonts w:hint="eastAsia" w:ascii="宋体" w:hAnsi="宋体" w:eastAsia="宋体" w:cs="Times New Roman"/>
          <w:bCs/>
          <w:szCs w:val="21"/>
        </w:rPr>
        <w:t xml:space="preserve">                                      </w:t>
      </w:r>
    </w:p>
    <w:p>
      <w:pPr>
        <w:spacing w:line="360" w:lineRule="auto"/>
        <w:ind w:firstLine="4410" w:firstLineChars="2100"/>
        <w:rPr>
          <w:rFonts w:ascii="宋体" w:hAnsi="宋体" w:eastAsia="宋体" w:cs="Times New Roman"/>
          <w:bCs/>
          <w:szCs w:val="21"/>
        </w:rPr>
      </w:pPr>
      <w:r>
        <w:rPr>
          <w:rFonts w:hint="eastAsia" w:ascii="宋体" w:hAnsi="宋体" w:eastAsia="宋体" w:cs="Times New Roman"/>
          <w:bCs/>
          <w:szCs w:val="21"/>
        </w:rPr>
        <w:t>投标人名称（公章）：</w:t>
      </w:r>
    </w:p>
    <w:p>
      <w:pPr>
        <w:spacing w:line="360" w:lineRule="auto"/>
        <w:rPr>
          <w:rFonts w:ascii="宋体" w:hAnsi="宋体" w:eastAsia="宋体" w:cs="Times New Roman"/>
          <w:bCs/>
          <w:szCs w:val="21"/>
        </w:rPr>
      </w:pPr>
      <w:r>
        <w:rPr>
          <w:rFonts w:hint="eastAsia" w:ascii="宋体" w:hAnsi="宋体" w:eastAsia="宋体" w:cs="Times New Roman"/>
          <w:bCs/>
          <w:szCs w:val="21"/>
        </w:rPr>
        <w:t xml:space="preserve">                                          法定代表人或授权代表签字：</w:t>
      </w:r>
      <w:r>
        <w:rPr>
          <w:rFonts w:hint="eastAsia" w:ascii="宋体" w:hAnsi="宋体" w:eastAsia="宋体" w:cs="Times New Roman"/>
          <w:bCs/>
          <w:szCs w:val="21"/>
          <w:u w:val="single"/>
        </w:rPr>
        <w:t>______</w:t>
      </w:r>
    </w:p>
    <w:p>
      <w:pPr>
        <w:spacing w:line="360" w:lineRule="auto"/>
        <w:rPr>
          <w:rFonts w:ascii="宋体" w:hAnsi="宋体" w:eastAsia="宋体" w:cs="Times New Roman"/>
          <w:bCs/>
          <w:szCs w:val="21"/>
        </w:rPr>
      </w:pPr>
      <w:r>
        <w:rPr>
          <w:rFonts w:hint="eastAsia" w:ascii="宋体" w:hAnsi="宋体" w:eastAsia="宋体" w:cs="Times New Roman"/>
          <w:bCs/>
          <w:szCs w:val="21"/>
        </w:rPr>
        <w:t xml:space="preserve">                                          日期：</w:t>
      </w:r>
      <w:r>
        <w:rPr>
          <w:rFonts w:hint="eastAsia" w:ascii="宋体" w:hAnsi="宋体" w:eastAsia="宋体" w:cs="Times New Roman"/>
          <w:bCs/>
          <w:szCs w:val="21"/>
          <w:u w:val="single"/>
        </w:rPr>
        <w:t>______</w:t>
      </w:r>
      <w:r>
        <w:rPr>
          <w:rFonts w:hint="eastAsia" w:ascii="宋体" w:hAnsi="宋体" w:eastAsia="宋体" w:cs="Times New Roman"/>
          <w:bCs/>
          <w:szCs w:val="21"/>
        </w:rPr>
        <w:t>年</w:t>
      </w:r>
      <w:r>
        <w:rPr>
          <w:rFonts w:hint="eastAsia" w:ascii="宋体" w:hAnsi="宋体" w:eastAsia="宋体" w:cs="Times New Roman"/>
          <w:bCs/>
          <w:szCs w:val="21"/>
          <w:u w:val="single"/>
        </w:rPr>
        <w:t xml:space="preserve">    </w:t>
      </w:r>
      <w:r>
        <w:rPr>
          <w:rFonts w:hint="eastAsia" w:ascii="宋体" w:hAnsi="宋体" w:eastAsia="宋体" w:cs="Times New Roman"/>
          <w:bCs/>
          <w:szCs w:val="21"/>
        </w:rPr>
        <w:t>月</w:t>
      </w:r>
      <w:r>
        <w:rPr>
          <w:rFonts w:hint="eastAsia" w:ascii="宋体" w:hAnsi="宋体" w:eastAsia="宋体" w:cs="Times New Roman"/>
          <w:bCs/>
          <w:szCs w:val="21"/>
          <w:u w:val="single"/>
        </w:rPr>
        <w:t xml:space="preserve">    </w:t>
      </w:r>
      <w:r>
        <w:rPr>
          <w:rFonts w:hint="eastAsia" w:ascii="宋体" w:hAnsi="宋体" w:eastAsia="宋体" w:cs="Times New Roman"/>
          <w:bCs/>
          <w:szCs w:val="21"/>
        </w:rPr>
        <w:t>日</w:t>
      </w:r>
    </w:p>
    <w:p>
      <w:pPr>
        <w:keepNext/>
        <w:keepLines/>
        <w:spacing w:before="260" w:after="260" w:line="360" w:lineRule="auto"/>
        <w:outlineLvl w:val="2"/>
        <w:rPr>
          <w:rFonts w:ascii="宋体" w:hAnsi="宋体" w:eastAsia="宋体" w:cs="Times New Roman"/>
          <w:bCs/>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hint="eastAsia" w:ascii="宋体" w:hAnsi="宋体"/>
          <w:b/>
          <w:bCs/>
          <w:sz w:val="21"/>
          <w:szCs w:val="21"/>
        </w:rPr>
      </w:pPr>
    </w:p>
    <w:p>
      <w:pPr>
        <w:pStyle w:val="22"/>
        <w:widowControl/>
        <w:spacing w:line="540" w:lineRule="exact"/>
        <w:jc w:val="center"/>
        <w:rPr>
          <w:rFonts w:ascii="宋体" w:hAnsi="宋体"/>
          <w:b/>
          <w:bCs/>
          <w:sz w:val="21"/>
          <w:szCs w:val="21"/>
        </w:rPr>
      </w:pPr>
      <w:r>
        <w:rPr>
          <w:rFonts w:hint="eastAsia" w:ascii="宋体" w:hAnsi="宋体"/>
          <w:b/>
          <w:bCs/>
          <w:sz w:val="21"/>
          <w:szCs w:val="21"/>
        </w:rPr>
        <w:t>承    诺    书</w:t>
      </w:r>
    </w:p>
    <w:p>
      <w:pPr>
        <w:spacing w:line="540" w:lineRule="exact"/>
      </w:pPr>
    </w:p>
    <w:p>
      <w:pPr>
        <w:spacing w:line="360" w:lineRule="auto"/>
        <w:ind w:left="420" w:leftChars="200" w:firstLine="10" w:firstLineChars="5"/>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（采购人名称）</w:t>
      </w:r>
    </w:p>
    <w:p>
      <w:pPr>
        <w:spacing w:line="360" w:lineRule="auto"/>
        <w:ind w:firstLine="420" w:firstLineChars="200"/>
        <w:rPr>
          <w:rFonts w:ascii="宋体" w:hAnsi="宋体"/>
          <w:szCs w:val="21"/>
        </w:rPr>
      </w:pPr>
      <w:r>
        <w:rPr>
          <w:rFonts w:hint="eastAsia" w:ascii="宋体" w:hAnsi="宋体"/>
          <w:szCs w:val="21"/>
        </w:rPr>
        <w:t>我供应商自愿参加贵单位（公司）</w:t>
      </w:r>
      <w:r>
        <w:rPr>
          <w:rFonts w:hint="eastAsia" w:ascii="宋体" w:hAnsi="宋体"/>
          <w:szCs w:val="21"/>
          <w:u w:val="single"/>
        </w:rPr>
        <w:t xml:space="preserve">              </w:t>
      </w:r>
      <w:r>
        <w:rPr>
          <w:rFonts w:hint="eastAsia" w:ascii="宋体" w:hAnsi="宋体"/>
          <w:szCs w:val="21"/>
        </w:rPr>
        <w:t>项目的投标，并接受对我供应商的资信审查，我供应商承诺：根据贵单位提出的资信证明文件条件标准和要求，本供应商没有因骗取中标或者严重违约以及发生重大工程质量、安全生产事故等问题，被有关部门暂停投标资格并在暂停期内。拟任项目经理</w:t>
      </w:r>
      <w:r>
        <w:rPr>
          <w:rFonts w:hint="eastAsia" w:ascii="宋体" w:hAnsi="宋体"/>
          <w:szCs w:val="21"/>
          <w:u w:val="single"/>
        </w:rPr>
        <w:t xml:space="preserve">         </w:t>
      </w:r>
      <w:r>
        <w:rPr>
          <w:rFonts w:hint="eastAsia" w:ascii="宋体" w:hAnsi="宋体"/>
          <w:szCs w:val="21"/>
        </w:rPr>
        <w:t>无任何在建工程项目。本供应商递交的资信证明文件中的内容没有隐瞒、虚假、伪造等弄虚作假行为。发现该行为，贵单位可以拒绝我供应商投标，如已中标，可取消我供应商中标资格，并接受对我供应商弄虚作假、违反公平和诚实信用原则做出的任何处理。</w:t>
      </w:r>
    </w:p>
    <w:p>
      <w:pPr>
        <w:spacing w:line="360" w:lineRule="auto"/>
        <w:ind w:left="410" w:hanging="410"/>
        <w:rPr>
          <w:rFonts w:ascii="宋体" w:hAnsi="宋体"/>
          <w:szCs w:val="21"/>
        </w:rPr>
      </w:pPr>
    </w:p>
    <w:p>
      <w:pPr>
        <w:spacing w:line="360" w:lineRule="auto"/>
        <w:ind w:left="410" w:hanging="410"/>
        <w:rPr>
          <w:rFonts w:ascii="宋体" w:hAnsi="宋体"/>
          <w:szCs w:val="21"/>
        </w:rPr>
      </w:pPr>
      <w:r>
        <w:rPr>
          <w:rFonts w:hint="eastAsia" w:ascii="宋体" w:hAnsi="宋体"/>
          <w:szCs w:val="21"/>
        </w:rPr>
        <w:t xml:space="preserve">单位：（公章）                                                                     </w:t>
      </w:r>
    </w:p>
    <w:p>
      <w:pPr>
        <w:spacing w:line="360" w:lineRule="auto"/>
        <w:ind w:left="410" w:hanging="410"/>
        <w:rPr>
          <w:rFonts w:ascii="宋体" w:hAnsi="宋体"/>
          <w:szCs w:val="21"/>
        </w:rPr>
      </w:pPr>
      <w:r>
        <w:rPr>
          <w:rFonts w:hint="eastAsia" w:ascii="宋体" w:hAnsi="宋体"/>
          <w:szCs w:val="21"/>
        </w:rPr>
        <w:t>法定代表人签名：</w:t>
      </w:r>
    </w:p>
    <w:p>
      <w:pPr>
        <w:spacing w:line="360" w:lineRule="auto"/>
        <w:ind w:left="410" w:hanging="410"/>
        <w:rPr>
          <w:rFonts w:ascii="宋体" w:hAnsi="宋体"/>
          <w:szCs w:val="21"/>
        </w:rPr>
      </w:pPr>
      <w:r>
        <w:rPr>
          <w:rFonts w:hint="eastAsia" w:ascii="宋体" w:hAnsi="宋体"/>
          <w:szCs w:val="21"/>
        </w:rPr>
        <w:t>项目经理签名：</w:t>
      </w:r>
    </w:p>
    <w:p>
      <w:pPr>
        <w:spacing w:line="360" w:lineRule="auto"/>
        <w:ind w:left="410" w:hanging="410"/>
        <w:rPr>
          <w:rFonts w:ascii="宋体" w:hAnsi="宋体"/>
          <w:szCs w:val="21"/>
        </w:rPr>
      </w:pPr>
    </w:p>
    <w:p>
      <w:pPr>
        <w:spacing w:line="360" w:lineRule="auto"/>
        <w:ind w:left="410" w:firstLine="422"/>
        <w:rPr>
          <w:rFonts w:ascii="宋体" w:hAnsi="宋体" w:eastAsia="宋体" w:cs="Times New Roman"/>
          <w:b/>
          <w:bCs/>
          <w:color w:val="000000"/>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年     月    日</w:t>
      </w:r>
      <w:r>
        <w:rPr>
          <w:rFonts w:ascii="宋体" w:hAnsi="宋体" w:eastAsia="宋体" w:cs="Times New Roman"/>
          <w:bCs/>
          <w:szCs w:val="21"/>
        </w:rPr>
        <w:br w:type="page"/>
      </w:r>
      <w:r>
        <w:rPr>
          <w:rFonts w:hint="eastAsia" w:ascii="宋体" w:hAnsi="宋体" w:eastAsia="宋体" w:cs="Times New Roman"/>
          <w:b/>
          <w:bCs/>
          <w:color w:val="000000"/>
          <w:szCs w:val="21"/>
        </w:rPr>
        <w:t xml:space="preserve"> </w:t>
      </w:r>
    </w:p>
    <w:p>
      <w:pPr>
        <w:spacing w:line="36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四、磋商响应报价表</w:t>
      </w:r>
    </w:p>
    <w:p>
      <w:pPr>
        <w:pStyle w:val="22"/>
        <w:spacing w:line="360" w:lineRule="auto"/>
        <w:rPr>
          <w:rFonts w:ascii="宋体" w:hAnsi="宋体"/>
          <w:color w:val="000000"/>
          <w:sz w:val="21"/>
          <w:szCs w:val="21"/>
        </w:rPr>
      </w:pPr>
      <w:r>
        <w:rPr>
          <w:rFonts w:hint="eastAsia" w:ascii="宋体" w:hAnsi="宋体"/>
          <w:color w:val="000000"/>
          <w:sz w:val="21"/>
          <w:szCs w:val="21"/>
        </w:rPr>
        <w:t xml:space="preserve">项目名称： </w:t>
      </w:r>
    </w:p>
    <w:p>
      <w:pPr>
        <w:spacing w:line="360" w:lineRule="auto"/>
        <w:rPr>
          <w:rFonts w:ascii="宋体" w:hAnsi="宋体"/>
          <w:color w:val="000000"/>
          <w:szCs w:val="21"/>
        </w:rPr>
      </w:pPr>
      <w:r>
        <w:rPr>
          <w:rFonts w:hint="eastAsia" w:ascii="宋体" w:hAnsi="宋体"/>
          <w:szCs w:val="21"/>
        </w:rPr>
        <w:t xml:space="preserve">项目编号：  </w:t>
      </w:r>
      <w:r>
        <w:rPr>
          <w:rFonts w:hint="eastAsia" w:ascii="宋体" w:hAnsi="宋体"/>
          <w:color w:val="000000"/>
          <w:szCs w:val="21"/>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6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817" w:type="dxa"/>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4961" w:type="dxa"/>
            <w:vAlign w:val="center"/>
          </w:tcPr>
          <w:p>
            <w:pPr>
              <w:spacing w:line="360" w:lineRule="auto"/>
              <w:jc w:val="center"/>
              <w:rPr>
                <w:rFonts w:ascii="宋体" w:hAnsi="宋体"/>
                <w:b/>
                <w:szCs w:val="21"/>
              </w:rPr>
            </w:pPr>
            <w:r>
              <w:rPr>
                <w:rFonts w:hint="eastAsia" w:ascii="宋体" w:hAnsi="宋体"/>
                <w:szCs w:val="21"/>
              </w:rPr>
              <w:t>项目名称</w:t>
            </w:r>
          </w:p>
        </w:tc>
        <w:tc>
          <w:tcPr>
            <w:tcW w:w="3119" w:type="dxa"/>
            <w:vAlign w:val="center"/>
          </w:tcPr>
          <w:p>
            <w:pPr>
              <w:spacing w:line="360" w:lineRule="auto"/>
              <w:jc w:val="center"/>
              <w:rPr>
                <w:rFonts w:ascii="宋体" w:hAnsi="宋体"/>
                <w:szCs w:val="21"/>
              </w:rPr>
            </w:pPr>
            <w:r>
              <w:rPr>
                <w:rFonts w:hint="eastAsia" w:ascii="宋体" w:hAnsi="宋体"/>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817" w:type="dxa"/>
          </w:tcPr>
          <w:p>
            <w:pPr>
              <w:spacing w:line="360" w:lineRule="auto"/>
              <w:jc w:val="center"/>
              <w:rPr>
                <w:rFonts w:ascii="宋体" w:hAnsi="宋体"/>
                <w:color w:val="000000"/>
                <w:szCs w:val="21"/>
              </w:rPr>
            </w:pPr>
          </w:p>
        </w:tc>
        <w:tc>
          <w:tcPr>
            <w:tcW w:w="4961" w:type="dxa"/>
            <w:vAlign w:val="center"/>
          </w:tcPr>
          <w:p>
            <w:pPr>
              <w:spacing w:line="360" w:lineRule="auto"/>
              <w:jc w:val="center"/>
              <w:rPr>
                <w:rFonts w:ascii="宋体" w:hAnsi="宋体"/>
                <w:color w:val="000000"/>
                <w:szCs w:val="21"/>
              </w:rPr>
            </w:pPr>
          </w:p>
        </w:tc>
        <w:tc>
          <w:tcPr>
            <w:tcW w:w="3119" w:type="dxa"/>
            <w:vAlign w:val="center"/>
          </w:tcPr>
          <w:p>
            <w:pPr>
              <w:spacing w:line="360" w:lineRule="auto"/>
              <w:rPr>
                <w:rFonts w:ascii="宋体" w:hAnsi="宋体"/>
                <w:color w:val="000000"/>
                <w:szCs w:val="21"/>
                <w:u w:val="single"/>
              </w:rPr>
            </w:pPr>
          </w:p>
        </w:tc>
      </w:tr>
    </w:tbl>
    <w:p>
      <w:pPr>
        <w:spacing w:line="360" w:lineRule="auto"/>
        <w:rPr>
          <w:rFonts w:ascii="宋体" w:hAnsi="宋体"/>
          <w:color w:val="000000"/>
          <w:szCs w:val="21"/>
        </w:rPr>
      </w:pPr>
      <w:r>
        <w:rPr>
          <w:rFonts w:hint="eastAsia" w:ascii="宋体" w:hAnsi="宋体"/>
          <w:color w:val="000000"/>
          <w:szCs w:val="21"/>
        </w:rPr>
        <w:t xml:space="preserve">负责人（签字或盖章）：                    </w:t>
      </w:r>
    </w:p>
    <w:p>
      <w:pPr>
        <w:spacing w:line="360" w:lineRule="auto"/>
        <w:rPr>
          <w:rFonts w:ascii="宋体" w:hAnsi="宋体"/>
          <w:color w:val="000000"/>
          <w:szCs w:val="21"/>
          <w:u w:val="single"/>
        </w:rPr>
      </w:pPr>
      <w:r>
        <w:rPr>
          <w:rFonts w:hint="eastAsia" w:ascii="宋体" w:hAnsi="宋体"/>
          <w:color w:val="000000"/>
          <w:szCs w:val="21"/>
        </w:rPr>
        <w:t>投标人全称（盖章）：</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日期：    年   月    日</w:t>
      </w:r>
    </w:p>
    <w:p>
      <w:pPr>
        <w:spacing w:line="360" w:lineRule="auto"/>
        <w:ind w:firstLine="420"/>
        <w:rPr>
          <w:rFonts w:ascii="宋体" w:hAnsi="宋体"/>
          <w:b/>
          <w:szCs w:val="21"/>
        </w:rPr>
      </w:pPr>
    </w:p>
    <w:p>
      <w:pPr>
        <w:spacing w:line="360" w:lineRule="auto"/>
        <w:rPr>
          <w:rFonts w:ascii="宋体" w:hAnsi="宋体"/>
          <w:b/>
          <w:szCs w:val="21"/>
        </w:rPr>
      </w:pPr>
      <w:r>
        <w:rPr>
          <w:rFonts w:hint="eastAsia" w:ascii="宋体" w:hAnsi="宋体"/>
          <w:b/>
          <w:szCs w:val="21"/>
        </w:rPr>
        <w:t>价格构成或报价要求：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一、此表可以根据需要自行增减行数，且该表报价非本次谈判中的最后报价。</w:t>
      </w:r>
    </w:p>
    <w:p>
      <w:pPr>
        <w:spacing w:line="360" w:lineRule="auto"/>
        <w:ind w:firstLine="420" w:firstLineChars="200"/>
        <w:rPr>
          <w:rFonts w:hint="eastAsia" w:ascii="宋体" w:hAnsi="宋体"/>
          <w:color w:val="000000"/>
          <w:szCs w:val="21"/>
        </w:rPr>
      </w:pPr>
      <w:r>
        <w:rPr>
          <w:rFonts w:hint="eastAsia" w:ascii="宋体" w:hAnsi="宋体"/>
          <w:color w:val="000000"/>
          <w:szCs w:val="21"/>
        </w:rPr>
        <w:t>二、包含且不限于如下内容，报价非本次谈判中的最后报价：</w:t>
      </w:r>
    </w:p>
    <w:p>
      <w:pPr>
        <w:spacing w:line="360" w:lineRule="auto"/>
        <w:ind w:firstLine="420" w:firstLineChars="200"/>
        <w:rPr>
          <w:rFonts w:hint="eastAsia" w:ascii="宋体" w:hAnsi="宋体"/>
          <w:color w:val="000000"/>
          <w:szCs w:val="21"/>
        </w:rPr>
      </w:pPr>
      <w:r>
        <w:rPr>
          <w:rFonts w:hint="eastAsia" w:ascii="宋体" w:hAnsi="宋体"/>
          <w:color w:val="000000"/>
          <w:szCs w:val="21"/>
        </w:rPr>
        <w:t>三、报价包含如下内容（如有）：</w:t>
      </w:r>
    </w:p>
    <w:p>
      <w:pPr>
        <w:spacing w:line="360" w:lineRule="auto"/>
        <w:ind w:firstLine="420" w:firstLineChars="200"/>
        <w:rPr>
          <w:rFonts w:hint="eastAsia" w:ascii="宋体" w:hAnsi="宋体"/>
          <w:color w:val="000000"/>
          <w:szCs w:val="21"/>
        </w:rPr>
      </w:pPr>
      <w:r>
        <w:rPr>
          <w:rFonts w:hint="eastAsia" w:ascii="宋体" w:hAnsi="宋体"/>
          <w:color w:val="000000"/>
          <w:szCs w:val="21"/>
        </w:rPr>
        <w:t>1、单项工程投标报价汇总表</w:t>
      </w:r>
    </w:p>
    <w:p>
      <w:pPr>
        <w:spacing w:line="560" w:lineRule="exact"/>
        <w:ind w:firstLine="420" w:firstLineChars="200"/>
        <w:rPr>
          <w:szCs w:val="21"/>
        </w:rPr>
      </w:pPr>
      <w:r>
        <w:rPr>
          <w:rFonts w:ascii="Times New Roman" w:hAnsi="Times New Roman" w:eastAsia="宋体" w:cs="Times New Roman"/>
          <w:szCs w:val="21"/>
        </w:rPr>
        <w:t>2、</w:t>
      </w:r>
      <w:r>
        <w:rPr>
          <w:rFonts w:hint="eastAsia"/>
          <w:szCs w:val="21"/>
        </w:rPr>
        <w:t>单位工程投标报价汇总表</w:t>
      </w:r>
    </w:p>
    <w:p>
      <w:pPr>
        <w:spacing w:line="560" w:lineRule="exact"/>
        <w:ind w:firstLine="420" w:firstLineChars="200"/>
        <w:rPr>
          <w:szCs w:val="21"/>
        </w:rPr>
      </w:pPr>
      <w:r>
        <w:rPr>
          <w:rFonts w:hint="eastAsia"/>
          <w:szCs w:val="21"/>
        </w:rPr>
        <w:t>3、分部分项工程和单价措施项目清单</w:t>
      </w:r>
    </w:p>
    <w:p>
      <w:pPr>
        <w:spacing w:line="560" w:lineRule="exact"/>
        <w:ind w:firstLine="420" w:firstLineChars="200"/>
        <w:rPr>
          <w:szCs w:val="21"/>
        </w:rPr>
      </w:pPr>
      <w:r>
        <w:rPr>
          <w:rFonts w:hint="eastAsia"/>
          <w:szCs w:val="21"/>
        </w:rPr>
        <w:t>4、总价措施项目清单与计价表</w:t>
      </w:r>
    </w:p>
    <w:p>
      <w:pPr>
        <w:spacing w:line="560" w:lineRule="exact"/>
        <w:ind w:firstLine="420" w:firstLineChars="200"/>
        <w:rPr>
          <w:szCs w:val="21"/>
        </w:rPr>
      </w:pPr>
      <w:r>
        <w:rPr>
          <w:rFonts w:hint="eastAsia"/>
          <w:szCs w:val="21"/>
        </w:rPr>
        <w:t>5、其他措施项目清单与计价表</w:t>
      </w:r>
    </w:p>
    <w:p>
      <w:pPr>
        <w:spacing w:line="560" w:lineRule="exact"/>
        <w:ind w:firstLine="420" w:firstLineChars="200"/>
        <w:rPr>
          <w:szCs w:val="21"/>
        </w:rPr>
      </w:pPr>
      <w:r>
        <w:rPr>
          <w:rFonts w:hint="eastAsia"/>
          <w:szCs w:val="21"/>
        </w:rPr>
        <w:t>6、暂列金额明细表</w:t>
      </w:r>
    </w:p>
    <w:p>
      <w:pPr>
        <w:spacing w:line="560" w:lineRule="exact"/>
        <w:ind w:firstLine="420" w:firstLineChars="200"/>
        <w:rPr>
          <w:szCs w:val="21"/>
        </w:rPr>
      </w:pPr>
      <w:r>
        <w:rPr>
          <w:rFonts w:hint="eastAsia"/>
          <w:szCs w:val="21"/>
        </w:rPr>
        <w:t>7、材料（工程设备）暂估单价及调整表</w:t>
      </w:r>
    </w:p>
    <w:p>
      <w:pPr>
        <w:spacing w:line="560" w:lineRule="exact"/>
        <w:ind w:firstLine="420" w:firstLineChars="200"/>
        <w:rPr>
          <w:szCs w:val="21"/>
        </w:rPr>
      </w:pPr>
      <w:r>
        <w:rPr>
          <w:rFonts w:hint="eastAsia"/>
          <w:szCs w:val="21"/>
        </w:rPr>
        <w:t>8、专业工程暂估价表</w:t>
      </w:r>
    </w:p>
    <w:p>
      <w:pPr>
        <w:spacing w:line="560" w:lineRule="exact"/>
        <w:ind w:firstLine="420" w:firstLineChars="200"/>
        <w:rPr>
          <w:szCs w:val="21"/>
        </w:rPr>
      </w:pPr>
      <w:r>
        <w:rPr>
          <w:rFonts w:hint="eastAsia"/>
          <w:szCs w:val="21"/>
        </w:rPr>
        <w:t>9、规费、税金项目计价表</w:t>
      </w:r>
    </w:p>
    <w:p>
      <w:pPr>
        <w:spacing w:line="560" w:lineRule="exact"/>
        <w:ind w:firstLine="420" w:firstLineChars="200"/>
        <w:rPr>
          <w:szCs w:val="21"/>
        </w:rPr>
      </w:pPr>
      <w:r>
        <w:rPr>
          <w:rFonts w:hint="eastAsia"/>
          <w:szCs w:val="21"/>
        </w:rPr>
        <w:t>10、承包人供应主要材料表</w:t>
      </w:r>
    </w:p>
    <w:p>
      <w:pPr>
        <w:spacing w:line="360" w:lineRule="auto"/>
        <w:ind w:firstLine="420"/>
        <w:rPr>
          <w:rFonts w:ascii="宋体" w:hAnsi="宋体" w:eastAsia="宋体" w:cs="Times New Roman"/>
          <w:b/>
          <w:color w:val="000000"/>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w:t>
      </w:r>
    </w:p>
    <w:p>
      <w:pPr>
        <w:ind w:firstLine="643"/>
        <w:rPr>
          <w:rFonts w:ascii="宋体" w:hAnsi="宋体" w:eastAsia="楷体_GB2312" w:cs="Times New Roman"/>
          <w:sz w:val="32"/>
          <w:szCs w:val="21"/>
        </w:rPr>
      </w:pPr>
    </w:p>
    <w:p>
      <w:pPr>
        <w:jc w:val="both"/>
        <w:rPr>
          <w:rFonts w:ascii="宋体" w:hAnsi="宋体"/>
          <w:b/>
          <w:szCs w:val="21"/>
        </w:rPr>
      </w:pPr>
    </w:p>
    <w:p>
      <w:pPr>
        <w:ind w:firstLine="420"/>
        <w:jc w:val="center"/>
        <w:rPr>
          <w:rFonts w:ascii="宋体" w:hAnsi="宋体"/>
          <w:b/>
          <w:szCs w:val="21"/>
        </w:rPr>
      </w:pPr>
    </w:p>
    <w:p>
      <w:pPr>
        <w:jc w:val="center"/>
        <w:rPr>
          <w:rFonts w:ascii="宋体" w:hAnsi="宋体"/>
          <w:b/>
          <w:szCs w:val="21"/>
        </w:rPr>
      </w:pPr>
      <w:r>
        <w:rPr>
          <w:rFonts w:hint="eastAsia" w:ascii="宋体" w:hAnsi="宋体"/>
          <w:b/>
          <w:szCs w:val="21"/>
        </w:rPr>
        <w:t>五、</w:t>
      </w:r>
      <w:r>
        <w:rPr>
          <w:rFonts w:hint="eastAsia" w:ascii="宋体" w:hAnsi="宋体"/>
          <w:b/>
          <w:color w:val="000000"/>
          <w:szCs w:val="21"/>
        </w:rPr>
        <w:t>项目需求响应方案</w:t>
      </w:r>
    </w:p>
    <w:p>
      <w:pPr>
        <w:pStyle w:val="38"/>
        <w:ind w:firstLine="643"/>
      </w:pPr>
    </w:p>
    <w:p/>
    <w:p/>
    <w:p>
      <w:pPr>
        <w:pStyle w:val="38"/>
        <w:ind w:firstLine="422"/>
        <w:rPr>
          <w:rFonts w:ascii="宋体" w:hAnsi="宋体" w:eastAsiaTheme="minorEastAsia" w:cstheme="minorBidi"/>
          <w:sz w:val="21"/>
          <w:szCs w:val="21"/>
        </w:rPr>
        <w:sectPr>
          <w:pgSz w:w="11906" w:h="16838"/>
          <w:pgMar w:top="1440" w:right="1800" w:bottom="1440" w:left="1800" w:header="1191" w:footer="992" w:gutter="0"/>
          <w:cols w:space="720" w:num="1"/>
          <w:docGrid w:type="lines" w:linePitch="312" w:charSpace="0"/>
        </w:sectPr>
      </w:pPr>
    </w:p>
    <w:p>
      <w:pPr>
        <w:spacing w:line="360" w:lineRule="auto"/>
        <w:jc w:val="center"/>
        <w:rPr>
          <w:rFonts w:ascii="宋体" w:hAnsi="宋体" w:eastAsia="宋体" w:cs="Times New Roman"/>
          <w:b/>
          <w:szCs w:val="21"/>
        </w:rPr>
      </w:pPr>
      <w:r>
        <w:rPr>
          <w:rFonts w:hint="eastAsia" w:ascii="宋体" w:hAnsi="宋体" w:eastAsia="宋体" w:cs="Times New Roman"/>
          <w:b/>
          <w:szCs w:val="21"/>
        </w:rPr>
        <w:t>六、技术参数响应及偏离表</w:t>
      </w:r>
    </w:p>
    <w:p>
      <w:pPr>
        <w:spacing w:line="360" w:lineRule="auto"/>
        <w:rPr>
          <w:rFonts w:ascii="宋体" w:hAnsi="宋体" w:eastAsia="宋体" w:cs="Times New Roman"/>
          <w:bCs/>
          <w:szCs w:val="21"/>
        </w:rPr>
      </w:pPr>
      <w:r>
        <w:rPr>
          <w:rFonts w:hint="eastAsia" w:ascii="宋体" w:hAnsi="宋体" w:eastAsia="宋体" w:cs="Times New Roman"/>
          <w:bCs/>
          <w:szCs w:val="21"/>
        </w:rPr>
        <w:t>投标人全称（加盖公章）：</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eastAsia="宋体" w:cs="Times New Roman"/>
                <w:szCs w:val="21"/>
              </w:rPr>
            </w:pPr>
            <w:r>
              <w:rPr>
                <w:rFonts w:hint="eastAsia" w:ascii="宋体" w:hAnsi="宋体" w:eastAsia="宋体" w:cs="Times New Roman"/>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eastAsia="宋体" w:cs="Times New Roman"/>
                <w:szCs w:val="21"/>
              </w:rPr>
            </w:pPr>
            <w:r>
              <w:rPr>
                <w:rFonts w:hint="eastAsia" w:ascii="宋体" w:hAnsi="宋体" w:eastAsia="宋体" w:cs="Times New Roman"/>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ind w:firstLine="315" w:firstLineChars="150"/>
              <w:rPr>
                <w:rFonts w:ascii="宋体" w:hAnsi="宋体" w:eastAsia="宋体" w:cs="Times New Roman"/>
                <w:szCs w:val="21"/>
              </w:rPr>
            </w:pPr>
            <w:r>
              <w:rPr>
                <w:rFonts w:hint="eastAsia" w:ascii="宋体" w:hAnsi="宋体" w:eastAsia="宋体" w:cs="Times New Roman"/>
                <w:szCs w:val="21"/>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eastAsia="宋体" w:cs="Times New Roman"/>
                <w:szCs w:val="21"/>
              </w:rPr>
            </w:pPr>
            <w:r>
              <w:rPr>
                <w:rFonts w:hint="eastAsia" w:ascii="宋体" w:hAnsi="宋体" w:eastAsia="宋体" w:cs="Times New Roman"/>
                <w:szCs w:val="21"/>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eastAsia="宋体" w:cs="Times New Roman"/>
                <w:szCs w:val="21"/>
              </w:rPr>
            </w:pPr>
            <w:r>
              <w:rPr>
                <w:rFonts w:hint="eastAsia" w:ascii="宋体" w:hAnsi="宋体" w:eastAsia="宋体" w:cs="Times New Roman"/>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eastAsia="宋体" w:cs="Times New Roman"/>
                <w:szCs w:val="21"/>
              </w:rPr>
            </w:pPr>
            <w:r>
              <w:rPr>
                <w:rFonts w:hint="eastAsia" w:ascii="宋体" w:hAnsi="宋体" w:eastAsia="宋体" w:cs="Times New Roman"/>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ind w:firstLine="482"/>
              <w:jc w:val="center"/>
              <w:rPr>
                <w:rFonts w:ascii="宋体" w:hAnsi="宋体" w:eastAsia="宋体" w:cs="Times New Roman"/>
                <w:sz w:val="24"/>
                <w:szCs w:val="24"/>
              </w:rPr>
            </w:pPr>
          </w:p>
        </w:tc>
      </w:tr>
    </w:tbl>
    <w:p>
      <w:pPr>
        <w:spacing w:line="360" w:lineRule="auto"/>
        <w:rPr>
          <w:rFonts w:ascii="宋体" w:hAnsi="宋体" w:eastAsia="宋体" w:cs="Times New Roman"/>
          <w:szCs w:val="21"/>
        </w:rPr>
      </w:pPr>
      <w:r>
        <w:rPr>
          <w:rFonts w:hint="eastAsia" w:ascii="宋体" w:hAnsi="宋体" w:eastAsia="宋体" w:cs="Times New Roman"/>
          <w:szCs w:val="21"/>
        </w:rPr>
        <w:t>法定代表人或授权代表（签字或盖章）</w:t>
      </w:r>
    </w:p>
    <w:p>
      <w:pPr>
        <w:spacing w:line="360" w:lineRule="auto"/>
        <w:rPr>
          <w:rFonts w:ascii="宋体" w:hAnsi="宋体" w:eastAsia="宋体" w:cs="Times New Roman"/>
          <w:szCs w:val="21"/>
        </w:rPr>
      </w:pPr>
      <w:r>
        <w:rPr>
          <w:rFonts w:hint="eastAsia" w:ascii="宋体" w:hAnsi="宋体" w:eastAsia="宋体" w:cs="Times New Roman"/>
          <w:szCs w:val="21"/>
        </w:rPr>
        <w:t xml:space="preserve">                                             日期：     年    月     日</w:t>
      </w:r>
    </w:p>
    <w:p>
      <w:pPr>
        <w:spacing w:line="360" w:lineRule="auto"/>
        <w:ind w:firstLine="420"/>
        <w:rPr>
          <w:rFonts w:ascii="宋体" w:hAnsi="宋体" w:eastAsia="宋体" w:cs="Times New Roman"/>
          <w:b/>
          <w:szCs w:val="21"/>
        </w:rPr>
      </w:pPr>
    </w:p>
    <w:p>
      <w:pPr>
        <w:spacing w:line="360" w:lineRule="auto"/>
        <w:rPr>
          <w:rFonts w:ascii="宋体" w:hAnsi="宋体" w:eastAsia="宋体" w:cs="Times New Roman"/>
          <w:bCs/>
          <w:szCs w:val="21"/>
        </w:rPr>
      </w:pPr>
      <w:r>
        <w:rPr>
          <w:rFonts w:hint="eastAsia" w:ascii="宋体" w:hAnsi="宋体" w:eastAsia="宋体" w:cs="Times New Roman"/>
          <w:b/>
          <w:szCs w:val="21"/>
        </w:rPr>
        <w:t>注：</w:t>
      </w:r>
      <w:r>
        <w:rPr>
          <w:rFonts w:hint="eastAsia" w:ascii="宋体" w:hAnsi="宋体" w:eastAsia="宋体" w:cs="Times New Roman"/>
          <w:bCs/>
          <w:szCs w:val="21"/>
        </w:rPr>
        <w:t>1、按照基本技术要求详细填列；</w:t>
      </w:r>
    </w:p>
    <w:p>
      <w:pPr>
        <w:spacing w:line="360" w:lineRule="auto"/>
        <w:ind w:firstLine="422"/>
        <w:rPr>
          <w:rFonts w:ascii="宋体" w:hAnsi="宋体" w:eastAsia="宋体" w:cs="Times New Roman"/>
          <w:bCs/>
          <w:szCs w:val="21"/>
        </w:rPr>
      </w:pPr>
      <w:r>
        <w:rPr>
          <w:rFonts w:hint="eastAsia" w:ascii="宋体" w:hAnsi="宋体" w:eastAsia="宋体" w:cs="Times New Roman"/>
          <w:bCs/>
          <w:szCs w:val="21"/>
        </w:rPr>
        <w:t>2、行数不够，可自行添加。</w:t>
      </w:r>
    </w:p>
    <w:p>
      <w:pPr>
        <w:spacing w:line="360" w:lineRule="auto"/>
        <w:ind w:firstLine="422"/>
        <w:rPr>
          <w:rFonts w:ascii="宋体" w:hAnsi="宋体" w:eastAsia="宋体" w:cs="Times New Roman"/>
          <w:bCs/>
          <w:szCs w:val="21"/>
        </w:rPr>
      </w:pPr>
      <w:r>
        <w:rPr>
          <w:rFonts w:hint="eastAsia" w:ascii="宋体" w:hAnsi="宋体" w:eastAsia="宋体" w:cs="Times New Roman"/>
          <w:bCs/>
          <w:szCs w:val="21"/>
        </w:rPr>
        <w:t>3、技术偏离表应针对项目需求逐条应答。</w:t>
      </w:r>
    </w:p>
    <w:p>
      <w:pPr>
        <w:jc w:val="center"/>
        <w:rPr>
          <w:rFonts w:ascii="宋体" w:hAnsi="宋体" w:eastAsia="宋体" w:cs="Times New Roman"/>
          <w:szCs w:val="21"/>
        </w:rPr>
      </w:pPr>
    </w:p>
    <w:p>
      <w:pPr>
        <w:jc w:val="center"/>
        <w:rPr>
          <w:rFonts w:ascii="宋体" w:hAnsi="宋体" w:eastAsia="宋体" w:cs="Times New Roman"/>
          <w:szCs w:val="21"/>
        </w:rPr>
      </w:pPr>
    </w:p>
    <w:p>
      <w:pPr>
        <w:rPr>
          <w:rFonts w:ascii="宋体" w:hAnsi="宋体" w:eastAsia="宋体" w:cs="Times New Roman"/>
          <w:szCs w:val="21"/>
        </w:rPr>
      </w:pPr>
    </w:p>
    <w:p>
      <w:pPr>
        <w:jc w:val="center"/>
        <w:rPr>
          <w:rFonts w:ascii="宋体" w:hAnsi="宋体" w:eastAsia="宋体" w:cs="Times New Roman"/>
          <w:szCs w:val="21"/>
        </w:rPr>
      </w:pPr>
    </w:p>
    <w:p>
      <w:pPr>
        <w:jc w:val="center"/>
        <w:rPr>
          <w:rFonts w:ascii="宋体" w:hAnsi="宋体" w:eastAsia="宋体" w:cs="Times New Roman"/>
          <w:szCs w:val="21"/>
        </w:rPr>
      </w:pPr>
    </w:p>
    <w:p>
      <w:pPr>
        <w:spacing w:line="360" w:lineRule="auto"/>
        <w:jc w:val="center"/>
        <w:rPr>
          <w:rFonts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Cs w:val="21"/>
        </w:rPr>
        <w:t>七、商务条款响应及偏离表</w:t>
      </w:r>
    </w:p>
    <w:p>
      <w:pPr>
        <w:rPr>
          <w:rFonts w:ascii="宋体" w:hAnsi="宋体" w:eastAsia="宋体" w:cs="Times New Roman"/>
          <w:szCs w:val="21"/>
        </w:rPr>
      </w:pPr>
      <w:r>
        <w:rPr>
          <w:rFonts w:hint="eastAsia" w:ascii="宋体" w:hAnsi="宋体" w:eastAsia="宋体" w:cs="Times New Roman"/>
          <w:szCs w:val="21"/>
        </w:rPr>
        <w:t>投标人全称（加盖公章）：     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eastAsia="宋体" w:cs="Times New Roman"/>
                <w:szCs w:val="21"/>
              </w:rPr>
            </w:pPr>
            <w:r>
              <w:rPr>
                <w:rFonts w:hint="eastAsia" w:ascii="宋体" w:hAnsi="宋体" w:eastAsia="宋体" w:cs="Times New Roman"/>
                <w:szCs w:val="21"/>
              </w:rPr>
              <w:t>序号</w:t>
            </w: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s="Times New Roman"/>
                <w:szCs w:val="21"/>
              </w:rPr>
            </w:pPr>
            <w:r>
              <w:rPr>
                <w:rFonts w:hint="eastAsia" w:ascii="仿宋_GB2312" w:hAnsi="宋体" w:eastAsia="宋体" w:cs="Times New Roman"/>
                <w:szCs w:val="21"/>
              </w:rPr>
              <w:t>项目</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r>
              <w:rPr>
                <w:rFonts w:hint="eastAsia" w:ascii="仿宋_GB2312" w:hAnsi="宋体" w:eastAsia="宋体" w:cs="Times New Roman"/>
                <w:szCs w:val="21"/>
              </w:rPr>
              <w:t>磋商要求</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r>
              <w:rPr>
                <w:rFonts w:hint="eastAsia" w:ascii="仿宋_GB2312" w:hAnsi="宋体" w:eastAsia="宋体" w:cs="Times New Roman"/>
                <w:szCs w:val="21"/>
              </w:rPr>
              <w:t>是否响应</w:t>
            </w: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r>
              <w:rPr>
                <w:rFonts w:hint="eastAsia" w:ascii="仿宋_GB2312" w:hAnsi="宋体" w:eastAsia="宋体" w:cs="Times New Roman"/>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s="Times New Roman"/>
                <w:szCs w:val="21"/>
              </w:rPr>
            </w:pPr>
            <w:r>
              <w:rPr>
                <w:rFonts w:hint="eastAsia" w:ascii="仿宋_GB2312" w:hAnsi="Times New Roman" w:eastAsia="宋体" w:cs="Times New Roman"/>
                <w:szCs w:val="21"/>
              </w:rPr>
              <w:t>服务期限</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s="Times New Roman"/>
                <w:szCs w:val="21"/>
              </w:rPr>
            </w:pPr>
            <w:r>
              <w:rPr>
                <w:rFonts w:hint="eastAsia" w:ascii="仿宋_GB2312" w:hAnsi="Times New Roman" w:eastAsia="宋体" w:cs="Times New Roman"/>
                <w:szCs w:val="21"/>
              </w:rPr>
              <w:t>服务要求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s="Times New Roman"/>
                <w:szCs w:val="21"/>
              </w:rPr>
            </w:pPr>
            <w:r>
              <w:rPr>
                <w:rFonts w:hint="eastAsia" w:ascii="仿宋_GB2312" w:hAnsi="Times New Roman" w:eastAsia="宋体" w:cs="Times New Roman"/>
                <w:szCs w:val="21"/>
              </w:rPr>
              <w:t>交付时间</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交付方式</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ind w:firstLine="420"/>
              <w:rPr>
                <w:rFonts w:ascii="仿宋_GB2312" w:hAnsi="宋体" w:eastAsia="微软雅黑" w:cs="Times New Roman"/>
                <w:szCs w:val="21"/>
              </w:rPr>
            </w:pPr>
          </w:p>
          <w:p>
            <w:pPr>
              <w:adjustRightInd w:val="0"/>
              <w:snapToGrid w:val="0"/>
              <w:spacing w:before="156" w:beforeLines="50" w:after="200" w:line="220" w:lineRule="atLeast"/>
              <w:rPr>
                <w:rFonts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交付地点</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ind w:firstLine="420"/>
              <w:rPr>
                <w:rFonts w:ascii="仿宋_GB2312" w:hAnsi="宋体" w:eastAsia="微软雅黑" w:cs="Times New Roman"/>
                <w:szCs w:val="21"/>
              </w:rPr>
            </w:pPr>
          </w:p>
          <w:p>
            <w:pPr>
              <w:adjustRightInd w:val="0"/>
              <w:snapToGrid w:val="0"/>
              <w:spacing w:before="156" w:beforeLines="50" w:after="200" w:line="220" w:lineRule="atLeast"/>
              <w:rPr>
                <w:rFonts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s="Times New Roman"/>
                <w:szCs w:val="21"/>
              </w:rPr>
            </w:pPr>
            <w:r>
              <w:rPr>
                <w:rFonts w:hint="eastAsia" w:ascii="仿宋_GB2312" w:hAnsi="宋体" w:eastAsia="宋体" w:cs="Times New Roman"/>
                <w:szCs w:val="21"/>
              </w:rPr>
              <w:t>付款方式</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firstLine="482"/>
              <w:rPr>
                <w:rFonts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firstLine="482"/>
              <w:rPr>
                <w:rFonts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firstLine="482"/>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宋体" w:hAnsi="宋体" w:eastAsia="宋体" w:cs="Times New Roman"/>
                <w:szCs w:val="21"/>
              </w:rPr>
            </w:pPr>
            <w:r>
              <w:rPr>
                <w:rFonts w:hint="eastAsia" w:ascii="宋体" w:hAnsi="宋体" w:eastAsia="宋体" w:cs="Times New Roman"/>
                <w:szCs w:val="21"/>
              </w:rPr>
              <w:t>磋商响应货币</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ind w:firstLine="482"/>
              <w:rPr>
                <w:rFonts w:ascii="仿宋_GB2312" w:hAnsi="宋体" w:eastAsia="仿宋_GB2312" w:cs="Times New Roman"/>
                <w:sz w:val="24"/>
                <w:szCs w:val="20"/>
              </w:rPr>
            </w:pPr>
          </w:p>
          <w:p>
            <w:pPr>
              <w:adjustRightInd w:val="0"/>
              <w:snapToGrid w:val="0"/>
              <w:spacing w:before="156" w:beforeLines="50" w:after="200" w:line="220" w:lineRule="atLeast"/>
              <w:ind w:firstLine="482"/>
              <w:rPr>
                <w:rFonts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firstLine="482"/>
              <w:rPr>
                <w:rFonts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firstLine="482"/>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s="Times New Roman"/>
                <w:szCs w:val="21"/>
              </w:rPr>
            </w:pPr>
            <w:r>
              <w:rPr>
                <w:rFonts w:hint="eastAsia" w:ascii="仿宋_GB2312" w:hAnsi="宋体" w:eastAsia="宋体" w:cs="Times New Roman"/>
                <w:szCs w:val="21"/>
              </w:rPr>
              <w:t>其他</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s="Times New Roman"/>
                <w:szCs w:val="21"/>
              </w:rPr>
            </w:pPr>
          </w:p>
        </w:tc>
      </w:tr>
    </w:tbl>
    <w:p>
      <w:pPr>
        <w:rPr>
          <w:rFonts w:ascii="宋体" w:hAnsi="宋体" w:eastAsia="宋体" w:cs="Times New Roman"/>
          <w:szCs w:val="21"/>
        </w:rPr>
      </w:pPr>
    </w:p>
    <w:p>
      <w:pPr>
        <w:rPr>
          <w:rFonts w:ascii="宋体" w:hAnsi="宋体" w:eastAsia="宋体" w:cs="Times New Roman"/>
          <w:szCs w:val="21"/>
        </w:rPr>
      </w:pPr>
      <w:r>
        <w:rPr>
          <w:rFonts w:hint="eastAsia" w:ascii="宋体" w:hAnsi="宋体" w:eastAsia="宋体" w:cs="Times New Roman"/>
          <w:szCs w:val="21"/>
        </w:rPr>
        <w:t>法定代表人或授权代表签字：</w:t>
      </w:r>
    </w:p>
    <w:p>
      <w:pPr>
        <w:jc w:val="right"/>
        <w:rPr>
          <w:rFonts w:ascii="宋体" w:hAnsi="宋体" w:eastAsia="宋体" w:cs="Times New Roman"/>
          <w:szCs w:val="21"/>
        </w:rPr>
      </w:pPr>
    </w:p>
    <w:p>
      <w:pPr>
        <w:jc w:val="right"/>
        <w:rPr>
          <w:rFonts w:ascii="宋体" w:hAnsi="宋体" w:eastAsia="宋体" w:cs="Times New Roman"/>
          <w:szCs w:val="21"/>
        </w:rPr>
        <w:sectPr>
          <w:pgSz w:w="11906" w:h="16838"/>
          <w:pgMar w:top="1440" w:right="1800" w:bottom="1440" w:left="1800" w:header="1191" w:footer="992" w:gutter="0"/>
          <w:cols w:space="720" w:num="1"/>
          <w:docGrid w:type="lines" w:linePitch="312" w:charSpace="0"/>
        </w:sectPr>
      </w:pPr>
      <w:r>
        <w:rPr>
          <w:rFonts w:hint="eastAsia" w:ascii="宋体" w:hAnsi="宋体" w:eastAsia="宋体" w:cs="Times New Roman"/>
          <w:szCs w:val="21"/>
        </w:rPr>
        <w:t>日期：     年    月     日</w:t>
      </w:r>
    </w:p>
    <w:bookmarkEnd w:id="134"/>
    <w:bookmarkEnd w:id="135"/>
    <w:bookmarkEnd w:id="136"/>
    <w:bookmarkEnd w:id="140"/>
    <w:bookmarkEnd w:id="141"/>
    <w:bookmarkEnd w:id="142"/>
    <w:bookmarkEnd w:id="143"/>
    <w:bookmarkEnd w:id="144"/>
    <w:bookmarkEnd w:id="145"/>
    <w:bookmarkEnd w:id="146"/>
    <w:bookmarkEnd w:id="147"/>
    <w:p>
      <w:pPr>
        <w:jc w:val="center"/>
        <w:rPr>
          <w:rFonts w:ascii="宋体" w:hAnsi="宋体" w:cs="宋体"/>
          <w:szCs w:val="21"/>
        </w:rPr>
      </w:pPr>
    </w:p>
    <w:p>
      <w:pPr>
        <w:ind w:firstLine="420"/>
        <w:rPr>
          <w:rFonts w:ascii="宋体" w:hAnsi="宋体" w:cs="宋体"/>
          <w:b/>
          <w:szCs w:val="21"/>
        </w:rPr>
      </w:pPr>
    </w:p>
    <w:p>
      <w:pPr>
        <w:spacing w:line="360" w:lineRule="auto"/>
        <w:ind w:left="420" w:leftChars="200" w:right="-2"/>
        <w:jc w:val="center"/>
        <w:rPr>
          <w:rFonts w:ascii="宋体" w:hAnsi="宋体" w:cs="Times New Roman"/>
          <w:b/>
          <w:bCs/>
          <w:szCs w:val="21"/>
        </w:rPr>
      </w:pPr>
      <w:r>
        <w:rPr>
          <w:rFonts w:hint="eastAsia" w:ascii="宋体" w:hAnsi="宋体" w:cs="Times New Roman"/>
          <w:b/>
          <w:bCs/>
          <w:szCs w:val="21"/>
        </w:rPr>
        <w:t>八、其他</w:t>
      </w:r>
    </w:p>
    <w:p>
      <w:pPr>
        <w:pStyle w:val="106"/>
        <w:ind w:firstLine="0" w:firstLineChars="0"/>
        <w:jc w:val="center"/>
      </w:pPr>
      <w:r>
        <w:rPr>
          <w:rFonts w:hint="eastAsia"/>
          <w:szCs w:val="21"/>
        </w:rPr>
        <w:t>（磋商文件中要求提供的资料及投标投标人认为需要提供的资料）</w:t>
      </w:r>
    </w:p>
    <w:sectPr>
      <w:pgSz w:w="11906" w:h="16838"/>
      <w:pgMar w:top="1440" w:right="1247" w:bottom="1440" w:left="1247" w:header="119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ind w:firstLine="180" w:firstLineChars="100"/>
      <w:jc w:val="both"/>
      <w:rPr>
        <w:rFonts w:ascii="宋体" w:hAnsi="宋体"/>
        <w:szCs w:val="21"/>
      </w:rPr>
    </w:pPr>
  </w:p>
  <w:p>
    <w:pPr>
      <w:pStyle w:val="26"/>
      <w:pBdr>
        <w:bottom w:val="single" w:color="auto" w:sz="6" w:space="0"/>
      </w:pBdr>
      <w:ind w:firstLine="180" w:firstLineChars="100"/>
      <w:jc w:val="both"/>
      <w:rPr>
        <w:rFonts w:ascii="宋体" w:hAnsi="宋体"/>
        <w:szCs w:val="21"/>
      </w:rPr>
    </w:pPr>
  </w:p>
  <w:p>
    <w:pPr>
      <w:pStyle w:val="26"/>
      <w:pBdr>
        <w:bottom w:val="single" w:color="auto" w:sz="6" w:space="0"/>
      </w:pBdr>
      <w:ind w:firstLine="180" w:firstLineChars="100"/>
      <w:jc w:val="both"/>
      <w:rPr>
        <w:rFonts w:ascii="宋体" w:hAnsi="宋体"/>
        <w:szCs w:val="21"/>
      </w:rPr>
    </w:pPr>
    <w:r>
      <w:rPr>
        <w:rFonts w:hint="eastAsia" w:ascii="宋体" w:hAnsi="宋体"/>
        <w:szCs w:val="21"/>
      </w:rPr>
      <w:t xml:space="preserve">  </w:t>
    </w:r>
  </w:p>
  <w:p>
    <w:pPr>
      <w:pStyle w:val="26"/>
      <w:pBdr>
        <w:bottom w:val="single" w:color="auto" w:sz="6" w:space="0"/>
      </w:pBdr>
      <w:ind w:firstLine="180" w:firstLineChars="100"/>
      <w:jc w:val="both"/>
      <w:rPr>
        <w:rFonts w:ascii="宋体" w:hAnsi="宋体"/>
        <w:szCs w:val="21"/>
      </w:rPr>
    </w:pPr>
    <w:r>
      <w:rPr>
        <w:rFonts w:hint="eastAsia" w:ascii="宋体" w:hAnsi="宋体"/>
        <w:szCs w:val="21"/>
      </w:rPr>
      <w:t xml:space="preserve">TDCG2026016                                                                 </w:t>
    </w:r>
    <w:r>
      <w:rPr>
        <w:rFonts w:hint="eastAsia" w:ascii="宋体" w:hAnsi="宋体" w:cs="宋体"/>
        <w:color w:val="333333"/>
        <w:kern w:val="0"/>
        <w:sz w:val="15"/>
        <w:szCs w:val="15"/>
        <w:lang w:val="en"/>
      </w:rPr>
      <w:t>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ascii="宋体" w:hAnsi="宋体"/>
        <w:szCs w:val="21"/>
      </w:rPr>
      <w:t>TDCG2026016                                                              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3565"/>
        <w:tab w:val="clear" w:pos="4153"/>
        <w:tab w:val="clear" w:pos="8306"/>
      </w:tabs>
      <w:jc w:val="both"/>
      <w:rPr>
        <w:color w:val="000000"/>
      </w:rPr>
    </w:pPr>
    <w:r>
      <w:rPr>
        <w:rFonts w:hint="eastAsia" w:ascii="宋体" w:hAnsi="宋体"/>
        <w:szCs w:val="21"/>
      </w:rPr>
      <w:t xml:space="preserve">TDCG2026016    </w:t>
    </w:r>
    <w:r>
      <w:rPr>
        <w:rFonts w:hint="eastAsia"/>
      </w:rPr>
      <w:t xml:space="preserve">                                                     </w:t>
    </w:r>
    <w:r>
      <w:rPr>
        <w:rFonts w:hint="eastAsia" w:ascii="宋体" w:hAnsi="宋体"/>
        <w:szCs w:val="21"/>
      </w:rPr>
      <w:t>江苏唯诚建设咨询有限公司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6"/>
      <w:lvlText w:val=""/>
      <w:lvlJc w:val="left"/>
      <w:pPr>
        <w:tabs>
          <w:tab w:val="left" w:pos="780"/>
        </w:tabs>
        <w:ind w:left="780" w:leftChars="200" w:hanging="360" w:hangingChars="200"/>
      </w:pPr>
      <w:rPr>
        <w:rFonts w:hint="default" w:ascii="Wingdings" w:hAnsi="Wingdings"/>
      </w:rPr>
    </w:lvl>
  </w:abstractNum>
  <w:abstractNum w:abstractNumId="1">
    <w:nsid w:val="06784D56"/>
    <w:multiLevelType w:val="singleLevel"/>
    <w:tmpl w:val="06784D56"/>
    <w:lvl w:ilvl="0" w:tentative="0">
      <w:start w:val="1"/>
      <w:numFmt w:val="upperLetter"/>
      <w:pStyle w:val="84"/>
      <w:lvlText w:val="附录%1."/>
      <w:lvlJc w:val="left"/>
      <w:pPr>
        <w:tabs>
          <w:tab w:val="left" w:pos="907"/>
        </w:tabs>
        <w:ind w:left="907" w:hanging="907"/>
      </w:pPr>
      <w:rPr>
        <w:rFonts w:hint="eastAsia"/>
      </w:rPr>
    </w:lvl>
  </w:abstractNum>
  <w:abstractNum w:abstractNumId="2">
    <w:nsid w:val="237E4D61"/>
    <w:multiLevelType w:val="multilevel"/>
    <w:tmpl w:val="237E4D61"/>
    <w:lvl w:ilvl="0" w:tentative="0">
      <w:start w:val="1"/>
      <w:numFmt w:val="japaneseCounting"/>
      <w:pStyle w:val="86"/>
      <w:lvlText w:val="第%1章"/>
      <w:lvlJc w:val="left"/>
      <w:pPr>
        <w:ind w:left="9351" w:hanging="420"/>
      </w:pPr>
      <w:rPr>
        <w:rFonts w:hint="eastAsia" w:ascii="黑体" w:eastAsia="黑体"/>
        <w:b w:val="0"/>
        <w:sz w:val="36"/>
        <w:lang w:val="en-US"/>
      </w:rPr>
    </w:lvl>
    <w:lvl w:ilvl="1" w:tentative="0">
      <w:start w:val="1"/>
      <w:numFmt w:val="decimal"/>
      <w:pStyle w:val="87"/>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5"/>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2"/>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3F647FB0"/>
    <w:multiLevelType w:val="singleLevel"/>
    <w:tmpl w:val="3F647FB0"/>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0EF7728"/>
    <w:rsid w:val="00044055"/>
    <w:rsid w:val="00073BD0"/>
    <w:rsid w:val="00174ADD"/>
    <w:rsid w:val="001E3AFE"/>
    <w:rsid w:val="0025789A"/>
    <w:rsid w:val="002A6B23"/>
    <w:rsid w:val="002E1CAB"/>
    <w:rsid w:val="002F5550"/>
    <w:rsid w:val="003168C9"/>
    <w:rsid w:val="00384757"/>
    <w:rsid w:val="003967CA"/>
    <w:rsid w:val="003C4CC4"/>
    <w:rsid w:val="003D65C6"/>
    <w:rsid w:val="004331A5"/>
    <w:rsid w:val="00460C9A"/>
    <w:rsid w:val="0049054C"/>
    <w:rsid w:val="004A1757"/>
    <w:rsid w:val="004D025B"/>
    <w:rsid w:val="00581487"/>
    <w:rsid w:val="00596E58"/>
    <w:rsid w:val="005C611E"/>
    <w:rsid w:val="005E5E27"/>
    <w:rsid w:val="00661709"/>
    <w:rsid w:val="006A1E9C"/>
    <w:rsid w:val="00775911"/>
    <w:rsid w:val="008972C5"/>
    <w:rsid w:val="00933A48"/>
    <w:rsid w:val="00994A05"/>
    <w:rsid w:val="00A01A1F"/>
    <w:rsid w:val="00B3364B"/>
    <w:rsid w:val="00B67A13"/>
    <w:rsid w:val="00BC2E37"/>
    <w:rsid w:val="00C24817"/>
    <w:rsid w:val="00D23047"/>
    <w:rsid w:val="00E07620"/>
    <w:rsid w:val="00E322B5"/>
    <w:rsid w:val="00E5460D"/>
    <w:rsid w:val="00E8620D"/>
    <w:rsid w:val="00EE1A3C"/>
    <w:rsid w:val="00EF7728"/>
    <w:rsid w:val="00F12440"/>
    <w:rsid w:val="00F64C11"/>
    <w:rsid w:val="00FD3183"/>
    <w:rsid w:val="01C96D93"/>
    <w:rsid w:val="03367715"/>
    <w:rsid w:val="05365415"/>
    <w:rsid w:val="06105376"/>
    <w:rsid w:val="06681449"/>
    <w:rsid w:val="08CF1E16"/>
    <w:rsid w:val="08E250C3"/>
    <w:rsid w:val="09335258"/>
    <w:rsid w:val="0E913BAA"/>
    <w:rsid w:val="0F001E9B"/>
    <w:rsid w:val="10057183"/>
    <w:rsid w:val="105E4EEE"/>
    <w:rsid w:val="10F1296D"/>
    <w:rsid w:val="11FE3137"/>
    <w:rsid w:val="138E4DA7"/>
    <w:rsid w:val="15AC5140"/>
    <w:rsid w:val="15B056E5"/>
    <w:rsid w:val="17A52012"/>
    <w:rsid w:val="181116F2"/>
    <w:rsid w:val="197653BA"/>
    <w:rsid w:val="1A65781B"/>
    <w:rsid w:val="1B8A3150"/>
    <w:rsid w:val="20BF7C93"/>
    <w:rsid w:val="213B7E78"/>
    <w:rsid w:val="21584884"/>
    <w:rsid w:val="22017822"/>
    <w:rsid w:val="24D85DDE"/>
    <w:rsid w:val="27710308"/>
    <w:rsid w:val="278133E5"/>
    <w:rsid w:val="27F154AD"/>
    <w:rsid w:val="28892427"/>
    <w:rsid w:val="2B77065E"/>
    <w:rsid w:val="322D7E22"/>
    <w:rsid w:val="341C2D24"/>
    <w:rsid w:val="36D44917"/>
    <w:rsid w:val="37CB1876"/>
    <w:rsid w:val="391F2034"/>
    <w:rsid w:val="39A53DBF"/>
    <w:rsid w:val="3C262AC5"/>
    <w:rsid w:val="3D7100E3"/>
    <w:rsid w:val="3DDF607B"/>
    <w:rsid w:val="3F817694"/>
    <w:rsid w:val="3F8F7188"/>
    <w:rsid w:val="4151103E"/>
    <w:rsid w:val="43CC0E50"/>
    <w:rsid w:val="45372C41"/>
    <w:rsid w:val="45C33AC6"/>
    <w:rsid w:val="46865814"/>
    <w:rsid w:val="48B25902"/>
    <w:rsid w:val="4D183F39"/>
    <w:rsid w:val="4D1A2C2C"/>
    <w:rsid w:val="4D9E03BC"/>
    <w:rsid w:val="4DD52C7D"/>
    <w:rsid w:val="4EAA6232"/>
    <w:rsid w:val="513C1CD2"/>
    <w:rsid w:val="5B2E4326"/>
    <w:rsid w:val="5BE00EE0"/>
    <w:rsid w:val="5BFB1B82"/>
    <w:rsid w:val="5C527136"/>
    <w:rsid w:val="5C7E5D47"/>
    <w:rsid w:val="5E033E37"/>
    <w:rsid w:val="5EA12D8F"/>
    <w:rsid w:val="5EB21369"/>
    <w:rsid w:val="5F347AA2"/>
    <w:rsid w:val="61D659CF"/>
    <w:rsid w:val="62621A6A"/>
    <w:rsid w:val="651F1356"/>
    <w:rsid w:val="672B768E"/>
    <w:rsid w:val="67D55C00"/>
    <w:rsid w:val="68710088"/>
    <w:rsid w:val="69187AAF"/>
    <w:rsid w:val="6CCC1DDF"/>
    <w:rsid w:val="6FB62DFB"/>
    <w:rsid w:val="703C4B94"/>
    <w:rsid w:val="70CD3F40"/>
    <w:rsid w:val="70D42847"/>
    <w:rsid w:val="72A84F1D"/>
    <w:rsid w:val="73441F01"/>
    <w:rsid w:val="73FC000E"/>
    <w:rsid w:val="74143FCA"/>
    <w:rsid w:val="74655B82"/>
    <w:rsid w:val="74E474F8"/>
    <w:rsid w:val="764A5A81"/>
    <w:rsid w:val="78956C26"/>
    <w:rsid w:val="7A8E7BBC"/>
    <w:rsid w:val="7BA87E76"/>
    <w:rsid w:val="7C252580"/>
    <w:rsid w:val="7D562F5D"/>
    <w:rsid w:val="7DB75610"/>
    <w:rsid w:val="7E1F338F"/>
    <w:rsid w:val="7E4B05E8"/>
    <w:rsid w:val="7EE46D7D"/>
    <w:rsid w:val="7F2F7F0A"/>
    <w:rsid w:val="7FCC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1"/>
    <w:autoRedefine/>
    <w:qFormat/>
    <w:uiPriority w:val="0"/>
    <w:pPr>
      <w:keepNext/>
      <w:outlineLvl w:val="0"/>
    </w:pPr>
    <w:rPr>
      <w:rFonts w:ascii="楷体_GB2312" w:hAnsi="Times New Roman" w:eastAsia="楷体_GB2312" w:cs="Times New Roman"/>
      <w:sz w:val="28"/>
      <w:szCs w:val="20"/>
    </w:rPr>
  </w:style>
  <w:style w:type="paragraph" w:styleId="5">
    <w:name w:val="heading 2"/>
    <w:basedOn w:val="1"/>
    <w:next w:val="1"/>
    <w:link w:val="52"/>
    <w:autoRedefine/>
    <w:qFormat/>
    <w:uiPriority w:val="0"/>
    <w:pPr>
      <w:keepNext/>
      <w:keepLines/>
      <w:spacing w:before="260" w:after="260" w:line="416" w:lineRule="auto"/>
      <w:jc w:val="center"/>
      <w:outlineLvl w:val="1"/>
    </w:pPr>
    <w:rPr>
      <w:rFonts w:ascii="Arial" w:hAnsi="Arial" w:eastAsia="幼圆" w:cs="Times New Roman"/>
      <w:b/>
      <w:sz w:val="44"/>
      <w:szCs w:val="20"/>
    </w:rPr>
  </w:style>
  <w:style w:type="paragraph" w:styleId="6">
    <w:name w:val="heading 3"/>
    <w:basedOn w:val="1"/>
    <w:next w:val="1"/>
    <w:link w:val="53"/>
    <w:autoRedefine/>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2">
    <w:name w:val="heading 4"/>
    <w:basedOn w:val="3"/>
    <w:next w:val="1"/>
    <w:link w:val="54"/>
    <w:autoRedefine/>
    <w:qFormat/>
    <w:uiPriority w:val="0"/>
    <w:pPr>
      <w:keepNext/>
      <w:keepLines/>
      <w:spacing w:before="280" w:after="290" w:line="376" w:lineRule="auto"/>
      <w:outlineLvl w:val="3"/>
    </w:pPr>
    <w:rPr>
      <w:rFonts w:ascii="Arial" w:hAnsi="Arial" w:eastAsia="黑体" w:cs="Times New Roman"/>
      <w:sz w:val="28"/>
      <w:szCs w:val="28"/>
    </w:rPr>
  </w:style>
  <w:style w:type="paragraph" w:styleId="3">
    <w:name w:val="heading 5"/>
    <w:basedOn w:val="1"/>
    <w:next w:val="1"/>
    <w:link w:val="55"/>
    <w:autoRedefine/>
    <w:qFormat/>
    <w:uiPriority w:val="0"/>
    <w:pPr>
      <w:keepNext/>
      <w:outlineLvl w:val="4"/>
    </w:pPr>
    <w:rPr>
      <w:rFonts w:ascii="宋体" w:hAnsi="宋体" w:eastAsia="宋体" w:cs="Times New Roman"/>
      <w:b/>
      <w:bCs/>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rPr>
      <w:rFonts w:ascii="Times New Roman" w:hAnsi="Times New Roman" w:eastAsia="宋体" w:cs="Times New Roman"/>
      <w:szCs w:val="24"/>
    </w:rPr>
  </w:style>
  <w:style w:type="paragraph" w:styleId="8">
    <w:name w:val="Normal Indent"/>
    <w:basedOn w:val="1"/>
    <w:next w:val="1"/>
    <w:link w:val="57"/>
    <w:autoRedefine/>
    <w:qFormat/>
    <w:uiPriority w:val="0"/>
    <w:pPr>
      <w:ind w:firstLine="420"/>
    </w:pPr>
    <w:rPr>
      <w:rFonts w:ascii="Times New Roman" w:hAnsi="Times New Roman" w:eastAsia="宋体" w:cs="Times New Roman"/>
      <w:szCs w:val="20"/>
    </w:rPr>
  </w:style>
  <w:style w:type="paragraph" w:styleId="9">
    <w:name w:val="Document Map"/>
    <w:basedOn w:val="1"/>
    <w:link w:val="58"/>
    <w:autoRedefine/>
    <w:semiHidden/>
    <w:qFormat/>
    <w:uiPriority w:val="0"/>
    <w:pPr>
      <w:shd w:val="clear" w:color="auto" w:fill="000080"/>
    </w:pPr>
    <w:rPr>
      <w:rFonts w:ascii="Times New Roman" w:hAnsi="Times New Roman" w:eastAsia="宋体" w:cs="Times New Roman"/>
      <w:szCs w:val="24"/>
    </w:rPr>
  </w:style>
  <w:style w:type="paragraph" w:styleId="10">
    <w:name w:val="annotation text"/>
    <w:basedOn w:val="1"/>
    <w:link w:val="59"/>
    <w:autoRedefine/>
    <w:qFormat/>
    <w:uiPriority w:val="0"/>
    <w:pPr>
      <w:jc w:val="left"/>
    </w:pPr>
    <w:rPr>
      <w:rFonts w:ascii="Times New Roman" w:hAnsi="Times New Roman" w:eastAsia="宋体" w:cs="Times New Roman"/>
      <w:szCs w:val="24"/>
    </w:rPr>
  </w:style>
  <w:style w:type="paragraph" w:styleId="11">
    <w:name w:val="Body Text 3"/>
    <w:basedOn w:val="1"/>
    <w:link w:val="60"/>
    <w:autoRedefine/>
    <w:qFormat/>
    <w:uiPriority w:val="0"/>
    <w:rPr>
      <w:rFonts w:ascii="仿宋_GB2312" w:hAnsi="Arial" w:eastAsia="仿宋_GB2312" w:cs="Times New Roman"/>
      <w:sz w:val="32"/>
      <w:szCs w:val="20"/>
    </w:rPr>
  </w:style>
  <w:style w:type="paragraph" w:styleId="12">
    <w:name w:val="Body Text"/>
    <w:basedOn w:val="1"/>
    <w:next w:val="13"/>
    <w:link w:val="61"/>
    <w:autoRedefine/>
    <w:qFormat/>
    <w:uiPriority w:val="0"/>
    <w:rPr>
      <w:rFonts w:ascii="楷体_GB2312" w:hAnsi="Arial" w:eastAsia="楷体_GB2312" w:cs="Times New Roman"/>
      <w:sz w:val="28"/>
      <w:szCs w:val="20"/>
    </w:rPr>
  </w:style>
  <w:style w:type="paragraph" w:customStyle="1" w:styleId="1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Indent"/>
    <w:basedOn w:val="1"/>
    <w:next w:val="1"/>
    <w:link w:val="56"/>
    <w:autoRedefine/>
    <w:qFormat/>
    <w:uiPriority w:val="0"/>
    <w:pPr>
      <w:ind w:firstLine="645"/>
    </w:pPr>
    <w:rPr>
      <w:rFonts w:ascii="楷体_GB2312" w:hAnsi="Times New Roman" w:eastAsia="楷体_GB2312" w:cs="Times New Roman"/>
      <w:sz w:val="32"/>
      <w:szCs w:val="20"/>
    </w:rPr>
  </w:style>
  <w:style w:type="paragraph" w:styleId="15">
    <w:name w:val="Block Text"/>
    <w:basedOn w:val="1"/>
    <w:autoRedefine/>
    <w:qFormat/>
    <w:uiPriority w:val="99"/>
    <w:pPr>
      <w:spacing w:after="120"/>
      <w:ind w:left="1440" w:leftChars="700" w:right="1440" w:rightChars="700"/>
    </w:pPr>
  </w:style>
  <w:style w:type="paragraph" w:styleId="16">
    <w:name w:val="List Bullet 2"/>
    <w:basedOn w:val="1"/>
    <w:autoRedefine/>
    <w:qFormat/>
    <w:uiPriority w:val="0"/>
    <w:pPr>
      <w:numPr>
        <w:ilvl w:val="0"/>
        <w:numId w:val="1"/>
      </w:numPr>
      <w:ind w:left="0" w:leftChars="0" w:firstLine="0" w:firstLineChars="0"/>
    </w:pPr>
    <w:rPr>
      <w:rFonts w:ascii="Times New Roman" w:hAnsi="Times New Roman" w:eastAsia="宋体" w:cs="Times New Roman"/>
      <w:szCs w:val="24"/>
    </w:rPr>
  </w:style>
  <w:style w:type="paragraph" w:styleId="17">
    <w:name w:val="index 4"/>
    <w:basedOn w:val="1"/>
    <w:next w:val="1"/>
    <w:autoRedefine/>
    <w:qFormat/>
    <w:uiPriority w:val="0"/>
    <w:pPr>
      <w:ind w:left="1260"/>
    </w:pPr>
    <w:rPr>
      <w:rFonts w:eastAsia="Calibri" w:cs="宋体"/>
      <w:kern w:val="0"/>
      <w:sz w:val="20"/>
      <w:szCs w:val="20"/>
      <w:lang w:val="zh-CN"/>
    </w:rPr>
  </w:style>
  <w:style w:type="paragraph" w:styleId="18">
    <w:name w:val="toc 5"/>
    <w:basedOn w:val="1"/>
    <w:next w:val="1"/>
    <w:autoRedefine/>
    <w:semiHidden/>
    <w:qFormat/>
    <w:uiPriority w:val="0"/>
    <w:pPr>
      <w:ind w:left="1680" w:leftChars="800"/>
    </w:pPr>
    <w:rPr>
      <w:rFonts w:ascii="Times New Roman" w:hAnsi="Times New Roman" w:eastAsia="宋体" w:cs="Times New Roman"/>
      <w:szCs w:val="24"/>
    </w:rPr>
  </w:style>
  <w:style w:type="paragraph" w:styleId="19">
    <w:name w:val="toc 3"/>
    <w:basedOn w:val="1"/>
    <w:next w:val="1"/>
    <w:autoRedefine/>
    <w:semiHidden/>
    <w:qFormat/>
    <w:uiPriority w:val="0"/>
    <w:pPr>
      <w:tabs>
        <w:tab w:val="right" w:leader="dot" w:pos="9440"/>
      </w:tabs>
      <w:spacing w:line="240" w:lineRule="exact"/>
      <w:ind w:left="539"/>
      <w:jc w:val="left"/>
    </w:pPr>
    <w:rPr>
      <w:rFonts w:ascii="黑体" w:hAnsi="宋体" w:eastAsia="黑体" w:cs="Times New Roman"/>
      <w:bCs/>
      <w:iCs/>
      <w:sz w:val="18"/>
      <w:szCs w:val="32"/>
    </w:rPr>
  </w:style>
  <w:style w:type="paragraph" w:styleId="20">
    <w:name w:val="Plain Text"/>
    <w:basedOn w:val="1"/>
    <w:next w:val="8"/>
    <w:link w:val="62"/>
    <w:autoRedefine/>
    <w:qFormat/>
    <w:uiPriority w:val="0"/>
    <w:rPr>
      <w:rFonts w:hint="eastAsia" w:ascii="宋体" w:hAnsi="Courier New" w:eastAsia="宋体" w:cs="Times New Roman"/>
      <w:szCs w:val="20"/>
    </w:rPr>
  </w:style>
  <w:style w:type="paragraph" w:styleId="21">
    <w:name w:val="toc 8"/>
    <w:basedOn w:val="1"/>
    <w:next w:val="1"/>
    <w:autoRedefine/>
    <w:semiHidden/>
    <w:qFormat/>
    <w:uiPriority w:val="0"/>
    <w:pPr>
      <w:ind w:left="2940" w:leftChars="1400"/>
    </w:pPr>
    <w:rPr>
      <w:rFonts w:ascii="Times New Roman" w:hAnsi="Times New Roman" w:eastAsia="宋体" w:cs="Times New Roman"/>
      <w:szCs w:val="24"/>
    </w:rPr>
  </w:style>
  <w:style w:type="paragraph" w:styleId="22">
    <w:name w:val="Date"/>
    <w:basedOn w:val="1"/>
    <w:next w:val="1"/>
    <w:link w:val="63"/>
    <w:autoRedefine/>
    <w:qFormat/>
    <w:uiPriority w:val="0"/>
    <w:rPr>
      <w:rFonts w:ascii="Times New Roman" w:hAnsi="Times New Roman" w:eastAsia="宋体" w:cs="Times New Roman"/>
      <w:sz w:val="24"/>
      <w:szCs w:val="20"/>
    </w:rPr>
  </w:style>
  <w:style w:type="paragraph" w:styleId="23">
    <w:name w:val="Body Text Indent 2"/>
    <w:basedOn w:val="1"/>
    <w:link w:val="64"/>
    <w:autoRedefine/>
    <w:qFormat/>
    <w:uiPriority w:val="0"/>
    <w:pPr>
      <w:ind w:firstLine="560" w:firstLineChars="200"/>
    </w:pPr>
    <w:rPr>
      <w:rFonts w:ascii="宋体" w:hAnsi="宋体" w:eastAsia="宋体" w:cs="Times New Roman"/>
      <w:sz w:val="28"/>
      <w:szCs w:val="24"/>
    </w:rPr>
  </w:style>
  <w:style w:type="paragraph" w:styleId="24">
    <w:name w:val="Balloon Text"/>
    <w:basedOn w:val="1"/>
    <w:link w:val="65"/>
    <w:autoRedefine/>
    <w:semiHidden/>
    <w:qFormat/>
    <w:uiPriority w:val="0"/>
    <w:rPr>
      <w:rFonts w:ascii="Times New Roman" w:hAnsi="Times New Roman" w:eastAsia="宋体" w:cs="Times New Roman"/>
      <w:sz w:val="18"/>
      <w:szCs w:val="18"/>
    </w:rPr>
  </w:style>
  <w:style w:type="paragraph" w:styleId="25">
    <w:name w:val="footer"/>
    <w:basedOn w:val="1"/>
    <w:link w:val="50"/>
    <w:autoRedefine/>
    <w:unhideWhenUsed/>
    <w:qFormat/>
    <w:uiPriority w:val="99"/>
    <w:pPr>
      <w:tabs>
        <w:tab w:val="center" w:pos="4153"/>
        <w:tab w:val="right" w:pos="8306"/>
      </w:tabs>
      <w:snapToGrid w:val="0"/>
      <w:jc w:val="left"/>
    </w:pPr>
    <w:rPr>
      <w:sz w:val="18"/>
      <w:szCs w:val="18"/>
    </w:rPr>
  </w:style>
  <w:style w:type="paragraph" w:styleId="26">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semiHidden/>
    <w:qFormat/>
    <w:uiPriority w:val="0"/>
    <w:pPr>
      <w:tabs>
        <w:tab w:val="right" w:leader="dot" w:pos="9440"/>
      </w:tabs>
      <w:spacing w:before="120" w:after="120" w:line="300" w:lineRule="exact"/>
      <w:jc w:val="left"/>
    </w:pPr>
    <w:rPr>
      <w:rFonts w:ascii="黑体" w:hAnsi="Times New Roman" w:eastAsia="黑体" w:cs="Times New Roman"/>
      <w:b/>
      <w:caps/>
      <w:sz w:val="18"/>
      <w:szCs w:val="28"/>
    </w:rPr>
  </w:style>
  <w:style w:type="paragraph" w:styleId="28">
    <w:name w:val="toc 4"/>
    <w:basedOn w:val="1"/>
    <w:next w:val="1"/>
    <w:autoRedefine/>
    <w:semiHidden/>
    <w:qFormat/>
    <w:uiPriority w:val="0"/>
    <w:pPr>
      <w:ind w:left="1260" w:leftChars="600"/>
    </w:pPr>
    <w:rPr>
      <w:rFonts w:ascii="Times New Roman" w:hAnsi="Times New Roman" w:eastAsia="宋体" w:cs="Times New Roman"/>
      <w:szCs w:val="24"/>
    </w:rPr>
  </w:style>
  <w:style w:type="paragraph" w:styleId="29">
    <w:name w:val="toc 6"/>
    <w:basedOn w:val="1"/>
    <w:next w:val="1"/>
    <w:autoRedefine/>
    <w:semiHidden/>
    <w:qFormat/>
    <w:uiPriority w:val="0"/>
    <w:pPr>
      <w:ind w:left="2100" w:leftChars="1000"/>
    </w:pPr>
    <w:rPr>
      <w:rFonts w:ascii="Times New Roman" w:hAnsi="Times New Roman" w:eastAsia="宋体" w:cs="Times New Roman"/>
      <w:szCs w:val="24"/>
    </w:rPr>
  </w:style>
  <w:style w:type="paragraph" w:styleId="30">
    <w:name w:val="Body Text Indent 3"/>
    <w:basedOn w:val="1"/>
    <w:link w:val="66"/>
    <w:autoRedefine/>
    <w:qFormat/>
    <w:uiPriority w:val="0"/>
    <w:pPr>
      <w:ind w:firstLine="523"/>
    </w:pPr>
    <w:rPr>
      <w:rFonts w:ascii="仿宋_GB2312" w:hAnsi="宋体" w:eastAsia="仿宋_GB2312" w:cs="Times New Roman"/>
      <w:sz w:val="24"/>
      <w:szCs w:val="24"/>
    </w:rPr>
  </w:style>
  <w:style w:type="paragraph" w:styleId="31">
    <w:name w:val="toc 2"/>
    <w:basedOn w:val="1"/>
    <w:next w:val="1"/>
    <w:autoRedefine/>
    <w:semiHidden/>
    <w:qFormat/>
    <w:uiPriority w:val="0"/>
    <w:pPr>
      <w:tabs>
        <w:tab w:val="right" w:leader="dot" w:pos="9440"/>
      </w:tabs>
      <w:spacing w:line="260" w:lineRule="exact"/>
      <w:jc w:val="left"/>
    </w:pPr>
    <w:rPr>
      <w:rFonts w:ascii="黑体" w:hAnsi="Times New Roman" w:eastAsia="黑体" w:cs="Times New Roman"/>
      <w:b/>
      <w:bCs/>
      <w:smallCaps/>
      <w:sz w:val="18"/>
      <w:szCs w:val="44"/>
    </w:rPr>
  </w:style>
  <w:style w:type="paragraph" w:styleId="32">
    <w:name w:val="toc 9"/>
    <w:basedOn w:val="1"/>
    <w:next w:val="1"/>
    <w:autoRedefine/>
    <w:semiHidden/>
    <w:qFormat/>
    <w:uiPriority w:val="0"/>
    <w:pPr>
      <w:ind w:left="3360" w:leftChars="1600"/>
    </w:pPr>
    <w:rPr>
      <w:rFonts w:ascii="Times New Roman" w:hAnsi="Times New Roman" w:eastAsia="宋体" w:cs="Times New Roman"/>
      <w:szCs w:val="24"/>
    </w:rPr>
  </w:style>
  <w:style w:type="paragraph" w:styleId="33">
    <w:name w:val="Body Text 2"/>
    <w:basedOn w:val="1"/>
    <w:link w:val="67"/>
    <w:autoRedefine/>
    <w:qFormat/>
    <w:uiPriority w:val="0"/>
    <w:pPr>
      <w:jc w:val="center"/>
    </w:pPr>
    <w:rPr>
      <w:rFonts w:ascii="仿宋_GB2312" w:hAnsi="Times New Roman" w:eastAsia="仿宋_GB2312" w:cs="Times New Roman"/>
      <w:sz w:val="44"/>
      <w:szCs w:val="24"/>
    </w:rPr>
  </w:style>
  <w:style w:type="paragraph" w:styleId="34">
    <w:name w:val="HTML Preformatted"/>
    <w:basedOn w:val="1"/>
    <w:link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semiHidden/>
    <w:qFormat/>
    <w:uiPriority w:val="0"/>
    <w:rPr>
      <w:rFonts w:ascii="宋体" w:hAnsi="宋体" w:eastAsia="宋体" w:cs="Times New Roman"/>
      <w:szCs w:val="18"/>
    </w:rPr>
  </w:style>
  <w:style w:type="paragraph" w:styleId="37">
    <w:name w:val="annotation subject"/>
    <w:basedOn w:val="10"/>
    <w:next w:val="10"/>
    <w:link w:val="69"/>
    <w:autoRedefine/>
    <w:qFormat/>
    <w:uiPriority w:val="0"/>
    <w:rPr>
      <w:b/>
      <w:bCs/>
    </w:rPr>
  </w:style>
  <w:style w:type="paragraph" w:styleId="38">
    <w:name w:val="Body Text First Indent 2"/>
    <w:basedOn w:val="14"/>
    <w:next w:val="1"/>
    <w:link w:val="70"/>
    <w:autoRedefine/>
    <w:qFormat/>
    <w:uiPriority w:val="0"/>
    <w:pPr>
      <w:ind w:firstLine="420"/>
    </w:pPr>
  </w:style>
  <w:style w:type="table" w:styleId="40">
    <w:name w:val="Table Grid"/>
    <w:basedOn w:val="3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0"/>
    <w:rPr>
      <w:color w:val="0000FF"/>
      <w:u w:val="single"/>
    </w:rPr>
  </w:style>
  <w:style w:type="character" w:styleId="47">
    <w:name w:val="annotation reference"/>
    <w:autoRedefine/>
    <w:qFormat/>
    <w:uiPriority w:val="0"/>
    <w:rPr>
      <w:sz w:val="21"/>
      <w:szCs w:val="21"/>
    </w:rPr>
  </w:style>
  <w:style w:type="paragraph" w:customStyle="1" w:styleId="48">
    <w:name w:val="正文1"/>
    <w:autoRedefine/>
    <w:qFormat/>
    <w:uiPriority w:val="0"/>
    <w:rPr>
      <w:rFonts w:ascii="Times New Roman" w:hAnsi="Times New Roman" w:eastAsia="宋体" w:cs="Times New Roman"/>
      <w:lang w:val="en-US" w:eastAsia="zh-CN" w:bidi="ar-SA"/>
    </w:rPr>
  </w:style>
  <w:style w:type="character" w:customStyle="1" w:styleId="49">
    <w:name w:val="页眉 Char"/>
    <w:basedOn w:val="41"/>
    <w:link w:val="26"/>
    <w:autoRedefine/>
    <w:qFormat/>
    <w:uiPriority w:val="99"/>
    <w:rPr>
      <w:sz w:val="18"/>
      <w:szCs w:val="18"/>
    </w:rPr>
  </w:style>
  <w:style w:type="character" w:customStyle="1" w:styleId="50">
    <w:name w:val="页脚 Char"/>
    <w:basedOn w:val="41"/>
    <w:link w:val="25"/>
    <w:autoRedefine/>
    <w:qFormat/>
    <w:uiPriority w:val="99"/>
    <w:rPr>
      <w:sz w:val="18"/>
      <w:szCs w:val="18"/>
    </w:rPr>
  </w:style>
  <w:style w:type="character" w:customStyle="1" w:styleId="51">
    <w:name w:val="标题 1 Char"/>
    <w:basedOn w:val="41"/>
    <w:link w:val="4"/>
    <w:autoRedefine/>
    <w:qFormat/>
    <w:uiPriority w:val="0"/>
    <w:rPr>
      <w:rFonts w:ascii="楷体_GB2312" w:hAnsi="Times New Roman" w:eastAsia="楷体_GB2312" w:cs="Times New Roman"/>
      <w:sz w:val="28"/>
      <w:szCs w:val="20"/>
    </w:rPr>
  </w:style>
  <w:style w:type="character" w:customStyle="1" w:styleId="52">
    <w:name w:val="标题 2 Char"/>
    <w:basedOn w:val="41"/>
    <w:link w:val="5"/>
    <w:autoRedefine/>
    <w:qFormat/>
    <w:uiPriority w:val="0"/>
    <w:rPr>
      <w:rFonts w:ascii="Arial" w:hAnsi="Arial" w:eastAsia="幼圆" w:cs="Times New Roman"/>
      <w:b/>
      <w:sz w:val="44"/>
      <w:szCs w:val="20"/>
    </w:rPr>
  </w:style>
  <w:style w:type="character" w:customStyle="1" w:styleId="53">
    <w:name w:val="标题 3 Char"/>
    <w:basedOn w:val="41"/>
    <w:link w:val="6"/>
    <w:autoRedefine/>
    <w:qFormat/>
    <w:uiPriority w:val="0"/>
    <w:rPr>
      <w:rFonts w:ascii="Times New Roman" w:hAnsi="Times New Roman" w:eastAsia="宋体" w:cs="Times New Roman"/>
      <w:b/>
      <w:sz w:val="32"/>
      <w:szCs w:val="20"/>
    </w:rPr>
  </w:style>
  <w:style w:type="character" w:customStyle="1" w:styleId="54">
    <w:name w:val="标题 4 Char"/>
    <w:basedOn w:val="41"/>
    <w:link w:val="2"/>
    <w:autoRedefine/>
    <w:qFormat/>
    <w:uiPriority w:val="0"/>
    <w:rPr>
      <w:rFonts w:ascii="Arial" w:hAnsi="Arial" w:eastAsia="黑体" w:cs="Times New Roman"/>
      <w:b/>
      <w:bCs/>
      <w:sz w:val="28"/>
      <w:szCs w:val="28"/>
    </w:rPr>
  </w:style>
  <w:style w:type="character" w:customStyle="1" w:styleId="55">
    <w:name w:val="标题 5 Char"/>
    <w:basedOn w:val="41"/>
    <w:link w:val="3"/>
    <w:autoRedefine/>
    <w:qFormat/>
    <w:uiPriority w:val="0"/>
    <w:rPr>
      <w:rFonts w:ascii="宋体" w:hAnsi="宋体" w:eastAsia="宋体" w:cs="Times New Roman"/>
      <w:b/>
      <w:bCs/>
      <w:szCs w:val="24"/>
    </w:rPr>
  </w:style>
  <w:style w:type="character" w:customStyle="1" w:styleId="56">
    <w:name w:val="正文文本缩进 Char"/>
    <w:basedOn w:val="41"/>
    <w:link w:val="14"/>
    <w:autoRedefine/>
    <w:qFormat/>
    <w:uiPriority w:val="0"/>
    <w:rPr>
      <w:rFonts w:ascii="楷体_GB2312" w:hAnsi="Times New Roman" w:eastAsia="楷体_GB2312" w:cs="Times New Roman"/>
      <w:sz w:val="32"/>
      <w:szCs w:val="20"/>
    </w:rPr>
  </w:style>
  <w:style w:type="character" w:customStyle="1" w:styleId="57">
    <w:name w:val="正文缩进 Char"/>
    <w:link w:val="8"/>
    <w:autoRedefine/>
    <w:qFormat/>
    <w:uiPriority w:val="0"/>
    <w:rPr>
      <w:rFonts w:ascii="Times New Roman" w:hAnsi="Times New Roman" w:eastAsia="宋体" w:cs="Times New Roman"/>
      <w:szCs w:val="20"/>
    </w:rPr>
  </w:style>
  <w:style w:type="character" w:customStyle="1" w:styleId="58">
    <w:name w:val="文档结构图 Char"/>
    <w:basedOn w:val="41"/>
    <w:link w:val="9"/>
    <w:autoRedefine/>
    <w:semiHidden/>
    <w:qFormat/>
    <w:uiPriority w:val="0"/>
    <w:rPr>
      <w:rFonts w:ascii="Times New Roman" w:hAnsi="Times New Roman" w:eastAsia="宋体" w:cs="Times New Roman"/>
      <w:szCs w:val="24"/>
      <w:shd w:val="clear" w:color="auto" w:fill="000080"/>
    </w:rPr>
  </w:style>
  <w:style w:type="character" w:customStyle="1" w:styleId="59">
    <w:name w:val="批注文字 Char"/>
    <w:basedOn w:val="41"/>
    <w:link w:val="10"/>
    <w:autoRedefine/>
    <w:qFormat/>
    <w:uiPriority w:val="0"/>
    <w:rPr>
      <w:rFonts w:ascii="Times New Roman" w:hAnsi="Times New Roman" w:eastAsia="宋体" w:cs="Times New Roman"/>
      <w:szCs w:val="24"/>
    </w:rPr>
  </w:style>
  <w:style w:type="character" w:customStyle="1" w:styleId="60">
    <w:name w:val="正文文本 3 Char"/>
    <w:basedOn w:val="41"/>
    <w:link w:val="11"/>
    <w:autoRedefine/>
    <w:qFormat/>
    <w:uiPriority w:val="0"/>
    <w:rPr>
      <w:rFonts w:ascii="仿宋_GB2312" w:hAnsi="Arial" w:eastAsia="仿宋_GB2312" w:cs="Times New Roman"/>
      <w:sz w:val="32"/>
      <w:szCs w:val="20"/>
    </w:rPr>
  </w:style>
  <w:style w:type="character" w:customStyle="1" w:styleId="61">
    <w:name w:val="正文文本 Char"/>
    <w:basedOn w:val="41"/>
    <w:link w:val="12"/>
    <w:autoRedefine/>
    <w:qFormat/>
    <w:uiPriority w:val="0"/>
    <w:rPr>
      <w:rFonts w:ascii="楷体_GB2312" w:hAnsi="Arial" w:eastAsia="楷体_GB2312" w:cs="Times New Roman"/>
      <w:sz w:val="28"/>
      <w:szCs w:val="20"/>
    </w:rPr>
  </w:style>
  <w:style w:type="character" w:customStyle="1" w:styleId="62">
    <w:name w:val="纯文本 Char"/>
    <w:basedOn w:val="41"/>
    <w:link w:val="20"/>
    <w:autoRedefine/>
    <w:qFormat/>
    <w:uiPriority w:val="0"/>
    <w:rPr>
      <w:rFonts w:ascii="宋体" w:hAnsi="Courier New" w:eastAsia="宋体" w:cs="Times New Roman"/>
      <w:szCs w:val="20"/>
    </w:rPr>
  </w:style>
  <w:style w:type="character" w:customStyle="1" w:styleId="63">
    <w:name w:val="日期 Char"/>
    <w:basedOn w:val="41"/>
    <w:link w:val="22"/>
    <w:autoRedefine/>
    <w:qFormat/>
    <w:uiPriority w:val="0"/>
    <w:rPr>
      <w:rFonts w:ascii="Times New Roman" w:hAnsi="Times New Roman" w:eastAsia="宋体" w:cs="Times New Roman"/>
      <w:sz w:val="24"/>
      <w:szCs w:val="20"/>
    </w:rPr>
  </w:style>
  <w:style w:type="character" w:customStyle="1" w:styleId="64">
    <w:name w:val="正文文本缩进 2 Char"/>
    <w:basedOn w:val="41"/>
    <w:link w:val="23"/>
    <w:autoRedefine/>
    <w:qFormat/>
    <w:uiPriority w:val="0"/>
    <w:rPr>
      <w:rFonts w:ascii="宋体" w:hAnsi="宋体" w:eastAsia="宋体" w:cs="Times New Roman"/>
      <w:sz w:val="28"/>
      <w:szCs w:val="24"/>
    </w:rPr>
  </w:style>
  <w:style w:type="character" w:customStyle="1" w:styleId="65">
    <w:name w:val="批注框文本 Char"/>
    <w:basedOn w:val="41"/>
    <w:link w:val="24"/>
    <w:autoRedefine/>
    <w:semiHidden/>
    <w:qFormat/>
    <w:uiPriority w:val="0"/>
    <w:rPr>
      <w:rFonts w:ascii="Times New Roman" w:hAnsi="Times New Roman" w:eastAsia="宋体" w:cs="Times New Roman"/>
      <w:sz w:val="18"/>
      <w:szCs w:val="18"/>
    </w:rPr>
  </w:style>
  <w:style w:type="character" w:customStyle="1" w:styleId="66">
    <w:name w:val="正文文本缩进 3 Char"/>
    <w:basedOn w:val="41"/>
    <w:link w:val="30"/>
    <w:autoRedefine/>
    <w:qFormat/>
    <w:uiPriority w:val="0"/>
    <w:rPr>
      <w:rFonts w:ascii="仿宋_GB2312" w:hAnsi="宋体" w:eastAsia="仿宋_GB2312" w:cs="Times New Roman"/>
      <w:sz w:val="24"/>
      <w:szCs w:val="24"/>
    </w:rPr>
  </w:style>
  <w:style w:type="character" w:customStyle="1" w:styleId="67">
    <w:name w:val="正文文本 2 Char"/>
    <w:basedOn w:val="41"/>
    <w:link w:val="33"/>
    <w:autoRedefine/>
    <w:qFormat/>
    <w:uiPriority w:val="0"/>
    <w:rPr>
      <w:rFonts w:ascii="仿宋_GB2312" w:hAnsi="Times New Roman" w:eastAsia="仿宋_GB2312" w:cs="Times New Roman"/>
      <w:sz w:val="44"/>
      <w:szCs w:val="24"/>
    </w:rPr>
  </w:style>
  <w:style w:type="character" w:customStyle="1" w:styleId="68">
    <w:name w:val="HTML 预设格式 Char"/>
    <w:basedOn w:val="41"/>
    <w:link w:val="34"/>
    <w:autoRedefine/>
    <w:qFormat/>
    <w:uiPriority w:val="0"/>
    <w:rPr>
      <w:rFonts w:ascii="黑体" w:hAnsi="Courier New" w:eastAsia="黑体" w:cs="Courier New"/>
      <w:kern w:val="0"/>
      <w:sz w:val="20"/>
      <w:szCs w:val="20"/>
    </w:rPr>
  </w:style>
  <w:style w:type="character" w:customStyle="1" w:styleId="69">
    <w:name w:val="批注主题 Char"/>
    <w:basedOn w:val="59"/>
    <w:link w:val="37"/>
    <w:autoRedefine/>
    <w:qFormat/>
    <w:uiPriority w:val="0"/>
    <w:rPr>
      <w:rFonts w:ascii="Times New Roman" w:hAnsi="Times New Roman" w:eastAsia="宋体" w:cs="Times New Roman"/>
      <w:b/>
      <w:bCs/>
      <w:szCs w:val="24"/>
    </w:rPr>
  </w:style>
  <w:style w:type="character" w:customStyle="1" w:styleId="70">
    <w:name w:val="正文首行缩进 2 Char"/>
    <w:basedOn w:val="56"/>
    <w:link w:val="38"/>
    <w:autoRedefine/>
    <w:qFormat/>
    <w:uiPriority w:val="0"/>
    <w:rPr>
      <w:rFonts w:ascii="楷体_GB2312" w:hAnsi="Times New Roman" w:eastAsia="楷体_GB2312" w:cs="Times New Roman"/>
      <w:sz w:val="32"/>
      <w:szCs w:val="20"/>
    </w:rPr>
  </w:style>
  <w:style w:type="character" w:customStyle="1" w:styleId="71">
    <w:name w:val="标题2 Char"/>
    <w:autoRedefine/>
    <w:qFormat/>
    <w:uiPriority w:val="0"/>
    <w:rPr>
      <w:rFonts w:ascii="方正楷体_GBK" w:hAnsi="Book Antiqua" w:eastAsia="方正楷体_GBK"/>
      <w:snapToGrid w:val="0"/>
      <w:sz w:val="32"/>
      <w:lang w:val="en-US" w:eastAsia="zh-CN" w:bidi="ar-SA"/>
    </w:rPr>
  </w:style>
  <w:style w:type="character" w:customStyle="1" w:styleId="72">
    <w:name w:val="小四 段落 宋体 Char Char Char1"/>
    <w:autoRedefine/>
    <w:qFormat/>
    <w:uiPriority w:val="0"/>
    <w:rPr>
      <w:rFonts w:ascii="宋体" w:hAnsi="宋体" w:eastAsia="宋体"/>
      <w:kern w:val="2"/>
      <w:sz w:val="24"/>
      <w:szCs w:val="24"/>
      <w:lang w:val="en-US" w:eastAsia="zh-CN" w:bidi="ar-SA"/>
    </w:rPr>
  </w:style>
  <w:style w:type="character" w:customStyle="1" w:styleId="73">
    <w:name w:val="jj1"/>
    <w:autoRedefine/>
    <w:qFormat/>
    <w:uiPriority w:val="0"/>
    <w:rPr>
      <w:sz w:val="20"/>
      <w:szCs w:val="20"/>
      <w:u w:val="none"/>
    </w:rPr>
  </w:style>
  <w:style w:type="character" w:customStyle="1" w:styleId="74">
    <w:name w:val="列出段落 Char"/>
    <w:link w:val="75"/>
    <w:autoRedefine/>
    <w:qFormat/>
    <w:locked/>
    <w:uiPriority w:val="0"/>
    <w:rPr>
      <w:rFonts w:ascii="Calibri" w:hAnsi="Calibri"/>
      <w:sz w:val="24"/>
      <w:szCs w:val="24"/>
      <w:lang w:eastAsia="en-US" w:bidi="en-US"/>
    </w:rPr>
  </w:style>
  <w:style w:type="paragraph" w:customStyle="1" w:styleId="75">
    <w:name w:val="列出段落1"/>
    <w:basedOn w:val="1"/>
    <w:link w:val="74"/>
    <w:autoRedefine/>
    <w:qFormat/>
    <w:uiPriority w:val="0"/>
    <w:pPr>
      <w:widowControl/>
      <w:ind w:left="720"/>
      <w:contextualSpacing/>
      <w:jc w:val="left"/>
    </w:pPr>
    <w:rPr>
      <w:rFonts w:ascii="Calibri" w:hAnsi="Calibri"/>
      <w:sz w:val="24"/>
      <w:szCs w:val="24"/>
      <w:lang w:eastAsia="en-US" w:bidi="en-US"/>
    </w:rPr>
  </w:style>
  <w:style w:type="paragraph" w:customStyle="1" w:styleId="76">
    <w:name w:val="标题3"/>
    <w:basedOn w:val="1"/>
    <w:next w:val="1"/>
    <w:autoRedefine/>
    <w:qFormat/>
    <w:uiPriority w:val="0"/>
    <w:rPr>
      <w:rFonts w:ascii="Times New Roman" w:hAnsi="Times New Roman" w:eastAsia="方正黑体_GBK" w:cs="Times New Roman"/>
      <w:szCs w:val="24"/>
    </w:rPr>
  </w:style>
  <w:style w:type="paragraph" w:customStyle="1" w:styleId="77">
    <w:name w:val="标题 4_0"/>
    <w:basedOn w:val="78"/>
    <w:next w:val="78"/>
    <w:autoRedefine/>
    <w:qFormat/>
    <w:uiPriority w:val="0"/>
    <w:pPr>
      <w:keepNext/>
      <w:keepLines/>
      <w:spacing w:before="280" w:after="290" w:line="372" w:lineRule="auto"/>
      <w:outlineLvl w:val="3"/>
    </w:pPr>
    <w:rPr>
      <w:rFonts w:ascii="Cambria" w:hAnsi="Cambria"/>
      <w:b/>
      <w:bCs/>
      <w:sz w:val="28"/>
      <w:szCs w:val="28"/>
    </w:rPr>
  </w:style>
  <w:style w:type="paragraph" w:customStyle="1" w:styleId="78">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Char Char Char Char"/>
    <w:basedOn w:val="9"/>
    <w:autoRedefine/>
    <w:qFormat/>
    <w:uiPriority w:val="0"/>
    <w:pPr>
      <w:adjustRightInd w:val="0"/>
      <w:snapToGrid w:val="0"/>
      <w:spacing w:line="360" w:lineRule="auto"/>
    </w:pPr>
    <w:rPr>
      <w:rFonts w:ascii="Tahoma" w:hAnsi="Tahoma"/>
      <w:sz w:val="24"/>
    </w:rPr>
  </w:style>
  <w:style w:type="paragraph" w:customStyle="1" w:styleId="80">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81">
    <w:name w:val="Blockquote"/>
    <w:basedOn w:val="1"/>
    <w:autoRedefine/>
    <w:qFormat/>
    <w:uiPriority w:val="0"/>
    <w:pPr>
      <w:autoSpaceDE w:val="0"/>
      <w:autoSpaceDN w:val="0"/>
      <w:adjustRightInd w:val="0"/>
      <w:spacing w:before="100" w:after="100"/>
      <w:ind w:left="360" w:right="360"/>
    </w:pPr>
    <w:rPr>
      <w:rFonts w:ascii="Times New Roman" w:hAnsi="Times New Roman" w:eastAsia="宋体" w:cs="Times New Roman"/>
      <w:sz w:val="24"/>
      <w:szCs w:val="24"/>
    </w:rPr>
  </w:style>
  <w:style w:type="paragraph" w:customStyle="1" w:styleId="82">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83">
    <w:name w:val="Char Char Char Char1 Char Char"/>
    <w:basedOn w:val="1"/>
    <w:autoRedefine/>
    <w:qFormat/>
    <w:uiPriority w:val="0"/>
    <w:pPr>
      <w:tabs>
        <w:tab w:val="left" w:pos="360"/>
      </w:tabs>
    </w:pPr>
    <w:rPr>
      <w:rFonts w:ascii="Times New Roman" w:hAnsi="Times New Roman" w:eastAsia="宋体" w:cs="Times New Roman"/>
      <w:sz w:val="24"/>
      <w:szCs w:val="24"/>
    </w:rPr>
  </w:style>
  <w:style w:type="paragraph" w:customStyle="1" w:styleId="84">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5">
    <w:name w:val="正文 1.1.1"/>
    <w:basedOn w:val="1"/>
    <w:next w:val="1"/>
    <w:autoRedefine/>
    <w:qFormat/>
    <w:uiPriority w:val="0"/>
    <w:pPr>
      <w:numPr>
        <w:ilvl w:val="2"/>
        <w:numId w:val="3"/>
      </w:numPr>
      <w:adjustRightInd w:val="0"/>
      <w:spacing w:line="360" w:lineRule="auto"/>
      <w:textAlignment w:val="baseline"/>
      <w:outlineLvl w:val="2"/>
    </w:pPr>
    <w:rPr>
      <w:rFonts w:ascii="宋体" w:hAnsi="宋体" w:eastAsia="宋体" w:cs="Times New Roman"/>
      <w:color w:val="000000"/>
      <w:kern w:val="0"/>
      <w:sz w:val="28"/>
      <w:szCs w:val="21"/>
    </w:rPr>
  </w:style>
  <w:style w:type="paragraph" w:customStyle="1" w:styleId="86">
    <w:name w:val="正文 第一章"/>
    <w:basedOn w:val="1"/>
    <w:next w:val="87"/>
    <w:autoRedefine/>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cs="Times New Roman"/>
      <w:kern w:val="0"/>
      <w:sz w:val="36"/>
      <w:szCs w:val="21"/>
    </w:rPr>
  </w:style>
  <w:style w:type="paragraph" w:customStyle="1" w:styleId="87">
    <w:name w:val="正文 1.1"/>
    <w:basedOn w:val="1"/>
    <w:next w:val="85"/>
    <w:autoRedefine/>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cs="Times New Roman"/>
      <w:b/>
      <w:kern w:val="0"/>
      <w:sz w:val="28"/>
      <w:szCs w:val="21"/>
    </w:rPr>
  </w:style>
  <w:style w:type="paragraph" w:customStyle="1" w:styleId="88">
    <w:name w:val="默认段落字体 Para Char Char Char Char Char Char Char Char Char1 Char Char Char Char Char Char Char"/>
    <w:basedOn w:val="9"/>
    <w:autoRedefine/>
    <w:qFormat/>
    <w:uiPriority w:val="0"/>
    <w:rPr>
      <w:rFonts w:ascii="Tahoma" w:hAnsi="Tahoma"/>
      <w:sz w:val="24"/>
    </w:rPr>
  </w:style>
  <w:style w:type="paragraph" w:customStyle="1" w:styleId="89">
    <w:name w:val="BioQuote Tekst"/>
    <w:basedOn w:val="1"/>
    <w:autoRedefine/>
    <w:qFormat/>
    <w:uiPriority w:val="0"/>
    <w:pPr>
      <w:ind w:right="-1"/>
    </w:pPr>
    <w:rPr>
      <w:rFonts w:ascii="Arial" w:hAnsi="Arial" w:eastAsia="宋体" w:cs="Times New Roman"/>
      <w:snapToGrid w:val="0"/>
      <w:kern w:val="0"/>
      <w:sz w:val="22"/>
      <w:szCs w:val="20"/>
      <w:lang w:eastAsia="en-US"/>
    </w:rPr>
  </w:style>
  <w:style w:type="paragraph" w:customStyle="1" w:styleId="9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91">
    <w:name w:val="List Paragraph"/>
    <w:basedOn w:val="1"/>
    <w:autoRedefine/>
    <w:qFormat/>
    <w:uiPriority w:val="0"/>
    <w:pPr>
      <w:ind w:firstLine="420" w:firstLineChars="200"/>
    </w:pPr>
    <w:rPr>
      <w:rFonts w:ascii="Calibri" w:hAnsi="Calibri" w:eastAsia="宋体" w:cs="Times New Roman"/>
    </w:rPr>
  </w:style>
  <w:style w:type="paragraph" w:customStyle="1" w:styleId="92">
    <w:name w:val="Char"/>
    <w:basedOn w:val="1"/>
    <w:autoRedefine/>
    <w:qFormat/>
    <w:uiPriority w:val="0"/>
    <w:rPr>
      <w:rFonts w:ascii="Tahoma" w:hAnsi="Tahoma" w:eastAsia="宋体" w:cs="Times New Roman"/>
      <w:snapToGrid w:val="0"/>
      <w:sz w:val="24"/>
      <w:szCs w:val="20"/>
    </w:rPr>
  </w:style>
  <w:style w:type="paragraph" w:customStyle="1" w:styleId="93">
    <w:name w:val="Table Text"/>
    <w:autoRedefine/>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4">
    <w:name w:val="Char Char Char Char1 Char Char Char"/>
    <w:basedOn w:val="9"/>
    <w:autoRedefine/>
    <w:qFormat/>
    <w:uiPriority w:val="0"/>
    <w:pPr>
      <w:adjustRightInd w:val="0"/>
      <w:snapToGrid w:val="0"/>
      <w:spacing w:line="360" w:lineRule="auto"/>
    </w:pPr>
    <w:rPr>
      <w:rFonts w:ascii="Tahoma" w:hAnsi="Tahoma"/>
      <w:sz w:val="24"/>
    </w:rPr>
  </w:style>
  <w:style w:type="paragraph" w:customStyle="1" w:styleId="95">
    <w:name w:val="Char1"/>
    <w:basedOn w:val="1"/>
    <w:autoRedefine/>
    <w:qFormat/>
    <w:uiPriority w:val="0"/>
    <w:pPr>
      <w:tabs>
        <w:tab w:val="left" w:pos="360"/>
      </w:tabs>
    </w:pPr>
    <w:rPr>
      <w:rFonts w:ascii="Times New Roman" w:hAnsi="Times New Roman" w:eastAsia="宋体" w:cs="Times New Roman"/>
      <w:sz w:val="24"/>
      <w:szCs w:val="24"/>
    </w:rPr>
  </w:style>
  <w:style w:type="paragraph" w:customStyle="1" w:styleId="96">
    <w:name w:val="正文_0_0"/>
    <w:autoRedefine/>
    <w:qFormat/>
    <w:uiPriority w:val="0"/>
    <w:pPr>
      <w:widowControl w:val="0"/>
      <w:jc w:val="both"/>
    </w:pPr>
    <w:rPr>
      <w:rFonts w:ascii="Times New Roman" w:hAnsi="Times New Roman" w:eastAsia="宋体" w:cs="Times New Roman"/>
      <w:lang w:val="en-US" w:eastAsia="zh-CN" w:bidi="ar-SA"/>
    </w:rPr>
  </w:style>
  <w:style w:type="paragraph" w:customStyle="1" w:styleId="97">
    <w:name w:val="Coms Alinea"/>
    <w:autoRedefine/>
    <w:qFormat/>
    <w:uiPriority w:val="0"/>
    <w:pPr>
      <w:widowControl w:val="0"/>
    </w:pPr>
    <w:rPr>
      <w:rFonts w:ascii="Arial" w:hAnsi="Arial" w:eastAsia="宋体" w:cs="Arial"/>
      <w:lang w:val="en-US" w:eastAsia="zh-CN" w:bidi="ar-SA"/>
    </w:rPr>
  </w:style>
  <w:style w:type="paragraph" w:customStyle="1" w:styleId="98">
    <w:name w:val="标题2"/>
    <w:basedOn w:val="1"/>
    <w:next w:val="1"/>
    <w:autoRedefine/>
    <w:qFormat/>
    <w:uiPriority w:val="0"/>
    <w:pPr>
      <w:jc w:val="center"/>
    </w:pPr>
    <w:rPr>
      <w:rFonts w:ascii="Times New Roman" w:hAnsi="Times New Roman" w:eastAsia="方正楷体_GBK" w:cs="Times New Roman"/>
      <w:szCs w:val="24"/>
    </w:rPr>
  </w:style>
  <w:style w:type="paragraph" w:customStyle="1" w:styleId="99">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cs="Times New Roman"/>
      <w:sz w:val="44"/>
      <w:szCs w:val="24"/>
    </w:rPr>
  </w:style>
  <w:style w:type="paragraph" w:customStyle="1" w:styleId="100">
    <w:name w:val="xl47"/>
    <w:basedOn w:val="1"/>
    <w:autoRedefine/>
    <w:qFormat/>
    <w:uiPriority w:val="0"/>
    <w:pPr>
      <w:widowControl/>
      <w:spacing w:before="100" w:beforeAutospacing="1" w:after="100" w:afterAutospacing="1"/>
      <w:jc w:val="center"/>
    </w:pPr>
    <w:rPr>
      <w:rFonts w:hint="eastAsia" w:ascii="方正姚体" w:hAnsi="宋体" w:eastAsia="方正姚体" w:cs="Times New Roman"/>
      <w:b/>
      <w:bCs/>
      <w:kern w:val="0"/>
      <w:sz w:val="36"/>
      <w:szCs w:val="36"/>
    </w:rPr>
  </w:style>
  <w:style w:type="paragraph" w:customStyle="1" w:styleId="101">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2">
    <w:name w:val="第四级"/>
    <w:basedOn w:val="1"/>
    <w:next w:val="1"/>
    <w:autoRedefine/>
    <w:qFormat/>
    <w:uiPriority w:val="0"/>
    <w:pPr>
      <w:numPr>
        <w:ilvl w:val="3"/>
        <w:numId w:val="3"/>
      </w:numPr>
      <w:adjustRightInd w:val="0"/>
      <w:spacing w:line="360" w:lineRule="auto"/>
      <w:textAlignment w:val="baseline"/>
    </w:pPr>
    <w:rPr>
      <w:rFonts w:ascii="宋体" w:hAnsi="宋体" w:eastAsia="仿宋" w:cs="Times New Roman"/>
      <w:kern w:val="0"/>
      <w:sz w:val="28"/>
      <w:szCs w:val="21"/>
    </w:rPr>
  </w:style>
  <w:style w:type="character" w:customStyle="1" w:styleId="103">
    <w:name w:val="gwds_nopic1"/>
    <w:basedOn w:val="41"/>
    <w:autoRedefine/>
    <w:qFormat/>
    <w:uiPriority w:val="0"/>
  </w:style>
  <w:style w:type="paragraph" w:customStyle="1" w:styleId="104">
    <w:name w:val="列表段落1"/>
    <w:basedOn w:val="1"/>
    <w:autoRedefine/>
    <w:qFormat/>
    <w:uiPriority w:val="34"/>
    <w:pPr>
      <w:ind w:firstLine="420" w:firstLineChars="200"/>
    </w:pPr>
    <w:rPr>
      <w:rFonts w:ascii="Times New Roman" w:hAnsi="Times New Roman" w:eastAsia="宋体" w:cs="Times New Roman"/>
      <w:sz w:val="28"/>
      <w:szCs w:val="20"/>
    </w:rPr>
  </w:style>
  <w:style w:type="paragraph" w:customStyle="1" w:styleId="105">
    <w:name w:val="Table Paragraph"/>
    <w:basedOn w:val="1"/>
    <w:autoRedefine/>
    <w:qFormat/>
    <w:uiPriority w:val="1"/>
    <w:rPr>
      <w:rFonts w:ascii="宋体" w:hAnsi="宋体" w:cs="宋体"/>
    </w:rPr>
  </w:style>
  <w:style w:type="paragraph" w:customStyle="1" w:styleId="106">
    <w:name w:val="正文（缩进）"/>
    <w:basedOn w:val="1"/>
    <w:autoRedefine/>
    <w:qFormat/>
    <w:uiPriority w:val="0"/>
    <w:pPr>
      <w:spacing w:before="156" w:after="156"/>
      <w:ind w:firstLine="480" w:firstLineChars="200"/>
    </w:pPr>
  </w:style>
  <w:style w:type="paragraph" w:customStyle="1" w:styleId="107">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正文12"/>
    <w:autoRedefine/>
    <w:qFormat/>
    <w:uiPriority w:val="99"/>
    <w:pPr>
      <w:widowControl w:val="0"/>
      <w:jc w:val="both"/>
    </w:pPr>
    <w:rPr>
      <w:rFonts w:ascii="Times New Roman" w:hAnsi="Times New Roman" w:eastAsia="Times New Roman" w:cs="Times New Roman"/>
      <w:lang w:val="en-US" w:eastAsia="zh-CN" w:bidi="ar-SA"/>
    </w:rPr>
  </w:style>
  <w:style w:type="paragraph" w:customStyle="1" w:styleId="109">
    <w:name w:val="正文2"/>
    <w:autoRedefine/>
    <w:qFormat/>
    <w:uiPriority w:val="0"/>
    <w:rPr>
      <w:rFonts w:ascii="Times New Roman" w:hAnsi="Times New Roman" w:eastAsia="宋体" w:cs="Times New Roman"/>
      <w:sz w:val="24"/>
      <w:szCs w:val="24"/>
      <w:lang w:val="en-US" w:eastAsia="zh-CN" w:bidi="ar-SA"/>
    </w:rPr>
  </w:style>
  <w:style w:type="paragraph" w:customStyle="1" w:styleId="110">
    <w:name w:val="正文_0_0_0"/>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11">
    <w:name w:val="正文文本1"/>
    <w:basedOn w:val="48"/>
    <w:next w:val="112"/>
    <w:autoRedefine/>
    <w:qFormat/>
    <w:uiPriority w:val="0"/>
    <w:pPr>
      <w:spacing w:after="120"/>
    </w:pPr>
    <w:rPr>
      <w:lang w:eastAsia="en-US"/>
    </w:rPr>
  </w:style>
  <w:style w:type="paragraph" w:customStyle="1" w:styleId="112">
    <w:name w:val="一级条标题"/>
    <w:basedOn w:val="113"/>
    <w:next w:val="114"/>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13">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114">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15">
    <w:name w:val="htd0"/>
    <w:autoRedefine/>
    <w:qFormat/>
    <w:uiPriority w:val="0"/>
  </w:style>
  <w:style w:type="paragraph" w:customStyle="1" w:styleId="116">
    <w:name w:val="首行缩进"/>
    <w:basedOn w:val="1"/>
    <w:autoRedefine/>
    <w:qFormat/>
    <w:uiPriority w:val="0"/>
    <w:pPr>
      <w:tabs>
        <w:tab w:val="left" w:pos="1002"/>
      </w:tabs>
      <w:autoSpaceDE w:val="0"/>
      <w:autoSpaceDN w:val="0"/>
      <w:adjustRightInd w:val="0"/>
      <w:spacing w:line="360" w:lineRule="auto"/>
      <w:ind w:firstLine="720"/>
      <w:jc w:val="left"/>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22532</Words>
  <Characters>23637</Characters>
  <Lines>189</Lines>
  <Paragraphs>53</Paragraphs>
  <TotalTime>0</TotalTime>
  <ScaleCrop>false</ScaleCrop>
  <LinksUpToDate>false</LinksUpToDate>
  <CharactersWithSpaces>26006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2025-07-25T10:02:00Z</dcterms:created>
  <dc:creator>扬州市八里镇人民政府(审核)</dc:creator>
  <cp:lastModifiedBy>季海燕</cp:lastModifiedBy>
  <dcterms:modified xsi:type="dcterms:W3CDTF">2026-06-22T07:09:16Z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C4BE0F5A8BF04158A6BA7AD6FB7D92D8_13</vt:lpwstr>
  </property>
  <property fmtid="{D5CDD505-2E9C-101B-9397-08002B2CF9AE}" pid="4" name="KSOTemplateDocerSaveRecord">
    <vt:lpwstr>eyJoZGlkIjoiNTM5YTVkYWMyOWU3ODg4NDBiYWQyMWRiMDBmNmZkODkiLCJ1c2VySWQiOiI0MTk2MzY1OTUifQ==</vt:lpwstr>
  </property>
</Properties>
</file>