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A0A" w:rsidRPr="008B0489" w:rsidRDefault="00CA5ADE" w:rsidP="009F5563">
      <w:pPr>
        <w:spacing w:beforeLines="50"/>
        <w:jc w:val="center"/>
        <w:rPr>
          <w:rFonts w:asciiTheme="minorEastAsia" w:hAnsiTheme="minorEastAsia"/>
          <w:b/>
          <w:sz w:val="44"/>
          <w:szCs w:val="44"/>
        </w:rPr>
      </w:pPr>
      <w:r w:rsidRPr="008B0489">
        <w:rPr>
          <w:rFonts w:asciiTheme="minorEastAsia" w:hAnsiTheme="minorEastAsia" w:hint="eastAsia"/>
          <w:b/>
          <w:sz w:val="44"/>
          <w:szCs w:val="44"/>
        </w:rPr>
        <w:t>专家论证报告</w:t>
      </w:r>
    </w:p>
    <w:tbl>
      <w:tblPr>
        <w:tblStyle w:val="a3"/>
        <w:tblW w:w="9464" w:type="dxa"/>
        <w:tblLook w:val="04A0"/>
      </w:tblPr>
      <w:tblGrid>
        <w:gridCol w:w="959"/>
        <w:gridCol w:w="829"/>
        <w:gridCol w:w="447"/>
        <w:gridCol w:w="4252"/>
        <w:gridCol w:w="1265"/>
        <w:gridCol w:w="1712"/>
      </w:tblGrid>
      <w:tr w:rsidR="00CA5ADE" w:rsidRPr="008B0489" w:rsidTr="008B0489">
        <w:trPr>
          <w:trHeight w:val="479"/>
        </w:trPr>
        <w:tc>
          <w:tcPr>
            <w:tcW w:w="1788" w:type="dxa"/>
            <w:gridSpan w:val="2"/>
            <w:vAlign w:val="center"/>
          </w:tcPr>
          <w:p w:rsidR="00CA5ADE" w:rsidRPr="008B0489" w:rsidRDefault="00CA5ADE" w:rsidP="008B0489">
            <w:pPr>
              <w:jc w:val="center"/>
              <w:rPr>
                <w:sz w:val="28"/>
                <w:szCs w:val="28"/>
              </w:rPr>
            </w:pPr>
            <w:r w:rsidRPr="008B0489">
              <w:rPr>
                <w:rFonts w:hint="eastAsia"/>
                <w:sz w:val="28"/>
                <w:szCs w:val="28"/>
              </w:rPr>
              <w:t>工程名称</w:t>
            </w:r>
          </w:p>
        </w:tc>
        <w:tc>
          <w:tcPr>
            <w:tcW w:w="7676" w:type="dxa"/>
            <w:gridSpan w:val="4"/>
            <w:vAlign w:val="center"/>
          </w:tcPr>
          <w:p w:rsidR="00CA5ADE" w:rsidRPr="008B0489" w:rsidRDefault="00B06F89" w:rsidP="00A74A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电力系统综合自动化实验室扩建</w:t>
            </w:r>
          </w:p>
        </w:tc>
      </w:tr>
      <w:tr w:rsidR="00CA5ADE" w:rsidRPr="008B0489" w:rsidTr="008B0489">
        <w:trPr>
          <w:trHeight w:val="461"/>
        </w:trPr>
        <w:tc>
          <w:tcPr>
            <w:tcW w:w="1788" w:type="dxa"/>
            <w:gridSpan w:val="2"/>
            <w:vAlign w:val="center"/>
          </w:tcPr>
          <w:p w:rsidR="00CA5ADE" w:rsidRPr="008B0489" w:rsidRDefault="00CA5ADE" w:rsidP="008B0489">
            <w:pPr>
              <w:jc w:val="center"/>
              <w:rPr>
                <w:sz w:val="28"/>
                <w:szCs w:val="28"/>
              </w:rPr>
            </w:pPr>
            <w:r w:rsidRPr="008B0489">
              <w:rPr>
                <w:rFonts w:hint="eastAsia"/>
                <w:sz w:val="28"/>
                <w:szCs w:val="28"/>
              </w:rPr>
              <w:t>工程地点</w:t>
            </w:r>
          </w:p>
        </w:tc>
        <w:tc>
          <w:tcPr>
            <w:tcW w:w="7676" w:type="dxa"/>
            <w:gridSpan w:val="4"/>
            <w:vAlign w:val="center"/>
          </w:tcPr>
          <w:p w:rsidR="00CA5ADE" w:rsidRPr="008B0489" w:rsidRDefault="00AC7FC0" w:rsidP="00A74A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扬实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120</w:t>
            </w:r>
          </w:p>
        </w:tc>
      </w:tr>
      <w:tr w:rsidR="006645DD" w:rsidRPr="008B0489" w:rsidTr="008B0489">
        <w:trPr>
          <w:trHeight w:val="479"/>
        </w:trPr>
        <w:tc>
          <w:tcPr>
            <w:tcW w:w="1788" w:type="dxa"/>
            <w:gridSpan w:val="2"/>
            <w:vAlign w:val="center"/>
          </w:tcPr>
          <w:p w:rsidR="006645DD" w:rsidRPr="008B0489" w:rsidRDefault="006645DD" w:rsidP="008B04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会议时间</w:t>
            </w:r>
          </w:p>
        </w:tc>
        <w:tc>
          <w:tcPr>
            <w:tcW w:w="7676" w:type="dxa"/>
            <w:gridSpan w:val="4"/>
            <w:vAlign w:val="center"/>
          </w:tcPr>
          <w:p w:rsidR="006645DD" w:rsidRPr="008B0489" w:rsidRDefault="004C15B4" w:rsidP="00A74A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2021</w:t>
            </w:r>
            <w:r>
              <w:rPr>
                <w:rFonts w:hint="eastAsia"/>
                <w:sz w:val="28"/>
                <w:szCs w:val="28"/>
              </w:rPr>
              <w:t>年</w:t>
            </w:r>
            <w:r w:rsidR="00A74A54">
              <w:rPr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月</w:t>
            </w:r>
            <w:r w:rsidR="00924A3C">
              <w:rPr>
                <w:sz w:val="28"/>
                <w:szCs w:val="28"/>
              </w:rPr>
              <w:t>30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CA5ADE" w:rsidRPr="008B0489" w:rsidTr="008B0489">
        <w:trPr>
          <w:trHeight w:val="479"/>
        </w:trPr>
        <w:tc>
          <w:tcPr>
            <w:tcW w:w="1788" w:type="dxa"/>
            <w:gridSpan w:val="2"/>
            <w:vAlign w:val="center"/>
          </w:tcPr>
          <w:p w:rsidR="00CA5ADE" w:rsidRPr="008B0489" w:rsidRDefault="00CA5ADE" w:rsidP="008B0489">
            <w:pPr>
              <w:jc w:val="center"/>
              <w:rPr>
                <w:sz w:val="28"/>
                <w:szCs w:val="28"/>
              </w:rPr>
            </w:pPr>
            <w:r w:rsidRPr="008B0489">
              <w:rPr>
                <w:rFonts w:hint="eastAsia"/>
                <w:sz w:val="28"/>
                <w:szCs w:val="28"/>
              </w:rPr>
              <w:t>会议地点</w:t>
            </w:r>
          </w:p>
        </w:tc>
        <w:tc>
          <w:tcPr>
            <w:tcW w:w="7676" w:type="dxa"/>
            <w:gridSpan w:val="4"/>
            <w:vAlign w:val="center"/>
          </w:tcPr>
          <w:p w:rsidR="00CA5ADE" w:rsidRPr="008B0489" w:rsidRDefault="00A74A54" w:rsidP="00A74A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第一实验楼三</w:t>
            </w:r>
            <w:r w:rsidR="004C15B4">
              <w:rPr>
                <w:rFonts w:hint="eastAsia"/>
                <w:sz w:val="28"/>
                <w:szCs w:val="28"/>
              </w:rPr>
              <w:t>楼会议室</w:t>
            </w:r>
          </w:p>
        </w:tc>
      </w:tr>
      <w:tr w:rsidR="00CA5ADE" w:rsidRPr="008B0489" w:rsidTr="008B0489">
        <w:trPr>
          <w:trHeight w:val="479"/>
        </w:trPr>
        <w:tc>
          <w:tcPr>
            <w:tcW w:w="1788" w:type="dxa"/>
            <w:gridSpan w:val="2"/>
            <w:vAlign w:val="center"/>
          </w:tcPr>
          <w:p w:rsidR="00CA5ADE" w:rsidRPr="008B0489" w:rsidRDefault="00CA5ADE" w:rsidP="008B0489">
            <w:pPr>
              <w:jc w:val="center"/>
              <w:rPr>
                <w:sz w:val="28"/>
                <w:szCs w:val="28"/>
              </w:rPr>
            </w:pPr>
            <w:r w:rsidRPr="008B0489">
              <w:rPr>
                <w:rFonts w:hint="eastAsia"/>
                <w:sz w:val="28"/>
                <w:szCs w:val="28"/>
              </w:rPr>
              <w:t>参加人员</w:t>
            </w:r>
          </w:p>
        </w:tc>
        <w:tc>
          <w:tcPr>
            <w:tcW w:w="7676" w:type="dxa"/>
            <w:gridSpan w:val="4"/>
            <w:vAlign w:val="center"/>
          </w:tcPr>
          <w:p w:rsidR="00CA5ADE" w:rsidRPr="008B0489" w:rsidRDefault="00AC7FC0" w:rsidP="00A74A54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周映江</w:t>
            </w:r>
            <w:r w:rsidR="009F5563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黄崇鑫</w:t>
            </w:r>
            <w:r w:rsidR="009F5563">
              <w:rPr>
                <w:rFonts w:hint="eastAsia"/>
                <w:sz w:val="28"/>
                <w:szCs w:val="28"/>
              </w:rPr>
              <w:t xml:space="preserve"> </w:t>
            </w:r>
            <w:r w:rsidR="00A74A54">
              <w:rPr>
                <w:rFonts w:hint="eastAsia"/>
                <w:sz w:val="28"/>
                <w:szCs w:val="28"/>
              </w:rPr>
              <w:t>吴英俊</w:t>
            </w:r>
            <w:r w:rsidR="009F5563">
              <w:rPr>
                <w:rFonts w:hint="eastAsia"/>
                <w:sz w:val="28"/>
                <w:szCs w:val="28"/>
              </w:rPr>
              <w:t xml:space="preserve"> </w:t>
            </w:r>
            <w:r w:rsidR="004C15B4">
              <w:rPr>
                <w:rFonts w:hint="eastAsia"/>
                <w:sz w:val="28"/>
                <w:szCs w:val="28"/>
              </w:rPr>
              <w:t>时卫东</w:t>
            </w:r>
            <w:r w:rsidR="009F5563">
              <w:rPr>
                <w:rFonts w:hint="eastAsia"/>
                <w:sz w:val="28"/>
                <w:szCs w:val="28"/>
              </w:rPr>
              <w:t xml:space="preserve"> </w:t>
            </w:r>
            <w:r w:rsidR="00A74A54">
              <w:rPr>
                <w:rFonts w:hint="eastAsia"/>
                <w:sz w:val="28"/>
                <w:szCs w:val="28"/>
              </w:rPr>
              <w:t>蔡晓敏</w:t>
            </w:r>
            <w:r w:rsidR="009F5563">
              <w:rPr>
                <w:rFonts w:hint="eastAsia"/>
                <w:sz w:val="28"/>
                <w:szCs w:val="28"/>
              </w:rPr>
              <w:t xml:space="preserve"> </w:t>
            </w:r>
            <w:r w:rsidR="0036049A">
              <w:rPr>
                <w:rFonts w:hint="eastAsia"/>
                <w:sz w:val="28"/>
                <w:szCs w:val="28"/>
              </w:rPr>
              <w:t>丁旭东</w:t>
            </w:r>
            <w:r w:rsidR="009F5563">
              <w:rPr>
                <w:rFonts w:hint="eastAsia"/>
                <w:sz w:val="28"/>
                <w:szCs w:val="28"/>
              </w:rPr>
              <w:t xml:space="preserve"> </w:t>
            </w:r>
            <w:r w:rsidR="00A74A54">
              <w:rPr>
                <w:rFonts w:hint="eastAsia"/>
                <w:sz w:val="28"/>
                <w:szCs w:val="28"/>
              </w:rPr>
              <w:t>庞成</w:t>
            </w:r>
            <w:r w:rsidR="009F5563">
              <w:rPr>
                <w:rFonts w:hint="eastAsia"/>
                <w:sz w:val="28"/>
                <w:szCs w:val="28"/>
              </w:rPr>
              <w:t xml:space="preserve"> </w:t>
            </w:r>
            <w:r w:rsidR="00A74A54">
              <w:rPr>
                <w:rFonts w:hint="eastAsia"/>
                <w:sz w:val="28"/>
                <w:szCs w:val="28"/>
              </w:rPr>
              <w:t>卞宇</w:t>
            </w:r>
          </w:p>
        </w:tc>
      </w:tr>
      <w:tr w:rsidR="00CA5ADE" w:rsidRPr="008B0489" w:rsidTr="008B0489">
        <w:trPr>
          <w:trHeight w:val="461"/>
        </w:trPr>
        <w:tc>
          <w:tcPr>
            <w:tcW w:w="9464" w:type="dxa"/>
            <w:gridSpan w:val="6"/>
            <w:vAlign w:val="center"/>
          </w:tcPr>
          <w:p w:rsidR="00CA5ADE" w:rsidRDefault="00CA5ADE" w:rsidP="008B0489">
            <w:pPr>
              <w:jc w:val="left"/>
              <w:rPr>
                <w:sz w:val="28"/>
                <w:szCs w:val="28"/>
              </w:rPr>
            </w:pPr>
            <w:r w:rsidRPr="008B0489">
              <w:rPr>
                <w:rFonts w:hint="eastAsia"/>
                <w:sz w:val="28"/>
                <w:szCs w:val="28"/>
              </w:rPr>
              <w:t>专家组论证意见：</w:t>
            </w:r>
          </w:p>
          <w:p w:rsidR="008B0489" w:rsidRPr="009D15AE" w:rsidRDefault="009C0B43" w:rsidP="009D15AE">
            <w:pPr>
              <w:spacing w:line="300" w:lineRule="auto"/>
              <w:jc w:val="left"/>
              <w:rPr>
                <w:sz w:val="28"/>
                <w:szCs w:val="28"/>
              </w:rPr>
            </w:pPr>
            <w:r w:rsidRPr="009D15AE">
              <w:rPr>
                <w:rFonts w:hint="eastAsia"/>
                <w:sz w:val="28"/>
                <w:szCs w:val="28"/>
              </w:rPr>
              <w:t>1</w:t>
            </w:r>
            <w:r w:rsidRPr="009D15AE">
              <w:rPr>
                <w:rFonts w:hint="eastAsia"/>
                <w:sz w:val="28"/>
                <w:szCs w:val="28"/>
              </w:rPr>
              <w:t>、</w:t>
            </w:r>
            <w:r w:rsidR="007F1D37" w:rsidRPr="009D15AE">
              <w:rPr>
                <w:rFonts w:hint="eastAsia"/>
                <w:sz w:val="28"/>
                <w:szCs w:val="28"/>
              </w:rPr>
              <w:t>南京邮电大学通达学院现有电力系统综合自动化设备</w:t>
            </w:r>
            <w:r w:rsidR="007F1D37" w:rsidRPr="009D15AE">
              <w:rPr>
                <w:rFonts w:hint="eastAsia"/>
                <w:sz w:val="28"/>
                <w:szCs w:val="28"/>
              </w:rPr>
              <w:t>2</w:t>
            </w:r>
            <w:r w:rsidR="007F1D37" w:rsidRPr="009D15AE">
              <w:rPr>
                <w:rFonts w:hint="eastAsia"/>
                <w:sz w:val="28"/>
                <w:szCs w:val="28"/>
              </w:rPr>
              <w:t>套，无法满足日常教学需求，</w:t>
            </w:r>
            <w:r w:rsidR="00A9070B" w:rsidRPr="009D15AE">
              <w:rPr>
                <w:rFonts w:hint="eastAsia"/>
                <w:sz w:val="28"/>
                <w:szCs w:val="28"/>
              </w:rPr>
              <w:t>根据贵校</w:t>
            </w:r>
            <w:r w:rsidR="008F74C6" w:rsidRPr="009D15AE">
              <w:rPr>
                <w:rFonts w:hint="eastAsia"/>
                <w:sz w:val="28"/>
                <w:szCs w:val="28"/>
              </w:rPr>
              <w:t>的课程设置和相关专业学生规模，</w:t>
            </w:r>
            <w:r w:rsidR="007F1D37" w:rsidRPr="009D15AE">
              <w:rPr>
                <w:rFonts w:hint="eastAsia"/>
                <w:sz w:val="28"/>
                <w:szCs w:val="28"/>
              </w:rPr>
              <w:t>建议</w:t>
            </w:r>
            <w:r w:rsidRPr="009D15AE">
              <w:rPr>
                <w:rFonts w:hint="eastAsia"/>
                <w:sz w:val="28"/>
                <w:szCs w:val="28"/>
              </w:rPr>
              <w:t>再</w:t>
            </w:r>
            <w:r w:rsidR="007F1D37" w:rsidRPr="009D15AE">
              <w:rPr>
                <w:rFonts w:hint="eastAsia"/>
                <w:sz w:val="28"/>
                <w:szCs w:val="28"/>
              </w:rPr>
              <w:t>增加</w:t>
            </w:r>
            <w:r w:rsidR="007F1D37" w:rsidRPr="009D15AE">
              <w:rPr>
                <w:rFonts w:hint="eastAsia"/>
                <w:sz w:val="28"/>
                <w:szCs w:val="28"/>
              </w:rPr>
              <w:t>4</w:t>
            </w:r>
            <w:r w:rsidR="007F1D37" w:rsidRPr="009D15AE">
              <w:rPr>
                <w:rFonts w:hint="eastAsia"/>
                <w:sz w:val="28"/>
                <w:szCs w:val="28"/>
              </w:rPr>
              <w:t>套设备。</w:t>
            </w:r>
          </w:p>
          <w:p w:rsidR="00A8068C" w:rsidRPr="009D15AE" w:rsidRDefault="009C0B43" w:rsidP="009D15AE">
            <w:pPr>
              <w:pStyle w:val="a7"/>
              <w:spacing w:line="300" w:lineRule="auto"/>
              <w:ind w:firstLineChars="0" w:firstLine="0"/>
              <w:jc w:val="left"/>
              <w:rPr>
                <w:sz w:val="28"/>
                <w:szCs w:val="28"/>
              </w:rPr>
            </w:pPr>
            <w:r w:rsidRPr="009D15AE">
              <w:rPr>
                <w:rFonts w:hint="eastAsia"/>
                <w:sz w:val="28"/>
                <w:szCs w:val="28"/>
              </w:rPr>
              <w:t>2</w:t>
            </w:r>
            <w:r w:rsidRPr="009D15AE">
              <w:rPr>
                <w:rFonts w:hint="eastAsia"/>
                <w:sz w:val="28"/>
                <w:szCs w:val="28"/>
              </w:rPr>
              <w:t>、</w:t>
            </w:r>
            <w:r w:rsidR="007F1D37" w:rsidRPr="009D15AE">
              <w:rPr>
                <w:rFonts w:hint="eastAsia"/>
                <w:sz w:val="28"/>
                <w:szCs w:val="28"/>
              </w:rPr>
              <w:t>南京邮电大学通达学院</w:t>
            </w:r>
            <w:r w:rsidRPr="009D15AE">
              <w:rPr>
                <w:rFonts w:hint="eastAsia"/>
                <w:sz w:val="28"/>
                <w:szCs w:val="28"/>
              </w:rPr>
              <w:t>现使用设备为</w:t>
            </w:r>
            <w:r w:rsidR="007F1D37" w:rsidRPr="009D15AE">
              <w:rPr>
                <w:rFonts w:hint="eastAsia"/>
                <w:sz w:val="28"/>
                <w:szCs w:val="28"/>
              </w:rPr>
              <w:t>武汉华大电力自动技术有限责任公司</w:t>
            </w:r>
            <w:r w:rsidR="00A8068C" w:rsidRPr="009D15AE">
              <w:rPr>
                <w:rFonts w:hint="eastAsia"/>
                <w:sz w:val="28"/>
                <w:szCs w:val="28"/>
              </w:rPr>
              <w:t>研制开发的</w:t>
            </w:r>
            <w:r w:rsidR="00A8068C" w:rsidRPr="009D15AE">
              <w:rPr>
                <w:sz w:val="28"/>
                <w:szCs w:val="28"/>
              </w:rPr>
              <w:t>WDT-IIIC</w:t>
            </w:r>
            <w:r w:rsidR="00A8068C" w:rsidRPr="009D15AE">
              <w:rPr>
                <w:rFonts w:hint="eastAsia"/>
                <w:sz w:val="28"/>
                <w:szCs w:val="28"/>
              </w:rPr>
              <w:t>型电力系统综合自动化试验台，该设备能够满足通达学院实验课程</w:t>
            </w:r>
            <w:r w:rsidR="008F74C6" w:rsidRPr="009D15AE">
              <w:rPr>
                <w:rFonts w:hint="eastAsia"/>
                <w:sz w:val="28"/>
                <w:szCs w:val="28"/>
              </w:rPr>
              <w:t>的</w:t>
            </w:r>
            <w:r w:rsidR="00A8068C" w:rsidRPr="009D15AE">
              <w:rPr>
                <w:rFonts w:hint="eastAsia"/>
                <w:sz w:val="28"/>
                <w:szCs w:val="28"/>
              </w:rPr>
              <w:t>需求。从教学资源延续性和</w:t>
            </w:r>
            <w:r w:rsidR="008F74C6" w:rsidRPr="009D15AE">
              <w:rPr>
                <w:rFonts w:hint="eastAsia"/>
                <w:sz w:val="28"/>
                <w:szCs w:val="28"/>
              </w:rPr>
              <w:t>设备运维可持续性</w:t>
            </w:r>
            <w:r w:rsidR="00A8068C" w:rsidRPr="009D15AE">
              <w:rPr>
                <w:rFonts w:hint="eastAsia"/>
                <w:sz w:val="28"/>
                <w:szCs w:val="28"/>
              </w:rPr>
              <w:t>角度，建议</w:t>
            </w:r>
            <w:r w:rsidRPr="009D15AE">
              <w:rPr>
                <w:rFonts w:hint="eastAsia"/>
                <w:sz w:val="28"/>
                <w:szCs w:val="28"/>
              </w:rPr>
              <w:t>采用单一来源方式采购该</w:t>
            </w:r>
            <w:r w:rsidR="00A8068C" w:rsidRPr="009D15AE">
              <w:rPr>
                <w:rFonts w:hint="eastAsia"/>
                <w:sz w:val="28"/>
                <w:szCs w:val="28"/>
              </w:rPr>
              <w:t>公司</w:t>
            </w:r>
            <w:r w:rsidRPr="009D15AE">
              <w:rPr>
                <w:rFonts w:hint="eastAsia"/>
                <w:sz w:val="28"/>
                <w:szCs w:val="28"/>
              </w:rPr>
              <w:t>同系列设备</w:t>
            </w:r>
            <w:r w:rsidR="00A8068C" w:rsidRPr="009D15AE">
              <w:rPr>
                <w:rFonts w:hint="eastAsia"/>
                <w:sz w:val="28"/>
                <w:szCs w:val="28"/>
              </w:rPr>
              <w:t>。</w:t>
            </w:r>
          </w:p>
          <w:p w:rsidR="009D15AE" w:rsidRDefault="009D15AE" w:rsidP="009C0B43">
            <w:pPr>
              <w:pStyle w:val="a7"/>
              <w:ind w:firstLineChars="0" w:firstLine="0"/>
              <w:jc w:val="left"/>
              <w:rPr>
                <w:sz w:val="28"/>
                <w:szCs w:val="28"/>
              </w:rPr>
            </w:pPr>
          </w:p>
          <w:p w:rsidR="009D15AE" w:rsidRDefault="009D15AE" w:rsidP="009C0B43">
            <w:pPr>
              <w:pStyle w:val="a7"/>
              <w:ind w:firstLineChars="0" w:firstLine="0"/>
              <w:jc w:val="left"/>
              <w:rPr>
                <w:sz w:val="28"/>
                <w:szCs w:val="28"/>
              </w:rPr>
            </w:pPr>
          </w:p>
          <w:p w:rsidR="009D15AE" w:rsidRPr="009D15AE" w:rsidRDefault="009D15AE" w:rsidP="009C0B43">
            <w:pPr>
              <w:pStyle w:val="a7"/>
              <w:ind w:firstLineChars="0" w:firstLine="0"/>
              <w:jc w:val="left"/>
              <w:rPr>
                <w:sz w:val="28"/>
                <w:szCs w:val="28"/>
              </w:rPr>
            </w:pPr>
          </w:p>
          <w:p w:rsidR="00A8068C" w:rsidRPr="008B0489" w:rsidRDefault="00A8068C" w:rsidP="00A8068C">
            <w:pPr>
              <w:pStyle w:val="a7"/>
              <w:ind w:left="720" w:firstLineChars="0" w:firstLine="0"/>
              <w:jc w:val="left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8B0489" w:rsidRPr="008B0489" w:rsidTr="00375C8A">
        <w:trPr>
          <w:trHeight w:val="517"/>
        </w:trPr>
        <w:tc>
          <w:tcPr>
            <w:tcW w:w="959" w:type="dxa"/>
            <w:vMerge w:val="restart"/>
            <w:vAlign w:val="center"/>
          </w:tcPr>
          <w:p w:rsidR="008B0489" w:rsidRPr="00375C8A" w:rsidRDefault="008B0489" w:rsidP="008B048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5C8A">
              <w:rPr>
                <w:rFonts w:hint="eastAsia"/>
                <w:sz w:val="24"/>
                <w:szCs w:val="24"/>
              </w:rPr>
              <w:t>专</w:t>
            </w:r>
          </w:p>
          <w:p w:rsidR="008B0489" w:rsidRPr="00375C8A" w:rsidRDefault="008B0489" w:rsidP="008B048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5C8A">
              <w:rPr>
                <w:rFonts w:hint="eastAsia"/>
                <w:sz w:val="24"/>
                <w:szCs w:val="24"/>
              </w:rPr>
              <w:t>家</w:t>
            </w:r>
          </w:p>
          <w:p w:rsidR="008B0489" w:rsidRPr="00375C8A" w:rsidRDefault="008B0489" w:rsidP="008B048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5C8A">
              <w:rPr>
                <w:rFonts w:hint="eastAsia"/>
                <w:sz w:val="24"/>
                <w:szCs w:val="24"/>
              </w:rPr>
              <w:t>组</w:t>
            </w:r>
          </w:p>
          <w:p w:rsidR="008B0489" w:rsidRPr="00375C8A" w:rsidRDefault="008B0489" w:rsidP="008B048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5C8A">
              <w:rPr>
                <w:rFonts w:hint="eastAsia"/>
                <w:sz w:val="24"/>
                <w:szCs w:val="24"/>
              </w:rPr>
              <w:t>成</w:t>
            </w:r>
          </w:p>
          <w:p w:rsidR="008B0489" w:rsidRPr="00375C8A" w:rsidRDefault="008B0489" w:rsidP="008B048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5C8A">
              <w:rPr>
                <w:rFonts w:hint="eastAsia"/>
                <w:sz w:val="24"/>
                <w:szCs w:val="24"/>
              </w:rPr>
              <w:t>员</w:t>
            </w:r>
          </w:p>
          <w:p w:rsidR="008B0489" w:rsidRPr="00375C8A" w:rsidRDefault="008B0489" w:rsidP="008B048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5C8A">
              <w:rPr>
                <w:rFonts w:hint="eastAsia"/>
                <w:sz w:val="24"/>
                <w:szCs w:val="24"/>
              </w:rPr>
              <w:t>签</w:t>
            </w:r>
          </w:p>
          <w:p w:rsidR="008B0489" w:rsidRPr="00375C8A" w:rsidRDefault="008B0489" w:rsidP="008B048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75C8A">
              <w:rPr>
                <w:rFonts w:hint="eastAsia"/>
                <w:sz w:val="24"/>
                <w:szCs w:val="24"/>
              </w:rPr>
              <w:t>字</w:t>
            </w:r>
          </w:p>
        </w:tc>
        <w:tc>
          <w:tcPr>
            <w:tcW w:w="1276" w:type="dxa"/>
            <w:gridSpan w:val="2"/>
            <w:vAlign w:val="center"/>
          </w:tcPr>
          <w:p w:rsidR="008B0489" w:rsidRPr="00375C8A" w:rsidRDefault="008B0489" w:rsidP="008B0489">
            <w:pPr>
              <w:jc w:val="center"/>
              <w:rPr>
                <w:sz w:val="24"/>
                <w:szCs w:val="24"/>
              </w:rPr>
            </w:pPr>
            <w:r w:rsidRPr="00375C8A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4252" w:type="dxa"/>
            <w:vAlign w:val="center"/>
          </w:tcPr>
          <w:p w:rsidR="008B0489" w:rsidRPr="00375C8A" w:rsidRDefault="008B0489" w:rsidP="008B0489">
            <w:pPr>
              <w:jc w:val="center"/>
              <w:rPr>
                <w:sz w:val="24"/>
                <w:szCs w:val="24"/>
              </w:rPr>
            </w:pPr>
            <w:r w:rsidRPr="00375C8A"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1265" w:type="dxa"/>
            <w:vAlign w:val="center"/>
          </w:tcPr>
          <w:p w:rsidR="008B0489" w:rsidRPr="00375C8A" w:rsidRDefault="008B0489" w:rsidP="008B0489">
            <w:pPr>
              <w:jc w:val="center"/>
              <w:rPr>
                <w:sz w:val="24"/>
                <w:szCs w:val="24"/>
              </w:rPr>
            </w:pPr>
            <w:r w:rsidRPr="00375C8A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712" w:type="dxa"/>
            <w:vAlign w:val="center"/>
          </w:tcPr>
          <w:p w:rsidR="008B0489" w:rsidRPr="00375C8A" w:rsidRDefault="008B0489" w:rsidP="008B0489">
            <w:pPr>
              <w:jc w:val="center"/>
              <w:rPr>
                <w:sz w:val="24"/>
                <w:szCs w:val="24"/>
              </w:rPr>
            </w:pPr>
            <w:r w:rsidRPr="00375C8A">
              <w:rPr>
                <w:rFonts w:hint="eastAsia"/>
                <w:sz w:val="24"/>
                <w:szCs w:val="24"/>
              </w:rPr>
              <w:t>签名</w:t>
            </w:r>
          </w:p>
        </w:tc>
      </w:tr>
      <w:tr w:rsidR="008B0489" w:rsidRPr="008B0489" w:rsidTr="00375C8A">
        <w:trPr>
          <w:trHeight w:val="461"/>
        </w:trPr>
        <w:tc>
          <w:tcPr>
            <w:tcW w:w="959" w:type="dxa"/>
            <w:vMerge/>
            <w:vAlign w:val="center"/>
          </w:tcPr>
          <w:p w:rsidR="008B0489" w:rsidRPr="00375C8A" w:rsidRDefault="008B0489" w:rsidP="008B0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B0489" w:rsidRPr="00375C8A" w:rsidRDefault="00AC7FC0" w:rsidP="008B04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周映江</w:t>
            </w:r>
          </w:p>
        </w:tc>
        <w:tc>
          <w:tcPr>
            <w:tcW w:w="4252" w:type="dxa"/>
            <w:vAlign w:val="center"/>
          </w:tcPr>
          <w:p w:rsidR="008B0489" w:rsidRPr="00375C8A" w:rsidRDefault="00AC7FC0" w:rsidP="008B04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南京邮电大学</w:t>
            </w:r>
          </w:p>
        </w:tc>
        <w:tc>
          <w:tcPr>
            <w:tcW w:w="1265" w:type="dxa"/>
            <w:vAlign w:val="center"/>
          </w:tcPr>
          <w:p w:rsidR="008B0489" w:rsidRPr="00375C8A" w:rsidRDefault="000944E6" w:rsidP="008B04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副教授</w:t>
            </w:r>
          </w:p>
        </w:tc>
        <w:tc>
          <w:tcPr>
            <w:tcW w:w="1712" w:type="dxa"/>
            <w:vAlign w:val="center"/>
          </w:tcPr>
          <w:p w:rsidR="008B0489" w:rsidRPr="00375C8A" w:rsidRDefault="008B0489" w:rsidP="008B0489">
            <w:pPr>
              <w:jc w:val="center"/>
              <w:rPr>
                <w:sz w:val="24"/>
                <w:szCs w:val="24"/>
              </w:rPr>
            </w:pPr>
          </w:p>
        </w:tc>
      </w:tr>
      <w:tr w:rsidR="008B0489" w:rsidRPr="008B0489" w:rsidTr="00375C8A">
        <w:trPr>
          <w:trHeight w:val="419"/>
        </w:trPr>
        <w:tc>
          <w:tcPr>
            <w:tcW w:w="959" w:type="dxa"/>
            <w:vMerge/>
            <w:vAlign w:val="center"/>
          </w:tcPr>
          <w:p w:rsidR="008B0489" w:rsidRPr="00375C8A" w:rsidRDefault="008B0489" w:rsidP="008B0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B0489" w:rsidRPr="00375C8A" w:rsidRDefault="00AC7FC0" w:rsidP="008B04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黄崇鑫</w:t>
            </w:r>
          </w:p>
        </w:tc>
        <w:tc>
          <w:tcPr>
            <w:tcW w:w="4252" w:type="dxa"/>
            <w:vAlign w:val="center"/>
          </w:tcPr>
          <w:p w:rsidR="008B0489" w:rsidRPr="00375C8A" w:rsidRDefault="00AC7FC0" w:rsidP="008B04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南京邮电大学</w:t>
            </w:r>
          </w:p>
        </w:tc>
        <w:tc>
          <w:tcPr>
            <w:tcW w:w="1265" w:type="dxa"/>
            <w:vAlign w:val="center"/>
          </w:tcPr>
          <w:p w:rsidR="008B0489" w:rsidRPr="00375C8A" w:rsidRDefault="00A9070B" w:rsidP="008B04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副研究员</w:t>
            </w:r>
          </w:p>
        </w:tc>
        <w:tc>
          <w:tcPr>
            <w:tcW w:w="1712" w:type="dxa"/>
            <w:vAlign w:val="center"/>
          </w:tcPr>
          <w:p w:rsidR="008B0489" w:rsidRPr="00375C8A" w:rsidRDefault="008B0489" w:rsidP="008B0489">
            <w:pPr>
              <w:jc w:val="center"/>
              <w:rPr>
                <w:sz w:val="24"/>
                <w:szCs w:val="24"/>
              </w:rPr>
            </w:pPr>
          </w:p>
        </w:tc>
      </w:tr>
      <w:tr w:rsidR="008B0489" w:rsidRPr="008B0489" w:rsidTr="00375C8A">
        <w:trPr>
          <w:trHeight w:val="475"/>
        </w:trPr>
        <w:tc>
          <w:tcPr>
            <w:tcW w:w="959" w:type="dxa"/>
            <w:vMerge/>
            <w:vAlign w:val="center"/>
          </w:tcPr>
          <w:p w:rsidR="008B0489" w:rsidRPr="00375C8A" w:rsidRDefault="008B0489" w:rsidP="008B0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B0489" w:rsidRPr="00375C8A" w:rsidRDefault="00A74A54" w:rsidP="008B04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吴英俊</w:t>
            </w:r>
          </w:p>
        </w:tc>
        <w:tc>
          <w:tcPr>
            <w:tcW w:w="4252" w:type="dxa"/>
            <w:vAlign w:val="center"/>
          </w:tcPr>
          <w:p w:rsidR="008B0489" w:rsidRPr="00375C8A" w:rsidRDefault="00A74A54" w:rsidP="008B04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河海大学</w:t>
            </w:r>
          </w:p>
        </w:tc>
        <w:tc>
          <w:tcPr>
            <w:tcW w:w="1265" w:type="dxa"/>
            <w:vAlign w:val="center"/>
          </w:tcPr>
          <w:p w:rsidR="008B0489" w:rsidRPr="00375C8A" w:rsidRDefault="000944E6" w:rsidP="008B04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副教授</w:t>
            </w:r>
          </w:p>
        </w:tc>
        <w:tc>
          <w:tcPr>
            <w:tcW w:w="1712" w:type="dxa"/>
            <w:vAlign w:val="center"/>
          </w:tcPr>
          <w:p w:rsidR="008B0489" w:rsidRPr="00375C8A" w:rsidRDefault="008B0489" w:rsidP="008B0489">
            <w:pPr>
              <w:jc w:val="center"/>
              <w:rPr>
                <w:sz w:val="24"/>
                <w:szCs w:val="24"/>
              </w:rPr>
            </w:pPr>
          </w:p>
        </w:tc>
      </w:tr>
      <w:tr w:rsidR="008B0489" w:rsidRPr="008B0489" w:rsidTr="00375C8A">
        <w:trPr>
          <w:trHeight w:val="516"/>
        </w:trPr>
        <w:tc>
          <w:tcPr>
            <w:tcW w:w="959" w:type="dxa"/>
            <w:vMerge/>
            <w:vAlign w:val="center"/>
          </w:tcPr>
          <w:p w:rsidR="008B0489" w:rsidRPr="00375C8A" w:rsidRDefault="008B0489" w:rsidP="008B0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B0489" w:rsidRPr="00375C8A" w:rsidRDefault="008B0489" w:rsidP="008B0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B0489" w:rsidRPr="00375C8A" w:rsidRDefault="008B0489" w:rsidP="008B0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8B0489" w:rsidRPr="00375C8A" w:rsidRDefault="008B0489" w:rsidP="008B0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8B0489" w:rsidRPr="00375C8A" w:rsidRDefault="008B0489" w:rsidP="008B0489">
            <w:pPr>
              <w:jc w:val="center"/>
              <w:rPr>
                <w:sz w:val="24"/>
                <w:szCs w:val="24"/>
              </w:rPr>
            </w:pPr>
          </w:p>
        </w:tc>
      </w:tr>
    </w:tbl>
    <w:p w:rsidR="00CA5ADE" w:rsidRDefault="00CA5ADE"/>
    <w:sectPr w:rsidR="00CA5ADE" w:rsidSect="00606AD8">
      <w:headerReference w:type="default" r:id="rId8"/>
      <w:pgSz w:w="11906" w:h="16838" w:code="9"/>
      <w:pgMar w:top="1304" w:right="1304" w:bottom="130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46F" w:rsidRDefault="0035646F" w:rsidP="00606AD8">
      <w:r>
        <w:separator/>
      </w:r>
    </w:p>
  </w:endnote>
  <w:endnote w:type="continuationSeparator" w:id="1">
    <w:p w:rsidR="0035646F" w:rsidRDefault="0035646F" w:rsidP="00606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46F" w:rsidRDefault="0035646F" w:rsidP="00606AD8">
      <w:r>
        <w:separator/>
      </w:r>
    </w:p>
  </w:footnote>
  <w:footnote w:type="continuationSeparator" w:id="1">
    <w:p w:rsidR="0035646F" w:rsidRDefault="0035646F" w:rsidP="00606A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AD8" w:rsidRPr="00606AD8" w:rsidRDefault="00606AD8" w:rsidP="0004249F">
    <w:pPr>
      <w:pStyle w:val="a4"/>
      <w:pBdr>
        <w:bottom w:val="none" w:sz="0" w:space="0" w:color="auto"/>
      </w:pBdr>
      <w:tabs>
        <w:tab w:val="clear" w:pos="4153"/>
        <w:tab w:val="clear" w:pos="8306"/>
        <w:tab w:val="left" w:pos="5071"/>
      </w:tabs>
      <w:ind w:leftChars="-135" w:hangingChars="157" w:hanging="283"/>
      <w:jc w:val="left"/>
    </w:pPr>
    <w:r w:rsidRPr="00606AD8">
      <w:rPr>
        <w:noProof/>
      </w:rPr>
      <w:drawing>
        <wp:inline distT="0" distB="0" distL="0" distR="0">
          <wp:extent cx="2122998" cy="389614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通达学院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60" cy="391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4249F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55FA4"/>
    <w:multiLevelType w:val="hybridMultilevel"/>
    <w:tmpl w:val="24180C96"/>
    <w:lvl w:ilvl="0" w:tplc="334AECA2">
      <w:start w:val="1"/>
      <w:numFmt w:val="decimal"/>
      <w:lvlText w:val="%1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BC070CE"/>
    <w:multiLevelType w:val="hybridMultilevel"/>
    <w:tmpl w:val="BE3469EE"/>
    <w:lvl w:ilvl="0" w:tplc="581696FE">
      <w:start w:val="1"/>
      <w:numFmt w:val="decimal"/>
      <w:lvlText w:val="%1、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1841"/>
    <w:rsid w:val="000071F1"/>
    <w:rsid w:val="0004249F"/>
    <w:rsid w:val="000944E6"/>
    <w:rsid w:val="00121F0D"/>
    <w:rsid w:val="00131832"/>
    <w:rsid w:val="001733C0"/>
    <w:rsid w:val="00353F57"/>
    <w:rsid w:val="0035646F"/>
    <w:rsid w:val="0036049A"/>
    <w:rsid w:val="00375C8A"/>
    <w:rsid w:val="004C15B4"/>
    <w:rsid w:val="00606AD8"/>
    <w:rsid w:val="00651841"/>
    <w:rsid w:val="006645DD"/>
    <w:rsid w:val="007F1D37"/>
    <w:rsid w:val="00805BDB"/>
    <w:rsid w:val="008B0489"/>
    <w:rsid w:val="008F2665"/>
    <w:rsid w:val="008F74C6"/>
    <w:rsid w:val="00924A3C"/>
    <w:rsid w:val="009C0B43"/>
    <w:rsid w:val="009D15AE"/>
    <w:rsid w:val="009F5563"/>
    <w:rsid w:val="00A74A54"/>
    <w:rsid w:val="00A8068C"/>
    <w:rsid w:val="00A9070B"/>
    <w:rsid w:val="00AC7FC0"/>
    <w:rsid w:val="00B06F89"/>
    <w:rsid w:val="00C738C8"/>
    <w:rsid w:val="00CA5ADE"/>
    <w:rsid w:val="00D74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06A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06AD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06A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06AD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06AD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06AD8"/>
    <w:rPr>
      <w:sz w:val="18"/>
      <w:szCs w:val="18"/>
    </w:rPr>
  </w:style>
  <w:style w:type="paragraph" w:styleId="a7">
    <w:name w:val="List Paragraph"/>
    <w:basedOn w:val="a"/>
    <w:uiPriority w:val="34"/>
    <w:qFormat/>
    <w:rsid w:val="007F1D3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62E5C-ABA5-4FCB-92BC-5A55E32B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60</Words>
  <Characters>345</Characters>
  <Application>Microsoft Office Word</Application>
  <DocSecurity>0</DocSecurity>
  <Lines>2</Lines>
  <Paragraphs>1</Paragraphs>
  <ScaleCrop>false</ScaleCrop>
  <Company>Microsoft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swd</dc:creator>
  <cp:keywords/>
  <dc:description/>
  <cp:lastModifiedBy>admin</cp:lastModifiedBy>
  <cp:revision>20</cp:revision>
  <cp:lastPrinted>2021-09-30T03:31:00Z</cp:lastPrinted>
  <dcterms:created xsi:type="dcterms:W3CDTF">2021-03-12T01:08:00Z</dcterms:created>
  <dcterms:modified xsi:type="dcterms:W3CDTF">2021-10-25T07:04:00Z</dcterms:modified>
</cp:coreProperties>
</file>