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463B9">
      <w:pPr>
        <w:adjustRightInd w:val="0"/>
        <w:spacing w:before="120" w:after="120" w:line="360" w:lineRule="auto"/>
        <w:jc w:val="center"/>
        <w:textAlignment w:val="baseline"/>
        <w:rPr>
          <w:rFonts w:ascii="Arial" w:hAnsi="Arial" w:eastAsia="宋体" w:cs="Times New Roman"/>
          <w:b/>
          <w:bCs/>
          <w:kern w:val="0"/>
          <w:sz w:val="36"/>
          <w:szCs w:val="36"/>
        </w:rPr>
      </w:pPr>
    </w:p>
    <w:p w14:paraId="6D1FC705">
      <w:pPr>
        <w:jc w:val="center"/>
        <w:rPr>
          <w:rFonts w:hint="eastAsia" w:ascii="宋体" w:hAnsi="宋体" w:eastAsia="宋体" w:cs="Times New Roman"/>
          <w:color w:val="000000"/>
          <w:sz w:val="36"/>
          <w:szCs w:val="24"/>
        </w:rPr>
      </w:pPr>
      <w:r>
        <w:rPr>
          <w:rFonts w:hint="eastAsia" w:ascii="Times New Roman" w:hAnsi="Times New Roman" w:eastAsia="宋体" w:cs="Times New Roman"/>
          <w:b/>
          <w:bCs/>
          <w:sz w:val="36"/>
          <w:szCs w:val="36"/>
        </w:rPr>
        <w:t xml:space="preserve">                               </w:t>
      </w:r>
      <w:r>
        <w:rPr>
          <w:rFonts w:hint="eastAsia" w:ascii="Times New Roman" w:hAnsi="Times New Roman" w:cs="Times New Roman"/>
          <w:b/>
          <w:bCs/>
          <w:sz w:val="36"/>
          <w:szCs w:val="36"/>
          <w:lang w:eastAsia="zh-CN"/>
        </w:rPr>
        <w:t>TDCG2025052</w:t>
      </w:r>
      <w:r>
        <w:rPr>
          <w:rFonts w:ascii="宋体" w:hAnsi="宋体" w:eastAsia="宋体" w:cs="Times New Roman"/>
          <w:b/>
          <w:bCs/>
          <w:color w:val="000000"/>
          <w:sz w:val="36"/>
          <w:szCs w:val="24"/>
        </w:rPr>
        <w:t>号</w:t>
      </w:r>
    </w:p>
    <w:p w14:paraId="7B0D7A93">
      <w:pPr>
        <w:adjustRightInd w:val="0"/>
        <w:spacing w:before="120" w:after="120" w:line="360" w:lineRule="auto"/>
        <w:jc w:val="center"/>
        <w:textAlignment w:val="baseline"/>
        <w:rPr>
          <w:rFonts w:hint="eastAsia" w:ascii="宋体" w:hAnsi="宋体" w:eastAsia="宋体" w:cs="Times New Roman"/>
          <w:bCs/>
          <w:kern w:val="0"/>
          <w:sz w:val="36"/>
          <w:szCs w:val="36"/>
        </w:rPr>
      </w:pPr>
    </w:p>
    <w:p w14:paraId="0E3936AA">
      <w:pPr>
        <w:adjustRightInd w:val="0"/>
        <w:spacing w:before="120" w:after="120" w:line="360" w:lineRule="auto"/>
        <w:jc w:val="center"/>
        <w:textAlignment w:val="baseline"/>
        <w:rPr>
          <w:rFonts w:hint="eastAsia" w:ascii="宋体" w:hAnsi="宋体" w:eastAsia="宋体" w:cs="Times New Roman"/>
          <w:b/>
          <w:bCs/>
          <w:kern w:val="0"/>
          <w:sz w:val="36"/>
          <w:szCs w:val="36"/>
          <w:lang w:eastAsia="zh-CN"/>
        </w:rPr>
      </w:pPr>
      <w:r>
        <w:rPr>
          <w:rFonts w:hint="eastAsia" w:ascii="宋体" w:hAnsi="宋体" w:cs="Times New Roman"/>
          <w:b/>
          <w:bCs/>
          <w:kern w:val="0"/>
          <w:sz w:val="36"/>
          <w:szCs w:val="36"/>
          <w:lang w:eastAsia="zh-CN"/>
        </w:rPr>
        <w:t>2025—2028年教学办公软件正版化项目</w:t>
      </w:r>
    </w:p>
    <w:p w14:paraId="11E4AC89">
      <w:pPr>
        <w:adjustRightInd w:val="0"/>
        <w:spacing w:before="120" w:after="120" w:line="360" w:lineRule="auto"/>
        <w:jc w:val="center"/>
        <w:textAlignment w:val="baseline"/>
        <w:rPr>
          <w:rFonts w:hint="eastAsia" w:ascii="宋体" w:hAnsi="宋体" w:eastAsia="宋体" w:cs="Times New Roman"/>
          <w:b/>
          <w:bCs/>
          <w:kern w:val="0"/>
          <w:sz w:val="36"/>
          <w:szCs w:val="36"/>
        </w:rPr>
      </w:pPr>
      <w:r>
        <w:rPr>
          <w:rFonts w:hint="eastAsia" w:ascii="宋体" w:hAnsi="宋体" w:eastAsia="宋体" w:cs="Times New Roman"/>
          <w:b/>
          <w:bCs/>
          <w:kern w:val="0"/>
          <w:sz w:val="36"/>
          <w:szCs w:val="36"/>
        </w:rPr>
        <w:t>竞争性磋商文件</w:t>
      </w:r>
    </w:p>
    <w:p w14:paraId="5A4A08AE">
      <w:pPr>
        <w:adjustRightInd w:val="0"/>
        <w:spacing w:before="120" w:after="120" w:line="360" w:lineRule="auto"/>
        <w:jc w:val="center"/>
        <w:textAlignment w:val="baseline"/>
        <w:rPr>
          <w:rFonts w:hint="eastAsia" w:ascii="宋体" w:hAnsi="宋体" w:eastAsia="宋体" w:cs="Times New Roman"/>
          <w:kern w:val="0"/>
          <w:sz w:val="24"/>
          <w:szCs w:val="24"/>
        </w:rPr>
      </w:pPr>
      <w:r>
        <w:rPr>
          <w:rFonts w:ascii="宋体" w:hAnsi="宋体" w:eastAsia="宋体" w:cs="Times New Roman"/>
          <w:kern w:val="0"/>
          <w:sz w:val="36"/>
          <w:szCs w:val="24"/>
        </w:rPr>
        <w:drawing>
          <wp:anchor distT="0" distB="0" distL="0" distR="0" simplePos="0" relativeHeight="251659264" behindDoc="0" locked="0" layoutInCell="1" allowOverlap="1">
            <wp:simplePos x="0" y="0"/>
            <wp:positionH relativeFrom="column">
              <wp:posOffset>254000</wp:posOffset>
            </wp:positionH>
            <wp:positionV relativeFrom="page">
              <wp:posOffset>3434715</wp:posOffset>
            </wp:positionV>
            <wp:extent cx="5600700" cy="3686175"/>
            <wp:effectExtent l="0" t="0" r="0" b="952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srcRect/>
                    <a:stretch>
                      <a:fillRect/>
                    </a:stretch>
                  </pic:blipFill>
                  <pic:spPr>
                    <a:xfrm>
                      <a:off x="0" y="0"/>
                      <a:ext cx="5600700" cy="3686175"/>
                    </a:xfrm>
                    <a:prstGeom prst="rect">
                      <a:avLst/>
                    </a:prstGeom>
                    <a:noFill/>
                    <a:ln>
                      <a:noFill/>
                    </a:ln>
                  </pic:spPr>
                </pic:pic>
              </a:graphicData>
            </a:graphic>
          </wp:anchor>
        </w:drawing>
      </w:r>
    </w:p>
    <w:p w14:paraId="33FFAA99">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5F56961C">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5816DD78">
      <w:pPr>
        <w:spacing w:line="360" w:lineRule="auto"/>
        <w:ind w:firstLine="1432" w:firstLineChars="495"/>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采</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购</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 xml:space="preserve"> 人：</w:t>
      </w:r>
      <w:bookmarkStart w:id="0" w:name="OLE_LINK1"/>
      <w:r>
        <w:rPr>
          <w:rFonts w:hint="eastAsia" w:ascii="宋体" w:hAnsi="宋体" w:eastAsia="宋体" w:cs="Times New Roman"/>
          <w:b/>
          <w:bCs/>
          <w:w w:val="90"/>
          <w:kern w:val="0"/>
          <w:sz w:val="32"/>
          <w:szCs w:val="32"/>
        </w:rPr>
        <w:t>南京邮电大学通达学院</w:t>
      </w:r>
    </w:p>
    <w:bookmarkEnd w:id="0"/>
    <w:p w14:paraId="6FBBFE8C">
      <w:pPr>
        <w:spacing w:line="360" w:lineRule="auto"/>
        <w:ind w:firstLine="1157" w:firstLineChars="4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 xml:space="preserve">  采购代理机构</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章</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：江苏唯诚建设咨询有限公司</w:t>
      </w:r>
    </w:p>
    <w:p w14:paraId="781CB2A0">
      <w:pPr>
        <w:spacing w:line="360" w:lineRule="auto"/>
        <w:ind w:firstLine="1446" w:firstLineChars="5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发</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放</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日</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期：</w:t>
      </w:r>
      <w:bookmarkStart w:id="1" w:name="EB59c3faf64f2a4bd092a206fb1d0c3c03"/>
      <w:r>
        <w:rPr>
          <w:rFonts w:hint="eastAsia" w:ascii="宋体" w:hAnsi="宋体" w:eastAsia="宋体" w:cs="Times New Roman"/>
          <w:b/>
          <w:bCs/>
          <w:color w:val="auto"/>
          <w:w w:val="90"/>
          <w:kern w:val="0"/>
          <w:sz w:val="32"/>
          <w:szCs w:val="32"/>
          <w:highlight w:val="none"/>
        </w:rPr>
        <w:t xml:space="preserve"> </w:t>
      </w:r>
      <w:bookmarkEnd w:id="1"/>
      <w:r>
        <w:rPr>
          <w:rFonts w:hint="eastAsia" w:ascii="宋体" w:hAnsi="宋体" w:eastAsia="宋体" w:cs="Times New Roman"/>
          <w:b/>
          <w:bCs/>
          <w:color w:val="auto"/>
          <w:w w:val="90"/>
          <w:kern w:val="0"/>
          <w:sz w:val="32"/>
          <w:szCs w:val="32"/>
          <w:highlight w:val="none"/>
        </w:rPr>
        <w:t>2025年</w:t>
      </w:r>
      <w:r>
        <w:rPr>
          <w:rFonts w:hint="eastAsia" w:ascii="宋体" w:hAnsi="宋体" w:cs="Times New Roman"/>
          <w:b/>
          <w:bCs/>
          <w:color w:val="auto"/>
          <w:w w:val="90"/>
          <w:kern w:val="0"/>
          <w:sz w:val="32"/>
          <w:szCs w:val="32"/>
          <w:highlight w:val="none"/>
          <w:lang w:val="en-US" w:eastAsia="zh-CN"/>
        </w:rPr>
        <w:t>11</w:t>
      </w:r>
      <w:r>
        <w:rPr>
          <w:rFonts w:hint="eastAsia" w:ascii="宋体" w:hAnsi="宋体" w:eastAsia="宋体" w:cs="Times New Roman"/>
          <w:b/>
          <w:bCs/>
          <w:color w:val="auto"/>
          <w:w w:val="90"/>
          <w:kern w:val="0"/>
          <w:sz w:val="32"/>
          <w:szCs w:val="32"/>
          <w:highlight w:val="none"/>
        </w:rPr>
        <w:t>月</w:t>
      </w:r>
      <w:r>
        <w:rPr>
          <w:rFonts w:hint="eastAsia" w:ascii="宋体" w:hAnsi="宋体" w:cs="Times New Roman"/>
          <w:b/>
          <w:bCs/>
          <w:color w:val="auto"/>
          <w:w w:val="90"/>
          <w:kern w:val="0"/>
          <w:sz w:val="32"/>
          <w:szCs w:val="32"/>
          <w:highlight w:val="none"/>
          <w:lang w:val="en-US" w:eastAsia="zh-CN"/>
        </w:rPr>
        <w:t>25</w:t>
      </w:r>
      <w:r>
        <w:rPr>
          <w:rFonts w:hint="eastAsia" w:ascii="宋体" w:hAnsi="宋体" w:eastAsia="宋体" w:cs="Times New Roman"/>
          <w:b/>
          <w:bCs/>
          <w:color w:val="auto"/>
          <w:w w:val="90"/>
          <w:kern w:val="0"/>
          <w:sz w:val="32"/>
          <w:szCs w:val="32"/>
          <w:highlight w:val="none"/>
        </w:rPr>
        <w:t>日</w:t>
      </w:r>
    </w:p>
    <w:p w14:paraId="28F2285B">
      <w:pPr>
        <w:adjustRightInd w:val="0"/>
        <w:spacing w:before="120" w:after="120" w:line="360" w:lineRule="auto"/>
        <w:jc w:val="left"/>
        <w:textAlignment w:val="baseline"/>
        <w:rPr>
          <w:rFonts w:hint="eastAsia" w:ascii="宋体" w:hAnsi="宋体" w:eastAsia="宋体" w:cs="Times New Roman"/>
          <w:b/>
          <w:kern w:val="0"/>
          <w:sz w:val="52"/>
          <w:szCs w:val="52"/>
        </w:rPr>
      </w:pPr>
    </w:p>
    <w:p w14:paraId="2133705F">
      <w:pPr>
        <w:adjustRightInd w:val="0"/>
        <w:spacing w:before="120" w:after="120" w:line="360" w:lineRule="auto"/>
        <w:jc w:val="left"/>
        <w:textAlignment w:val="baseline"/>
        <w:rPr>
          <w:rFonts w:hint="eastAsia" w:ascii="宋体" w:hAnsi="宋体" w:eastAsia="宋体" w:cs="Times New Roman"/>
          <w:b/>
          <w:kern w:val="0"/>
          <w:sz w:val="52"/>
          <w:szCs w:val="52"/>
        </w:rPr>
      </w:pPr>
    </w:p>
    <w:p w14:paraId="0A7DB950">
      <w:pPr>
        <w:spacing w:line="480" w:lineRule="auto"/>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总 目 录</w:t>
      </w:r>
    </w:p>
    <w:p w14:paraId="21081D35">
      <w:pPr>
        <w:spacing w:line="480" w:lineRule="auto"/>
        <w:jc w:val="center"/>
        <w:outlineLvl w:val="0"/>
        <w:rPr>
          <w:rFonts w:hint="eastAsia" w:ascii="宋体" w:hAnsi="宋体" w:eastAsia="宋体" w:cs="Times New Roman"/>
          <w:b/>
          <w:sz w:val="32"/>
          <w:szCs w:val="32"/>
        </w:rPr>
      </w:pPr>
    </w:p>
    <w:p w14:paraId="7A17FD11">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第一章    竞争性磋商采购邀请</w:t>
      </w:r>
      <w:r>
        <w:rPr>
          <w:rFonts w:hint="eastAsia" w:ascii="Times New Roman" w:hAnsi="Times New Roman" w:eastAsia="宋体" w:cs="Times New Roman"/>
          <w:szCs w:val="24"/>
        </w:rPr>
        <w:t>…………………………………………………………</w:t>
      </w:r>
      <w:r>
        <w:rPr>
          <w:rFonts w:hint="eastAsia" w:ascii="宋体" w:hAnsi="宋体" w:eastAsia="宋体" w:cs="Times New Roman"/>
          <w:szCs w:val="21"/>
        </w:rPr>
        <w:t xml:space="preserve">3                                         </w:t>
      </w:r>
    </w:p>
    <w:p w14:paraId="7542332E">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第二章    磋商须知</w:t>
      </w:r>
      <w:r>
        <w:rPr>
          <w:rFonts w:ascii="宋体" w:hAnsi="宋体" w:eastAsia="宋体" w:cs="Times New Roman"/>
          <w:szCs w:val="21"/>
        </w:rPr>
        <w:t>…………………………</w:t>
      </w:r>
      <w:r>
        <w:rPr>
          <w:rFonts w:hint="eastAsia" w:ascii="宋体" w:hAnsi="宋体" w:eastAsia="宋体" w:cs="Times New Roman"/>
          <w:szCs w:val="21"/>
        </w:rPr>
        <w:t>……………………………………………6</w:t>
      </w:r>
    </w:p>
    <w:p w14:paraId="7C7EF1F8">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第三章    合同条款及格式</w:t>
      </w:r>
      <w:r>
        <w:rPr>
          <w:rFonts w:ascii="宋体" w:hAnsi="宋体" w:eastAsia="宋体" w:cs="Times New Roman"/>
          <w:szCs w:val="21"/>
        </w:rPr>
        <w:t>…………………</w:t>
      </w:r>
      <w:r>
        <w:rPr>
          <w:rFonts w:hint="eastAsia" w:ascii="宋体" w:hAnsi="宋体" w:eastAsia="宋体" w:cs="Times New Roman"/>
          <w:szCs w:val="21"/>
        </w:rPr>
        <w:t>……………………………………………14</w:t>
      </w:r>
    </w:p>
    <w:p w14:paraId="2A949E00">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第四章    项目需求</w:t>
      </w:r>
      <w:r>
        <w:rPr>
          <w:rFonts w:ascii="宋体" w:hAnsi="宋体" w:eastAsia="宋体" w:cs="Times New Roman"/>
          <w:szCs w:val="21"/>
        </w:rPr>
        <w:t>…………………………</w:t>
      </w:r>
      <w:r>
        <w:rPr>
          <w:rFonts w:hint="eastAsia" w:ascii="宋体" w:hAnsi="宋体" w:eastAsia="宋体" w:cs="Times New Roman"/>
          <w:szCs w:val="21"/>
        </w:rPr>
        <w:t>……………………………………………18</w:t>
      </w:r>
    </w:p>
    <w:p w14:paraId="1F3B952C">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第五章    评审方法和评审标准</w:t>
      </w:r>
      <w:r>
        <w:rPr>
          <w:rFonts w:ascii="宋体" w:hAnsi="宋体" w:eastAsia="宋体" w:cs="Times New Roman"/>
          <w:szCs w:val="21"/>
        </w:rPr>
        <w:t>……………</w:t>
      </w:r>
      <w:r>
        <w:rPr>
          <w:rFonts w:hint="eastAsia" w:ascii="宋体" w:hAnsi="宋体" w:eastAsia="宋体" w:cs="Times New Roman"/>
          <w:szCs w:val="21"/>
        </w:rPr>
        <w:t>……………………………………………27</w:t>
      </w:r>
    </w:p>
    <w:p w14:paraId="3850970A">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第六章    竞争性磋商响应文件格式</w:t>
      </w:r>
      <w:r>
        <w:rPr>
          <w:rFonts w:ascii="宋体" w:hAnsi="宋体" w:eastAsia="宋体" w:cs="Times New Roman"/>
          <w:szCs w:val="21"/>
        </w:rPr>
        <w:t>………</w:t>
      </w:r>
      <w:r>
        <w:rPr>
          <w:rFonts w:hint="eastAsia" w:ascii="宋体" w:hAnsi="宋体" w:eastAsia="宋体" w:cs="Times New Roman"/>
          <w:szCs w:val="21"/>
        </w:rPr>
        <w:t>……………………………………………29</w:t>
      </w:r>
    </w:p>
    <w:p w14:paraId="36A47F43">
      <w:pPr>
        <w:tabs>
          <w:tab w:val="left" w:leader="dot" w:pos="8420"/>
        </w:tabs>
        <w:spacing w:line="303" w:lineRule="exact"/>
        <w:ind w:left="360"/>
        <w:rPr>
          <w:rFonts w:hint="eastAsia" w:ascii="宋体" w:hAnsi="宋体" w:eastAsia="宋体" w:cs="宋体"/>
          <w:szCs w:val="21"/>
        </w:rPr>
      </w:pPr>
    </w:p>
    <w:p w14:paraId="0219A194">
      <w:pPr>
        <w:spacing w:line="560" w:lineRule="exact"/>
        <w:ind w:firstLine="420" w:firstLineChars="200"/>
        <w:outlineLvl w:val="0"/>
        <w:rPr>
          <w:rFonts w:hint="eastAsia" w:ascii="宋体" w:hAnsi="宋体" w:eastAsia="宋体" w:cs="Times New Roman"/>
          <w:szCs w:val="21"/>
        </w:rPr>
      </w:pPr>
    </w:p>
    <w:p w14:paraId="390A2CB4">
      <w:pPr>
        <w:rPr>
          <w:rFonts w:hint="eastAsia" w:ascii="宋体" w:hAnsi="宋体" w:eastAsia="宋体" w:cs="Times New Roman"/>
          <w:szCs w:val="24"/>
        </w:rPr>
      </w:pPr>
    </w:p>
    <w:p w14:paraId="5C0830DB">
      <w:pPr>
        <w:rPr>
          <w:rFonts w:hint="eastAsia" w:ascii="宋体" w:hAnsi="宋体" w:eastAsia="宋体" w:cs="Times New Roman"/>
          <w:szCs w:val="24"/>
        </w:rPr>
      </w:pPr>
      <w:r>
        <w:rPr>
          <w:rFonts w:ascii="宋体" w:hAnsi="宋体" w:eastAsia="宋体" w:cs="Times New Roman"/>
          <w:szCs w:val="24"/>
        </w:rPr>
        <w:br w:type="page"/>
      </w:r>
    </w:p>
    <w:p w14:paraId="03BA47CE">
      <w:pPr>
        <w:keepNext/>
        <w:spacing w:after="240" w:afterLines="100"/>
        <w:jc w:val="center"/>
        <w:outlineLvl w:val="0"/>
        <w:rPr>
          <w:rFonts w:hint="eastAsia" w:ascii="宋体" w:hAnsi="宋体" w:eastAsia="宋体" w:cs="Times New Roman"/>
          <w:b/>
          <w:sz w:val="36"/>
          <w:szCs w:val="36"/>
        </w:rPr>
      </w:pPr>
      <w:r>
        <w:rPr>
          <w:rFonts w:hint="eastAsia" w:ascii="宋体" w:hAnsi="宋体" w:eastAsia="宋体" w:cs="Times New Roman"/>
          <w:b/>
          <w:sz w:val="36"/>
          <w:szCs w:val="36"/>
        </w:rPr>
        <w:t>第一章 竞争性磋商采购邀请</w:t>
      </w:r>
    </w:p>
    <w:p w14:paraId="6D712394">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bookmarkStart w:id="2" w:name="OLE_LINK4"/>
      <w:bookmarkStart w:id="3" w:name="OLE_LINK3"/>
      <w:r>
        <w:rPr>
          <w:rFonts w:hint="eastAsia" w:ascii="宋体" w:hAnsi="宋体" w:cs="宋体"/>
          <w:szCs w:val="21"/>
        </w:rPr>
        <w:t>项目概况</w:t>
      </w:r>
    </w:p>
    <w:p w14:paraId="38BC7FDC">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u w:val="single"/>
        </w:rPr>
        <w:t>南京邮电大学通达学院</w:t>
      </w:r>
      <w:r>
        <w:rPr>
          <w:rFonts w:hint="eastAsia" w:ascii="宋体" w:hAnsi="宋体" w:cs="宋体"/>
          <w:szCs w:val="21"/>
          <w:u w:val="single"/>
          <w:lang w:eastAsia="zh-CN"/>
        </w:rPr>
        <w:t>2025—2028年教学办公软件正版化</w:t>
      </w:r>
      <w:r>
        <w:rPr>
          <w:rFonts w:hint="eastAsia" w:ascii="宋体" w:hAnsi="宋体" w:cs="宋体"/>
          <w:szCs w:val="21"/>
        </w:rPr>
        <w:t>招标项目的潜在</w:t>
      </w:r>
      <w:r>
        <w:rPr>
          <w:rFonts w:hint="eastAsia" w:ascii="宋体" w:hAnsi="宋体" w:cs="宋体"/>
          <w:szCs w:val="21"/>
          <w:lang w:val="en-US" w:eastAsia="zh-CN"/>
        </w:rPr>
        <w:t>投标</w:t>
      </w:r>
      <w:r>
        <w:rPr>
          <w:rFonts w:hint="eastAsia" w:ascii="宋体" w:hAnsi="宋体" w:cs="宋体"/>
          <w:szCs w:val="21"/>
          <w:lang w:eastAsia="zh-CN"/>
        </w:rPr>
        <w:t>供应商</w:t>
      </w:r>
      <w:r>
        <w:rPr>
          <w:rFonts w:hint="eastAsia" w:ascii="宋体" w:hAnsi="宋体" w:cs="宋体"/>
          <w:szCs w:val="21"/>
        </w:rPr>
        <w:t>应在</w:t>
      </w:r>
      <w:r>
        <w:rPr>
          <w:rFonts w:hint="eastAsia" w:ascii="宋体" w:hAnsi="宋体" w:cs="宋体"/>
          <w:szCs w:val="21"/>
          <w:u w:val="single"/>
        </w:rPr>
        <w:t xml:space="preserve">南京邮电大学采购招标管理办公室和通达学院采购招标信息网 </w:t>
      </w:r>
      <w:r>
        <w:rPr>
          <w:rFonts w:hint="eastAsia" w:ascii="宋体" w:hAnsi="宋体" w:cs="宋体"/>
          <w:szCs w:val="21"/>
        </w:rPr>
        <w:t>查看招标公告，</w:t>
      </w:r>
      <w:r>
        <w:rPr>
          <w:rFonts w:hint="eastAsia" w:ascii="宋体" w:hAnsi="宋体" w:cs="宋体"/>
          <w:szCs w:val="21"/>
          <w:highlight w:val="none"/>
        </w:rPr>
        <w:t>并于</w:t>
      </w:r>
      <w:r>
        <w:rPr>
          <w:rFonts w:hint="eastAsia" w:ascii="宋体" w:hAnsi="宋体" w:cs="宋体"/>
          <w:szCs w:val="21"/>
          <w:highlight w:val="none"/>
          <w:u w:val="single"/>
        </w:rPr>
        <w:t>2025年</w:t>
      </w:r>
      <w:r>
        <w:rPr>
          <w:rFonts w:hint="eastAsia" w:ascii="宋体" w:hAnsi="宋体" w:cs="宋体"/>
          <w:bCs/>
          <w:szCs w:val="21"/>
          <w:highlight w:val="none"/>
          <w:u w:val="single"/>
        </w:rPr>
        <w:t>1</w:t>
      </w:r>
      <w:r>
        <w:rPr>
          <w:rFonts w:hint="eastAsia" w:ascii="宋体" w:hAnsi="宋体" w:cs="宋体"/>
          <w:bCs/>
          <w:szCs w:val="21"/>
          <w:highlight w:val="none"/>
          <w:u w:val="single"/>
          <w:lang w:val="en-US" w:eastAsia="zh-CN"/>
        </w:rPr>
        <w:t>2</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15</w:t>
      </w:r>
      <w:r>
        <w:rPr>
          <w:rFonts w:hint="eastAsia" w:ascii="宋体" w:hAnsi="宋体" w:cs="宋体"/>
          <w:bCs/>
          <w:szCs w:val="21"/>
          <w:highlight w:val="none"/>
          <w:u w:val="single"/>
        </w:rPr>
        <w:t>点</w:t>
      </w:r>
      <w:r>
        <w:rPr>
          <w:rFonts w:hint="eastAsia" w:ascii="宋体" w:hAnsi="宋体" w:cs="宋体"/>
          <w:bCs/>
          <w:szCs w:val="21"/>
          <w:highlight w:val="none"/>
          <w:u w:val="single"/>
          <w:lang w:val="en-US" w:eastAsia="zh-CN"/>
        </w:rPr>
        <w:t>0</w:t>
      </w:r>
      <w:r>
        <w:rPr>
          <w:rFonts w:hint="eastAsia" w:ascii="宋体" w:hAnsi="宋体" w:cs="宋体"/>
          <w:bCs/>
          <w:szCs w:val="21"/>
          <w:u w:val="single"/>
          <w:lang w:val="en-US" w:eastAsia="zh-CN"/>
        </w:rPr>
        <w:t>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2B25A286">
      <w:pPr>
        <w:spacing w:after="120" w:afterLines="50" w:line="360" w:lineRule="auto"/>
        <w:ind w:firstLine="420" w:firstLineChars="200"/>
        <w:rPr>
          <w:rFonts w:hint="eastAsia" w:ascii="宋体" w:hAnsi="宋体" w:eastAsia="宋体" w:cs="Times New Roman"/>
          <w:szCs w:val="21"/>
        </w:rPr>
      </w:pPr>
    </w:p>
    <w:p w14:paraId="41817F92">
      <w:pPr>
        <w:spacing w:after="120" w:afterLines="50" w:line="360" w:lineRule="auto"/>
        <w:ind w:firstLine="420" w:firstLineChars="200"/>
        <w:rPr>
          <w:rFonts w:hint="eastAsia" w:ascii="宋体" w:hAnsi="宋体" w:eastAsia="宋体" w:cs="Times New Roman"/>
          <w:b/>
          <w:bCs/>
          <w:szCs w:val="21"/>
        </w:rPr>
      </w:pPr>
      <w:r>
        <w:rPr>
          <w:rFonts w:hint="eastAsia" w:ascii="宋体" w:hAnsi="宋体" w:eastAsia="宋体" w:cs="Times New Roman"/>
          <w:szCs w:val="21"/>
        </w:rPr>
        <w:t>一、</w:t>
      </w:r>
      <w:r>
        <w:rPr>
          <w:rFonts w:hint="eastAsia" w:ascii="宋体" w:hAnsi="宋体" w:eastAsia="宋体" w:cs="Times New Roman"/>
          <w:b/>
          <w:bCs/>
          <w:szCs w:val="21"/>
        </w:rPr>
        <w:t>采购项目名称及编号</w:t>
      </w:r>
    </w:p>
    <w:p w14:paraId="238DADA4">
      <w:pPr>
        <w:spacing w:line="480" w:lineRule="exact"/>
        <w:ind w:firstLine="420" w:firstLineChars="200"/>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项目名称：南京邮电大学通达学院2025—2028年教学办公软件正版化项目</w:t>
      </w:r>
    </w:p>
    <w:p w14:paraId="7B81E037">
      <w:pPr>
        <w:spacing w:line="480" w:lineRule="exact"/>
        <w:ind w:firstLine="420" w:firstLineChars="200"/>
        <w:rPr>
          <w:rFonts w:hint="eastAsia" w:ascii="宋体" w:hAnsi="宋体" w:cs="宋体"/>
          <w:szCs w:val="21"/>
          <w:lang w:val="zh-CN"/>
        </w:rPr>
      </w:pPr>
      <w:r>
        <w:rPr>
          <w:rFonts w:hint="eastAsia" w:ascii="宋体" w:hAnsi="宋体" w:cs="宋体"/>
          <w:szCs w:val="21"/>
        </w:rPr>
        <w:t>2、</w:t>
      </w:r>
      <w:r>
        <w:rPr>
          <w:rFonts w:hint="eastAsia" w:ascii="宋体" w:hAnsi="宋体" w:cs="宋体"/>
          <w:szCs w:val="21"/>
          <w:lang w:val="zh-CN"/>
        </w:rPr>
        <w:t>编    号：TDCG2025052号</w:t>
      </w:r>
    </w:p>
    <w:p w14:paraId="52601A62">
      <w:pPr>
        <w:spacing w:line="480" w:lineRule="exact"/>
        <w:ind w:firstLine="420" w:firstLineChars="200"/>
        <w:rPr>
          <w:rFonts w:hint="eastAsia" w:ascii="宋体" w:hAnsi="宋体" w:cs="宋体"/>
          <w:szCs w:val="21"/>
          <w:lang w:val="zh-CN"/>
        </w:rPr>
      </w:pPr>
      <w:r>
        <w:rPr>
          <w:rFonts w:hint="eastAsia" w:ascii="宋体" w:hAnsi="宋体" w:cs="宋体"/>
          <w:szCs w:val="21"/>
          <w:lang w:val="zh-CN"/>
        </w:rPr>
        <w:t>3、采购方式：□竞争性谈判  ☑竞争性磋商 □询价</w:t>
      </w:r>
    </w:p>
    <w:p w14:paraId="76DAFD20">
      <w:pPr>
        <w:spacing w:line="48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4</w:t>
      </w:r>
      <w:r>
        <w:rPr>
          <w:rFonts w:hint="eastAsia" w:ascii="宋体" w:hAnsi="宋体" w:eastAsia="宋体" w:cs="宋体"/>
          <w:sz w:val="21"/>
          <w:szCs w:val="21"/>
          <w:lang w:val="zh-CN"/>
        </w:rPr>
        <w:t>、</w:t>
      </w:r>
      <w:r>
        <w:rPr>
          <w:rFonts w:hint="eastAsia" w:ascii="宋体" w:hAnsi="宋体" w:eastAsia="宋体" w:cs="宋体"/>
          <w:sz w:val="21"/>
          <w:szCs w:val="21"/>
        </w:rPr>
        <w:t>采购预</w:t>
      </w:r>
      <w:r>
        <w:rPr>
          <w:rFonts w:hint="eastAsia" w:ascii="宋体" w:hAnsi="宋体" w:eastAsia="宋体" w:cs="宋体"/>
          <w:sz w:val="21"/>
          <w:szCs w:val="21"/>
          <w:lang w:val="zh-CN"/>
        </w:rPr>
        <w:t>算：</w:t>
      </w:r>
      <w:r>
        <w:rPr>
          <w:rFonts w:hint="eastAsia" w:ascii="宋体" w:hAnsi="宋体" w:eastAsia="宋体" w:cs="宋体"/>
          <w:color w:val="000000"/>
          <w:sz w:val="21"/>
          <w:szCs w:val="21"/>
          <w:lang w:val="zh-CN" w:eastAsia="zh-CN"/>
        </w:rPr>
        <w:t>18.5万元</w:t>
      </w:r>
      <w:r>
        <w:rPr>
          <w:rFonts w:hint="eastAsia" w:ascii="宋体" w:hAnsi="宋体" w:cs="宋体"/>
          <w:color w:val="000000"/>
          <w:sz w:val="21"/>
          <w:szCs w:val="21"/>
          <w:lang w:val="zh-CN" w:eastAsia="zh-CN"/>
        </w:rPr>
        <w:t>/年</w:t>
      </w:r>
      <w:r>
        <w:rPr>
          <w:rFonts w:hint="eastAsia" w:ascii="宋体" w:hAnsi="宋体" w:eastAsia="宋体" w:cs="宋体"/>
          <w:sz w:val="21"/>
          <w:szCs w:val="21"/>
          <w:lang w:val="zh-CN"/>
        </w:rPr>
        <w:t>。</w:t>
      </w:r>
    </w:p>
    <w:p w14:paraId="7EC5C9F0">
      <w:pPr>
        <w:spacing w:line="480" w:lineRule="exact"/>
        <w:ind w:firstLine="420" w:firstLineChars="200"/>
        <w:rPr>
          <w:rFonts w:hint="eastAsia" w:ascii="宋体" w:hAnsi="宋体" w:cs="宋体"/>
          <w:szCs w:val="21"/>
        </w:rPr>
      </w:pPr>
      <w:r>
        <w:rPr>
          <w:rFonts w:hint="eastAsia" w:ascii="宋体" w:hAnsi="宋体" w:cs="宋体"/>
          <w:szCs w:val="21"/>
          <w:lang w:val="zh-CN"/>
        </w:rPr>
        <w:t>5、最高限价：</w:t>
      </w:r>
      <w:r>
        <w:rPr>
          <w:rFonts w:hint="eastAsia" w:ascii="宋体" w:hAnsi="宋体" w:eastAsia="宋体" w:cs="宋体"/>
          <w:color w:val="auto"/>
          <w:sz w:val="21"/>
          <w:szCs w:val="21"/>
          <w:lang w:val="zh-CN" w:eastAsia="zh-CN"/>
        </w:rPr>
        <w:t>18.5万元</w:t>
      </w:r>
      <w:r>
        <w:rPr>
          <w:rFonts w:hint="eastAsia" w:ascii="宋体" w:hAnsi="宋体" w:cs="宋体"/>
          <w:color w:val="auto"/>
          <w:sz w:val="21"/>
          <w:szCs w:val="21"/>
          <w:lang w:val="zh-CN" w:eastAsia="zh-CN"/>
        </w:rPr>
        <w:t>/年</w:t>
      </w:r>
      <w:r>
        <w:rPr>
          <w:rFonts w:hint="eastAsia" w:ascii="宋体" w:hAnsi="宋体" w:cs="宋体"/>
          <w:szCs w:val="21"/>
          <w:lang w:val="zh-CN"/>
        </w:rPr>
        <w:t>，投</w:t>
      </w:r>
      <w:r>
        <w:rPr>
          <w:rFonts w:hint="eastAsia" w:ascii="宋体" w:hAnsi="宋体" w:eastAsia="宋体" w:cs="宋体"/>
          <w:szCs w:val="21"/>
          <w:lang w:val="zh-CN"/>
        </w:rPr>
        <w:t>标报</w:t>
      </w:r>
      <w:r>
        <w:rPr>
          <w:rFonts w:hint="eastAsia" w:ascii="宋体" w:hAnsi="宋体" w:eastAsia="宋体" w:cs="宋体"/>
          <w:szCs w:val="21"/>
        </w:rPr>
        <w:t>价不得高于最高限价否则作废标处理。</w:t>
      </w:r>
    </w:p>
    <w:p w14:paraId="41CB2A89">
      <w:pPr>
        <w:spacing w:line="480" w:lineRule="exact"/>
        <w:ind w:firstLine="420" w:firstLineChars="200"/>
        <w:rPr>
          <w:rFonts w:hint="eastAsia" w:ascii="宋体" w:hAnsi="宋体" w:cs="宋体"/>
          <w:szCs w:val="21"/>
        </w:rPr>
      </w:pPr>
      <w:r>
        <w:rPr>
          <w:rFonts w:hint="eastAsia" w:ascii="宋体" w:hAnsi="宋体" w:cs="宋体"/>
          <w:szCs w:val="21"/>
        </w:rPr>
        <w:t>6、采购需求：见磋商文件第四章</w:t>
      </w:r>
    </w:p>
    <w:p w14:paraId="324009CA">
      <w:pPr>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pacing w:val="-6"/>
          <w:szCs w:val="21"/>
          <w:highlight w:val="none"/>
        </w:rPr>
        <w:t>合同履行期限：</w:t>
      </w:r>
      <w:r>
        <w:rPr>
          <w:rFonts w:hint="eastAsia" w:ascii="宋体" w:hAnsi="宋体" w:cs="宋体"/>
          <w:szCs w:val="21"/>
          <w:highlight w:val="none"/>
          <w:lang w:val="en-US" w:eastAsia="zh-CN"/>
        </w:rPr>
        <w:t>叁</w:t>
      </w:r>
      <w:r>
        <w:rPr>
          <w:rFonts w:hint="eastAsia" w:ascii="宋体" w:hAnsi="宋体" w:eastAsia="宋体" w:cs="宋体"/>
          <w:szCs w:val="21"/>
          <w:highlight w:val="none"/>
        </w:rPr>
        <w:t>年，合同首签壹年，经双方商定同意情况下，签订下一年合同。</w:t>
      </w:r>
    </w:p>
    <w:p w14:paraId="7E690CA9">
      <w:pPr>
        <w:spacing w:line="480" w:lineRule="exact"/>
        <w:ind w:firstLine="396" w:firstLineChars="200"/>
        <w:rPr>
          <w:rFonts w:hint="eastAsia" w:ascii="宋体" w:hAnsi="宋体" w:cs="宋体"/>
          <w:spacing w:val="-6"/>
          <w:szCs w:val="21"/>
        </w:rPr>
      </w:pPr>
      <w:r>
        <w:rPr>
          <w:rFonts w:hint="eastAsia" w:ascii="宋体" w:hAnsi="宋体" w:cs="宋体"/>
          <w:spacing w:val="-6"/>
          <w:szCs w:val="21"/>
        </w:rPr>
        <w:t>8、本项目</w:t>
      </w:r>
      <w:r>
        <w:rPr>
          <w:rFonts w:hint="eastAsia" w:ascii="宋体" w:hAnsi="宋体" w:cs="宋体"/>
          <w:spacing w:val="-6"/>
          <w:szCs w:val="21"/>
          <w:u w:val="single"/>
        </w:rPr>
        <w:t>不接受</w:t>
      </w:r>
      <w:r>
        <w:rPr>
          <w:rFonts w:hint="eastAsia" w:ascii="宋体" w:hAnsi="宋体" w:cs="宋体"/>
          <w:spacing w:val="-6"/>
          <w:szCs w:val="21"/>
        </w:rPr>
        <w:t>联合体磋商。</w:t>
      </w:r>
    </w:p>
    <w:p w14:paraId="495611C8">
      <w:pPr>
        <w:spacing w:line="480" w:lineRule="exact"/>
        <w:ind w:firstLine="396" w:firstLineChars="200"/>
        <w:rPr>
          <w:rFonts w:hint="eastAsia" w:ascii="宋体" w:hAnsi="宋体" w:eastAsia="宋体" w:cs="Times New Roman"/>
          <w:szCs w:val="24"/>
        </w:rPr>
      </w:pPr>
      <w:r>
        <w:rPr>
          <w:rFonts w:hint="eastAsia" w:ascii="宋体" w:hAnsi="宋体" w:cs="宋体"/>
          <w:spacing w:val="-6"/>
          <w:szCs w:val="21"/>
        </w:rPr>
        <w:t>9、本项目</w:t>
      </w:r>
      <w:r>
        <w:rPr>
          <w:rFonts w:hint="eastAsia" w:ascii="宋体" w:hAnsi="宋体" w:cs="宋体"/>
          <w:spacing w:val="-6"/>
          <w:szCs w:val="21"/>
          <w:u w:val="single"/>
        </w:rPr>
        <w:t>不接受</w:t>
      </w:r>
      <w:r>
        <w:rPr>
          <w:rFonts w:hint="eastAsia" w:ascii="宋体" w:hAnsi="宋体" w:cs="宋体"/>
          <w:spacing w:val="-6"/>
          <w:szCs w:val="21"/>
        </w:rPr>
        <w:t>进口产品参</w:t>
      </w:r>
      <w:r>
        <w:rPr>
          <w:rFonts w:hint="eastAsia" w:ascii="宋体" w:hAnsi="宋体" w:cs="宋体"/>
          <w:szCs w:val="21"/>
        </w:rPr>
        <w:t>加磋商。</w:t>
      </w:r>
    </w:p>
    <w:p w14:paraId="7431F883">
      <w:pPr>
        <w:snapToGrid w:val="0"/>
        <w:spacing w:line="360" w:lineRule="auto"/>
        <w:ind w:firstLine="413" w:firstLineChars="196"/>
        <w:rPr>
          <w:rFonts w:hint="eastAsia" w:ascii="宋体" w:hAnsi="宋体" w:eastAsia="宋体" w:cs="Arial"/>
          <w:b/>
          <w:bCs/>
          <w:color w:val="000000"/>
          <w:szCs w:val="21"/>
        </w:rPr>
      </w:pPr>
      <w:r>
        <w:rPr>
          <w:rFonts w:hint="eastAsia" w:ascii="宋体" w:hAnsi="宋体" w:eastAsia="宋体" w:cs="Times New Roman"/>
          <w:b/>
          <w:bCs/>
          <w:color w:val="000000"/>
          <w:szCs w:val="21"/>
        </w:rPr>
        <w:t>二、</w:t>
      </w:r>
      <w:r>
        <w:rPr>
          <w:rFonts w:hint="eastAsia" w:ascii="宋体" w:hAnsi="宋体" w:eastAsia="宋体" w:cs="Arial"/>
          <w:b/>
          <w:bCs/>
          <w:color w:val="000000"/>
          <w:szCs w:val="21"/>
        </w:rPr>
        <w:t>合格磋商供应商资格要求</w:t>
      </w:r>
    </w:p>
    <w:p w14:paraId="7854E726">
      <w:pPr>
        <w:spacing w:line="360" w:lineRule="auto"/>
        <w:ind w:firstLine="396" w:firstLineChars="200"/>
        <w:rPr>
          <w:rFonts w:hint="eastAsia" w:ascii="宋体" w:hAnsi="宋体" w:eastAsia="宋体" w:cs="Arial"/>
          <w:color w:val="000000"/>
          <w:spacing w:val="-6"/>
          <w:szCs w:val="21"/>
        </w:rPr>
      </w:pPr>
      <w:r>
        <w:rPr>
          <w:rFonts w:hint="eastAsia" w:ascii="宋体" w:hAnsi="宋体" w:eastAsia="宋体" w:cs="Arial"/>
          <w:color w:val="000000"/>
          <w:spacing w:val="-6"/>
          <w:szCs w:val="21"/>
        </w:rPr>
        <w:t>（一）</w:t>
      </w:r>
      <w:r>
        <w:rPr>
          <w:rFonts w:ascii="宋体" w:hAnsi="宋体" w:eastAsia="宋体" w:cs="Arial"/>
          <w:color w:val="000000"/>
          <w:spacing w:val="-6"/>
          <w:szCs w:val="21"/>
        </w:rPr>
        <w:t>符合政府采购法第二十二条</w:t>
      </w:r>
      <w:r>
        <w:rPr>
          <w:rFonts w:hint="eastAsia" w:ascii="宋体" w:hAnsi="宋体" w:eastAsia="宋体" w:cs="Arial"/>
          <w:color w:val="000000"/>
          <w:spacing w:val="-6"/>
          <w:szCs w:val="21"/>
        </w:rPr>
        <w:t>第一款</w:t>
      </w:r>
      <w:r>
        <w:rPr>
          <w:rFonts w:ascii="宋体" w:hAnsi="宋体" w:eastAsia="宋体" w:cs="Arial"/>
          <w:color w:val="000000"/>
          <w:spacing w:val="-6"/>
          <w:szCs w:val="21"/>
        </w:rPr>
        <w:t>规定</w:t>
      </w:r>
      <w:r>
        <w:rPr>
          <w:rFonts w:hint="eastAsia" w:ascii="宋体" w:hAnsi="宋体" w:eastAsia="宋体" w:cs="Arial"/>
          <w:color w:val="000000"/>
          <w:spacing w:val="-6"/>
          <w:szCs w:val="21"/>
        </w:rPr>
        <w:t>的条件，并提供下列材料。</w:t>
      </w:r>
    </w:p>
    <w:p w14:paraId="1877AFCA">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 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041363AC">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 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6DD07E47">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 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w:t>
      </w:r>
    </w:p>
    <w:p w14:paraId="41FF903E">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 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0D689555">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 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税务、银行或社会保险基金管理部门出具的近六个月内任意一份缴纳职工社会保障资金的缴款凭证或缴款证明)</w:t>
      </w:r>
    </w:p>
    <w:p w14:paraId="29FC5180">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 供应商近六个月内任意一份依法纳税的缴款凭证(</w:t>
      </w:r>
      <w:r>
        <w:rPr>
          <w:rFonts w:hint="eastAsia" w:ascii="宋体" w:hAnsi="宋体" w:eastAsia="宋体" w:cs="Arial"/>
          <w:b/>
          <w:bCs/>
          <w:i/>
          <w:iCs/>
          <w:color w:val="000000"/>
          <w:spacing w:val="-6"/>
          <w:szCs w:val="21"/>
          <w:u w:val="single"/>
        </w:rPr>
        <w:t>复印件加盖供应商公章)</w:t>
      </w:r>
    </w:p>
    <w:p w14:paraId="794C4C67">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7上一年度财务报告（成立不足一年不需提供）</w:t>
      </w:r>
      <w:r>
        <w:rPr>
          <w:rFonts w:hint="eastAsia" w:ascii="宋体" w:hAnsi="宋体" w:eastAsia="宋体" w:cs="Arial"/>
          <w:b/>
          <w:bCs/>
          <w:i/>
          <w:iCs/>
          <w:color w:val="000000"/>
          <w:spacing w:val="-6"/>
          <w:szCs w:val="21"/>
          <w:u w:val="single"/>
        </w:rPr>
        <w:t>(复印件加盖供应商公章)</w:t>
      </w:r>
    </w:p>
    <w:p w14:paraId="7E778630">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8供应商参加本次政府采购活动前3年内在经营活动中没有重大违法记录的书面声明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bookmarkStart w:id="4" w:name="_Toc38985265"/>
    </w:p>
    <w:p w14:paraId="7D639D1C">
      <w:pPr>
        <w:spacing w:line="480" w:lineRule="exact"/>
        <w:ind w:firstLine="594" w:firstLineChars="300"/>
        <w:rPr>
          <w:rFonts w:hint="eastAsia" w:ascii="宋体" w:hAnsi="宋体" w:cs="宋体"/>
          <w:b/>
          <w:bCs/>
          <w:szCs w:val="21"/>
        </w:rPr>
      </w:pPr>
      <w:r>
        <w:rPr>
          <w:rFonts w:hint="eastAsia" w:ascii="宋体" w:hAnsi="宋体" w:eastAsia="宋体" w:cs="Arial"/>
          <w:i/>
          <w:iCs/>
          <w:color w:val="000000"/>
          <w:spacing w:val="-6"/>
          <w:szCs w:val="21"/>
          <w:u w:val="single"/>
        </w:rPr>
        <w:t>9 未被“信用中国”网站（www.creditchina.gov.cn）、“中国政府采购网"(www.ccgp.gov.cn)列入失信被执行人、重大税收违法案件当事人名单、政府采购严重违法失信行为记录名单（提供网页截图加盖</w:t>
      </w:r>
      <w:r>
        <w:rPr>
          <w:rFonts w:hint="eastAsia" w:ascii="宋体" w:hAnsi="宋体" w:cs="Arial"/>
          <w:i/>
          <w:iCs/>
          <w:color w:val="000000"/>
          <w:spacing w:val="-6"/>
          <w:szCs w:val="21"/>
          <w:u w:val="single"/>
          <w:lang w:eastAsia="zh-CN"/>
        </w:rPr>
        <w:t>供应商</w:t>
      </w:r>
      <w:r>
        <w:rPr>
          <w:rFonts w:hint="eastAsia" w:ascii="宋体" w:hAnsi="宋体" w:eastAsia="宋体" w:cs="Arial"/>
          <w:i/>
          <w:iCs/>
          <w:color w:val="000000"/>
          <w:spacing w:val="-6"/>
          <w:szCs w:val="21"/>
          <w:u w:val="single"/>
        </w:rPr>
        <w:t>公章）</w:t>
      </w:r>
      <w:bookmarkEnd w:id="4"/>
    </w:p>
    <w:p w14:paraId="6682D257">
      <w:pPr>
        <w:spacing w:line="480" w:lineRule="exact"/>
        <w:ind w:firstLine="422" w:firstLineChars="200"/>
        <w:rPr>
          <w:rFonts w:hint="eastAsia" w:ascii="宋体" w:hAnsi="宋体" w:cs="宋体"/>
          <w:b/>
          <w:bCs/>
          <w:szCs w:val="21"/>
        </w:rPr>
      </w:pPr>
      <w:r>
        <w:rPr>
          <w:rFonts w:hint="eastAsia" w:ascii="宋体" w:hAnsi="宋体" w:cs="宋体"/>
          <w:b/>
          <w:bCs/>
          <w:szCs w:val="21"/>
        </w:rPr>
        <w:t>注一：</w:t>
      </w:r>
      <w:r>
        <w:rPr>
          <w:rFonts w:hint="eastAsia" w:ascii="宋体" w:hAnsi="宋体"/>
          <w:b/>
          <w:bCs/>
        </w:rPr>
        <w:t>如参加本项目的供应商为新成立公司（成立时间距开标时间不到1年）则无需提供上述5、6、7三项；个体工商户、自然人或事业单位等非企业法人无法提供上述5-7项的，需提供相关证明材料。</w:t>
      </w:r>
    </w:p>
    <w:p w14:paraId="1B203A07">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cs="宋体"/>
          <w:b/>
          <w:bCs/>
          <w:szCs w:val="21"/>
        </w:rPr>
        <w:t>注二：响应文件的正本和副本中均须提供上述资格证明文件。资格证明文件须清晰可辨，若有缺失或不清晰，将导致投标被拒绝且不允许在开标后补正。</w:t>
      </w:r>
    </w:p>
    <w:p w14:paraId="30FF653B">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（二）落实政府采购政策需满足的资格要求：</w:t>
      </w:r>
      <w:r>
        <w:rPr>
          <w:rFonts w:hint="eastAsia" w:ascii="宋体" w:hAnsi="宋体" w:eastAsia="宋体" w:cs="Arial"/>
          <w:i/>
          <w:iCs/>
          <w:color w:val="000000"/>
          <w:spacing w:val="-6"/>
          <w:szCs w:val="21"/>
          <w:u w:val="single"/>
        </w:rPr>
        <w:t>无</w:t>
      </w:r>
    </w:p>
    <w:p w14:paraId="6ACAF192">
      <w:pPr>
        <w:pStyle w:val="14"/>
        <w:widowControl/>
        <w:snapToGrid w:val="0"/>
        <w:spacing w:line="360" w:lineRule="auto"/>
        <w:ind w:firstLine="396" w:firstLineChars="200"/>
        <w:jc w:val="left"/>
        <w:rPr>
          <w:rFonts w:hint="eastAsia" w:ascii="宋体" w:hAnsi="宋体" w:eastAsia="宋体" w:cs="Arial"/>
          <w:color w:val="000000"/>
          <w:spacing w:val="-6"/>
          <w:sz w:val="21"/>
          <w:szCs w:val="21"/>
          <w:highlight w:val="yellow"/>
        </w:rPr>
      </w:pPr>
      <w:r>
        <w:rPr>
          <w:rFonts w:hint="eastAsia" w:ascii="宋体" w:hAnsi="宋体" w:eastAsia="宋体" w:cs="Arial"/>
          <w:color w:val="000000"/>
          <w:spacing w:val="-6"/>
          <w:sz w:val="21"/>
          <w:szCs w:val="21"/>
        </w:rPr>
        <w:t>（三）本项目的特定资格要求：</w:t>
      </w:r>
      <w:r>
        <w:rPr>
          <w:rFonts w:hint="eastAsia" w:ascii="宋体" w:hAnsi="宋体" w:eastAsia="宋体" w:cs="Arial"/>
          <w:color w:val="000000"/>
          <w:spacing w:val="-6"/>
          <w:sz w:val="21"/>
          <w:szCs w:val="21"/>
          <w:lang w:val="en-US" w:eastAsia="zh-CN"/>
        </w:rPr>
        <w:t>无</w:t>
      </w:r>
    </w:p>
    <w:p w14:paraId="22810494">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（四）拒绝下述供应商参加本次采购活动：</w:t>
      </w:r>
    </w:p>
    <w:p w14:paraId="27AEBCB8">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（1）供应商单位负责人为同一人或者存在直接控股、管理关系的不同供应商，不得参加同一合同项下的政府采购活动。</w:t>
      </w:r>
    </w:p>
    <w:p w14:paraId="223CF510">
      <w:pPr>
        <w:widowControl/>
        <w:tabs>
          <w:tab w:val="left" w:pos="985"/>
        </w:tabs>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（2）凡为采购项目提供整体设计、规范编制或者项目管理、监理、检测等服务的供应商，不得再参加该项目的其他采购活动。</w:t>
      </w:r>
    </w:p>
    <w:p w14:paraId="206096FF">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（3）供应商被“信用中国”网站（www.creditchina.gov.cn）、“中国政府采购网"(www.ccgp.gov.cn)列入失信被执行人、重大税收违法案件当事人名单、政府采购严重违法失信行为记录名单。</w:t>
      </w:r>
    </w:p>
    <w:p w14:paraId="4DE8269C">
      <w:pPr>
        <w:widowControl/>
        <w:tabs>
          <w:tab w:val="left" w:pos="900"/>
        </w:tabs>
        <w:adjustRightInd w:val="0"/>
        <w:snapToGrid w:val="0"/>
        <w:spacing w:line="348" w:lineRule="auto"/>
        <w:ind w:firstLine="420" w:firstLineChars="0"/>
        <w:jc w:val="left"/>
        <w:rPr>
          <w:rFonts w:hint="eastAsia" w:ascii="宋体" w:hAnsi="宋体" w:eastAsia="宋体" w:cs="Arial"/>
          <w:color w:val="auto"/>
          <w:spacing w:val="-6"/>
          <w:szCs w:val="21"/>
          <w:lang w:eastAsia="zh-CN"/>
        </w:rPr>
      </w:pPr>
      <w:r>
        <w:rPr>
          <w:rFonts w:hint="eastAsia" w:ascii="宋体" w:hAnsi="宋体" w:eastAsia="宋体" w:cs="Arial"/>
          <w:color w:val="000000"/>
          <w:spacing w:val="-6"/>
          <w:szCs w:val="21"/>
        </w:rPr>
        <w:t>（四）集中考察或召开答疑会</w:t>
      </w:r>
      <w:r>
        <w:rPr>
          <w:rFonts w:hint="eastAsia" w:ascii="宋体" w:hAnsi="宋体" w:eastAsia="宋体" w:cs="Arial"/>
          <w:color w:val="auto"/>
          <w:spacing w:val="-6"/>
          <w:szCs w:val="21"/>
        </w:rPr>
        <w:t>：</w:t>
      </w:r>
      <w:r>
        <w:rPr>
          <w:rFonts w:hint="eastAsia" w:ascii="宋体" w:hAnsi="宋体" w:cs="宋体"/>
          <w:color w:val="auto"/>
          <w:szCs w:val="21"/>
          <w:lang w:val="en-US" w:eastAsia="zh-CN"/>
        </w:rPr>
        <w:t xml:space="preserve">无 </w:t>
      </w:r>
    </w:p>
    <w:p w14:paraId="2B78752F">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（五）本项目不接受联合体投标；</w:t>
      </w:r>
    </w:p>
    <w:p w14:paraId="1187591B">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（六）本项目不接受进口产品投标；</w:t>
      </w:r>
    </w:p>
    <w:p w14:paraId="717EBDEC">
      <w:pPr>
        <w:spacing w:line="360" w:lineRule="auto"/>
        <w:ind w:firstLine="415" w:firstLineChars="197"/>
        <w:rPr>
          <w:rFonts w:hint="eastAsia" w:ascii="宋体" w:hAnsi="宋体" w:eastAsia="宋体" w:cs="Times New Roman"/>
          <w:b/>
          <w:bCs/>
          <w:szCs w:val="21"/>
        </w:rPr>
      </w:pPr>
      <w:r>
        <w:rPr>
          <w:rFonts w:hint="eastAsia" w:ascii="宋体" w:hAnsi="宋体" w:eastAsia="宋体" w:cs="Times New Roman"/>
          <w:b/>
          <w:bCs/>
          <w:szCs w:val="21"/>
        </w:rPr>
        <w:t>三、</w:t>
      </w:r>
      <w:r>
        <w:rPr>
          <w:rFonts w:hint="eastAsia" w:ascii="宋体" w:hAnsi="宋体" w:cs="宋体"/>
          <w:b/>
          <w:bCs/>
          <w:szCs w:val="21"/>
          <w:lang w:val="en"/>
        </w:rPr>
        <w:t>获取</w:t>
      </w:r>
      <w:r>
        <w:rPr>
          <w:rFonts w:hint="eastAsia" w:ascii="宋体" w:hAnsi="宋体" w:cs="宋体"/>
          <w:b/>
          <w:bCs/>
          <w:szCs w:val="21"/>
        </w:rPr>
        <w:t>磋商</w:t>
      </w:r>
      <w:r>
        <w:rPr>
          <w:rFonts w:hint="eastAsia" w:ascii="宋体" w:hAnsi="宋体" w:cs="宋体"/>
          <w:b/>
          <w:bCs/>
          <w:szCs w:val="21"/>
          <w:lang w:val="en"/>
        </w:rPr>
        <w:t>文件</w:t>
      </w:r>
    </w:p>
    <w:p w14:paraId="6FB3C21B">
      <w:pPr>
        <w:spacing w:line="360" w:lineRule="auto"/>
        <w:ind w:firstLine="420" w:firstLineChars="200"/>
        <w:rPr>
          <w:rFonts w:hint="eastAsia" w:ascii="宋体" w:hAnsi="宋体" w:cs="宋体"/>
          <w:szCs w:val="21"/>
        </w:rPr>
      </w:pPr>
      <w:r>
        <w:rPr>
          <w:rFonts w:hint="eastAsia" w:ascii="宋体" w:hAnsi="宋体" w:cs="宋体"/>
          <w:szCs w:val="21"/>
        </w:rPr>
        <w:t>时间：2025</w:t>
      </w:r>
      <w:r>
        <w:rPr>
          <w:rFonts w:hint="eastAsia" w:ascii="宋体" w:hAnsi="宋体" w:cs="宋体"/>
          <w:szCs w:val="21"/>
          <w:u w:val="none"/>
        </w:rPr>
        <w:t>年1</w:t>
      </w:r>
      <w:r>
        <w:rPr>
          <w:rFonts w:hint="eastAsia" w:ascii="宋体" w:hAnsi="宋体" w:cs="宋体"/>
          <w:szCs w:val="21"/>
          <w:u w:val="none"/>
          <w:lang w:val="en-US" w:eastAsia="zh-CN"/>
        </w:rPr>
        <w:t>1</w:t>
      </w:r>
      <w:r>
        <w:rPr>
          <w:rFonts w:hint="eastAsia" w:ascii="宋体" w:hAnsi="宋体" w:cs="宋体"/>
          <w:szCs w:val="21"/>
          <w:u w:val="none"/>
        </w:rPr>
        <w:t>月</w:t>
      </w:r>
      <w:r>
        <w:rPr>
          <w:rFonts w:hint="eastAsia" w:ascii="宋体" w:hAnsi="宋体" w:cs="宋体"/>
          <w:szCs w:val="21"/>
          <w:u w:val="none"/>
          <w:lang w:val="en-US" w:eastAsia="zh-CN"/>
        </w:rPr>
        <w:t>25</w:t>
      </w:r>
      <w:r>
        <w:rPr>
          <w:rFonts w:hint="eastAsia" w:ascii="宋体" w:hAnsi="宋体" w:cs="宋体"/>
          <w:szCs w:val="21"/>
          <w:u w:val="none"/>
        </w:rPr>
        <w:t>日至2025年</w:t>
      </w:r>
      <w:r>
        <w:rPr>
          <w:rFonts w:hint="eastAsia" w:ascii="宋体" w:hAnsi="宋体" w:cs="宋体"/>
          <w:szCs w:val="21"/>
          <w:u w:val="none"/>
          <w:lang w:val="en-US" w:eastAsia="zh-CN"/>
        </w:rPr>
        <w:t>12</w:t>
      </w:r>
      <w:r>
        <w:rPr>
          <w:rFonts w:hint="eastAsia" w:ascii="宋体" w:hAnsi="宋体" w:cs="宋体"/>
          <w:szCs w:val="21"/>
          <w:u w:val="none"/>
        </w:rPr>
        <w:t>月</w:t>
      </w:r>
      <w:r>
        <w:rPr>
          <w:rFonts w:hint="eastAsia" w:ascii="宋体" w:hAnsi="宋体" w:cs="宋体"/>
          <w:szCs w:val="21"/>
          <w:u w:val="none"/>
          <w:lang w:val="en-US" w:eastAsia="zh-CN"/>
        </w:rPr>
        <w:t>2</w:t>
      </w:r>
      <w:r>
        <w:rPr>
          <w:rFonts w:hint="eastAsia" w:ascii="宋体" w:hAnsi="宋体" w:cs="宋体"/>
          <w:szCs w:val="21"/>
          <w:u w:val="none"/>
        </w:rPr>
        <w:t>日,</w:t>
      </w:r>
      <w:r>
        <w:rPr>
          <w:rFonts w:hint="eastAsia" w:ascii="宋体" w:hAnsi="宋体" w:cs="宋体"/>
          <w:szCs w:val="21"/>
        </w:rPr>
        <w:t>每天9:00至11:30，14:30至17:30（北京时间，法定节假日除外）</w:t>
      </w:r>
    </w:p>
    <w:p w14:paraId="413AF5B8">
      <w:pPr>
        <w:spacing w:line="360" w:lineRule="auto"/>
        <w:ind w:firstLine="396" w:firstLineChars="200"/>
        <w:rPr>
          <w:rFonts w:hint="eastAsia" w:ascii="宋体" w:hAnsi="宋体" w:eastAsia="宋体" w:cs="Arial"/>
          <w:color w:val="000000"/>
          <w:spacing w:val="-6"/>
          <w:szCs w:val="21"/>
        </w:rPr>
      </w:pPr>
      <w:r>
        <w:rPr>
          <w:rFonts w:hint="eastAsia" w:ascii="宋体" w:hAnsi="宋体" w:eastAsia="宋体" w:cs="Arial"/>
          <w:color w:val="000000"/>
          <w:spacing w:val="-6"/>
          <w:szCs w:val="21"/>
        </w:rPr>
        <w:t>地点：邮箱下载</w:t>
      </w:r>
    </w:p>
    <w:p w14:paraId="066DD73C">
      <w:pPr>
        <w:spacing w:line="360" w:lineRule="auto"/>
        <w:ind w:firstLine="396" w:firstLineChars="200"/>
        <w:rPr>
          <w:rFonts w:hint="eastAsia" w:ascii="宋体" w:hAnsi="宋体" w:eastAsia="宋体" w:cs="Arial"/>
          <w:color w:val="000000"/>
          <w:spacing w:val="-6"/>
          <w:szCs w:val="21"/>
        </w:rPr>
      </w:pPr>
      <w:r>
        <w:rPr>
          <w:rFonts w:hint="eastAsia" w:ascii="宋体" w:hAnsi="宋体" w:eastAsia="宋体" w:cs="Arial"/>
          <w:color w:val="000000"/>
          <w:spacing w:val="-6"/>
          <w:szCs w:val="21"/>
        </w:rPr>
        <w:t>方式：供应商如确定参加投标，请如实填写《供应商参加投标确认函》，填写打印后加盖公章，扫描发送至邮箱：2282617126@qq.com（邮件标题为</w:t>
      </w:r>
      <w:r>
        <w:rPr>
          <w:rFonts w:hint="eastAsia" w:ascii="宋体" w:hAnsi="宋体" w:cs="Arial"/>
          <w:color w:val="000000"/>
          <w:spacing w:val="-6"/>
          <w:szCs w:val="21"/>
          <w:lang w:eastAsia="zh-CN"/>
        </w:rPr>
        <w:t>供应商</w:t>
      </w:r>
      <w:r>
        <w:rPr>
          <w:rFonts w:hint="eastAsia" w:ascii="宋体" w:hAnsi="宋体" w:eastAsia="宋体" w:cs="Arial"/>
          <w:color w:val="000000"/>
          <w:spacing w:val="-6"/>
          <w:szCs w:val="21"/>
        </w:rPr>
        <w:t>公司全称+所投项目简称，联系电话：13665205389），代理机构将以邮件回复确认，如未收到回复邮件须电话联系代理机构以确认是否收到。投标当日交付《供应商参加投标确认函》原件，如供应商未按上述要求去做，将自行承担所产生的风险。有关本次招标的事项若存在变动或修改，敬请及时关注“南京邮电大学采购招标管理办公室和通达学院采购招标信息网”发布的信息或更正公告。</w:t>
      </w:r>
    </w:p>
    <w:p w14:paraId="7C4CE842">
      <w:pPr>
        <w:spacing w:line="360" w:lineRule="auto"/>
        <w:ind w:firstLine="420" w:firstLineChars="200"/>
        <w:rPr>
          <w:rFonts w:hint="eastAsia" w:ascii="宋体" w:hAnsi="宋体" w:eastAsia="宋体" w:cs="Times New Roman"/>
          <w:b/>
          <w:bCs/>
          <w:color w:val="000000"/>
          <w:szCs w:val="21"/>
        </w:rPr>
      </w:pPr>
      <w:r>
        <w:rPr>
          <w:rFonts w:hint="eastAsia" w:ascii="宋体" w:hAnsi="宋体" w:cs="宋体"/>
          <w:szCs w:val="21"/>
        </w:rPr>
        <w:t>售价：300元，投标时缴纳，售后不退。</w:t>
      </w:r>
    </w:p>
    <w:p w14:paraId="729CA3B3">
      <w:pPr>
        <w:spacing w:after="120" w:afterLines="50" w:line="360" w:lineRule="auto"/>
        <w:ind w:firstLine="514" w:firstLineChars="244"/>
        <w:rPr>
          <w:rFonts w:hint="eastAsia" w:ascii="宋体" w:hAnsi="宋体" w:eastAsia="宋体" w:cs="Times New Roman"/>
          <w:color w:val="000000"/>
          <w:szCs w:val="21"/>
        </w:rPr>
      </w:pPr>
      <w:r>
        <w:rPr>
          <w:rFonts w:hint="eastAsia" w:ascii="宋体" w:hAnsi="宋体" w:eastAsia="宋体" w:cs="Times New Roman"/>
          <w:b/>
          <w:bCs/>
          <w:color w:val="000000"/>
          <w:szCs w:val="21"/>
        </w:rPr>
        <w:t>四、磋商响应文件接收截止时间和地点</w:t>
      </w:r>
    </w:p>
    <w:p w14:paraId="012E34CC">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（一）响应文件接收开始时间：2025年</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lang w:val="en"/>
        </w:rPr>
        <w:t>月</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14</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
        </w:rPr>
        <w:t xml:space="preserve">0 </w:t>
      </w:r>
    </w:p>
    <w:p w14:paraId="235FE0CC">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（二）响应文件接收截止时间：2025年</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月</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0</w:t>
      </w:r>
      <w:r>
        <w:rPr>
          <w:rFonts w:hint="eastAsia" w:ascii="宋体" w:hAnsi="宋体" w:eastAsia="宋体" w:cs="宋体"/>
          <w:color w:val="000000"/>
          <w:kern w:val="0"/>
          <w:szCs w:val="21"/>
          <w:lang w:val="en"/>
        </w:rPr>
        <w:t>0，逾期送达将作无效响应处理。</w:t>
      </w:r>
    </w:p>
    <w:p w14:paraId="2CFBA24F">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（三）响应文件接收地点：江苏唯诚建设咨询有限公司</w:t>
      </w:r>
      <w:r>
        <w:rPr>
          <w:rFonts w:hint="eastAsia" w:ascii="宋体" w:hAnsi="宋体" w:cs="宋体"/>
          <w:color w:val="000000"/>
          <w:kern w:val="0"/>
          <w:szCs w:val="21"/>
          <w:lang w:val="en" w:eastAsia="zh-CN"/>
        </w:rPr>
        <w:t>1919</w:t>
      </w:r>
      <w:r>
        <w:rPr>
          <w:rFonts w:hint="eastAsia" w:ascii="宋体" w:hAnsi="宋体" w:eastAsia="宋体" w:cs="宋体"/>
          <w:color w:val="000000"/>
          <w:kern w:val="0"/>
          <w:szCs w:val="21"/>
          <w:lang w:val="en"/>
        </w:rPr>
        <w:t>开标室（扬州维扬路106-1号，扬州商城国际大厦19F）。</w:t>
      </w:r>
    </w:p>
    <w:p w14:paraId="11EC06EA">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（四）磋商响应文件接收人：曾远洋</w:t>
      </w:r>
    </w:p>
    <w:p w14:paraId="7EF5DA19">
      <w:pPr>
        <w:spacing w:after="120" w:afterLines="50" w:line="360" w:lineRule="auto"/>
        <w:ind w:firstLine="517" w:firstLineChars="245"/>
        <w:rPr>
          <w:rFonts w:hint="eastAsia" w:ascii="宋体" w:hAnsi="宋体" w:eastAsia="宋体" w:cs="Times New Roman"/>
          <w:b/>
          <w:bCs/>
          <w:color w:val="000000"/>
          <w:szCs w:val="21"/>
        </w:rPr>
      </w:pPr>
      <w:r>
        <w:rPr>
          <w:rFonts w:hint="eastAsia" w:ascii="宋体" w:hAnsi="宋体" w:eastAsia="宋体" w:cs="Times New Roman"/>
          <w:b/>
          <w:bCs/>
          <w:color w:val="000000"/>
          <w:szCs w:val="21"/>
        </w:rPr>
        <w:t>五、磋商响应文件开启信息</w:t>
      </w:r>
    </w:p>
    <w:p w14:paraId="255042FF">
      <w:pPr>
        <w:widowControl/>
        <w:snapToGrid w:val="0"/>
        <w:spacing w:line="360" w:lineRule="auto"/>
        <w:ind w:firstLine="315"/>
        <w:jc w:val="left"/>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（一）响应文件开启时间：2025年</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月</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0</w:t>
      </w:r>
      <w:r>
        <w:rPr>
          <w:rFonts w:hint="eastAsia" w:ascii="宋体" w:hAnsi="宋体" w:eastAsia="宋体" w:cs="宋体"/>
          <w:color w:val="000000"/>
          <w:kern w:val="0"/>
          <w:szCs w:val="21"/>
          <w:lang w:val="en"/>
        </w:rPr>
        <w:t>0</w:t>
      </w:r>
    </w:p>
    <w:p w14:paraId="269F3C02">
      <w:pPr>
        <w:widowControl/>
        <w:snapToGrid w:val="0"/>
        <w:spacing w:line="360" w:lineRule="auto"/>
        <w:ind w:firstLine="315"/>
        <w:jc w:val="left"/>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（二）响应文件开启地点：</w:t>
      </w:r>
      <w:r>
        <w:rPr>
          <w:rFonts w:hint="eastAsia" w:ascii="宋体" w:hAnsi="宋体" w:eastAsia="宋体" w:cs="Times New Roman"/>
          <w:szCs w:val="21"/>
        </w:rPr>
        <w:t>江苏唯诚建设咨询有限公司</w:t>
      </w:r>
      <w:r>
        <w:rPr>
          <w:rFonts w:hint="eastAsia" w:ascii="宋体" w:hAnsi="宋体" w:cs="Times New Roman"/>
          <w:szCs w:val="21"/>
          <w:lang w:eastAsia="zh-CN"/>
        </w:rPr>
        <w:t>1919</w:t>
      </w:r>
      <w:r>
        <w:rPr>
          <w:rFonts w:hint="eastAsia" w:ascii="宋体" w:hAnsi="宋体" w:eastAsia="宋体" w:cs="Times New Roman"/>
          <w:szCs w:val="21"/>
        </w:rPr>
        <w:t>开标室（扬州维扬路106-1号，扬州商城国际大厦19F）</w:t>
      </w:r>
    </w:p>
    <w:p w14:paraId="179C76FD">
      <w:pPr>
        <w:widowControl/>
        <w:spacing w:after="120" w:line="360" w:lineRule="auto"/>
        <w:ind w:firstLine="510"/>
        <w:jc w:val="left"/>
        <w:rPr>
          <w:rFonts w:hint="eastAsia" w:ascii="微软雅黑" w:hAnsi="微软雅黑" w:eastAsia="微软雅黑" w:cs="宋体"/>
          <w:color w:val="333333"/>
          <w:kern w:val="0"/>
          <w:szCs w:val="21"/>
          <w:lang w:val="en"/>
        </w:rPr>
      </w:pPr>
      <w:r>
        <w:rPr>
          <w:rFonts w:hint="eastAsia" w:ascii="宋体" w:hAnsi="宋体" w:eastAsia="宋体" w:cs="宋体"/>
          <w:b/>
          <w:bCs/>
          <w:color w:val="000000"/>
          <w:kern w:val="0"/>
          <w:szCs w:val="21"/>
          <w:lang w:val="en"/>
        </w:rPr>
        <w:t>六、本次磋商采购联系事项</w:t>
      </w:r>
    </w:p>
    <w:p w14:paraId="13470B3E">
      <w:pPr>
        <w:spacing w:line="360" w:lineRule="auto"/>
        <w:ind w:firstLine="420" w:firstLineChars="200"/>
        <w:rPr>
          <w:rFonts w:hint="eastAsia" w:ascii="宋体" w:hAnsi="宋体" w:cs="宋体"/>
          <w:szCs w:val="21"/>
        </w:rPr>
      </w:pPr>
      <w:r>
        <w:rPr>
          <w:rFonts w:hint="eastAsia" w:ascii="宋体" w:hAnsi="宋体" w:cs="宋体"/>
          <w:szCs w:val="21"/>
        </w:rPr>
        <w:t>1.采购人信息</w:t>
      </w:r>
    </w:p>
    <w:p w14:paraId="4A457668">
      <w:pPr>
        <w:spacing w:line="360" w:lineRule="auto"/>
        <w:ind w:firstLine="420" w:firstLineChars="200"/>
        <w:rPr>
          <w:rFonts w:hint="eastAsia" w:ascii="宋体" w:hAnsi="宋体" w:cs="宋体"/>
          <w:szCs w:val="21"/>
        </w:rPr>
      </w:pPr>
      <w:r>
        <w:rPr>
          <w:rFonts w:hint="eastAsia" w:ascii="宋体" w:hAnsi="宋体" w:cs="宋体"/>
          <w:szCs w:val="21"/>
        </w:rPr>
        <w:t xml:space="preserve">名 称：南京邮电大学通达学院　　 </w:t>
      </w:r>
    </w:p>
    <w:p w14:paraId="5E7168A7">
      <w:pPr>
        <w:spacing w:line="360" w:lineRule="auto"/>
        <w:ind w:firstLine="420" w:firstLineChars="200"/>
        <w:rPr>
          <w:rFonts w:hint="eastAsia" w:ascii="宋体" w:hAnsi="宋体" w:cs="宋体"/>
          <w:szCs w:val="21"/>
        </w:rPr>
      </w:pPr>
      <w:r>
        <w:rPr>
          <w:rFonts w:hint="eastAsia" w:ascii="宋体" w:hAnsi="宋体" w:cs="宋体"/>
          <w:szCs w:val="21"/>
        </w:rPr>
        <w:t>地址：扬州市润扬南路33号</w:t>
      </w:r>
    </w:p>
    <w:p w14:paraId="72AF6BB8">
      <w:pPr>
        <w:spacing w:line="360" w:lineRule="auto"/>
        <w:ind w:firstLine="420" w:firstLineChars="200"/>
        <w:rPr>
          <w:rFonts w:hint="eastAsia" w:ascii="宋体" w:hAnsi="宋体" w:cs="宋体"/>
          <w:szCs w:val="21"/>
        </w:rPr>
      </w:pPr>
      <w:bookmarkStart w:id="5" w:name="_Toc28359086"/>
      <w:bookmarkStart w:id="6" w:name="_Toc28359009"/>
      <w:r>
        <w:rPr>
          <w:rFonts w:hint="eastAsia" w:ascii="宋体" w:hAnsi="宋体" w:cs="宋体"/>
          <w:szCs w:val="21"/>
        </w:rPr>
        <w:t>联系人：</w:t>
      </w:r>
      <w:r>
        <w:rPr>
          <w:rFonts w:hint="eastAsia" w:ascii="宋体" w:hAnsi="宋体"/>
          <w:szCs w:val="21"/>
          <w:lang w:val="en"/>
        </w:rPr>
        <w:t>季海燕</w:t>
      </w:r>
      <w:r>
        <w:rPr>
          <w:rFonts w:hint="eastAsia" w:ascii="宋体" w:hAnsi="宋体" w:cs="宋体"/>
          <w:szCs w:val="21"/>
        </w:rPr>
        <w:t xml:space="preserve">           </w:t>
      </w:r>
    </w:p>
    <w:p w14:paraId="1C264A26">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0514-89716083</w:t>
      </w:r>
    </w:p>
    <w:p w14:paraId="15D711AB">
      <w:pPr>
        <w:spacing w:line="360" w:lineRule="auto"/>
        <w:ind w:firstLine="420" w:firstLineChars="200"/>
        <w:rPr>
          <w:rFonts w:hint="eastAsia" w:ascii="宋体" w:hAnsi="宋体" w:cs="宋体"/>
          <w:szCs w:val="21"/>
        </w:rPr>
      </w:pPr>
      <w:r>
        <w:rPr>
          <w:rFonts w:hint="eastAsia" w:ascii="宋体" w:hAnsi="宋体" w:cs="宋体"/>
          <w:szCs w:val="21"/>
        </w:rPr>
        <w:t>2.采购代理机构信息</w:t>
      </w:r>
      <w:bookmarkEnd w:id="5"/>
      <w:bookmarkEnd w:id="6"/>
    </w:p>
    <w:p w14:paraId="6573CAE7">
      <w:pPr>
        <w:spacing w:line="360" w:lineRule="auto"/>
        <w:ind w:firstLine="420" w:firstLineChars="200"/>
        <w:rPr>
          <w:rFonts w:hint="eastAsia" w:ascii="宋体" w:hAnsi="宋体" w:cs="宋体"/>
          <w:szCs w:val="21"/>
        </w:rPr>
      </w:pPr>
      <w:r>
        <w:rPr>
          <w:rFonts w:hint="eastAsia" w:ascii="宋体" w:hAnsi="宋体" w:cs="宋体"/>
          <w:szCs w:val="21"/>
        </w:rPr>
        <w:t xml:space="preserve">名    称：江苏唯诚建设咨询有限公司                   </w:t>
      </w:r>
    </w:p>
    <w:p w14:paraId="1DF40384">
      <w:pPr>
        <w:spacing w:line="360" w:lineRule="auto"/>
        <w:ind w:firstLine="420" w:firstLineChars="200"/>
        <w:rPr>
          <w:rFonts w:hint="eastAsia" w:ascii="宋体" w:hAnsi="宋体" w:cs="宋体"/>
          <w:szCs w:val="21"/>
        </w:rPr>
      </w:pPr>
      <w:r>
        <w:rPr>
          <w:rFonts w:hint="eastAsia" w:ascii="宋体" w:hAnsi="宋体" w:cs="宋体"/>
          <w:szCs w:val="21"/>
        </w:rPr>
        <w:t xml:space="preserve">地　  址：扬州维扬路106-1号，扬州商城国际大厦19F　　　　　　　　　　　  </w:t>
      </w:r>
    </w:p>
    <w:p w14:paraId="5D5EF797">
      <w:pPr>
        <w:spacing w:line="360" w:lineRule="auto"/>
        <w:ind w:firstLine="420" w:firstLineChars="200"/>
        <w:rPr>
          <w:rFonts w:hint="eastAsia" w:ascii="宋体" w:hAnsi="宋体" w:cs="宋体"/>
          <w:szCs w:val="21"/>
        </w:rPr>
      </w:pPr>
      <w:r>
        <w:rPr>
          <w:rFonts w:hint="eastAsia" w:ascii="宋体" w:hAnsi="宋体" w:cs="宋体"/>
          <w:szCs w:val="21"/>
        </w:rPr>
        <w:t xml:space="preserve">联系人：曾远洋 13665205389　　　　　　         　　　  </w:t>
      </w:r>
    </w:p>
    <w:p w14:paraId="6EC5AAAE">
      <w:pPr>
        <w:adjustRightInd w:val="0"/>
        <w:snapToGrid w:val="0"/>
        <w:spacing w:line="360" w:lineRule="auto"/>
        <w:ind w:firstLine="422" w:firstLineChars="200"/>
        <w:rPr>
          <w:rFonts w:hint="eastAsia" w:ascii="宋体" w:hAnsi="宋体" w:eastAsia="宋体" w:cs="Times New Roman"/>
          <w:color w:val="000000"/>
          <w:szCs w:val="21"/>
        </w:rPr>
      </w:pPr>
      <w:r>
        <w:rPr>
          <w:rFonts w:hint="eastAsia" w:ascii="宋体" w:hAnsi="宋体" w:eastAsia="宋体" w:cs="Times New Roman"/>
          <w:b/>
          <w:bCs/>
          <w:color w:val="000000"/>
          <w:szCs w:val="21"/>
        </w:rPr>
        <w:t>七、本次磋商响应文件制作份数要求</w:t>
      </w:r>
      <w:r>
        <w:rPr>
          <w:rFonts w:hint="eastAsia" w:ascii="宋体" w:hAnsi="宋体"/>
          <w:szCs w:val="21"/>
        </w:rPr>
        <w:t>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w:t>
      </w:r>
      <w:r>
        <w:rPr>
          <w:rFonts w:hint="eastAsia" w:ascii="宋体" w:hAnsi="宋体"/>
          <w:bCs/>
          <w:szCs w:val="21"/>
          <w:lang w:eastAsia="zh-CN"/>
        </w:rPr>
        <w:t>供应商</w:t>
      </w:r>
      <w:r>
        <w:rPr>
          <w:rFonts w:hint="eastAsia" w:ascii="宋体" w:hAnsi="宋体"/>
          <w:bCs/>
          <w:szCs w:val="21"/>
        </w:rPr>
        <w:t>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03C0E2DF">
      <w:pPr>
        <w:spacing w:line="360" w:lineRule="auto"/>
        <w:ind w:firstLine="422" w:firstLineChars="200"/>
        <w:rPr>
          <w:rFonts w:hint="eastAsia" w:ascii="宋体" w:hAnsi="宋体" w:eastAsia="宋体" w:cs="Times New Roman"/>
          <w:b/>
          <w:bCs/>
          <w:color w:val="000000"/>
          <w:szCs w:val="21"/>
        </w:rPr>
      </w:pPr>
      <w:r>
        <w:rPr>
          <w:rFonts w:hint="eastAsia" w:ascii="宋体" w:hAnsi="宋体" w:eastAsia="宋体" w:cs="Times New Roman"/>
          <w:b/>
          <w:bCs/>
          <w:color w:val="000000"/>
          <w:szCs w:val="21"/>
        </w:rPr>
        <w:t>八、本次磋商保证金要求：不收取磋商保证金</w:t>
      </w:r>
      <w:bookmarkStart w:id="144" w:name="_GoBack"/>
      <w:bookmarkEnd w:id="144"/>
    </w:p>
    <w:p w14:paraId="6AB0A78B">
      <w:pPr>
        <w:numPr>
          <w:ilvl w:val="0"/>
          <w:numId w:val="4"/>
        </w:numPr>
        <w:tabs>
          <w:tab w:val="left" w:pos="900"/>
        </w:tabs>
        <w:spacing w:line="360" w:lineRule="auto"/>
        <w:ind w:firstLine="422" w:firstLineChars="200"/>
        <w:jc w:val="left"/>
        <w:rPr>
          <w:rFonts w:hint="eastAsia" w:ascii="宋体" w:hAnsi="宋体" w:eastAsia="宋体" w:cs="Times New Roman"/>
          <w:b/>
          <w:bCs/>
          <w:color w:val="000000"/>
          <w:szCs w:val="21"/>
        </w:rPr>
      </w:pPr>
      <w:r>
        <w:rPr>
          <w:rFonts w:hint="eastAsia" w:ascii="宋体" w:hAnsi="宋体" w:eastAsia="宋体" w:cs="Times New Roman"/>
          <w:b/>
          <w:bCs/>
          <w:color w:val="000000"/>
          <w:szCs w:val="21"/>
        </w:rPr>
        <w:t>其他说明事项：</w:t>
      </w:r>
    </w:p>
    <w:p w14:paraId="6445D5ED">
      <w:pPr>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（一）</w:t>
      </w:r>
      <w:r>
        <w:rPr>
          <w:rFonts w:hint="eastAsia" w:ascii="宋体" w:hAnsi="宋体" w:eastAsia="宋体" w:cs="Times New Roman"/>
          <w:i/>
          <w:iCs/>
          <w:color w:val="000000"/>
          <w:szCs w:val="21"/>
          <w:u w:val="single"/>
        </w:rPr>
        <w:t>本磋商文件中斜体下划线部分为实质性响应文件，为必须遵守的条件，如不满足将作无效响应文件处理</w:t>
      </w:r>
      <w:r>
        <w:rPr>
          <w:rFonts w:hint="eastAsia" w:ascii="宋体" w:hAnsi="宋体" w:eastAsia="宋体" w:cs="Times New Roman"/>
          <w:color w:val="000000"/>
          <w:szCs w:val="21"/>
        </w:rPr>
        <w:t>。</w:t>
      </w:r>
    </w:p>
    <w:p w14:paraId="2F7059FC">
      <w:pPr>
        <w:spacing w:line="360" w:lineRule="auto"/>
        <w:ind w:firstLine="420" w:firstLineChars="200"/>
        <w:jc w:val="right"/>
        <w:rPr>
          <w:rFonts w:hint="eastAsia" w:ascii="宋体" w:hAnsi="宋体" w:eastAsia="宋体" w:cs="Times New Roman"/>
          <w:szCs w:val="21"/>
        </w:rPr>
      </w:pPr>
    </w:p>
    <w:p w14:paraId="76C8E28E">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江苏唯诚建设咨询有限公司</w:t>
      </w:r>
    </w:p>
    <w:p w14:paraId="600A67FC">
      <w:pPr>
        <w:wordWrap w:val="0"/>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2025年1</w:t>
      </w:r>
      <w:r>
        <w:rPr>
          <w:rFonts w:hint="eastAsia" w:ascii="宋体" w:hAnsi="宋体" w:cs="Times New Roman"/>
          <w:szCs w:val="21"/>
          <w:lang w:val="en-US" w:eastAsia="zh-CN"/>
        </w:rPr>
        <w:t>1</w:t>
      </w:r>
      <w:r>
        <w:rPr>
          <w:rFonts w:hint="eastAsia" w:ascii="宋体" w:hAnsi="宋体" w:eastAsia="宋体" w:cs="Times New Roman"/>
          <w:szCs w:val="21"/>
        </w:rPr>
        <w:t>月</w:t>
      </w:r>
      <w:r>
        <w:rPr>
          <w:rFonts w:hint="eastAsia" w:ascii="宋体" w:hAnsi="宋体" w:cs="Times New Roman"/>
          <w:szCs w:val="21"/>
          <w:lang w:val="en-US" w:eastAsia="zh-CN"/>
        </w:rPr>
        <w:t>25</w:t>
      </w:r>
      <w:r>
        <w:rPr>
          <w:rFonts w:hint="eastAsia" w:ascii="宋体" w:hAnsi="宋体" w:eastAsia="宋体" w:cs="Times New Roman"/>
          <w:szCs w:val="21"/>
        </w:rPr>
        <w:t>日</w:t>
      </w:r>
    </w:p>
    <w:bookmarkEnd w:id="2"/>
    <w:bookmarkEnd w:id="3"/>
    <w:p w14:paraId="1985AE8C">
      <w:pPr>
        <w:spacing w:line="360" w:lineRule="auto"/>
        <w:ind w:firstLine="720" w:firstLineChars="200"/>
        <w:jc w:val="right"/>
        <w:rPr>
          <w:rFonts w:hint="eastAsia" w:ascii="宋体" w:hAnsi="宋体" w:eastAsia="宋体" w:cs="Arial"/>
          <w:bCs/>
          <w:sz w:val="36"/>
          <w:szCs w:val="36"/>
        </w:rPr>
        <w:sectPr>
          <w:headerReference r:id="rId4" w:type="first"/>
          <w:footerReference r:id="rId6" w:type="first"/>
          <w:headerReference r:id="rId3" w:type="default"/>
          <w:footerReference r:id="rId5" w:type="default"/>
          <w:pgSz w:w="11900" w:h="16838"/>
          <w:pgMar w:top="844" w:right="1440" w:bottom="456" w:left="1440" w:header="0" w:footer="0" w:gutter="0"/>
          <w:pgNumType w:start="1"/>
          <w:cols w:space="720" w:num="1"/>
        </w:sectPr>
      </w:pPr>
      <w:bookmarkStart w:id="7" w:name="_Hlt26668836"/>
      <w:bookmarkEnd w:id="7"/>
      <w:bookmarkStart w:id="8" w:name="_Hlt26954907"/>
      <w:bookmarkEnd w:id="8"/>
      <w:bookmarkStart w:id="9" w:name="_Hlt26670330"/>
      <w:bookmarkEnd w:id="9"/>
      <w:bookmarkStart w:id="10" w:name="_Hlt26954824"/>
      <w:bookmarkEnd w:id="10"/>
      <w:bookmarkStart w:id="11" w:name="_Hlt26954810"/>
      <w:bookmarkEnd w:id="11"/>
      <w:bookmarkStart w:id="12" w:name="_Toc14577347"/>
      <w:bookmarkStart w:id="13" w:name="_Toc513029209"/>
      <w:bookmarkStart w:id="14" w:name="_Toc61149549"/>
    </w:p>
    <w:p w14:paraId="47E14255">
      <w:pPr>
        <w:keepNext/>
        <w:keepLines/>
        <w:spacing w:before="260" w:after="260" w:line="416" w:lineRule="auto"/>
        <w:jc w:val="center"/>
        <w:outlineLvl w:val="1"/>
        <w:rPr>
          <w:rFonts w:hint="eastAsia" w:ascii="宋体" w:hAnsi="宋体" w:eastAsia="宋体" w:cs="Arial"/>
          <w:b/>
          <w:bCs/>
          <w:sz w:val="15"/>
          <w:szCs w:val="15"/>
        </w:rPr>
      </w:pPr>
      <w:r>
        <w:rPr>
          <w:rFonts w:hint="eastAsia" w:ascii="宋体" w:hAnsi="宋体" w:eastAsia="宋体" w:cs="Arial"/>
          <w:b/>
          <w:bCs/>
          <w:sz w:val="36"/>
          <w:szCs w:val="36"/>
        </w:rPr>
        <w:t>第二章  磋商须知</w:t>
      </w:r>
    </w:p>
    <w:p w14:paraId="042BF998">
      <w:pPr>
        <w:spacing w:after="143" w:afterLines="50" w:line="360" w:lineRule="auto"/>
        <w:jc w:val="center"/>
        <w:rPr>
          <w:rFonts w:hint="eastAsia" w:ascii="宋体" w:hAnsi="宋体" w:eastAsia="宋体" w:cs="Times New Roman"/>
          <w:b/>
          <w:bCs/>
          <w:szCs w:val="21"/>
        </w:rPr>
      </w:pPr>
      <w:r>
        <w:rPr>
          <w:rFonts w:hint="eastAsia" w:ascii="宋体" w:hAnsi="宋体" w:eastAsia="宋体" w:cs="Times New Roman"/>
          <w:bCs/>
          <w:szCs w:val="21"/>
        </w:rPr>
        <w:t>（参加竞争性磋商的供应商以下简称“磋商供应商”）</w:t>
      </w:r>
    </w:p>
    <w:bookmarkEnd w:id="12"/>
    <w:bookmarkEnd w:id="13"/>
    <w:bookmarkEnd w:id="14"/>
    <w:p w14:paraId="5ECBCFE5">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一、总则</w:t>
      </w:r>
    </w:p>
    <w:p w14:paraId="0FB7227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1、适用范围</w:t>
      </w:r>
    </w:p>
    <w:p w14:paraId="0FE28E7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本竞争性磋商文件（以下简称磋商文件）仅适用此项目。</w:t>
      </w:r>
    </w:p>
    <w:p w14:paraId="0ED08FF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本项目按照项目分包，分别确定各分包成交供应商。</w:t>
      </w:r>
    </w:p>
    <w:p w14:paraId="47003AB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2、项目采购方式</w:t>
      </w:r>
    </w:p>
    <w:p w14:paraId="392A3E8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本次采购采取竞争性磋商的方式。</w:t>
      </w:r>
    </w:p>
    <w:p w14:paraId="1A7A382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3、合格的磋商供应商</w:t>
      </w:r>
    </w:p>
    <w:p w14:paraId="300089D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3.1满足本磋商文件“竞争性磋商采购邀请”中合格磋商供应商资格要求的规定。</w:t>
      </w:r>
    </w:p>
    <w:p w14:paraId="25F7FB1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 满足本磋商文件实质性要求和条件的规定。</w:t>
      </w:r>
    </w:p>
    <w:p w14:paraId="11F8587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4、参加磋商费用</w:t>
      </w:r>
    </w:p>
    <w:p w14:paraId="3ADF0B3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4.1参加磋商供应商应自行承担所有与参加磋商有关的费用。不论最终的成交结果如何，江苏唯诚建设咨询有限公司（以下简称代理机构） 在任何情况下均无义务和责任承担这些费用。</w:t>
      </w:r>
    </w:p>
    <w:p w14:paraId="3E107B22">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4.2</w:t>
      </w:r>
      <w:r>
        <w:rPr>
          <w:rFonts w:hint="eastAsia" w:ascii="宋体" w:hAnsi="宋体" w:cs="宋体"/>
          <w:szCs w:val="21"/>
        </w:rPr>
        <w:t>本次采购由成交人在领取成交通知书前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1804726E">
      <w:pPr>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cs="宋体"/>
          <w:szCs w:val="21"/>
        </w:rPr>
        <w:t>代理服务费以</w:t>
      </w:r>
      <w:r>
        <w:rPr>
          <w:rFonts w:hint="eastAsia" w:ascii="宋体" w:hAnsi="宋体" w:eastAsia="宋体" w:cs="Times New Roman"/>
          <w:color w:val="000000"/>
          <w:szCs w:val="21"/>
        </w:rPr>
        <w:t>人民币支付；</w:t>
      </w:r>
    </w:p>
    <w:p w14:paraId="418AB407">
      <w:pPr>
        <w:spacing w:line="360" w:lineRule="auto"/>
        <w:ind w:firstLine="420" w:firstLineChars="200"/>
        <w:jc w:val="left"/>
        <w:rPr>
          <w:rFonts w:hint="eastAsia" w:ascii="宋体" w:hAnsi="宋体" w:eastAsia="宋体" w:cs="Times New Roman"/>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）支付方式：一次性以电汇、转账、支票、现金等形式支付；</w:t>
      </w:r>
    </w:p>
    <w:p w14:paraId="19E14F73">
      <w:pPr>
        <w:spacing w:line="360" w:lineRule="auto"/>
        <w:ind w:firstLine="420" w:firstLineChars="200"/>
        <w:jc w:val="left"/>
        <w:rPr>
          <w:rFonts w:ascii="Times New Roman" w:hAnsi="Times New Roman" w:eastAsia="楷体_GB2312" w:cs="Times New Roman"/>
          <w:szCs w:val="24"/>
        </w:rPr>
      </w:pPr>
      <w:bookmarkStart w:id="15" w:name="page7"/>
      <w:bookmarkEnd w:id="15"/>
      <w:r>
        <w:rPr>
          <w:rFonts w:hint="eastAsia" w:ascii="宋体" w:hAnsi="宋体" w:eastAsia="宋体" w:cs="宋体"/>
          <w:szCs w:val="21"/>
        </w:rPr>
        <w:t>（3）</w:t>
      </w:r>
      <w:r>
        <w:rPr>
          <w:rFonts w:ascii="宋体" w:hAnsi="宋体" w:eastAsia="宋体" w:cs="宋体"/>
          <w:szCs w:val="21"/>
        </w:rPr>
        <w:t>费</w:t>
      </w:r>
      <w:r>
        <w:rPr>
          <w:rFonts w:hint="eastAsia" w:ascii="宋体" w:hAnsi="宋体" w:eastAsia="宋体" w:cs="宋体"/>
          <w:szCs w:val="21"/>
        </w:rPr>
        <w:t>用</w:t>
      </w:r>
      <w:r>
        <w:rPr>
          <w:rFonts w:ascii="宋体" w:hAnsi="宋体" w:eastAsia="宋体" w:cs="宋体"/>
          <w:szCs w:val="21"/>
        </w:rPr>
        <w:t>不在报价中单列，包含在总价中</w:t>
      </w:r>
      <w:r>
        <w:rPr>
          <w:rFonts w:hint="eastAsia" w:ascii="宋体" w:hAnsi="宋体" w:eastAsia="宋体" w:cs="宋体"/>
          <w:szCs w:val="21"/>
        </w:rPr>
        <w:t>；</w:t>
      </w:r>
    </w:p>
    <w:p w14:paraId="12193C1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招标代理服务费</w:t>
      </w:r>
      <w:r>
        <w:rPr>
          <w:rFonts w:ascii="宋体" w:hAnsi="宋体" w:eastAsia="宋体" w:cs="宋体"/>
          <w:szCs w:val="21"/>
        </w:rPr>
        <w:t>开户银行：</w:t>
      </w:r>
      <w:r>
        <w:rPr>
          <w:rFonts w:hint="eastAsia" w:ascii="宋体" w:hAnsi="宋体" w:eastAsia="宋体" w:cs="宋体"/>
          <w:szCs w:val="21"/>
        </w:rPr>
        <w:t>江苏银行扬州广陵支行</w:t>
      </w:r>
    </w:p>
    <w:p w14:paraId="49F684F8">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w:t>
      </w:r>
      <w:r>
        <w:rPr>
          <w:rFonts w:hint="eastAsia" w:ascii="宋体" w:hAnsi="宋体" w:eastAsia="宋体" w:cs="宋体"/>
          <w:szCs w:val="21"/>
        </w:rPr>
        <w:t xml:space="preserve">            </w:t>
      </w:r>
      <w:r>
        <w:rPr>
          <w:rFonts w:ascii="宋体" w:hAnsi="宋体" w:eastAsia="宋体" w:cs="宋体"/>
          <w:szCs w:val="21"/>
        </w:rPr>
        <w:t>开户名称：江苏唯诚建设咨询有限公司</w:t>
      </w:r>
    </w:p>
    <w:p w14:paraId="4982FCD9">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w:t>
      </w:r>
      <w:r>
        <w:rPr>
          <w:rFonts w:hint="eastAsia" w:ascii="宋体" w:hAnsi="宋体" w:eastAsia="宋体" w:cs="宋体"/>
          <w:szCs w:val="21"/>
        </w:rPr>
        <w:t xml:space="preserve">            </w:t>
      </w:r>
      <w:r>
        <w:rPr>
          <w:rFonts w:hint="eastAsia" w:ascii="宋体" w:hAnsi="宋体" w:cs="宋体"/>
          <w:bCs/>
          <w:szCs w:val="21"/>
        </w:rPr>
        <w:t>开户帐号：05000140900000685</w:t>
      </w:r>
    </w:p>
    <w:p w14:paraId="287CE60D">
      <w:pPr>
        <w:spacing w:line="360" w:lineRule="auto"/>
        <w:ind w:firstLine="420" w:firstLineChars="200"/>
        <w:jc w:val="left"/>
        <w:rPr>
          <w:rFonts w:ascii="Times New Roman" w:hAnsi="Times New Roman" w:eastAsia="宋体" w:cs="Times New Roman"/>
          <w:szCs w:val="24"/>
        </w:rPr>
      </w:pPr>
      <w:r>
        <w:rPr>
          <w:rFonts w:hint="eastAsia" w:ascii="宋体" w:hAnsi="宋体" w:cs="宋体"/>
          <w:bCs/>
          <w:szCs w:val="21"/>
        </w:rPr>
        <w:t>4.3评委评审费包含招标代理服务费中，无需支付其他费用。</w:t>
      </w:r>
    </w:p>
    <w:p w14:paraId="24808B38">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5、磋商文件的约束力</w:t>
      </w:r>
    </w:p>
    <w:p w14:paraId="3E87A91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供应商一旦下载了本磋商文件并决定参加磋商，即被认为接受了本磋商文件的规定和约束，并且视为自竞争性磋商公告期限届满之日起已经知道或应当知道自身权益是否受到了损害。</w:t>
      </w:r>
    </w:p>
    <w:p w14:paraId="77E7FA1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w:t>
      </w:r>
      <w:bookmarkStart w:id="16" w:name="_Toc462564070"/>
      <w:bookmarkStart w:id="17" w:name="_Toc16938527"/>
      <w:bookmarkStart w:id="18" w:name="_Toc20823283"/>
      <w:bookmarkStart w:id="19" w:name="_Toc513029211"/>
      <w:r>
        <w:rPr>
          <w:rFonts w:hint="eastAsia" w:ascii="宋体" w:hAnsi="宋体" w:eastAsia="宋体" w:cs="Times New Roman"/>
          <w:szCs w:val="21"/>
        </w:rPr>
        <w:t>磋商文件的</w:t>
      </w:r>
      <w:bookmarkEnd w:id="16"/>
      <w:bookmarkEnd w:id="17"/>
      <w:bookmarkEnd w:id="18"/>
      <w:bookmarkEnd w:id="19"/>
      <w:r>
        <w:rPr>
          <w:rFonts w:hint="eastAsia" w:ascii="宋体" w:hAnsi="宋体" w:eastAsia="宋体" w:cs="Times New Roman"/>
          <w:szCs w:val="21"/>
        </w:rPr>
        <w:t>询问及修改</w:t>
      </w:r>
    </w:p>
    <w:p w14:paraId="6A7D851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南京邮电大学采购招标管理办公室和通达学院采购招标信息网上发布更正公告通知所有获取磋商文件的供应商。不足5日的，代理机构应当顺延提交首次响应文件截止时间。</w:t>
      </w:r>
    </w:p>
    <w:p w14:paraId="0E093407">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6.2</w:t>
      </w:r>
      <w:r>
        <w:rPr>
          <w:rFonts w:hint="eastAsia" w:ascii="宋体" w:hAnsi="宋体" w:eastAsia="宋体" w:cs="Times New Roman"/>
          <w:color w:val="000000"/>
          <w:szCs w:val="21"/>
        </w:rPr>
        <w:t>代理机构或采购人可以视采购项目的具体情况，组织供应商进行现场考察或召开磋商前答疑会，但不单独或分别组织只有一个供应商参加的现场考察和答疑会。</w:t>
      </w:r>
    </w:p>
    <w:p w14:paraId="15E9D25A">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7、磋商文件的解释</w:t>
      </w:r>
    </w:p>
    <w:p w14:paraId="5C562D0E">
      <w:pPr>
        <w:spacing w:line="360" w:lineRule="auto"/>
        <w:ind w:firstLine="420" w:firstLineChars="200"/>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7.1 本磋商文件由代理机构负责解释。</w:t>
      </w:r>
      <w:bookmarkStart w:id="20" w:name="_Hlt26954828"/>
      <w:bookmarkEnd w:id="20"/>
      <w:bookmarkStart w:id="21" w:name="_Hlt26668969"/>
      <w:bookmarkEnd w:id="21"/>
      <w:bookmarkStart w:id="22" w:name="_Hlt26670348"/>
      <w:bookmarkEnd w:id="22"/>
      <w:bookmarkStart w:id="23" w:name="_Hlt26670345"/>
      <w:bookmarkEnd w:id="23"/>
      <w:bookmarkStart w:id="24" w:name="_Hlt26954832"/>
      <w:bookmarkEnd w:id="24"/>
      <w:bookmarkStart w:id="25" w:name="_Hlt26670354"/>
      <w:bookmarkEnd w:id="25"/>
      <w:bookmarkStart w:id="26" w:name="_Hlt26954830"/>
      <w:bookmarkEnd w:id="26"/>
      <w:bookmarkStart w:id="27" w:name="_Toc14577351"/>
      <w:bookmarkStart w:id="28" w:name="_Toc61149553"/>
      <w:bookmarkStart w:id="29" w:name="_Toc462564072"/>
      <w:bookmarkStart w:id="30" w:name="_Toc513029213"/>
    </w:p>
    <w:p w14:paraId="53BA00C8">
      <w:pPr>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二、磋商响应文件的编制</w:t>
      </w:r>
      <w:bookmarkEnd w:id="27"/>
      <w:bookmarkEnd w:id="28"/>
      <w:bookmarkEnd w:id="29"/>
      <w:bookmarkEnd w:id="30"/>
    </w:p>
    <w:p w14:paraId="76A84D69">
      <w:pPr>
        <w:tabs>
          <w:tab w:val="left" w:pos="900"/>
        </w:tabs>
        <w:spacing w:line="360" w:lineRule="auto"/>
        <w:ind w:firstLine="420" w:firstLineChars="200"/>
        <w:jc w:val="left"/>
        <w:rPr>
          <w:rFonts w:hint="eastAsia" w:ascii="宋体" w:hAnsi="宋体" w:eastAsia="宋体" w:cs="Times New Roman"/>
          <w:szCs w:val="21"/>
        </w:rPr>
      </w:pPr>
      <w:bookmarkStart w:id="31" w:name="_Toc513029223"/>
      <w:bookmarkStart w:id="32" w:name="_Toc14577361"/>
      <w:bookmarkStart w:id="33" w:name="_Toc61149561"/>
      <w:r>
        <w:rPr>
          <w:rFonts w:hint="eastAsia" w:ascii="宋体" w:hAnsi="宋体" w:eastAsia="宋体" w:cs="Times New Roman"/>
          <w:szCs w:val="21"/>
        </w:rPr>
        <w:t>1、磋商响应文件份数和签署</w:t>
      </w:r>
      <w:bookmarkEnd w:id="31"/>
      <w:bookmarkEnd w:id="32"/>
      <w:bookmarkEnd w:id="33"/>
    </w:p>
    <w:p w14:paraId="5A9E7AC5">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1.1磋商供应商应严格按照采购邀请要求准备磋商响应文件（以下简称响应文件），每份响应文件须清楚地标明“正本”或“</w:t>
      </w:r>
      <w:r>
        <w:rPr>
          <w:rFonts w:hint="eastAsia" w:ascii="宋体" w:hAnsi="宋体" w:eastAsia="宋体" w:cs="Times New Roman"/>
          <w:color w:val="000000"/>
          <w:szCs w:val="21"/>
        </w:rPr>
        <w:t>副本”字样。</w:t>
      </w:r>
    </w:p>
    <w:p w14:paraId="42CA8672">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响应文件的正本和所有的副本均需打印或复印。响应文件正本中，磋商文件要求提供原件的必须按照要求提供，文字材料需打印或用不</w:t>
      </w:r>
      <w:r>
        <w:rPr>
          <w:rFonts w:hint="eastAsia" w:ascii="宋体" w:hAnsi="宋体" w:eastAsia="宋体" w:cs="Times New Roman"/>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14:paraId="5F765A6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除磋商供应商对错处做必要修改外，响应文件不得行间插字、涂改或增删。如有修改错漏处，必须由响应文件签署人签字或盖章。</w:t>
      </w:r>
    </w:p>
    <w:p w14:paraId="563375FB">
      <w:pPr>
        <w:tabs>
          <w:tab w:val="left" w:pos="900"/>
        </w:tabs>
        <w:spacing w:line="360" w:lineRule="auto"/>
        <w:ind w:firstLine="420" w:firstLineChars="200"/>
        <w:jc w:val="left"/>
        <w:rPr>
          <w:rFonts w:hint="eastAsia" w:ascii="宋体" w:hAnsi="宋体" w:eastAsia="宋体" w:cs="Times New Roman"/>
          <w:szCs w:val="21"/>
        </w:rPr>
      </w:pPr>
      <w:bookmarkStart w:id="34" w:name="_Hlt26954834"/>
      <w:bookmarkEnd w:id="34"/>
      <w:bookmarkStart w:id="35" w:name="_Toc14577353"/>
      <w:bookmarkStart w:id="36" w:name="_Toc513029215"/>
      <w:bookmarkStart w:id="37" w:name="_Toc61149555"/>
      <w:bookmarkStart w:id="38" w:name="_Toc462564074"/>
      <w:bookmarkStart w:id="39" w:name="_Toc513029214"/>
      <w:bookmarkStart w:id="40" w:name="_Toc61149554"/>
      <w:bookmarkStart w:id="41" w:name="_Toc14577352"/>
      <w:bookmarkStart w:id="42" w:name="_Toc462564073"/>
      <w:r>
        <w:rPr>
          <w:rFonts w:hint="eastAsia" w:ascii="宋体" w:hAnsi="宋体" w:eastAsia="宋体" w:cs="Times New Roman"/>
          <w:szCs w:val="21"/>
        </w:rPr>
        <w:t>2、响应文件</w:t>
      </w:r>
      <w:bookmarkEnd w:id="35"/>
      <w:bookmarkEnd w:id="36"/>
      <w:bookmarkEnd w:id="37"/>
      <w:bookmarkEnd w:id="38"/>
      <w:r>
        <w:rPr>
          <w:rFonts w:hint="eastAsia" w:ascii="宋体" w:hAnsi="宋体" w:eastAsia="宋体" w:cs="Times New Roman"/>
          <w:szCs w:val="21"/>
        </w:rPr>
        <w:t>编制要求</w:t>
      </w:r>
    </w:p>
    <w:bookmarkEnd w:id="39"/>
    <w:bookmarkEnd w:id="40"/>
    <w:bookmarkEnd w:id="41"/>
    <w:bookmarkEnd w:id="42"/>
    <w:p w14:paraId="38A076A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2.1磋商供应商提交的响应文件以及磋商供应商与代理机构及采购人就有关磋商的所有来往函电均应使用简体中文。磋商文件中既有中文也有外文的，以中文意义为准。</w:t>
      </w:r>
    </w:p>
    <w:p w14:paraId="3034914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除技术性能另有规定外，响应文件所使用的度量衡单位，均须采用国家法定计量单位。</w:t>
      </w:r>
    </w:p>
    <w:p w14:paraId="127FB24C">
      <w:pPr>
        <w:tabs>
          <w:tab w:val="left" w:pos="900"/>
        </w:tabs>
        <w:spacing w:line="360" w:lineRule="auto"/>
        <w:ind w:firstLine="420" w:firstLineChars="200"/>
        <w:jc w:val="left"/>
        <w:rPr>
          <w:rFonts w:hint="eastAsia" w:ascii="宋体" w:hAnsi="宋体" w:eastAsia="宋体" w:cs="Times New Roman"/>
          <w:szCs w:val="21"/>
        </w:rPr>
      </w:pPr>
      <w:bookmarkStart w:id="43" w:name="_Hlt26670357"/>
      <w:bookmarkEnd w:id="43"/>
      <w:bookmarkStart w:id="44" w:name="_Hlt26954836"/>
      <w:bookmarkEnd w:id="44"/>
      <w:bookmarkStart w:id="45" w:name="_Toc513029219"/>
      <w:bookmarkStart w:id="46" w:name="_Toc14577357"/>
      <w:bookmarkStart w:id="47" w:name="_Toc61149558"/>
      <w:bookmarkStart w:id="48" w:name="_Toc513029217"/>
      <w:bookmarkStart w:id="49" w:name="_Toc14577355"/>
      <w:bookmarkStart w:id="50" w:name="_Toc61149557"/>
      <w:r>
        <w:rPr>
          <w:rFonts w:hint="eastAsia" w:ascii="宋体" w:hAnsi="宋体" w:eastAsia="宋体" w:cs="Times New Roman"/>
          <w:szCs w:val="21"/>
        </w:rPr>
        <w:t>3、参加磋商供应商资格的文件</w:t>
      </w:r>
      <w:bookmarkEnd w:id="45"/>
      <w:bookmarkEnd w:id="46"/>
      <w:bookmarkEnd w:id="47"/>
      <w:r>
        <w:rPr>
          <w:rFonts w:hint="eastAsia" w:ascii="宋体" w:hAnsi="宋体" w:eastAsia="宋体" w:cs="Times New Roman"/>
          <w:szCs w:val="21"/>
        </w:rPr>
        <w:t>证明</w:t>
      </w:r>
    </w:p>
    <w:p w14:paraId="21C2819C">
      <w:pPr>
        <w:tabs>
          <w:tab w:val="left" w:pos="900"/>
        </w:tabs>
        <w:spacing w:line="360" w:lineRule="auto"/>
        <w:ind w:firstLine="420" w:firstLineChars="200"/>
        <w:jc w:val="left"/>
        <w:rPr>
          <w:rFonts w:hint="eastAsia" w:ascii="宋体" w:hAnsi="宋体" w:eastAsia="宋体" w:cs="Times New Roman"/>
          <w:szCs w:val="21"/>
        </w:rPr>
      </w:pPr>
      <w:bookmarkStart w:id="51" w:name="_Hlt26668999"/>
      <w:bookmarkEnd w:id="51"/>
      <w:r>
        <w:rPr>
          <w:rFonts w:hint="eastAsia" w:ascii="宋体" w:hAnsi="宋体" w:eastAsia="宋体" w:cs="Times New Roman"/>
          <w:szCs w:val="21"/>
        </w:rPr>
        <w:t>3.1磋商供应商应提交证明其有资格参加磋商和成交后有能力独立履行合同的文件，并作为其响应文件的一部分。</w:t>
      </w:r>
    </w:p>
    <w:p w14:paraId="2C4B498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3.2磋商供应商除必须具有履行合同所需提供的设备以及服务的能力外，还必须具备相应的财务、技术方面的能力。</w:t>
      </w:r>
    </w:p>
    <w:p w14:paraId="1CBA836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3.3磋商供应商应填写并提交磋商文件所附的“资格证明文件”。</w:t>
      </w:r>
    </w:p>
    <w:p w14:paraId="1BE5073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4、磋商响应报价</w:t>
      </w:r>
      <w:bookmarkEnd w:id="48"/>
      <w:bookmarkEnd w:id="49"/>
      <w:bookmarkStart w:id="52" w:name="_Hlt26670373"/>
      <w:bookmarkEnd w:id="52"/>
      <w:r>
        <w:rPr>
          <w:rFonts w:hint="eastAsia" w:ascii="宋体" w:hAnsi="宋体" w:eastAsia="宋体" w:cs="Times New Roman"/>
          <w:szCs w:val="21"/>
        </w:rPr>
        <w:t>表</w:t>
      </w:r>
      <w:bookmarkEnd w:id="50"/>
    </w:p>
    <w:p w14:paraId="24914CC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w:t>
      </w:r>
      <w:r>
        <w:rPr>
          <w:rFonts w:hint="eastAsia" w:ascii="宋体" w:hAnsi="宋体" w:eastAsia="宋体" w:cs="Times New Roman"/>
          <w:color w:val="000000"/>
          <w:szCs w:val="21"/>
        </w:rPr>
        <w:t>磋商供应商应按照磋商文件规定格式填报磋商响应报价表。每项产品或服务只允许有一个报价，任何有选择的报价将不予接受，磋商文件中</w:t>
      </w:r>
      <w:r>
        <w:rPr>
          <w:rFonts w:hint="eastAsia" w:ascii="宋体" w:hAnsi="宋体" w:eastAsia="宋体" w:cs="Times New Roman"/>
          <w:szCs w:val="21"/>
        </w:rPr>
        <w:t>另有规定的按规定执行。</w:t>
      </w:r>
    </w:p>
    <w:p w14:paraId="48849B5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4.2标的物</w:t>
      </w:r>
    </w:p>
    <w:p w14:paraId="04C0295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详见项目需求。</w:t>
      </w:r>
    </w:p>
    <w:p w14:paraId="01CE95B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4.3有关费用处理</w:t>
      </w:r>
    </w:p>
    <w:p w14:paraId="1F8EE00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本次采购磋商供应商的总报价应包括为完成本项目发生的所有费用，本磋商文件中另有规定的除外。</w:t>
      </w:r>
    </w:p>
    <w:p w14:paraId="0173327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4.4其它费用处理</w:t>
      </w:r>
    </w:p>
    <w:p w14:paraId="0FF8688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磋商文件未列明，而磋商供应商认为必须的费用也须列入报价。</w:t>
      </w:r>
    </w:p>
    <w:p w14:paraId="573B8DF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4.5报价采用的货币</w:t>
      </w:r>
    </w:p>
    <w:p w14:paraId="21E4C54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响应文件中的单价和总价，无特殊规定的采用人民币报价，以元为单位标注。磋商文件中另有规定的按规定执行。</w:t>
      </w:r>
    </w:p>
    <w:p w14:paraId="25A7F8C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4.6 磋商响应报价表上的价格应按磋商文件规定填写。</w:t>
      </w:r>
    </w:p>
    <w:p w14:paraId="21C75D21">
      <w:pPr>
        <w:tabs>
          <w:tab w:val="left" w:pos="900"/>
        </w:tabs>
        <w:spacing w:line="360" w:lineRule="auto"/>
        <w:ind w:firstLine="420" w:firstLineChars="200"/>
        <w:jc w:val="left"/>
        <w:rPr>
          <w:rFonts w:hint="eastAsia" w:ascii="宋体" w:hAnsi="宋体" w:eastAsia="宋体" w:cs="Times New Roman"/>
          <w:szCs w:val="21"/>
        </w:rPr>
      </w:pPr>
      <w:bookmarkStart w:id="53" w:name="_Hlt26670425"/>
      <w:bookmarkEnd w:id="53"/>
      <w:bookmarkStart w:id="54" w:name="_Hlt26954848"/>
      <w:bookmarkEnd w:id="54"/>
      <w:bookmarkStart w:id="55" w:name="_Hlt26668983"/>
      <w:bookmarkEnd w:id="55"/>
      <w:bookmarkStart w:id="56" w:name="_Hlt26670486"/>
      <w:bookmarkEnd w:id="56"/>
      <w:bookmarkStart w:id="57" w:name="_Hlt26954731"/>
      <w:bookmarkEnd w:id="57"/>
      <w:bookmarkStart w:id="58" w:name="_Hlt26670482"/>
      <w:bookmarkEnd w:id="58"/>
      <w:bookmarkStart w:id="59" w:name="_Hlt26954846"/>
      <w:bookmarkEnd w:id="59"/>
      <w:bookmarkStart w:id="60" w:name="_Hlt26954844"/>
      <w:bookmarkEnd w:id="60"/>
      <w:bookmarkStart w:id="61" w:name="_Hlt26670403"/>
      <w:bookmarkEnd w:id="61"/>
      <w:bookmarkStart w:id="62" w:name="_Hlt26954842"/>
      <w:bookmarkEnd w:id="62"/>
      <w:bookmarkStart w:id="63" w:name="_Toc513029221"/>
      <w:bookmarkStart w:id="64" w:name="_Toc14577359"/>
      <w:bookmarkStart w:id="65" w:name="_Toc61149559"/>
      <w:r>
        <w:rPr>
          <w:rFonts w:hint="eastAsia" w:ascii="宋体" w:hAnsi="宋体" w:eastAsia="宋体" w:cs="Times New Roman"/>
          <w:szCs w:val="21"/>
        </w:rPr>
        <w:t>5、项目需求响应方案</w:t>
      </w:r>
    </w:p>
    <w:p w14:paraId="1C4DA05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5.1提供为完成本项目的总体实施方案。</w:t>
      </w:r>
    </w:p>
    <w:p w14:paraId="5BA8A1F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5.2对磋商文件中项目需求的技术与商务条款要求逐项作出应答，并提供依据或说明。</w:t>
      </w:r>
    </w:p>
    <w:p w14:paraId="1B313C8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5.3磋商供应商认为需要的其他技术文件或说明。</w:t>
      </w:r>
    </w:p>
    <w:p w14:paraId="41467B6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6、磋商保证金</w:t>
      </w:r>
      <w:bookmarkEnd w:id="63"/>
      <w:bookmarkEnd w:id="64"/>
      <w:bookmarkEnd w:id="65"/>
      <w:r>
        <w:rPr>
          <w:rFonts w:hint="eastAsia" w:ascii="宋体" w:hAnsi="宋体" w:eastAsia="宋体" w:cs="Times New Roman"/>
          <w:szCs w:val="21"/>
        </w:rPr>
        <w:t>：无</w:t>
      </w:r>
    </w:p>
    <w:p w14:paraId="5CB877C3">
      <w:pPr>
        <w:tabs>
          <w:tab w:val="left" w:pos="900"/>
        </w:tabs>
        <w:spacing w:line="360" w:lineRule="auto"/>
        <w:ind w:firstLine="422" w:firstLineChars="200"/>
        <w:jc w:val="left"/>
        <w:rPr>
          <w:rFonts w:hint="eastAsia" w:ascii="宋体" w:hAnsi="宋体" w:eastAsia="宋体" w:cs="Times New Roman"/>
          <w:b/>
          <w:szCs w:val="21"/>
        </w:rPr>
      </w:pPr>
      <w:bookmarkStart w:id="66" w:name="_Hlt26954850"/>
      <w:bookmarkEnd w:id="66"/>
      <w:bookmarkStart w:id="67" w:name="_Hlt26954854"/>
      <w:bookmarkEnd w:id="67"/>
      <w:bookmarkStart w:id="68" w:name="_Hlt26954734"/>
      <w:bookmarkEnd w:id="68"/>
      <w:bookmarkStart w:id="69" w:name="_Hlt26670489"/>
      <w:bookmarkEnd w:id="69"/>
      <w:bookmarkStart w:id="70" w:name="_Hlt26670493"/>
      <w:bookmarkEnd w:id="70"/>
      <w:bookmarkStart w:id="71" w:name="_Hlt26954739"/>
      <w:bookmarkEnd w:id="71"/>
      <w:bookmarkStart w:id="72" w:name="_Hlt26954749"/>
      <w:bookmarkEnd w:id="72"/>
      <w:bookmarkStart w:id="73" w:name="_Hlt26954852"/>
      <w:bookmarkEnd w:id="73"/>
      <w:bookmarkStart w:id="74" w:name="_Toc513029224"/>
      <w:bookmarkStart w:id="75" w:name="_Toc61149562"/>
      <w:bookmarkStart w:id="76" w:name="_Toc14577362"/>
      <w:r>
        <w:rPr>
          <w:rFonts w:hint="eastAsia" w:ascii="宋体" w:hAnsi="宋体" w:eastAsia="宋体" w:cs="Times New Roman"/>
          <w:b/>
          <w:szCs w:val="21"/>
        </w:rPr>
        <w:t>三、响应文件的递交</w:t>
      </w:r>
      <w:bookmarkEnd w:id="74"/>
      <w:bookmarkEnd w:id="75"/>
      <w:bookmarkEnd w:id="76"/>
    </w:p>
    <w:p w14:paraId="440A12C6">
      <w:pPr>
        <w:tabs>
          <w:tab w:val="left" w:pos="900"/>
        </w:tabs>
        <w:spacing w:line="360" w:lineRule="auto"/>
        <w:ind w:firstLine="420" w:firstLineChars="200"/>
        <w:jc w:val="left"/>
        <w:rPr>
          <w:rFonts w:hint="eastAsia" w:ascii="宋体" w:hAnsi="宋体" w:eastAsia="宋体" w:cs="Times New Roman"/>
          <w:szCs w:val="21"/>
        </w:rPr>
      </w:pPr>
      <w:bookmarkStart w:id="77" w:name="_Hlt26954856"/>
      <w:bookmarkEnd w:id="77"/>
      <w:bookmarkStart w:id="78" w:name="_Toc61149563"/>
      <w:bookmarkStart w:id="79" w:name="_Toc513029225"/>
      <w:bookmarkStart w:id="80" w:name="_Toc14577363"/>
      <w:bookmarkStart w:id="81" w:name="_Toc462564084"/>
      <w:r>
        <w:rPr>
          <w:rFonts w:hint="eastAsia" w:ascii="宋体" w:hAnsi="宋体" w:eastAsia="宋体" w:cs="Times New Roman"/>
          <w:szCs w:val="21"/>
        </w:rPr>
        <w:t>1、响应文件</w:t>
      </w:r>
      <w:bookmarkStart w:id="82" w:name="_Hlt26954743"/>
      <w:bookmarkEnd w:id="82"/>
      <w:r>
        <w:rPr>
          <w:rFonts w:hint="eastAsia" w:ascii="宋体" w:hAnsi="宋体" w:eastAsia="宋体" w:cs="Times New Roman"/>
          <w:szCs w:val="21"/>
        </w:rPr>
        <w:t>的密封和标记</w:t>
      </w:r>
      <w:bookmarkEnd w:id="78"/>
      <w:bookmarkEnd w:id="79"/>
      <w:bookmarkEnd w:id="80"/>
      <w:bookmarkEnd w:id="81"/>
    </w:p>
    <w:p w14:paraId="09E4527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1.1磋商供应商应严格按照采购邀请要求的份数准备响应文件，每份响应文件须清楚地标明“正本”或“副本”字样。一旦正本和副本不符，以正本为准。磋商供应商应将响应文件正本和所有副本密封。</w:t>
      </w:r>
    </w:p>
    <w:p w14:paraId="1A443EA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1.2密封的响应文件应：</w:t>
      </w:r>
    </w:p>
    <w:p w14:paraId="4BE967B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（1）按采购邀请中注明的地址送达规定地点；</w:t>
      </w:r>
    </w:p>
    <w:p w14:paraId="2408E48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（2）注明参加磋商项目名称、磋商文件编号及参加的分包号；</w:t>
      </w:r>
    </w:p>
    <w:p w14:paraId="59CEFD7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（3）密封包装上应写明磋商供应商名称和地址。</w:t>
      </w:r>
    </w:p>
    <w:p w14:paraId="058C8DF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1.3如果密封包装未按要求密封和加写标记，代理机构对误投或过早启封概不负责。对由此造成提前开封的响应文件，代理机构将予以拒绝，作无效响应处理。</w:t>
      </w:r>
    </w:p>
    <w:p w14:paraId="3776BBBC">
      <w:pPr>
        <w:tabs>
          <w:tab w:val="left" w:pos="900"/>
        </w:tabs>
        <w:spacing w:line="360" w:lineRule="auto"/>
        <w:ind w:firstLine="420" w:firstLineChars="200"/>
        <w:jc w:val="left"/>
        <w:rPr>
          <w:rFonts w:hint="eastAsia" w:ascii="宋体" w:hAnsi="宋体" w:eastAsia="宋体" w:cs="Times New Roman"/>
          <w:szCs w:val="21"/>
        </w:rPr>
      </w:pPr>
      <w:bookmarkStart w:id="83" w:name="_Hlt26670496"/>
      <w:bookmarkEnd w:id="83"/>
      <w:bookmarkStart w:id="84" w:name="_Hlt26954752"/>
      <w:bookmarkEnd w:id="84"/>
      <w:bookmarkStart w:id="85" w:name="_Hlt26954858"/>
      <w:bookmarkEnd w:id="85"/>
      <w:bookmarkStart w:id="86" w:name="_Toc14577364"/>
      <w:bookmarkStart w:id="87" w:name="_Toc61149564"/>
      <w:bookmarkStart w:id="88" w:name="_Toc513029226"/>
      <w:r>
        <w:rPr>
          <w:rFonts w:hint="eastAsia" w:ascii="宋体" w:hAnsi="宋体" w:eastAsia="宋体" w:cs="Times New Roman"/>
          <w:szCs w:val="21"/>
        </w:rPr>
        <w:t>2、</w:t>
      </w:r>
      <w:bookmarkEnd w:id="86"/>
      <w:bookmarkEnd w:id="87"/>
      <w:bookmarkEnd w:id="88"/>
      <w:r>
        <w:rPr>
          <w:rFonts w:hint="eastAsia" w:ascii="宋体" w:hAnsi="宋体" w:eastAsia="宋体" w:cs="Times New Roman"/>
          <w:szCs w:val="21"/>
        </w:rPr>
        <w:t>响应文件开启时间</w:t>
      </w:r>
    </w:p>
    <w:p w14:paraId="3C26005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2.1代理机构收到响应文件的时间不得迟于本磋商文件规定的响应文件接收截止时间。</w:t>
      </w:r>
    </w:p>
    <w:p w14:paraId="0CC1A46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2.2代理机构有权通过修改磋商文件推迟响应文件接收截止时间，</w:t>
      </w:r>
      <w:r>
        <w:rPr>
          <w:rFonts w:hint="eastAsia" w:ascii="宋体" w:hAnsi="宋体" w:eastAsia="宋体" w:cs="Times New Roman"/>
          <w:szCs w:val="21"/>
        </w:rPr>
        <w:t>在此情况下，磋商供应商的所有权利和义务以及受制的响应文件接收截止时间均应以延长后新的响应文件接收截止时间为准。</w:t>
      </w:r>
    </w:p>
    <w:p w14:paraId="79EFF28F">
      <w:pPr>
        <w:tabs>
          <w:tab w:val="left" w:pos="900"/>
        </w:tabs>
        <w:spacing w:line="360" w:lineRule="auto"/>
        <w:ind w:firstLine="420" w:firstLineChars="200"/>
        <w:jc w:val="left"/>
        <w:rPr>
          <w:rFonts w:hint="eastAsia" w:ascii="宋体" w:hAnsi="宋体" w:eastAsia="宋体" w:cs="Times New Roman"/>
          <w:szCs w:val="21"/>
        </w:rPr>
      </w:pPr>
      <w:bookmarkStart w:id="89" w:name="_Hlt26954860"/>
      <w:bookmarkEnd w:id="89"/>
      <w:bookmarkStart w:id="90" w:name="_Toc61149565"/>
      <w:bookmarkStart w:id="91" w:name="_Toc14577365"/>
      <w:bookmarkStart w:id="92" w:name="_Toc513029227"/>
      <w:r>
        <w:rPr>
          <w:rFonts w:hint="eastAsia" w:ascii="宋体" w:hAnsi="宋体" w:eastAsia="宋体" w:cs="Times New Roman"/>
          <w:szCs w:val="21"/>
        </w:rPr>
        <w:t>3、迟交的响应文件</w:t>
      </w:r>
      <w:bookmarkEnd w:id="90"/>
      <w:bookmarkEnd w:id="91"/>
      <w:bookmarkEnd w:id="92"/>
    </w:p>
    <w:p w14:paraId="3AE5DB3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3.1代理机构将拒绝在规定的响应文件接收截止时间后接收任何响应文件。</w:t>
      </w:r>
    </w:p>
    <w:p w14:paraId="6A5E94DF">
      <w:pPr>
        <w:tabs>
          <w:tab w:val="left" w:pos="900"/>
        </w:tabs>
        <w:spacing w:line="360" w:lineRule="auto"/>
        <w:ind w:firstLine="420" w:firstLineChars="200"/>
        <w:jc w:val="left"/>
        <w:rPr>
          <w:rFonts w:hint="eastAsia" w:ascii="宋体" w:hAnsi="宋体" w:eastAsia="宋体" w:cs="Times New Roman"/>
          <w:szCs w:val="21"/>
        </w:rPr>
      </w:pPr>
      <w:bookmarkStart w:id="93" w:name="_Hlt26954754"/>
      <w:bookmarkEnd w:id="93"/>
      <w:bookmarkStart w:id="94" w:name="_Hlt26954862"/>
      <w:bookmarkEnd w:id="94"/>
      <w:bookmarkStart w:id="95" w:name="_Toc14577366"/>
      <w:bookmarkStart w:id="96" w:name="_Toc513029228"/>
      <w:bookmarkStart w:id="97" w:name="_Toc61149566"/>
      <w:r>
        <w:rPr>
          <w:rFonts w:hint="eastAsia" w:ascii="宋体" w:hAnsi="宋体" w:eastAsia="宋体" w:cs="Times New Roman"/>
          <w:szCs w:val="21"/>
        </w:rPr>
        <w:t>4、响应文件</w:t>
      </w:r>
      <w:bookmarkStart w:id="98" w:name="_Hlt26670588"/>
      <w:r>
        <w:rPr>
          <w:rFonts w:hint="eastAsia" w:ascii="宋体" w:hAnsi="宋体" w:eastAsia="宋体" w:cs="Times New Roman"/>
          <w:szCs w:val="21"/>
        </w:rPr>
        <w:t>的修改</w:t>
      </w:r>
      <w:bookmarkEnd w:id="98"/>
      <w:r>
        <w:rPr>
          <w:rFonts w:hint="eastAsia" w:ascii="宋体" w:hAnsi="宋体" w:eastAsia="宋体" w:cs="Times New Roman"/>
          <w:szCs w:val="21"/>
        </w:rPr>
        <w:t>和撤回</w:t>
      </w:r>
      <w:bookmarkEnd w:id="95"/>
      <w:bookmarkEnd w:id="96"/>
      <w:bookmarkEnd w:id="97"/>
    </w:p>
    <w:p w14:paraId="40DA37A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4.1磋商供应商在递交响应文件后，可以修改或撤回其谈判响应文件，但这种修改和撤回，必须在规定的响应文件接收截止时间前，以书面形式送达指定地点。</w:t>
      </w:r>
    </w:p>
    <w:p w14:paraId="715A57A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4.2磋商供应商的修改或撤回通知书，应按本文件规定进行编制、密封、标记和发送，并应在封套上加注“修改”和“撤回”字样。</w:t>
      </w:r>
    </w:p>
    <w:p w14:paraId="5E35F03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磋商供应商在提交最后报价之前，可以根据磋商情况退出磋商。</w:t>
      </w:r>
    </w:p>
    <w:p w14:paraId="1B23ACC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5、磋商响应有效期</w:t>
      </w:r>
    </w:p>
    <w:p w14:paraId="549891E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 磋商响应有效期为代理机构规定的响应文件接收截止时间后六十（60）天。磋商响应有效期比规定短的将被视为非实质性响应性而予以拒绝。</w:t>
      </w:r>
    </w:p>
    <w:p w14:paraId="2B85758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14:paraId="50B500C8">
      <w:pPr>
        <w:tabs>
          <w:tab w:val="left" w:pos="900"/>
        </w:tabs>
        <w:spacing w:line="360" w:lineRule="auto"/>
        <w:ind w:firstLine="422" w:firstLineChars="200"/>
        <w:jc w:val="left"/>
        <w:rPr>
          <w:rFonts w:hint="eastAsia" w:ascii="宋体" w:hAnsi="宋体" w:eastAsia="宋体" w:cs="Times New Roman"/>
          <w:b/>
          <w:szCs w:val="21"/>
        </w:rPr>
      </w:pPr>
      <w:bookmarkStart w:id="99" w:name="_Hlt26670523"/>
      <w:bookmarkEnd w:id="99"/>
      <w:bookmarkStart w:id="100" w:name="_Hlt26954864"/>
      <w:bookmarkEnd w:id="100"/>
      <w:r>
        <w:rPr>
          <w:rFonts w:hint="eastAsia" w:ascii="宋体" w:hAnsi="宋体" w:eastAsia="宋体" w:cs="Times New Roman"/>
          <w:b/>
          <w:szCs w:val="21"/>
        </w:rPr>
        <w:t>四、磋商与评审</w:t>
      </w:r>
    </w:p>
    <w:p w14:paraId="51566293">
      <w:pPr>
        <w:tabs>
          <w:tab w:val="left" w:pos="900"/>
        </w:tabs>
        <w:spacing w:line="360" w:lineRule="auto"/>
        <w:ind w:firstLine="420" w:firstLineChars="200"/>
        <w:jc w:val="left"/>
        <w:rPr>
          <w:rFonts w:hint="eastAsia" w:ascii="宋体" w:hAnsi="宋体" w:eastAsia="宋体" w:cs="Times New Roman"/>
          <w:szCs w:val="21"/>
        </w:rPr>
      </w:pPr>
      <w:bookmarkStart w:id="101" w:name="_Toc20823302"/>
      <w:bookmarkStart w:id="102" w:name="_Toc513029230"/>
      <w:bookmarkStart w:id="103" w:name="_Toc16938546"/>
      <w:r>
        <w:rPr>
          <w:rFonts w:hint="eastAsia" w:ascii="宋体" w:hAnsi="宋体" w:eastAsia="宋体" w:cs="Times New Roman"/>
          <w:szCs w:val="21"/>
        </w:rPr>
        <w:t>1、</w:t>
      </w:r>
      <w:bookmarkEnd w:id="101"/>
      <w:bookmarkEnd w:id="102"/>
      <w:bookmarkEnd w:id="103"/>
      <w:r>
        <w:rPr>
          <w:rFonts w:hint="eastAsia" w:ascii="宋体" w:hAnsi="宋体" w:eastAsia="宋体" w:cs="Times New Roman"/>
          <w:szCs w:val="21"/>
        </w:rPr>
        <w:t>磋商仪式</w:t>
      </w:r>
    </w:p>
    <w:p w14:paraId="763FA7B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1.1代理机构将在采购邀请中规定的时间和地点组织磋商开始仪式，仪式由代理机构主持，磋商供应商应委派携带有效证件的代表准时参加，参加仪式的代表需签名以证明其出席。</w:t>
      </w:r>
    </w:p>
    <w:p w14:paraId="0FF5045D">
      <w:pPr>
        <w:tabs>
          <w:tab w:val="left" w:pos="900"/>
        </w:tabs>
        <w:spacing w:line="360" w:lineRule="auto"/>
        <w:ind w:firstLine="420" w:firstLineChars="200"/>
        <w:jc w:val="left"/>
        <w:rPr>
          <w:rFonts w:hint="eastAsia" w:ascii="宋体" w:hAnsi="宋体" w:eastAsia="宋体" w:cs="Times New Roman"/>
          <w:szCs w:val="21"/>
        </w:rPr>
      </w:pPr>
      <w:bookmarkStart w:id="104" w:name="_Toc513029231"/>
      <w:bookmarkStart w:id="105" w:name="_Toc20823303"/>
      <w:bookmarkStart w:id="106" w:name="_Toc16938547"/>
      <w:r>
        <w:rPr>
          <w:rFonts w:hint="eastAsia" w:ascii="宋体" w:hAnsi="宋体" w:eastAsia="宋体" w:cs="Times New Roman"/>
          <w:szCs w:val="21"/>
        </w:rPr>
        <w:t>2、磋商小组</w:t>
      </w:r>
    </w:p>
    <w:p w14:paraId="3DC0CBB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 磋商开始仪式结束后，代理机构将立即组织磋商小组进行评审。</w:t>
      </w:r>
    </w:p>
    <w:p w14:paraId="3C079A1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磋商小组由政府采购评审专家、采购人代表组成，且人员构成符合政府采购有关规定。</w:t>
      </w:r>
    </w:p>
    <w:p w14:paraId="68D0BF3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3、磋商评审过程的保密</w:t>
      </w:r>
      <w:bookmarkEnd w:id="104"/>
      <w:bookmarkEnd w:id="105"/>
      <w:bookmarkEnd w:id="106"/>
      <w:r>
        <w:rPr>
          <w:rFonts w:hint="eastAsia" w:ascii="宋体" w:hAnsi="宋体" w:eastAsia="宋体" w:cs="Times New Roman"/>
          <w:szCs w:val="21"/>
        </w:rPr>
        <w:t>与公正</w:t>
      </w:r>
    </w:p>
    <w:p w14:paraId="29C005F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3.1磋商小组</w:t>
      </w:r>
      <w:r>
        <w:rPr>
          <w:rFonts w:ascii="宋体" w:hAnsi="宋体" w:eastAsia="宋体" w:cs="Times New Roman"/>
          <w:szCs w:val="21"/>
        </w:rPr>
        <w:t>、采购人和</w:t>
      </w:r>
      <w:r>
        <w:rPr>
          <w:rFonts w:hint="eastAsia" w:ascii="宋体" w:hAnsi="宋体" w:eastAsia="宋体" w:cs="Times New Roman"/>
          <w:szCs w:val="21"/>
        </w:rPr>
        <w:t>代理机构</w:t>
      </w:r>
      <w:r>
        <w:rPr>
          <w:rFonts w:ascii="宋体" w:hAnsi="宋体" w:eastAsia="宋体" w:cs="Times New Roman"/>
          <w:szCs w:val="21"/>
        </w:rPr>
        <w:t>工作人员、相关监督人员等与评审工作有关的人员，对评审情况以及在评审过程中获悉的国家秘密、商业秘密负有保密责任</w:t>
      </w:r>
      <w:r>
        <w:rPr>
          <w:rFonts w:hint="eastAsia" w:ascii="宋体" w:hAnsi="宋体" w:eastAsia="宋体" w:cs="Times New Roman"/>
          <w:szCs w:val="21"/>
        </w:rPr>
        <w:t>。</w:t>
      </w:r>
    </w:p>
    <w:p w14:paraId="4208554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3.2在磋商评审过程中，磋商供应商不得以任何行为影响磋商评审过程，否则其响应文件将被作为无效响应文件。</w:t>
      </w:r>
    </w:p>
    <w:p w14:paraId="69B5125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9F3894D">
      <w:pPr>
        <w:tabs>
          <w:tab w:val="left" w:pos="900"/>
        </w:tabs>
        <w:spacing w:line="360" w:lineRule="auto"/>
        <w:ind w:firstLine="420" w:firstLineChars="200"/>
        <w:jc w:val="left"/>
        <w:rPr>
          <w:rFonts w:hint="eastAsia" w:ascii="宋体" w:hAnsi="宋体" w:eastAsia="宋体" w:cs="Times New Roman"/>
          <w:szCs w:val="21"/>
        </w:rPr>
      </w:pPr>
      <w:bookmarkStart w:id="107" w:name="_Toc16938548"/>
      <w:bookmarkStart w:id="108" w:name="_Toc513029232"/>
      <w:bookmarkStart w:id="109" w:name="_Toc20823304"/>
      <w:r>
        <w:rPr>
          <w:rFonts w:hint="eastAsia" w:ascii="宋体" w:hAnsi="宋体" w:eastAsia="宋体" w:cs="Times New Roman"/>
          <w:szCs w:val="21"/>
        </w:rPr>
        <w:t>4、评审过程的澄清</w:t>
      </w:r>
      <w:bookmarkEnd w:id="107"/>
      <w:bookmarkEnd w:id="108"/>
      <w:bookmarkEnd w:id="109"/>
      <w:r>
        <w:rPr>
          <w:rFonts w:hint="eastAsia" w:ascii="宋体" w:hAnsi="宋体" w:eastAsia="宋体" w:cs="Times New Roman"/>
          <w:szCs w:val="21"/>
        </w:rPr>
        <w:t>、说明和更正</w:t>
      </w:r>
    </w:p>
    <w:p w14:paraId="18E2430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1</w:t>
      </w:r>
      <w:r>
        <w:rPr>
          <w:rFonts w:hint="eastAsia" w:ascii="宋体" w:hAnsi="宋体" w:eastAsia="宋体" w:cs="Times New Roman"/>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6154F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50C2D86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接到磋商小组澄清要求的供应商如未按规定做出澄清，其风险由供应商自行承担。</w:t>
      </w:r>
    </w:p>
    <w:p w14:paraId="5017AD4D">
      <w:pPr>
        <w:tabs>
          <w:tab w:val="left" w:pos="900"/>
        </w:tabs>
        <w:spacing w:line="360" w:lineRule="auto"/>
        <w:ind w:firstLine="420" w:firstLineChars="200"/>
        <w:jc w:val="left"/>
        <w:rPr>
          <w:rFonts w:hint="eastAsia" w:ascii="宋体" w:hAnsi="宋体" w:eastAsia="宋体" w:cs="Times New Roman"/>
          <w:szCs w:val="21"/>
        </w:rPr>
      </w:pPr>
      <w:bookmarkStart w:id="110" w:name="_Toc513029233"/>
      <w:bookmarkStart w:id="111" w:name="_Toc16938549"/>
      <w:bookmarkStart w:id="112" w:name="_Toc20823305"/>
      <w:r>
        <w:rPr>
          <w:rFonts w:hint="eastAsia" w:ascii="宋体" w:hAnsi="宋体" w:eastAsia="宋体" w:cs="Times New Roman"/>
          <w:szCs w:val="21"/>
        </w:rPr>
        <w:t>5、对响应文件的初审</w:t>
      </w:r>
      <w:bookmarkEnd w:id="110"/>
      <w:bookmarkEnd w:id="111"/>
      <w:bookmarkEnd w:id="112"/>
    </w:p>
    <w:p w14:paraId="083FE04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5.1响应文件初审分为资格性检查和符合性检查。</w:t>
      </w:r>
    </w:p>
    <w:p w14:paraId="5823DB9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资格性检查：依据法律法规和磋商文件的规定，采购人对响应文件中的资格证明文件等进行审查，以确定供应商是否具备参加磋商的资格。</w:t>
      </w:r>
    </w:p>
    <w:p w14:paraId="4A6DF0A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符合性检查：依据磋商文件的规定，从响应文件的有效性、完整性和对磋商文件的响应程度进行审查，以确定是否对磋商文件的实质性要求作出响应。</w:t>
      </w:r>
    </w:p>
    <w:p w14:paraId="303FD26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5.2在正式磋商之前，磋商小组将首先审查每份响应文件是否实质性响应了磋商文件的要求。实质性响应的响应文件应该是与磋商文件要求的条款、条件和规格相符，没有重大偏离或保留。</w:t>
      </w:r>
    </w:p>
    <w:p w14:paraId="5C77271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3C73B2A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 被认定为未实质性响应磋商文件的响应文件的情形</w:t>
      </w:r>
    </w:p>
    <w:p w14:paraId="3CAFB35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（1）未按照磋商文件规定要求密封、签署、盖章的；</w:t>
      </w:r>
    </w:p>
    <w:p w14:paraId="7C45401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（2）供应商在报价时采用选择性报价；</w:t>
      </w:r>
    </w:p>
    <w:p w14:paraId="0BE7A3B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（3）供应商不具备磋商文件中规定资格要求的；</w:t>
      </w:r>
    </w:p>
    <w:p w14:paraId="4AFBBFF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（4）不符合法律、法规和磋商文件中规定的其他实质性要求和条件的；</w:t>
      </w:r>
    </w:p>
    <w:p w14:paraId="47BB6D5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（5）其他法律、法规及本磋商文件规定的属未实质性响应的响应文件的情形。</w:t>
      </w:r>
    </w:p>
    <w:p w14:paraId="436E153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5.4 未实质性响应磋商文件的响应文件按无效响应处理，磋商小组将予以拒绝，供应商不得通过修改或撤销不合要求的偏离或保留而使其响应文件成为实质性响应的文件。</w:t>
      </w:r>
    </w:p>
    <w:p w14:paraId="5D4D6C1E">
      <w:pPr>
        <w:tabs>
          <w:tab w:val="left" w:pos="900"/>
        </w:tabs>
        <w:spacing w:line="360" w:lineRule="auto"/>
        <w:ind w:firstLine="420" w:firstLineChars="200"/>
        <w:jc w:val="left"/>
        <w:rPr>
          <w:rFonts w:hint="eastAsia" w:ascii="宋体" w:hAnsi="宋体" w:eastAsia="宋体" w:cs="Times New Roman"/>
          <w:szCs w:val="21"/>
        </w:rPr>
      </w:pPr>
      <w:bookmarkStart w:id="113" w:name="_Toc16938550"/>
      <w:bookmarkStart w:id="114" w:name="_Toc513029234"/>
      <w:bookmarkStart w:id="115" w:name="_Toc20823306"/>
      <w:r>
        <w:rPr>
          <w:rFonts w:hint="eastAsia" w:ascii="宋体" w:hAnsi="宋体" w:eastAsia="宋体" w:cs="Times New Roman"/>
          <w:szCs w:val="21"/>
        </w:rPr>
        <w:t>6、</w:t>
      </w:r>
      <w:bookmarkEnd w:id="113"/>
      <w:bookmarkEnd w:id="114"/>
      <w:bookmarkEnd w:id="115"/>
      <w:r>
        <w:rPr>
          <w:rFonts w:hint="eastAsia" w:ascii="宋体" w:hAnsi="宋体" w:eastAsia="宋体" w:cs="Times New Roman"/>
          <w:szCs w:val="21"/>
        </w:rPr>
        <w:t>磋商程序及评审方法和标准</w:t>
      </w:r>
    </w:p>
    <w:p w14:paraId="19D50B04">
      <w:pPr>
        <w:tabs>
          <w:tab w:val="left" w:pos="900"/>
        </w:tabs>
        <w:spacing w:line="360" w:lineRule="auto"/>
        <w:ind w:firstLine="420" w:firstLineChars="200"/>
        <w:jc w:val="left"/>
        <w:rPr>
          <w:rFonts w:hint="eastAsia" w:ascii="宋体" w:hAnsi="宋体" w:eastAsia="宋体" w:cs="Times New Roman"/>
          <w:szCs w:val="21"/>
        </w:rPr>
      </w:pPr>
      <w:bookmarkStart w:id="116" w:name="_Toc20823307"/>
      <w:bookmarkStart w:id="117" w:name="_Toc16938551"/>
      <w:bookmarkStart w:id="118" w:name="_Toc513029235"/>
      <w:r>
        <w:rPr>
          <w:rFonts w:hint="eastAsia" w:ascii="宋体" w:hAnsi="宋体" w:eastAsia="宋体" w:cs="Times New Roman"/>
          <w:szCs w:val="21"/>
        </w:rPr>
        <w:t>6.1磋商程序</w:t>
      </w:r>
    </w:p>
    <w:p w14:paraId="195EF2E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6.1.1 对于通过资格性和符合性审查的供应商，磋商小组所有成员将集中与单一供应商分别进行磋商。</w:t>
      </w:r>
    </w:p>
    <w:p w14:paraId="5A7A4B3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29B8563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6.1.2 </w:t>
      </w:r>
      <w:r>
        <w:rPr>
          <w:rFonts w:ascii="宋体" w:hAnsi="宋体" w:eastAsia="宋体" w:cs="Times New Roman"/>
          <w:szCs w:val="21"/>
        </w:rPr>
        <w:t>磋商文件能够详细列明采购标的的技术、服务要求的，磋商结束后，磋商小组</w:t>
      </w:r>
      <w:r>
        <w:rPr>
          <w:rFonts w:hint="eastAsia" w:ascii="宋体" w:hAnsi="宋体" w:eastAsia="宋体" w:cs="Times New Roman"/>
          <w:szCs w:val="21"/>
        </w:rPr>
        <w:t>将</w:t>
      </w:r>
      <w:r>
        <w:rPr>
          <w:rFonts w:ascii="宋体" w:hAnsi="宋体" w:eastAsia="宋体" w:cs="Times New Roman"/>
          <w:szCs w:val="21"/>
        </w:rPr>
        <w:t>要求所有实质性响应的供应商在规定时间内提交最后报价。</w:t>
      </w:r>
    </w:p>
    <w:p w14:paraId="66E9C16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351E5CA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最后报价是供应商响应文件的有效组成部分。符合《政府采购竞争性磋商采购方式管理暂行办法》第三条第四项及《财政部关于竞争性磋商采购方式管理暂行办法有关问题的补充通知》（财库[2013]124号）规定情形的，提交最后报价的供应商可以为2家。</w:t>
      </w:r>
    </w:p>
    <w:p w14:paraId="6E5F404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eastAsia="宋体" w:cs="Times New Roman"/>
          <w:szCs w:val="21"/>
        </w:rPr>
        <w:t>已提交响应文件的供应商，在提交最后报价之前，可以根据磋商情况退出磋商。</w:t>
      </w:r>
    </w:p>
    <w:p w14:paraId="5C0810A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 评审方法和标准</w:t>
      </w:r>
    </w:p>
    <w:p w14:paraId="09DABC7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6.2.1评审方法。经磋商确定最终采购需求的供应商后，由磋商小组采用综合评分法对供应商的响应文件和最后报价进行综合评分。</w:t>
      </w:r>
    </w:p>
    <w:p w14:paraId="36BB022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C5DA05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6.2.2评审标准</w:t>
      </w:r>
    </w:p>
    <w:p w14:paraId="0D1F7EF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见本磋商文件第五章规定。</w:t>
      </w:r>
    </w:p>
    <w:p w14:paraId="1E5454E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6.3采购活动终止的情况</w:t>
      </w:r>
    </w:p>
    <w:p w14:paraId="1B636DA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出现下列情形之一的，本次竞争性磋商采购活动将被终止：</w:t>
      </w:r>
    </w:p>
    <w:p w14:paraId="1921DEF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（1）因情况变化，不再符合规定的竞争性磋商采购方式适用情形的；</w:t>
      </w:r>
    </w:p>
    <w:p w14:paraId="7327DFE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（2）出现影响采购公正的违法、违规行为的；</w:t>
      </w:r>
    </w:p>
    <w:p w14:paraId="0373EA9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（3）除本磋商文件第6.1.2条第三款规定的情形外，在采购过程中符合要求的供应商或者报价未超过采购预算的供应商不足3家的。</w:t>
      </w:r>
    </w:p>
    <w:bookmarkEnd w:id="116"/>
    <w:bookmarkEnd w:id="117"/>
    <w:bookmarkEnd w:id="118"/>
    <w:p w14:paraId="17B48C28">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五、成交</w:t>
      </w:r>
    </w:p>
    <w:p w14:paraId="7DB677DB">
      <w:pPr>
        <w:tabs>
          <w:tab w:val="left" w:pos="900"/>
        </w:tabs>
        <w:spacing w:line="360" w:lineRule="auto"/>
        <w:ind w:firstLine="420" w:firstLineChars="200"/>
        <w:jc w:val="left"/>
        <w:rPr>
          <w:rFonts w:hint="eastAsia" w:ascii="宋体" w:hAnsi="宋体" w:eastAsia="宋体" w:cs="Times New Roman"/>
          <w:szCs w:val="21"/>
        </w:rPr>
      </w:pPr>
      <w:bookmarkStart w:id="119" w:name="_Toc513029238"/>
      <w:bookmarkStart w:id="120" w:name="_Toc20823310"/>
      <w:bookmarkStart w:id="121" w:name="_Toc16938554"/>
      <w:r>
        <w:rPr>
          <w:rFonts w:hint="eastAsia" w:ascii="宋体" w:hAnsi="宋体" w:eastAsia="宋体" w:cs="Times New Roman"/>
          <w:szCs w:val="21"/>
        </w:rPr>
        <w:t>1、</w:t>
      </w:r>
      <w:bookmarkEnd w:id="119"/>
      <w:r>
        <w:rPr>
          <w:rFonts w:hint="eastAsia" w:ascii="宋体" w:hAnsi="宋体" w:eastAsia="宋体" w:cs="Times New Roman"/>
          <w:szCs w:val="21"/>
        </w:rPr>
        <w:t>确定</w:t>
      </w:r>
      <w:bookmarkEnd w:id="120"/>
      <w:bookmarkEnd w:id="121"/>
      <w:r>
        <w:rPr>
          <w:rFonts w:hint="eastAsia" w:ascii="宋体" w:hAnsi="宋体" w:eastAsia="宋体" w:cs="Times New Roman"/>
          <w:szCs w:val="21"/>
        </w:rPr>
        <w:t>成交单位</w:t>
      </w:r>
    </w:p>
    <w:p w14:paraId="7887E76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磋商小组根据综合评分情况，按照评审得分由高到低顺序推荐3名或以上成交候选供应商，并编写评审报告。符合本文件第6.1.2条情形的，可以推荐2家成交候选供应商。评审得分相同的，按照技术指标优劣顺序推荐。</w:t>
      </w:r>
    </w:p>
    <w:p w14:paraId="5545B91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1.2采购人根据磋商小推荐的组成交候选人确定成交供应商。采购人确定成交供应商后，代理机构将在</w:t>
      </w:r>
      <w:r>
        <w:rPr>
          <w:rFonts w:hint="eastAsia" w:ascii="宋体" w:hAnsi="宋体" w:eastAsia="宋体" w:cs="Arial"/>
          <w:color w:val="000000"/>
          <w:spacing w:val="-6"/>
          <w:szCs w:val="21"/>
        </w:rPr>
        <w:t>南京邮电大学采购招标管理办公室和通达学院采购招标信息网</w:t>
      </w:r>
      <w:r>
        <w:rPr>
          <w:rFonts w:hint="eastAsia" w:ascii="宋体" w:hAnsi="宋体" w:eastAsia="宋体" w:cs="Times New Roman"/>
          <w:szCs w:val="21"/>
        </w:rPr>
        <w:t>发布成交结果公告，公告期限为1个工作日。</w:t>
      </w:r>
    </w:p>
    <w:p w14:paraId="6C7F944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1.3若有充分证据证明，成交供应商出现下列情况之一的，一经查实，将被取消成交资格：</w:t>
      </w:r>
    </w:p>
    <w:p w14:paraId="6F43FFE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（1）提供虚假材料谋取成交的；</w:t>
      </w:r>
    </w:p>
    <w:p w14:paraId="619A464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（2）与评审专家、采购人、其他供应商或者代理机构工作人员恶意串通的；</w:t>
      </w:r>
    </w:p>
    <w:p w14:paraId="6D4088A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（3）向评审专家、采购人或代理机构工作人员行贿或者提供其他不正当利益的；</w:t>
      </w:r>
    </w:p>
    <w:p w14:paraId="6728B1F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（4）恶意竞争，最终总报价明显低于其自身合理成本且又无法提供证明的；</w:t>
      </w:r>
    </w:p>
    <w:p w14:paraId="2C7F8AD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（5）不满足本磋商文件规定的实质性要求，但在评审过程中又未被磋商小组发现的；</w:t>
      </w:r>
    </w:p>
    <w:p w14:paraId="00DC752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（6）成交后无正当理由拒不与采购人签订政府采购合同或者未按照磋商文件确定的事项签订政府采购合同；</w:t>
      </w:r>
    </w:p>
    <w:p w14:paraId="6A36C02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（7）将政府采购合同转包；</w:t>
      </w:r>
    </w:p>
    <w:p w14:paraId="472C9A6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（8）法律、法规、规章规定的属于成交无效的其他情形。</w:t>
      </w:r>
    </w:p>
    <w:p w14:paraId="45A3DC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2、质疑处理</w:t>
      </w:r>
    </w:p>
    <w:p w14:paraId="11F036AA">
      <w:pPr>
        <w:tabs>
          <w:tab w:val="left" w:pos="900"/>
        </w:tabs>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2.1磋商供应商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20F01E6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上述应知其权益受到损害之日，是指：</w:t>
      </w:r>
    </w:p>
    <w:p w14:paraId="6D7C8FD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对可以质疑的磋商文件提出质疑的，为收到磋商文件之日或者磋商文件公告期限届满之日；</w:t>
      </w:r>
    </w:p>
    <w:p w14:paraId="1774AC9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对采购过程提出质疑的，为各采购程序环节结束之日；</w:t>
      </w:r>
    </w:p>
    <w:p w14:paraId="47F89C8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对成交结果提出质疑的，为成交结果公告期限届满之日。</w:t>
      </w:r>
    </w:p>
    <w:p w14:paraId="3E0E54BC">
      <w:pPr>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2.2质疑必须由磋商供应商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06BE261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2.3未参加磋商采购活动的供应商或在磋商采购活动中自身权益未受到损害的供应商所提出的质疑不予受理。</w:t>
      </w:r>
    </w:p>
    <w:p w14:paraId="7B15DF0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2.4质疑函应当包括下列内容：</w:t>
      </w:r>
    </w:p>
    <w:p w14:paraId="4D99773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（1）质疑供应商的名称、地址、邮编、联系人、联系电话；</w:t>
      </w:r>
    </w:p>
    <w:p w14:paraId="57085AE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（2）具体的质疑事项及明确的请求；</w:t>
      </w:r>
    </w:p>
    <w:p w14:paraId="1A73A85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（3）认为自己合法权益受到损害或可能受到损害的相关证据材料；</w:t>
      </w:r>
    </w:p>
    <w:p w14:paraId="6275436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（4）提起质疑的日期；</w:t>
      </w:r>
    </w:p>
    <w:p w14:paraId="16781FA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0F441EF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2.5代理机构收到质疑函后，将对质疑的形式和内容进行审查，如质疑函内容、格式不符合规定，代理机构将告知质疑人进行补正。</w:t>
      </w:r>
    </w:p>
    <w:p w14:paraId="733E278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2.6质疑人应当在法定质疑期限内进行补正并重新提交质疑函，拒不补正或者在法定期限内未重新提交质疑函的，为无效质疑，代理机构有权不予受理。</w:t>
      </w:r>
    </w:p>
    <w:p w14:paraId="65509F9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2.7对于内容、格式符合规定的质疑函，代理机构将在收到参加谈判供应商的书面质疑后七个工作日内作出答复，并以书面形式通知质疑供应商和其他相关供应商，答复的内容不涉及商业秘密。</w:t>
      </w:r>
    </w:p>
    <w:p w14:paraId="697447F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2.8供应商提出书面质疑必须有理、有据，不得恶意质疑或提交虚假质疑。否则，一经查实，代理机构有权依据政府采购的有关规定，报请政府采购监管部门对该供应商进行相应的行政处罚。</w:t>
      </w:r>
    </w:p>
    <w:p w14:paraId="62B2EEB4">
      <w:pPr>
        <w:tabs>
          <w:tab w:val="left" w:pos="900"/>
        </w:tabs>
        <w:spacing w:line="360" w:lineRule="auto"/>
        <w:ind w:firstLine="422" w:firstLineChars="200"/>
        <w:jc w:val="left"/>
        <w:rPr>
          <w:rFonts w:hint="eastAsia" w:ascii="宋体" w:hAnsi="宋体" w:eastAsia="宋体" w:cs="Times New Roman"/>
          <w:b/>
          <w:szCs w:val="21"/>
        </w:rPr>
      </w:pPr>
      <w:bookmarkStart w:id="122" w:name="_Toc20823309"/>
      <w:bookmarkStart w:id="123" w:name="_Toc16938553"/>
      <w:bookmarkStart w:id="124" w:name="_Toc513029237"/>
      <w:r>
        <w:rPr>
          <w:rFonts w:hint="eastAsia" w:ascii="宋体" w:hAnsi="宋体" w:eastAsia="宋体" w:cs="Times New Roman"/>
          <w:b/>
          <w:szCs w:val="21"/>
        </w:rPr>
        <w:t>六、合同签订相关事项</w:t>
      </w:r>
    </w:p>
    <w:p w14:paraId="7EED56F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1、签订合同</w:t>
      </w:r>
    </w:p>
    <w:p w14:paraId="334B5A7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l成交供应商确定后，代理机构将向成交供应商发出成交通知书。成交供应商应按成交通知书规定的时间、地点,按照磋商文件确定的事项与采购人签订政府购买服务合同，且不得迟于成交通知书发出之日起三十日内，由此给采购人造成损失的，成交供应商还应承担赔偿责任。</w:t>
      </w:r>
    </w:p>
    <w:p w14:paraId="6D9C262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磋商文件、成交供应商的响应文件及磋商采购过程中有关澄清、承诺文件均应作为合同附件。</w:t>
      </w:r>
    </w:p>
    <w:p w14:paraId="0B97AA3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 签订合同后，</w:t>
      </w:r>
      <w:r>
        <w:rPr>
          <w:rFonts w:hint="eastAsia" w:ascii="宋体" w:hAnsi="宋体" w:eastAsia="宋体" w:cs="Times New Roman"/>
          <w:i/>
          <w:szCs w:val="21"/>
          <w:u w:val="single"/>
        </w:rPr>
        <w:t>成交供应商不得将成交产品或服务进行转包。</w:t>
      </w:r>
      <w:r>
        <w:rPr>
          <w:rFonts w:hint="eastAsia" w:ascii="宋体" w:hAnsi="宋体" w:eastAsia="宋体" w:cs="Times New Roman"/>
          <w:szCs w:val="21"/>
        </w:rPr>
        <w:t>未经采购人同意，成交供应商也不得采用分包的形式履行合同，否则采购人有权终止合同，成交供应商的履约保证金将不予退还。转包或分包造成采购人损失的，成交供应商应承担相应赔偿责任。</w:t>
      </w:r>
    </w:p>
    <w:bookmarkEnd w:id="122"/>
    <w:bookmarkEnd w:id="123"/>
    <w:bookmarkEnd w:id="124"/>
    <w:p w14:paraId="62803373">
      <w:pPr>
        <w:spacing w:line="360" w:lineRule="auto"/>
        <w:ind w:firstLine="422" w:firstLineChars="200"/>
        <w:outlineLvl w:val="3"/>
        <w:rPr>
          <w:rFonts w:hint="eastAsia" w:ascii="宋体" w:hAnsi="宋体" w:cs="Times New Roman"/>
          <w:bCs w:val="0"/>
          <w:szCs w:val="21"/>
          <w:lang w:val="en-US" w:eastAsia="zh-CN"/>
        </w:rPr>
      </w:pPr>
      <w:bookmarkStart w:id="125" w:name="_Toc497133092"/>
      <w:bookmarkStart w:id="126" w:name="_Toc267251511"/>
      <w:bookmarkStart w:id="127" w:name="_Toc267251509"/>
      <w:bookmarkStart w:id="128" w:name="_Toc267251513"/>
      <w:bookmarkStart w:id="129" w:name="_Toc267251514"/>
      <w:bookmarkStart w:id="130" w:name="_Toc267251515"/>
      <w:bookmarkStart w:id="131" w:name="_Toc267251510"/>
      <w:r>
        <w:rPr>
          <w:rFonts w:hint="eastAsia" w:ascii="宋体" w:hAnsi="宋体" w:eastAsia="宋体" w:cs="Times New Roman"/>
          <w:b/>
          <w:bCs/>
          <w:kern w:val="0"/>
          <w:szCs w:val="21"/>
        </w:rPr>
        <w:t>七、履约保证金</w:t>
      </w:r>
      <w:bookmarkEnd w:id="125"/>
    </w:p>
    <w:p w14:paraId="4D448A1A">
      <w:pPr>
        <w:spacing w:line="360" w:lineRule="auto"/>
        <w:ind w:firstLine="420" w:firstLineChars="200"/>
        <w:rPr>
          <w:rFonts w:hint="eastAsia" w:ascii="宋体" w:hAnsi="宋体" w:eastAsia="宋体" w:cs="Times New Roman"/>
          <w:szCs w:val="20"/>
          <w:highlight w:val="none"/>
          <w:lang w:eastAsia="zh-CN"/>
        </w:rPr>
      </w:pPr>
      <w:r>
        <w:rPr>
          <w:rFonts w:hint="eastAsia" w:ascii="宋体" w:hAnsi="宋体" w:cs="Times New Roman"/>
          <w:bCs w:val="0"/>
          <w:szCs w:val="21"/>
          <w:highlight w:val="none"/>
          <w:lang w:val="en-US" w:eastAsia="zh-CN"/>
        </w:rPr>
        <w:t>本项目无</w:t>
      </w:r>
      <w:r>
        <w:rPr>
          <w:rFonts w:hint="eastAsia" w:ascii="宋体" w:hAnsi="宋体" w:eastAsia="宋体" w:cs="Times New Roman"/>
          <w:b/>
          <w:bCs/>
          <w:kern w:val="0"/>
          <w:szCs w:val="21"/>
          <w:highlight w:val="none"/>
        </w:rPr>
        <w:t>履约保证金</w:t>
      </w:r>
      <w:r>
        <w:rPr>
          <w:rFonts w:hint="eastAsia" w:ascii="宋体" w:hAnsi="宋体" w:cs="Times New Roman"/>
          <w:b/>
          <w:bCs/>
          <w:kern w:val="0"/>
          <w:szCs w:val="21"/>
          <w:highlight w:val="none"/>
          <w:lang w:eastAsia="zh-CN"/>
        </w:rPr>
        <w:t>。</w:t>
      </w:r>
    </w:p>
    <w:p w14:paraId="63EF045A">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2F74A6C9">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653A1D8A">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4F8CD7D1">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60C5F26B">
      <w:pPr>
        <w:numPr>
          <w:ilvl w:val="0"/>
          <w:numId w:val="0"/>
        </w:numPr>
        <w:shd w:val="clear"/>
        <w:spacing w:line="720" w:lineRule="auto"/>
        <w:jc w:val="both"/>
        <w:rPr>
          <w:rFonts w:hint="eastAsia" w:ascii="宋体" w:hAnsi="宋体" w:eastAsia="宋体" w:cs="Arial"/>
          <w:b/>
          <w:bCs/>
          <w:kern w:val="2"/>
          <w:sz w:val="36"/>
          <w:szCs w:val="36"/>
          <w:lang w:val="en-US" w:eastAsia="zh-CN" w:bidi="ar-SA"/>
        </w:rPr>
      </w:pPr>
    </w:p>
    <w:p w14:paraId="65966E41">
      <w:pPr>
        <w:pStyle w:val="2"/>
        <w:rPr>
          <w:rFonts w:hint="eastAsia" w:ascii="宋体" w:hAnsi="宋体" w:eastAsia="宋体" w:cs="Arial"/>
          <w:b/>
          <w:bCs/>
          <w:kern w:val="2"/>
          <w:sz w:val="36"/>
          <w:szCs w:val="36"/>
          <w:lang w:val="en-US" w:eastAsia="zh-CN" w:bidi="ar-SA"/>
        </w:rPr>
      </w:pPr>
    </w:p>
    <w:p w14:paraId="7CE1C69E">
      <w:pPr>
        <w:pStyle w:val="2"/>
        <w:rPr>
          <w:rFonts w:hint="eastAsia" w:ascii="宋体" w:hAnsi="宋体" w:eastAsia="宋体" w:cs="Arial"/>
          <w:b/>
          <w:bCs/>
          <w:kern w:val="2"/>
          <w:sz w:val="36"/>
          <w:szCs w:val="36"/>
          <w:lang w:val="en-US" w:eastAsia="zh-CN" w:bidi="ar-SA"/>
        </w:rPr>
      </w:pPr>
    </w:p>
    <w:p w14:paraId="0C6D0C5D">
      <w:pPr>
        <w:pStyle w:val="2"/>
        <w:rPr>
          <w:rFonts w:hint="eastAsia" w:ascii="宋体" w:hAnsi="宋体" w:eastAsia="宋体" w:cs="Arial"/>
          <w:b/>
          <w:bCs/>
          <w:kern w:val="2"/>
          <w:sz w:val="36"/>
          <w:szCs w:val="36"/>
          <w:lang w:val="en-US" w:eastAsia="zh-CN" w:bidi="ar-SA"/>
        </w:rPr>
      </w:pPr>
    </w:p>
    <w:p w14:paraId="64F4DFBF">
      <w:pPr>
        <w:pStyle w:val="2"/>
        <w:rPr>
          <w:rFonts w:hint="eastAsia" w:ascii="宋体" w:hAnsi="宋体" w:eastAsia="宋体" w:cs="Arial"/>
          <w:b/>
          <w:bCs/>
          <w:kern w:val="2"/>
          <w:sz w:val="36"/>
          <w:szCs w:val="36"/>
          <w:lang w:val="en-US" w:eastAsia="zh-CN" w:bidi="ar-SA"/>
        </w:rPr>
      </w:pPr>
    </w:p>
    <w:p w14:paraId="272537A8">
      <w:pPr>
        <w:numPr>
          <w:ilvl w:val="0"/>
          <w:numId w:val="0"/>
        </w:numPr>
        <w:shd w:val="clear"/>
        <w:spacing w:line="720" w:lineRule="auto"/>
        <w:ind w:firstLine="723" w:firstLineChars="200"/>
        <w:jc w:val="center"/>
        <w:rPr>
          <w:rFonts w:hint="eastAsia" w:ascii="宋体" w:hAnsi="宋体" w:eastAsia="宋体" w:cs="Arial"/>
          <w:b/>
          <w:bCs/>
          <w:sz w:val="36"/>
          <w:szCs w:val="36"/>
        </w:rPr>
      </w:pPr>
      <w:r>
        <w:rPr>
          <w:rFonts w:hint="eastAsia" w:ascii="宋体" w:hAnsi="宋体" w:eastAsia="宋体" w:cs="Arial"/>
          <w:b/>
          <w:bCs/>
          <w:kern w:val="2"/>
          <w:sz w:val="36"/>
          <w:szCs w:val="36"/>
          <w:lang w:val="en-US" w:eastAsia="zh-CN" w:bidi="ar-SA"/>
        </w:rPr>
        <w:t>第三章</w:t>
      </w:r>
      <w:r>
        <w:rPr>
          <w:rFonts w:hint="eastAsia" w:ascii="宋体" w:hAnsi="宋体" w:cs="Arial"/>
          <w:b/>
          <w:bCs/>
          <w:kern w:val="2"/>
          <w:sz w:val="36"/>
          <w:szCs w:val="36"/>
          <w:lang w:val="en-US" w:eastAsia="zh-CN" w:bidi="ar-SA"/>
        </w:rPr>
        <w:t xml:space="preserve">  </w:t>
      </w:r>
      <w:r>
        <w:rPr>
          <w:rFonts w:hint="eastAsia" w:ascii="宋体" w:hAnsi="宋体" w:eastAsia="宋体" w:cs="Arial"/>
          <w:b/>
          <w:bCs/>
          <w:sz w:val="36"/>
          <w:szCs w:val="36"/>
        </w:rPr>
        <w:t>合同条款及格式</w:t>
      </w:r>
    </w:p>
    <w:p w14:paraId="08EF5B70">
      <w:pPr>
        <w:numPr>
          <w:ilvl w:val="0"/>
          <w:numId w:val="0"/>
        </w:numPr>
        <w:spacing w:line="360" w:lineRule="auto"/>
        <w:ind w:firstLine="420" w:firstLineChars="200"/>
        <w:rPr>
          <w:rFonts w:hint="eastAsia" w:ascii="宋体" w:hAnsi="宋体" w:eastAsia="宋体" w:cs="Times New Roman"/>
          <w:szCs w:val="20"/>
        </w:rPr>
      </w:pPr>
      <w:r>
        <w:rPr>
          <w:rFonts w:ascii="宋体" w:hAnsi="宋体" w:eastAsia="宋体" w:cs="Times New Roman"/>
          <w:szCs w:val="20"/>
        </w:rPr>
        <w:t>以下为</w:t>
      </w:r>
      <w:r>
        <w:rPr>
          <w:rFonts w:hint="eastAsia" w:ascii="宋体" w:hAnsi="宋体" w:eastAsia="宋体" w:cs="Times New Roman"/>
          <w:szCs w:val="20"/>
        </w:rPr>
        <w:t>成交</w:t>
      </w:r>
      <w:r>
        <w:rPr>
          <w:rFonts w:ascii="宋体" w:hAnsi="宋体" w:eastAsia="宋体" w:cs="Times New Roman"/>
          <w:szCs w:val="20"/>
        </w:rPr>
        <w:t>后签定本项目合同的通用条款，</w:t>
      </w:r>
      <w:r>
        <w:rPr>
          <w:rFonts w:hint="eastAsia" w:ascii="宋体" w:hAnsi="宋体" w:eastAsia="宋体" w:cs="Times New Roman"/>
          <w:szCs w:val="20"/>
        </w:rPr>
        <w:t>成交</w:t>
      </w:r>
      <w:r>
        <w:rPr>
          <w:rFonts w:ascii="宋体" w:hAnsi="宋体" w:eastAsia="宋体" w:cs="Times New Roman"/>
          <w:szCs w:val="20"/>
        </w:rPr>
        <w:t>供应商不得提出实质性的修改。关于专用条款将由采购人与</w:t>
      </w:r>
      <w:r>
        <w:rPr>
          <w:rFonts w:hint="eastAsia" w:ascii="宋体" w:hAnsi="宋体" w:eastAsia="宋体" w:cs="Times New Roman"/>
          <w:szCs w:val="20"/>
        </w:rPr>
        <w:t>成交</w:t>
      </w:r>
      <w:r>
        <w:rPr>
          <w:rFonts w:ascii="宋体" w:hAnsi="宋体" w:eastAsia="宋体" w:cs="Times New Roman"/>
          <w:szCs w:val="20"/>
        </w:rPr>
        <w:t>供应商结合本项目具体情况协商后补充，但补充内容对</w:t>
      </w:r>
      <w:r>
        <w:rPr>
          <w:rFonts w:hint="eastAsia" w:ascii="宋体" w:hAnsi="宋体" w:cs="Times New Roman"/>
          <w:szCs w:val="20"/>
          <w:lang w:val="en-US" w:eastAsia="zh-CN"/>
        </w:rPr>
        <w:t>磋商</w:t>
      </w:r>
      <w:r>
        <w:rPr>
          <w:rFonts w:ascii="宋体" w:hAnsi="宋体" w:eastAsia="宋体" w:cs="Times New Roman"/>
          <w:szCs w:val="20"/>
        </w:rPr>
        <w:t>文件和投标文件以及通用条款，不得作实质性修改。</w:t>
      </w:r>
    </w:p>
    <w:p w14:paraId="6763456A">
      <w:pPr>
        <w:rPr>
          <w:rFonts w:hint="eastAsia" w:ascii="宋体" w:hAnsi="宋体" w:eastAsia="宋体" w:cs="Times New Roman"/>
          <w:szCs w:val="20"/>
        </w:rPr>
      </w:pPr>
    </w:p>
    <w:bookmarkEnd w:id="126"/>
    <w:bookmarkEnd w:id="127"/>
    <w:bookmarkEnd w:id="128"/>
    <w:bookmarkEnd w:id="129"/>
    <w:bookmarkEnd w:id="130"/>
    <w:bookmarkEnd w:id="131"/>
    <w:p w14:paraId="026F2574">
      <w:pPr>
        <w:spacing w:before="143" w:beforeLines="50" w:after="143" w:afterLines="50"/>
        <w:jc w:val="center"/>
        <w:outlineLvl w:val="0"/>
        <w:rPr>
          <w:rFonts w:hint="default" w:ascii="宋体" w:hAnsi="宋体" w:eastAsia="宋体" w:cs="Times New Roman"/>
          <w:b/>
          <w:bCs/>
          <w:szCs w:val="21"/>
          <w:lang w:val="en-US" w:eastAsia="zh-CN"/>
        </w:rPr>
      </w:pPr>
      <w:r>
        <w:rPr>
          <w:rFonts w:hint="eastAsia" w:ascii="宋体" w:hAnsi="宋体" w:cs="Times New Roman"/>
          <w:b/>
          <w:szCs w:val="21"/>
          <w:lang w:val="en-US" w:eastAsia="zh-CN"/>
        </w:rPr>
        <w:t>南京邮电大学通达学院采购合同</w:t>
      </w:r>
    </w:p>
    <w:p w14:paraId="77AA0974">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项目名称：</w:t>
      </w:r>
      <w:r>
        <w:rPr>
          <w:rFonts w:hint="eastAsia" w:ascii="宋体" w:hAnsi="宋体" w:cs="Times New Roman"/>
          <w:color w:val="000000"/>
          <w:szCs w:val="21"/>
          <w:lang w:eastAsia="zh-CN"/>
        </w:rPr>
        <w:t>2025—2028年教学办公软件正版化项目</w:t>
      </w:r>
      <w:r>
        <w:rPr>
          <w:rFonts w:ascii="宋体" w:hAnsi="宋体" w:eastAsia="宋体" w:cs="Times New Roman"/>
          <w:szCs w:val="20"/>
        </w:rPr>
        <w:t xml:space="preserve">     </w:t>
      </w:r>
    </w:p>
    <w:p w14:paraId="22F0BF89">
      <w:pPr>
        <w:snapToGrid w:val="0"/>
        <w:spacing w:line="360" w:lineRule="auto"/>
        <w:ind w:firstLine="420" w:firstLineChars="200"/>
        <w:rPr>
          <w:rFonts w:hint="eastAsia" w:ascii="宋体" w:hAnsi="宋体" w:eastAsia="宋体" w:cs="Times New Roman"/>
          <w:szCs w:val="20"/>
          <w:lang w:eastAsia="zh-CN"/>
        </w:rPr>
      </w:pPr>
      <w:r>
        <w:rPr>
          <w:rFonts w:ascii="宋体" w:hAnsi="宋体" w:eastAsia="宋体" w:cs="Times New Roman"/>
          <w:szCs w:val="20"/>
        </w:rPr>
        <w:t>项目编号：</w:t>
      </w:r>
      <w:r>
        <w:rPr>
          <w:rFonts w:hint="eastAsia" w:ascii="宋体" w:hAnsi="宋体" w:cs="Times New Roman"/>
          <w:szCs w:val="20"/>
          <w:lang w:eastAsia="zh-CN"/>
        </w:rPr>
        <w:t>TDCG2025052</w:t>
      </w:r>
    </w:p>
    <w:p w14:paraId="26A2566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甲方（买方）：</w:t>
      </w:r>
      <w:r>
        <w:rPr>
          <w:rFonts w:hint="eastAsia" w:ascii="宋体" w:hAnsi="宋体" w:eastAsia="宋体" w:cs="Times New Roman"/>
          <w:szCs w:val="20"/>
        </w:rPr>
        <w:t>南京邮电大学通达学院</w:t>
      </w:r>
      <w:r>
        <w:rPr>
          <w:rFonts w:ascii="宋体" w:hAnsi="宋体" w:eastAsia="宋体" w:cs="Times New Roman"/>
          <w:szCs w:val="20"/>
        </w:rPr>
        <w:t xml:space="preserve">        </w:t>
      </w:r>
    </w:p>
    <w:p w14:paraId="13298E9F">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乙方（卖方）：</w:t>
      </w:r>
      <w:r>
        <w:rPr>
          <w:rFonts w:ascii="宋体" w:hAnsi="宋体" w:eastAsia="宋体" w:cs="Times New Roman"/>
          <w:szCs w:val="20"/>
          <w:u w:val="single"/>
        </w:rPr>
        <w:t xml:space="preserve">         </w:t>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 xml:space="preserve">     </w:t>
      </w:r>
    </w:p>
    <w:p w14:paraId="671F4DB8">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根据《中华人民共和国民法典》等法律法规的规定，甲乙双方按照本项目竞争性磋商的结果签订本合同。</w:t>
      </w:r>
    </w:p>
    <w:p w14:paraId="7139202B">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1、合同标的</w:t>
      </w:r>
    </w:p>
    <w:p w14:paraId="537ADB5B">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乙方根据甲方需求，提供下列服务：</w:t>
      </w:r>
      <w:r>
        <w:rPr>
          <w:rFonts w:ascii="宋体" w:hAnsi="宋体" w:eastAsia="宋体" w:cs="Times New Roman"/>
          <w:szCs w:val="20"/>
          <w:u w:val="single"/>
        </w:rPr>
        <w:t xml:space="preserve">                          </w:t>
      </w:r>
      <w:r>
        <w:rPr>
          <w:rFonts w:ascii="宋体" w:hAnsi="宋体" w:eastAsia="宋体" w:cs="Times New Roman"/>
          <w:szCs w:val="20"/>
        </w:rPr>
        <w:t>。</w:t>
      </w:r>
    </w:p>
    <w:p w14:paraId="0ED571DE">
      <w:pPr>
        <w:snapToGrid w:val="0"/>
        <w:spacing w:line="360" w:lineRule="auto"/>
        <w:ind w:firstLine="420" w:firstLineChars="200"/>
        <w:rPr>
          <w:rFonts w:hint="eastAsia" w:ascii="宋体" w:hAnsi="宋体" w:eastAsia="宋体" w:cs="Times New Roman"/>
          <w:b/>
          <w:szCs w:val="20"/>
        </w:rPr>
      </w:pPr>
      <w:r>
        <w:rPr>
          <w:rFonts w:ascii="宋体" w:hAnsi="宋体" w:eastAsia="宋体" w:cs="Times New Roman"/>
          <w:szCs w:val="20"/>
        </w:rPr>
        <w:t>服务内容等要求详见竞争性磋商文件及响应文件。</w:t>
      </w:r>
    </w:p>
    <w:p w14:paraId="662BA6A6">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2、合同总金额</w:t>
      </w:r>
    </w:p>
    <w:p w14:paraId="4EDFC2AB">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2.1 本合同金额为（大写）：  </w:t>
      </w:r>
      <w:r>
        <w:rPr>
          <w:rFonts w:ascii="宋体" w:hAnsi="宋体" w:eastAsia="宋体" w:cs="Times New Roman"/>
          <w:szCs w:val="20"/>
          <w:u w:val="single"/>
        </w:rPr>
        <w:t xml:space="preserve">         </w:t>
      </w:r>
      <w:r>
        <w:rPr>
          <w:rFonts w:ascii="宋体" w:hAnsi="宋体" w:eastAsia="宋体" w:cs="Times New Roman"/>
          <w:szCs w:val="20"/>
        </w:rPr>
        <w:t>元人民币（¥</w:t>
      </w:r>
      <w:r>
        <w:rPr>
          <w:rFonts w:ascii="宋体" w:hAnsi="宋体" w:eastAsia="宋体" w:cs="Times New Roman"/>
          <w:szCs w:val="20"/>
          <w:u w:val="single"/>
        </w:rPr>
        <w:t xml:space="preserve">          </w:t>
      </w:r>
      <w:r>
        <w:rPr>
          <w:rFonts w:ascii="宋体" w:hAnsi="宋体" w:eastAsia="宋体" w:cs="Times New Roman"/>
          <w:szCs w:val="20"/>
        </w:rPr>
        <w:t xml:space="preserve"> 元）。</w:t>
      </w:r>
    </w:p>
    <w:p w14:paraId="5F98A94C">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2.2 本合同总金额包括乙方提供的服务及其他有关的为完成本项目发生的所有费用，竞争性磋商文件中另有规定的除外。</w:t>
      </w:r>
    </w:p>
    <w:p w14:paraId="2CF785F8">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2.3 在竞争性磋商文件未列明，而乙方认为履行本合同必需的费用也包含在合同总金额中。</w:t>
      </w:r>
    </w:p>
    <w:p w14:paraId="19DF2609">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2.4 本合同总金额还包含乙方提供的伴随服务/售后服务费用。</w:t>
      </w:r>
    </w:p>
    <w:p w14:paraId="0932FD2F">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竞争性磋商采购时的价格水平做相应的调减，并据此签订补充合同；除上述情况外，本合同执行期间合同总金额不变。</w:t>
      </w:r>
    </w:p>
    <w:p w14:paraId="0AFE6385">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3、组成本合同的有关文件</w:t>
      </w:r>
    </w:p>
    <w:p w14:paraId="108A54BE">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3.1乙方应按竞争性磋商文件规定的时间向甲方提供服务的有关技术资料。</w:t>
      </w:r>
    </w:p>
    <w:p w14:paraId="0DFF9B9D">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3.2 没有甲方事先书面同意，乙方不得将由甲方提供的有关合同或任何合同条文或资料提供给任何其他人。即使向履行本合同有关的人员提供，也应注意保密并限于履行合同的必需范围。</w:t>
      </w:r>
    </w:p>
    <w:p w14:paraId="0176698C">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3.3 关于本项目政府采购的竞争性磋商文件、响应文件以及与本次采购活动方式相适应的文件及有关附件是本合同不可分割的组成部分，这些文件包括但不限于：</w:t>
      </w:r>
    </w:p>
    <w:p w14:paraId="3A7EF699">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（1）磋商响应文件；               （2）磋商报价文件；</w:t>
      </w:r>
    </w:p>
    <w:p w14:paraId="2EAEFED4">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（3）项目组人员表                 （4）技术参数、商务条款响应及偏离表；</w:t>
      </w:r>
    </w:p>
    <w:p w14:paraId="026C6809">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（5）服务承诺；                   （6）成交通知书；</w:t>
      </w:r>
    </w:p>
    <w:p w14:paraId="69EDF064">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（7）甲乙双方补充协议；           （8）乙方参加磋商时提供的响应文件。</w:t>
      </w:r>
    </w:p>
    <w:p w14:paraId="3C042F6E">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4、知识产权保证</w:t>
      </w:r>
    </w:p>
    <w:p w14:paraId="445CB05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乙方保证甲方在使用、接受本合同服务或其任何一部分时，不受第三方提出侵犯其专利权、版权、商标权和工业设计权等知识产权的起诉。一旦出现侵权，由乙方负全部责任。</w:t>
      </w:r>
    </w:p>
    <w:p w14:paraId="22DA4717">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5、产权保证</w:t>
      </w:r>
    </w:p>
    <w:p w14:paraId="396D8624">
      <w:pPr>
        <w:autoSpaceDE w:val="0"/>
        <w:autoSpaceDN w:val="0"/>
        <w:spacing w:line="360" w:lineRule="auto"/>
        <w:ind w:firstLine="420" w:firstLineChars="200"/>
        <w:rPr>
          <w:rFonts w:hint="eastAsia" w:ascii="宋体" w:hAnsi="宋体" w:eastAsia="宋体" w:cs="Times New Roman"/>
          <w:szCs w:val="21"/>
        </w:rPr>
      </w:pPr>
      <w:r>
        <w:rPr>
          <w:rFonts w:hint="eastAsia" w:ascii="宋体" w:hAnsi="宋体" w:eastAsia="宋体" w:cs="宋体"/>
          <w:szCs w:val="21"/>
        </w:rPr>
        <w:t>乙方保证所交付的服务和服务所涉及的物品所有权无任何抵押、查封等权利瑕疵。</w:t>
      </w:r>
    </w:p>
    <w:p w14:paraId="2FF29B7C">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6、履约保证金</w:t>
      </w:r>
    </w:p>
    <w:p w14:paraId="14FBC351">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6.1履约保证金用以约束乙方在合同履行中的行为，以及弥补合同履行中由于乙方自身行为可能给甲方带来的各种损失；若保证金额不足以弥补乙方违约造成甲方损失的，甲方可继续向乙方主张索赔。</w:t>
      </w:r>
    </w:p>
    <w:p w14:paraId="602A8AF5">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7、转包或分包</w:t>
      </w:r>
    </w:p>
    <w:p w14:paraId="260FDBE7">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7.1 本合同禁止转包，本合同范围的服务，应由乙方直接提供的，不得转让他人提供。</w:t>
      </w:r>
    </w:p>
    <w:p w14:paraId="0D8A733B">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7.2 经甲方同意，乙方可以依法采取分包方式履行合同，但是分包方式履行的，乙方应就采购项目向甲方负全责。</w:t>
      </w:r>
    </w:p>
    <w:p w14:paraId="6482A8AC">
      <w:pPr>
        <w:snapToGrid w:val="0"/>
        <w:spacing w:before="120" w:after="120" w:line="360" w:lineRule="auto"/>
        <w:ind w:left="315" w:leftChars="150" w:firstLine="105" w:firstLineChars="50"/>
        <w:rPr>
          <w:rFonts w:hint="eastAsia" w:ascii="宋体" w:hAnsi="宋体" w:eastAsia="宋体" w:cs="Times New Roman"/>
          <w:b/>
          <w:bCs/>
          <w:szCs w:val="20"/>
        </w:rPr>
      </w:pPr>
      <w:r>
        <w:rPr>
          <w:rFonts w:ascii="宋体" w:hAnsi="宋体" w:eastAsia="宋体" w:cs="Times New Roman"/>
          <w:b/>
          <w:bCs/>
          <w:szCs w:val="20"/>
        </w:rPr>
        <w:t>8、服务期</w:t>
      </w:r>
    </w:p>
    <w:p w14:paraId="5FB497D4">
      <w:pPr>
        <w:snapToGrid w:val="0"/>
        <w:spacing w:line="360" w:lineRule="auto"/>
        <w:ind w:firstLine="420" w:firstLineChars="200"/>
        <w:rPr>
          <w:rFonts w:hint="eastAsia" w:ascii="宋体" w:hAnsi="宋体" w:eastAsia="宋体" w:cs="Times New Roman"/>
          <w:bCs/>
          <w:sz w:val="22"/>
          <w:szCs w:val="21"/>
          <w:highlight w:val="none"/>
          <w:u w:val="none"/>
        </w:rPr>
      </w:pPr>
      <w:r>
        <w:rPr>
          <w:rFonts w:ascii="宋体" w:hAnsi="宋体" w:eastAsia="宋体" w:cs="Times New Roman"/>
          <w:bCs/>
          <w:szCs w:val="20"/>
        </w:rPr>
        <w:t>8.1服务期限：</w:t>
      </w:r>
      <w:r>
        <w:rPr>
          <w:rFonts w:hint="eastAsia" w:ascii="宋体" w:hAnsi="宋体" w:cs="宋体"/>
          <w:sz w:val="22"/>
          <w:szCs w:val="22"/>
          <w:highlight w:val="none"/>
          <w:u w:val="single"/>
          <w:lang w:val="en-US" w:eastAsia="zh-CN"/>
        </w:rPr>
        <w:t>叁</w:t>
      </w:r>
      <w:r>
        <w:rPr>
          <w:rFonts w:hint="eastAsia" w:ascii="宋体" w:hAnsi="宋体" w:eastAsia="宋体" w:cs="宋体"/>
          <w:sz w:val="22"/>
          <w:szCs w:val="22"/>
          <w:highlight w:val="none"/>
          <w:u w:val="single"/>
        </w:rPr>
        <w:t>年，合同首签壹年，经双方商定同意情况下，签订下一年合同</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甲方因需求变更可提前终止合同，费用据实结算</w:t>
      </w:r>
      <w:r>
        <w:rPr>
          <w:rFonts w:hint="eastAsia" w:ascii="宋体" w:hAnsi="宋体" w:eastAsia="宋体" w:cs="宋体"/>
          <w:sz w:val="22"/>
          <w:szCs w:val="22"/>
          <w:highlight w:val="none"/>
          <w:u w:val="none"/>
        </w:rPr>
        <w:t>。</w:t>
      </w:r>
    </w:p>
    <w:p w14:paraId="28A53128">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9、</w:t>
      </w:r>
      <w:r>
        <w:rPr>
          <w:rFonts w:ascii="Times New Roman" w:hAnsi="Times New Roman"/>
          <w:b/>
          <w:bCs/>
          <w:color w:val="000000"/>
        </w:rPr>
        <w:t>付款方式</w:t>
      </w:r>
    </w:p>
    <w:p w14:paraId="0272A2A6">
      <w:pPr>
        <w:autoSpaceDE w:val="0"/>
        <w:autoSpaceDN w:val="0"/>
        <w:adjustRightInd w:val="0"/>
        <w:snapToGrid w:val="0"/>
        <w:spacing w:line="360" w:lineRule="auto"/>
        <w:ind w:firstLine="420" w:firstLineChars="200"/>
        <w:rPr>
          <w:rFonts w:ascii="Times New Roman" w:hAnsi="Times New Roman"/>
          <w:color w:val="000000"/>
          <w:szCs w:val="21"/>
        </w:rPr>
      </w:pPr>
      <w:r>
        <w:rPr>
          <w:rFonts w:ascii="Times New Roman" w:hAnsi="Times New Roman"/>
          <w:szCs w:val="21"/>
        </w:rPr>
        <w:t xml:space="preserve">9.1 </w:t>
      </w:r>
      <w:r>
        <w:rPr>
          <w:rFonts w:ascii="Times New Roman" w:hAnsi="Times New Roman"/>
          <w:color w:val="000000"/>
          <w:szCs w:val="21"/>
        </w:rPr>
        <w:t xml:space="preserve">本合同项下所有款项均以人民币支付。 </w:t>
      </w:r>
    </w:p>
    <w:p w14:paraId="22728379">
      <w:pPr>
        <w:autoSpaceDE w:val="0"/>
        <w:autoSpaceDN w:val="0"/>
        <w:adjustRightInd w:val="0"/>
        <w:snapToGrid w:val="0"/>
        <w:spacing w:line="360" w:lineRule="auto"/>
        <w:ind w:firstLine="420" w:firstLineChars="200"/>
        <w:rPr>
          <w:rFonts w:ascii="Times New Roman" w:hAnsi="Times New Roman"/>
          <w:color w:val="000000"/>
          <w:szCs w:val="21"/>
        </w:rPr>
      </w:pPr>
      <w:r>
        <w:rPr>
          <w:rFonts w:ascii="Times New Roman" w:hAnsi="Times New Roman"/>
          <w:color w:val="000000"/>
          <w:szCs w:val="21"/>
        </w:rPr>
        <w:t>9.2 本合同项下的采购资金由甲方支付，付款前乙方向甲方开具发票。</w:t>
      </w:r>
    </w:p>
    <w:p w14:paraId="1118D589">
      <w:pPr>
        <w:snapToGrid w:val="0"/>
        <w:spacing w:line="360" w:lineRule="auto"/>
        <w:ind w:firstLine="420" w:firstLineChars="200"/>
        <w:rPr>
          <w:rFonts w:hint="eastAsia" w:ascii="宋体" w:hAnsi="宋体" w:eastAsia="宋体" w:cs="Times New Roman"/>
          <w:szCs w:val="21"/>
          <w:highlight w:val="none"/>
        </w:rPr>
      </w:pPr>
      <w:bookmarkStart w:id="132" w:name="_Toc31525"/>
      <w:r>
        <w:rPr>
          <w:rFonts w:ascii="Times New Roman" w:hAnsi="Times New Roman"/>
        </w:rPr>
        <w:t xml:space="preserve">9.3 </w:t>
      </w:r>
      <w:r>
        <w:rPr>
          <w:rFonts w:ascii="Times New Roman" w:hAnsi="Times New Roman"/>
          <w:color w:val="000000"/>
        </w:rPr>
        <w:t>甲方付款方式：</w:t>
      </w:r>
      <w:bookmarkEnd w:id="132"/>
      <w:r>
        <w:rPr>
          <w:rFonts w:hint="eastAsia" w:ascii="宋体" w:hAnsi="宋体" w:eastAsia="宋体" w:cs="宋体"/>
          <w:sz w:val="21"/>
          <w:szCs w:val="21"/>
          <w:highlight w:val="none"/>
          <w:u w:val="single"/>
        </w:rPr>
        <w:t>本采购项目无预付款，安装调试结束，经甲乙双方共同验收，合格后</w:t>
      </w:r>
      <w:r>
        <w:rPr>
          <w:rFonts w:hint="eastAsia" w:ascii="宋体" w:hAnsi="宋体" w:cs="宋体"/>
          <w:sz w:val="21"/>
          <w:szCs w:val="21"/>
          <w:highlight w:val="none"/>
          <w:u w:val="single"/>
          <w:lang w:eastAsia="zh-CN"/>
        </w:rPr>
        <w:t>，支</w:t>
      </w:r>
      <w:r>
        <w:rPr>
          <w:rFonts w:hint="eastAsia" w:ascii="宋体" w:hAnsi="宋体" w:eastAsia="宋体" w:cs="宋体"/>
          <w:sz w:val="21"/>
          <w:szCs w:val="21"/>
          <w:highlight w:val="none"/>
          <w:u w:val="single"/>
        </w:rPr>
        <w:t>付至当年合同总额的95%；</w:t>
      </w:r>
      <w:r>
        <w:rPr>
          <w:rFonts w:hint="eastAsia" w:ascii="宋体" w:hAnsi="宋体" w:cs="宋体"/>
          <w:sz w:val="21"/>
          <w:szCs w:val="21"/>
          <w:highlight w:val="none"/>
          <w:u w:val="single"/>
          <w:lang w:eastAsia="zh-CN"/>
        </w:rPr>
        <w:t>一年</w:t>
      </w:r>
      <w:r>
        <w:rPr>
          <w:rFonts w:hint="eastAsia" w:ascii="宋体" w:hAnsi="宋体" w:eastAsia="宋体" w:cs="宋体"/>
          <w:sz w:val="21"/>
          <w:szCs w:val="21"/>
          <w:highlight w:val="none"/>
          <w:u w:val="single"/>
        </w:rPr>
        <w:t>后无质量问题，余款无息结清。甲方付款前乙方需提供合法、有效、等额的增值税发票，否则，甲方有权拒付相应款项</w:t>
      </w:r>
      <w:r>
        <w:rPr>
          <w:rFonts w:hint="eastAsia" w:ascii="宋体" w:hAnsi="宋体" w:cs="宋体"/>
          <w:color w:val="auto"/>
          <w:szCs w:val="21"/>
          <w:highlight w:val="none"/>
          <w:u w:val="none"/>
        </w:rPr>
        <w:t>。</w:t>
      </w:r>
    </w:p>
    <w:p w14:paraId="0899B0E8">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0</w:t>
      </w:r>
      <w:r>
        <w:rPr>
          <w:rFonts w:ascii="宋体" w:hAnsi="宋体" w:eastAsia="宋体" w:cs="Times New Roman"/>
          <w:b/>
          <w:bCs/>
          <w:szCs w:val="20"/>
        </w:rPr>
        <w:t>、税费</w:t>
      </w:r>
    </w:p>
    <w:p w14:paraId="3E2A5AEF">
      <w:pPr>
        <w:snapToGrid w:val="0"/>
        <w:spacing w:line="360" w:lineRule="auto"/>
        <w:ind w:firstLine="420" w:firstLineChars="200"/>
        <w:rPr>
          <w:rFonts w:hint="eastAsia" w:ascii="宋体" w:hAnsi="宋体" w:eastAsia="宋体" w:cs="Times New Roman"/>
          <w:b/>
          <w:bCs/>
          <w:szCs w:val="20"/>
        </w:rPr>
      </w:pPr>
      <w:r>
        <w:rPr>
          <w:rFonts w:ascii="宋体" w:hAnsi="宋体" w:eastAsia="宋体" w:cs="宋体"/>
          <w:szCs w:val="20"/>
        </w:rPr>
        <w:t>本合同执行中相关的一切税费均由乙方负担。</w:t>
      </w:r>
    </w:p>
    <w:p w14:paraId="26DC2D82">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1</w:t>
      </w:r>
      <w:r>
        <w:rPr>
          <w:rFonts w:ascii="宋体" w:hAnsi="宋体" w:eastAsia="宋体" w:cs="Times New Roman"/>
          <w:b/>
          <w:bCs/>
          <w:szCs w:val="20"/>
        </w:rPr>
        <w:t>、质量保证及售后服务</w:t>
      </w:r>
    </w:p>
    <w:p w14:paraId="780F277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11.1 乙方应按竞争性磋商文件规定及响应文件承诺的技术性能、技术要求、质量标准向甲方提供服务；若无特殊说明，则按国家有关部门最新颁布的标准及规范为准。</w:t>
      </w:r>
    </w:p>
    <w:p w14:paraId="23B7068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11.2乙方应保证其提供的服务是全面和规范的，并完全符合竞争性磋商文件及响应文件。如因乙方提供的服务有瑕疵造成甲方损失的，所需费用由乙方承担。</w:t>
      </w:r>
    </w:p>
    <w:p w14:paraId="2B58CDF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11.3 如在使用过程中发生质量问题，乙方在接到甲方通知后在___小时内到达甲方现场。</w:t>
      </w:r>
    </w:p>
    <w:p w14:paraId="062F0B1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11.4 免费维保期内，乙方应对所提供服务出现的质量及安全问题负责处理解决并承担一切费</w:t>
      </w:r>
      <w:r>
        <w:rPr>
          <w:rFonts w:hint="eastAsia" w:ascii="宋体" w:hAnsi="宋体" w:eastAsia="宋体" w:cs="宋体"/>
          <w:szCs w:val="21"/>
        </w:rPr>
        <w:t>用。</w:t>
      </w:r>
    </w:p>
    <w:p w14:paraId="4DDE26CE">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2</w:t>
      </w:r>
      <w:r>
        <w:rPr>
          <w:rFonts w:ascii="宋体" w:hAnsi="宋体" w:eastAsia="宋体" w:cs="Times New Roman"/>
          <w:b/>
          <w:bCs/>
          <w:szCs w:val="20"/>
        </w:rPr>
        <w:t>、交付和验收</w:t>
      </w:r>
    </w:p>
    <w:p w14:paraId="016C7BA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12.1 乙方应当在合同签订后</w:t>
      </w:r>
      <w:r>
        <w:rPr>
          <w:rFonts w:hint="eastAsia" w:ascii="宋体" w:hAnsi="宋体" w:eastAsia="宋体" w:cs="Times New Roman"/>
          <w:szCs w:val="21"/>
          <w:u w:val="single"/>
        </w:rPr>
        <w:t xml:space="preserve">      </w:t>
      </w:r>
      <w:r>
        <w:rPr>
          <w:rFonts w:hint="eastAsia" w:ascii="宋体" w:hAnsi="宋体" w:eastAsia="宋体" w:cs="Times New Roman"/>
          <w:szCs w:val="21"/>
        </w:rPr>
        <w:t>天内完成服务事项，竞争性磋商文件有约定的，从其约定。</w:t>
      </w:r>
    </w:p>
    <w:p w14:paraId="434768C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在交付前，乙方应作出全面检查和对验收文件进行整理，并列出清单，作为甲方初验收和使用的技术条件依据，检验的结果交甲方。</w:t>
      </w:r>
    </w:p>
    <w:p w14:paraId="3686187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12.2 验收标准：按乙方磋商响应文件的承诺，并不低于国家相关标准。</w:t>
      </w:r>
    </w:p>
    <w:p w14:paraId="67A3EC2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对于乙方要交付的服务，甲乙双方须在</w:t>
      </w:r>
      <w:r>
        <w:rPr>
          <w:rFonts w:hint="eastAsia" w:ascii="宋体" w:hAnsi="宋体" w:eastAsia="宋体" w:cs="Times New Roman"/>
          <w:szCs w:val="21"/>
          <w:u w:val="single"/>
        </w:rPr>
        <w:t xml:space="preserve">    </w:t>
      </w:r>
      <w:r>
        <w:rPr>
          <w:rFonts w:hint="eastAsia" w:ascii="宋体" w:hAnsi="宋体" w:eastAsia="宋体" w:cs="Times New Roman"/>
          <w:szCs w:val="21"/>
        </w:rPr>
        <w:t>工作日内初验收，甲方对乙方提交的服务依据竞争性磋商文件上的技术要求和国家有关质量标准进行现场初步验收，外观、说明书、包装符合竞争性磋商文件技术要求的，给予签收，初步验收不合格的不予签收。</w:t>
      </w:r>
    </w:p>
    <w:p w14:paraId="258B40F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12.3 乙方按照竞争性磋商文件要求负责安装并培训甲方的使用操作人员，乙方在甲方使用前进行调试，调试直到符合技术要求的甲方才做最终验收。</w:t>
      </w:r>
    </w:p>
    <w:p w14:paraId="5506B1A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6EA595E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12.5 甲乙双方关于调试和验收的其他约定：</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7DB2BB4B">
      <w:pPr>
        <w:snapToGrid w:val="0"/>
        <w:spacing w:line="360" w:lineRule="auto"/>
        <w:ind w:firstLine="422" w:firstLineChars="200"/>
        <w:rPr>
          <w:rFonts w:hint="eastAsia" w:ascii="宋体" w:hAnsi="宋体" w:eastAsia="宋体" w:cs="Courier New"/>
          <w:b/>
          <w:bCs/>
          <w:szCs w:val="20"/>
        </w:rPr>
      </w:pPr>
      <w:r>
        <w:rPr>
          <w:rFonts w:ascii="宋体" w:hAnsi="宋体" w:eastAsia="宋体" w:cs="Times New Roman"/>
          <w:b/>
          <w:bCs/>
          <w:szCs w:val="20"/>
        </w:rPr>
        <w:t>1</w:t>
      </w:r>
      <w:r>
        <w:rPr>
          <w:rFonts w:hint="eastAsia" w:ascii="宋体" w:hAnsi="宋体" w:eastAsia="宋体" w:cs="Times New Roman"/>
          <w:b/>
          <w:bCs/>
          <w:szCs w:val="20"/>
        </w:rPr>
        <w:t>3</w:t>
      </w:r>
      <w:r>
        <w:rPr>
          <w:rFonts w:ascii="宋体" w:hAnsi="宋体" w:eastAsia="宋体" w:cs="Times New Roman"/>
          <w:b/>
          <w:bCs/>
          <w:szCs w:val="20"/>
        </w:rPr>
        <w:t>、违约责任</w:t>
      </w:r>
    </w:p>
    <w:p w14:paraId="451441A5">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.1 甲方无正当理由拒绝初验收和终验收服务项目的，甲方应按未付服务项目款金额每日万分之五向乙方支付违约金。</w:t>
      </w:r>
    </w:p>
    <w:p w14:paraId="4CB442A1">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.2 甲方无故逾期验收和无故逾期办理款项支付手续的,甲方应按逾期付款金额每日万分之五向乙方支付违约金。</w:t>
      </w:r>
    </w:p>
    <w:p w14:paraId="19C18740">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.3乙方违约，在消除违约情形前，应按本合同项目总额每日万分之五向甲方支付违约金，甲方可以从待付款项中扣除。</w:t>
      </w:r>
    </w:p>
    <w:p w14:paraId="3043CD38">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.4乙方因逾期交付服务项目或因其他违约行为，导致甲方解除合同的，乙方应向甲方支付合同总值5%的违约金，如造成甲方损失超过违约金的，超出部分由乙方继续承担赔偿责任。</w:t>
      </w:r>
    </w:p>
    <w:p w14:paraId="6CD5ACDF">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.5 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14:paraId="532F6F35">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.6合同生效后，发现乙方投标属虚假承诺，或经权威部门监测提供的服务不能满足竞争性磋商文件要求，造成合同无法继续履行的，乙方履约保证金不予退还外，还应向甲方支付不少于合同总价</w:t>
      </w:r>
      <w:r>
        <w:rPr>
          <w:rFonts w:ascii="宋体" w:hAnsi="宋体" w:eastAsia="宋体" w:cs="宋体"/>
          <w:szCs w:val="20"/>
          <w:u w:val="single"/>
        </w:rPr>
        <w:t xml:space="preserve"> </w:t>
      </w:r>
      <w:r>
        <w:rPr>
          <w:rFonts w:hint="eastAsia" w:ascii="宋体" w:hAnsi="宋体" w:eastAsia="宋体" w:cs="宋体"/>
          <w:szCs w:val="20"/>
          <w:u w:val="single"/>
          <w:lang w:val="en-US" w:eastAsia="zh-CN"/>
        </w:rPr>
        <w:t>10</w:t>
      </w:r>
      <w:r>
        <w:rPr>
          <w:rFonts w:ascii="宋体" w:hAnsi="宋体" w:eastAsia="宋体" w:cs="宋体"/>
          <w:szCs w:val="20"/>
          <w:u w:val="single"/>
        </w:rPr>
        <w:t xml:space="preserve"> </w:t>
      </w:r>
      <w:r>
        <w:rPr>
          <w:rFonts w:ascii="宋体" w:hAnsi="宋体" w:eastAsia="宋体" w:cs="宋体"/>
          <w:szCs w:val="20"/>
        </w:rPr>
        <w:t>%赔偿金。</w:t>
      </w:r>
    </w:p>
    <w:p w14:paraId="1D620E38">
      <w:pPr>
        <w:snapToGrid w:val="0"/>
        <w:spacing w:line="360" w:lineRule="auto"/>
        <w:ind w:firstLine="422" w:firstLineChars="200"/>
        <w:rPr>
          <w:rFonts w:hint="eastAsia" w:ascii="宋体" w:hAnsi="宋体" w:eastAsia="宋体" w:cs="Courier New"/>
          <w:b/>
          <w:bCs/>
          <w:szCs w:val="20"/>
        </w:rPr>
      </w:pPr>
      <w:r>
        <w:rPr>
          <w:rFonts w:ascii="宋体" w:hAnsi="宋体" w:eastAsia="宋体" w:cs="Times New Roman"/>
          <w:b/>
          <w:bCs/>
          <w:szCs w:val="20"/>
        </w:rPr>
        <w:t>1</w:t>
      </w:r>
      <w:r>
        <w:rPr>
          <w:rFonts w:hint="eastAsia" w:ascii="宋体" w:hAnsi="宋体" w:eastAsia="宋体" w:cs="Times New Roman"/>
          <w:b/>
          <w:bCs/>
          <w:szCs w:val="20"/>
        </w:rPr>
        <w:t>4</w:t>
      </w:r>
      <w:r>
        <w:rPr>
          <w:rFonts w:ascii="宋体" w:hAnsi="宋体" w:eastAsia="宋体" w:cs="Times New Roman"/>
          <w:b/>
          <w:bCs/>
          <w:szCs w:val="20"/>
        </w:rPr>
        <w:t>、不可抗力事件处理</w:t>
      </w:r>
    </w:p>
    <w:p w14:paraId="42D548D2">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442BEBBC">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2240C262">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5</w:t>
      </w:r>
      <w:r>
        <w:rPr>
          <w:rFonts w:ascii="宋体" w:hAnsi="宋体" w:eastAsia="宋体" w:cs="Times New Roman"/>
          <w:b/>
          <w:bCs/>
          <w:szCs w:val="20"/>
        </w:rPr>
        <w:t>、争议解决</w:t>
      </w:r>
    </w:p>
    <w:p w14:paraId="6113CD73">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.1 因服务的品质质量问题发生争议的，可在国家认可的质量检测机构对服务内容质量进行鉴定。服务符合标准的，鉴定费由甲方承担；服务项目不符合质量标准的，鉴定费由乙方承担。</w:t>
      </w:r>
    </w:p>
    <w:p w14:paraId="2178F391">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.2 因履行本合同引起的或与本合同有关的争议，甲、乙双方应首先通过友好协商解决；如果协商不能解决争议，甲乙双方同意采取下列两种方式的第</w:t>
      </w:r>
      <w:r>
        <w:rPr>
          <w:rFonts w:ascii="宋体" w:hAnsi="宋体" w:eastAsia="宋体" w:cs="Times New Roman"/>
          <w:szCs w:val="20"/>
          <w:u w:val="single"/>
        </w:rPr>
        <w:t xml:space="preserve">（ </w:t>
      </w:r>
      <w:r>
        <w:rPr>
          <w:rFonts w:hint="eastAsia" w:ascii="宋体" w:hAnsi="宋体" w:eastAsia="宋体" w:cs="Times New Roman"/>
          <w:szCs w:val="20"/>
          <w:u w:val="single"/>
        </w:rPr>
        <w:t>1</w:t>
      </w:r>
      <w:r>
        <w:rPr>
          <w:rFonts w:ascii="宋体" w:hAnsi="宋体" w:eastAsia="宋体" w:cs="Times New Roman"/>
          <w:szCs w:val="20"/>
          <w:u w:val="single"/>
        </w:rPr>
        <w:t xml:space="preserve"> ）</w:t>
      </w:r>
      <w:r>
        <w:rPr>
          <w:rFonts w:ascii="宋体" w:hAnsi="宋体" w:eastAsia="宋体" w:cs="Times New Roman"/>
          <w:szCs w:val="20"/>
        </w:rPr>
        <w:t>种方式解决争议：</w:t>
      </w:r>
    </w:p>
    <w:p w14:paraId="4118FE30">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（1）向甲方所在地有管辖权的人民法院提起诉讼，适用中华人民共和国法律；</w:t>
      </w:r>
    </w:p>
    <w:p w14:paraId="0A08018F">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（2）向扬州仲裁委员会按其仲裁规则申请仲裁。</w:t>
      </w:r>
    </w:p>
    <w:p w14:paraId="59E9E1FA">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.3 若甲乙双方任何一方都没有选择解除合同的，为避免扩大损失，在诉讼或仲裁期间，双方应继续履行。</w:t>
      </w:r>
    </w:p>
    <w:p w14:paraId="6DE256DB">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6</w:t>
      </w:r>
      <w:r>
        <w:rPr>
          <w:rFonts w:ascii="宋体" w:hAnsi="宋体" w:eastAsia="宋体" w:cs="Times New Roman"/>
          <w:b/>
          <w:bCs/>
          <w:szCs w:val="20"/>
        </w:rPr>
        <w:t>、合同其它</w:t>
      </w:r>
    </w:p>
    <w:p w14:paraId="4E99B608">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.1 乙方应诚实信用，严格按照竞争性磋商文件要求和投标承诺履行合同，不向甲方进行商业贿赂或者提供不正当利益。</w:t>
      </w:r>
    </w:p>
    <w:p w14:paraId="47F52B61">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.2 合同经双方法定代表人或授权代表签字并加盖单位公章后生效。</w:t>
      </w:r>
    </w:p>
    <w:p w14:paraId="69DC9388">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.3本合同未尽事宜，遵照《</w:t>
      </w:r>
      <w:r>
        <w:rPr>
          <w:rFonts w:hint="eastAsia" w:ascii="宋体" w:hAnsi="宋体" w:eastAsia="宋体" w:cs="Times New Roman"/>
          <w:szCs w:val="20"/>
        </w:rPr>
        <w:t>中华人民共和国</w:t>
      </w:r>
      <w:r>
        <w:rPr>
          <w:rFonts w:ascii="宋体" w:hAnsi="宋体" w:eastAsia="宋体" w:cs="Times New Roman"/>
          <w:szCs w:val="20"/>
        </w:rPr>
        <w:t>民法典》有关条文执行。</w:t>
      </w:r>
    </w:p>
    <w:p w14:paraId="05E914D0">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.4 本合同正本一式</w:t>
      </w:r>
      <w:r>
        <w:rPr>
          <w:rFonts w:hint="eastAsia" w:ascii="宋体" w:hAnsi="宋体" w:eastAsia="宋体" w:cs="Times New Roman"/>
          <w:szCs w:val="20"/>
          <w:lang w:val="en-US" w:eastAsia="zh-CN"/>
        </w:rPr>
        <w:t>陆</w:t>
      </w:r>
      <w:r>
        <w:rPr>
          <w:rFonts w:ascii="宋体" w:hAnsi="宋体" w:eastAsia="宋体" w:cs="Times New Roman"/>
          <w:szCs w:val="20"/>
        </w:rPr>
        <w:t>份，具有同等法律效力，甲方执</w:t>
      </w:r>
      <w:r>
        <w:rPr>
          <w:rFonts w:hint="eastAsia" w:ascii="宋体" w:hAnsi="宋体" w:eastAsia="宋体" w:cs="Times New Roman"/>
          <w:szCs w:val="20"/>
          <w:lang w:val="en-US" w:eastAsia="zh-CN"/>
        </w:rPr>
        <w:t>肆</w:t>
      </w:r>
      <w:r>
        <w:rPr>
          <w:rFonts w:ascii="宋体" w:hAnsi="宋体" w:eastAsia="宋体" w:cs="Times New Roman"/>
          <w:szCs w:val="20"/>
        </w:rPr>
        <w:t>份、乙方</w:t>
      </w:r>
      <w:r>
        <w:rPr>
          <w:rFonts w:hint="eastAsia" w:ascii="宋体" w:hAnsi="宋体" w:eastAsia="宋体" w:cs="Times New Roman"/>
          <w:szCs w:val="20"/>
          <w:lang w:val="en-US" w:eastAsia="zh-CN"/>
        </w:rPr>
        <w:t>执贰</w:t>
      </w:r>
      <w:r>
        <w:rPr>
          <w:rFonts w:ascii="宋体" w:hAnsi="宋体" w:eastAsia="宋体" w:cs="Times New Roman"/>
          <w:szCs w:val="20"/>
        </w:rPr>
        <w:t>份。</w:t>
      </w:r>
    </w:p>
    <w:p w14:paraId="4569DCEB">
      <w:pPr>
        <w:snapToGrid w:val="0"/>
        <w:spacing w:line="360" w:lineRule="auto"/>
        <w:ind w:firstLine="420" w:firstLineChars="200"/>
        <w:rPr>
          <w:rFonts w:hint="eastAsia" w:ascii="宋体" w:hAnsi="宋体" w:eastAsia="宋体" w:cs="Times New Roman"/>
          <w:szCs w:val="20"/>
        </w:rPr>
      </w:pPr>
    </w:p>
    <w:p w14:paraId="1CA69919">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甲方：                                             乙方：</w:t>
      </w:r>
    </w:p>
    <w:p w14:paraId="3F4952A0">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单位名称：南京邮电大学通达学院                     单位名称：</w:t>
      </w:r>
    </w:p>
    <w:p w14:paraId="6273F24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单位地址：扬州市润扬南路33号                      单位地址：</w:t>
      </w:r>
    </w:p>
    <w:p w14:paraId="3630C23F">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法定代表人：                                       法定代表人：</w:t>
      </w:r>
    </w:p>
    <w:p w14:paraId="7C7E04E4">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委托代理人（签字）：                                委托代理人（签字）：</w:t>
      </w:r>
    </w:p>
    <w:p w14:paraId="33BFAF16">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联系电话：                                         联系电话：                                            </w:t>
      </w:r>
    </w:p>
    <w:p w14:paraId="66D7B81B">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开户银行：</w:t>
      </w:r>
      <w:r>
        <w:rPr>
          <w:rFonts w:hint="eastAsia" w:ascii="宋体" w:hAnsi="宋体" w:eastAsia="宋体" w:cs="Times New Roman"/>
          <w:szCs w:val="20"/>
          <w:highlight w:val="none"/>
        </w:rPr>
        <w:t xml:space="preserve">江苏银行扬州东城支行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开户银行： </w:t>
      </w:r>
    </w:p>
    <w:p w14:paraId="7DB3A4EF">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户名：南京邮电大学通达学院                         户名： </w:t>
      </w:r>
    </w:p>
    <w:p w14:paraId="50E50159">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账号：90150188000177163                            账号： </w:t>
      </w:r>
    </w:p>
    <w:p w14:paraId="7036B0F0">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税号：52320000509200179F                           行号：  </w:t>
      </w:r>
    </w:p>
    <w:p w14:paraId="64403F95">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电话：0514-89716081                                项目联系人：</w:t>
      </w:r>
    </w:p>
    <w:p w14:paraId="2E0E635F">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签约日期（即合同生效日期）：    年   月    日       联系电话：</w:t>
      </w:r>
    </w:p>
    <w:p w14:paraId="3812A4A1">
      <w:pPr>
        <w:snapToGrid w:val="0"/>
        <w:spacing w:line="360" w:lineRule="auto"/>
        <w:ind w:firstLine="420" w:firstLineChars="200"/>
        <w:rPr>
          <w:rFonts w:hint="eastAsia" w:ascii="宋体" w:hAnsi="宋体" w:eastAsia="宋体" w:cs="Times New Roman"/>
          <w:szCs w:val="20"/>
        </w:rPr>
      </w:pPr>
    </w:p>
    <w:p w14:paraId="0FF9B7E6">
      <w:pPr>
        <w:snapToGrid w:val="0"/>
        <w:spacing w:line="360" w:lineRule="auto"/>
        <w:rPr>
          <w:rFonts w:hint="eastAsia" w:ascii="宋体" w:hAnsi="宋体" w:eastAsia="宋体" w:cs="Times New Roman"/>
          <w:szCs w:val="20"/>
        </w:rPr>
        <w:sectPr>
          <w:headerReference r:id="rId7" w:type="default"/>
          <w:footerReference r:id="rId8" w:type="default"/>
          <w:pgSz w:w="11906" w:h="16838"/>
          <w:pgMar w:top="1440" w:right="1247" w:bottom="1440" w:left="1247" w:header="1191" w:footer="907" w:gutter="0"/>
          <w:cols w:space="720" w:num="1"/>
          <w:titlePg/>
          <w:docGrid w:type="lines" w:linePitch="286" w:charSpace="0"/>
        </w:sectPr>
      </w:pPr>
    </w:p>
    <w:p w14:paraId="7C1A4CF7">
      <w:pPr>
        <w:keepNext/>
        <w:keepLines/>
        <w:numPr>
          <w:ilvl w:val="0"/>
          <w:numId w:val="5"/>
        </w:numPr>
        <w:spacing w:before="260" w:after="260" w:line="360" w:lineRule="auto"/>
        <w:jc w:val="center"/>
        <w:outlineLvl w:val="1"/>
        <w:rPr>
          <w:rFonts w:hint="eastAsia" w:ascii="宋体" w:hAnsi="宋体" w:eastAsia="宋体" w:cs="Arial"/>
          <w:b/>
          <w:bCs/>
          <w:sz w:val="36"/>
          <w:szCs w:val="36"/>
        </w:rPr>
      </w:pPr>
      <w:r>
        <w:rPr>
          <w:rFonts w:hint="eastAsia" w:ascii="宋体" w:hAnsi="宋体" w:eastAsia="宋体" w:cs="Arial"/>
          <w:b/>
          <w:bCs/>
          <w:sz w:val="36"/>
          <w:szCs w:val="36"/>
        </w:rPr>
        <w:t>项目需求</w:t>
      </w:r>
      <w:bookmarkStart w:id="133" w:name="_Toc23828480"/>
      <w:bookmarkStart w:id="134" w:name="_Toc26554097"/>
      <w:bookmarkStart w:id="135" w:name="_Toc61149622"/>
    </w:p>
    <w:p w14:paraId="1D63000B">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项目介绍</w:t>
      </w:r>
    </w:p>
    <w:p w14:paraId="4186A0AB">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为解决南京邮电大学通达学院</w:t>
      </w:r>
      <w:r>
        <w:rPr>
          <w:rFonts w:hint="eastAsia" w:ascii="宋体" w:hAnsi="宋体" w:eastAsia="宋体" w:cs="宋体"/>
          <w:sz w:val="21"/>
          <w:szCs w:val="21"/>
        </w:rPr>
        <w:t>教学办公</w:t>
      </w:r>
      <w:r>
        <w:rPr>
          <w:rFonts w:hint="eastAsia" w:ascii="宋体" w:hAnsi="宋体" w:eastAsia="宋体" w:cs="宋体"/>
          <w:sz w:val="21"/>
          <w:szCs w:val="21"/>
          <w:lang w:val="en-US" w:eastAsia="zh-CN"/>
        </w:rPr>
        <w:t>所需软件的正版化问题</w:t>
      </w:r>
      <w:r>
        <w:rPr>
          <w:rFonts w:hint="eastAsia" w:ascii="宋体" w:hAnsi="宋体" w:eastAsia="宋体" w:cs="宋体"/>
          <w:sz w:val="21"/>
          <w:szCs w:val="21"/>
        </w:rPr>
        <w:t>，拟采购</w:t>
      </w:r>
      <w:r>
        <w:rPr>
          <w:rFonts w:hint="eastAsia" w:ascii="宋体" w:hAnsi="宋体" w:eastAsia="宋体" w:cs="宋体"/>
          <w:sz w:val="21"/>
          <w:szCs w:val="21"/>
          <w:lang w:val="en-US" w:eastAsia="zh-CN"/>
        </w:rPr>
        <w:t>微软正版化完整解决方案一套。</w:t>
      </w:r>
    </w:p>
    <w:p w14:paraId="7ED40533">
      <w:pPr>
        <w:numPr>
          <w:ilvl w:val="0"/>
          <w:numId w:val="0"/>
        </w:num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软件要求</w:t>
      </w:r>
    </w:p>
    <w:p w14:paraId="1765790D">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（一）商务要求：</w:t>
      </w:r>
    </w:p>
    <w:p w14:paraId="422D7E11">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投标的产品必须为微软教育授权提供的正版化解决方案，不需要其他形式或第三方的微软产品正版化解决方案；</w:t>
      </w:r>
    </w:p>
    <w:p w14:paraId="49BB9B6B">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cs="宋体"/>
          <w:sz w:val="21"/>
          <w:szCs w:val="21"/>
          <w:lang w:eastAsia="zh-CN"/>
        </w:rPr>
        <w:t>供应商</w:t>
      </w:r>
      <w:r>
        <w:rPr>
          <w:rFonts w:hint="eastAsia" w:ascii="宋体" w:hAnsi="宋体" w:eastAsia="宋体" w:cs="宋体"/>
          <w:sz w:val="21"/>
          <w:szCs w:val="21"/>
        </w:rPr>
        <w:t>需要提供全校范围微软操作系统及办公系统正版化的一个完整的解决方案，不得为每一项微软产品提供单独的解决方案；</w:t>
      </w:r>
    </w:p>
    <w:p w14:paraId="4CC45679">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cs="宋体"/>
          <w:sz w:val="21"/>
          <w:szCs w:val="21"/>
          <w:lang w:eastAsia="zh-CN"/>
        </w:rPr>
        <w:t>供应商</w:t>
      </w:r>
      <w:r>
        <w:rPr>
          <w:rFonts w:hint="eastAsia" w:ascii="宋体" w:hAnsi="宋体" w:eastAsia="宋体" w:cs="宋体"/>
          <w:sz w:val="21"/>
          <w:szCs w:val="21"/>
        </w:rPr>
        <w:t>必须承诺中标后提供微软（中国）有限公司对本次</w:t>
      </w:r>
      <w:r>
        <w:rPr>
          <w:rFonts w:hint="eastAsia" w:ascii="宋体" w:hAnsi="宋体" w:cs="宋体"/>
          <w:sz w:val="21"/>
          <w:szCs w:val="21"/>
          <w:lang w:val="en-US" w:eastAsia="zh-CN"/>
        </w:rPr>
        <w:t>采购</w:t>
      </w:r>
      <w:r>
        <w:rPr>
          <w:rFonts w:hint="eastAsia" w:ascii="宋体" w:hAnsi="宋体" w:eastAsia="宋体" w:cs="宋体"/>
          <w:sz w:val="21"/>
          <w:szCs w:val="21"/>
        </w:rPr>
        <w:t>的产品授权证书原件；</w:t>
      </w:r>
    </w:p>
    <w:p w14:paraId="01BC42CA">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培训服务：</w:t>
      </w:r>
      <w:r>
        <w:rPr>
          <w:rFonts w:hint="eastAsia" w:ascii="宋体" w:hAnsi="宋体" w:cs="宋体"/>
          <w:sz w:val="21"/>
          <w:szCs w:val="21"/>
          <w:lang w:eastAsia="zh-CN"/>
        </w:rPr>
        <w:t>供应商</w:t>
      </w:r>
      <w:r>
        <w:rPr>
          <w:rFonts w:hint="eastAsia" w:ascii="宋体" w:hAnsi="宋体" w:eastAsia="宋体" w:cs="宋体"/>
          <w:sz w:val="21"/>
          <w:szCs w:val="21"/>
        </w:rPr>
        <w:t>需提供完善的培训服务及方案，若涉及费用，在报价中单列，并提供明细。</w:t>
      </w:r>
    </w:p>
    <w:p w14:paraId="2171B12F">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功能要求：</w:t>
      </w:r>
    </w:p>
    <w:p w14:paraId="1AC2EB34">
      <w:pPr>
        <w:adjustRightInd w:val="0"/>
        <w:snapToGrid w:val="0"/>
        <w:spacing w:line="360" w:lineRule="auto"/>
        <w:ind w:left="584" w:leftChars="228" w:hanging="105" w:hangingChars="50"/>
        <w:rPr>
          <w:rFonts w:hint="eastAsia" w:ascii="宋体" w:hAnsi="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.经微软</w:t>
      </w:r>
      <w:r>
        <w:rPr>
          <w:rFonts w:hint="eastAsia" w:ascii="宋体" w:hAnsi="宋体" w:eastAsia="宋体" w:cs="宋体"/>
          <w:sz w:val="21"/>
          <w:szCs w:val="21"/>
        </w:rPr>
        <w:t>教育</w:t>
      </w:r>
      <w:r>
        <w:rPr>
          <w:rFonts w:hint="eastAsia" w:ascii="宋体" w:hAnsi="宋体" w:eastAsia="宋体" w:cs="宋体"/>
          <w:sz w:val="21"/>
          <w:szCs w:val="21"/>
          <w:lang w:eastAsia="zh-CN"/>
        </w:rPr>
        <w:t>授权</w:t>
      </w:r>
      <w:r>
        <w:rPr>
          <w:rFonts w:hint="eastAsia" w:ascii="宋体" w:hAnsi="宋体" w:eastAsia="宋体" w:cs="宋体"/>
          <w:sz w:val="21"/>
          <w:szCs w:val="21"/>
        </w:rPr>
        <w:t>并提供服务的Windows专业版软件许可证</w:t>
      </w:r>
      <w:r>
        <w:rPr>
          <w:rFonts w:hint="eastAsia" w:ascii="宋体" w:hAnsi="宋体" w:cs="宋体"/>
          <w:sz w:val="21"/>
          <w:szCs w:val="21"/>
          <w:lang w:eastAsia="zh-CN"/>
        </w:rPr>
        <w:t>。</w:t>
      </w:r>
    </w:p>
    <w:p w14:paraId="40C52EBD">
      <w:pPr>
        <w:adjustRightInd w:val="0"/>
        <w:snapToGrid w:val="0"/>
        <w:spacing w:line="360" w:lineRule="auto"/>
        <w:ind w:left="584" w:leftChars="228" w:hanging="105" w:hangingChars="5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.经微软</w:t>
      </w:r>
      <w:r>
        <w:rPr>
          <w:rFonts w:hint="eastAsia" w:ascii="宋体" w:hAnsi="宋体" w:eastAsia="宋体" w:cs="宋体"/>
          <w:sz w:val="21"/>
          <w:szCs w:val="21"/>
        </w:rPr>
        <w:t>教育</w:t>
      </w:r>
      <w:r>
        <w:rPr>
          <w:rFonts w:hint="eastAsia" w:ascii="宋体" w:hAnsi="宋体" w:eastAsia="宋体" w:cs="宋体"/>
          <w:sz w:val="21"/>
          <w:szCs w:val="21"/>
          <w:lang w:eastAsia="zh-CN"/>
        </w:rPr>
        <w:t>授权</w:t>
      </w:r>
      <w:r>
        <w:rPr>
          <w:rFonts w:hint="eastAsia" w:ascii="宋体" w:hAnsi="宋体" w:eastAsia="宋体" w:cs="宋体"/>
          <w:sz w:val="21"/>
          <w:szCs w:val="21"/>
        </w:rPr>
        <w:t>并提供服务的Office专业版软件许可证</w:t>
      </w:r>
      <w:r>
        <w:rPr>
          <w:rFonts w:hint="eastAsia" w:ascii="宋体" w:hAnsi="宋体" w:eastAsia="宋体" w:cs="宋体"/>
          <w:sz w:val="21"/>
          <w:szCs w:val="21"/>
          <w:lang w:eastAsia="zh-CN"/>
        </w:rPr>
        <w:t>。</w:t>
      </w:r>
    </w:p>
    <w:p w14:paraId="0A99EAAB">
      <w:pPr>
        <w:keepNext w:val="0"/>
        <w:keepLines w:val="0"/>
        <w:pageBreakBefore w:val="0"/>
        <w:widowControl w:val="0"/>
        <w:tabs>
          <w:tab w:val="left" w:pos="1080"/>
        </w:tabs>
        <w:kinsoku/>
        <w:wordWrap/>
        <w:overflowPunct/>
        <w:topLinePunct w:val="0"/>
        <w:autoSpaceDE w:val="0"/>
        <w:autoSpaceDN w:val="0"/>
        <w:bidi w:val="0"/>
        <w:adjustRightInd w:val="0"/>
        <w:snapToGrid w:val="0"/>
        <w:spacing w:before="157" w:beforeLines="50" w:line="360" w:lineRule="auto"/>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三）</w:t>
      </w:r>
      <w:r>
        <w:rPr>
          <w:rFonts w:hint="eastAsia" w:ascii="宋体" w:hAnsi="宋体" w:eastAsia="宋体" w:cs="宋体"/>
          <w:b/>
          <w:sz w:val="21"/>
          <w:szCs w:val="21"/>
        </w:rPr>
        <w:t>微软教育授权许可详细清单：</w:t>
      </w:r>
    </w:p>
    <w:tbl>
      <w:tblPr>
        <w:tblStyle w:val="40"/>
        <w:tblpPr w:leftFromText="180" w:rightFromText="180" w:vertAnchor="text" w:horzAnchor="page" w:tblpX="1992" w:tblpY="391"/>
        <w:tblOverlap w:val="never"/>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4629"/>
        <w:gridCol w:w="2509"/>
      </w:tblGrid>
      <w:tr w14:paraId="66BA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16" w:type="dxa"/>
            <w:shd w:val="clear" w:color="000000" w:fill="auto"/>
            <w:noWrap/>
            <w:vAlign w:val="center"/>
          </w:tcPr>
          <w:p w14:paraId="1C65CD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产品</w:t>
            </w:r>
          </w:p>
        </w:tc>
        <w:tc>
          <w:tcPr>
            <w:tcW w:w="4629" w:type="dxa"/>
            <w:shd w:val="clear" w:color="000000" w:fill="auto"/>
            <w:vAlign w:val="center"/>
          </w:tcPr>
          <w:p w14:paraId="15F8FFF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描述</w:t>
            </w:r>
          </w:p>
        </w:tc>
        <w:tc>
          <w:tcPr>
            <w:tcW w:w="2509" w:type="dxa"/>
            <w:shd w:val="clear" w:color="000000" w:fill="auto"/>
            <w:noWrap/>
            <w:vAlign w:val="center"/>
          </w:tcPr>
          <w:p w14:paraId="61E9215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备注</w:t>
            </w:r>
          </w:p>
        </w:tc>
      </w:tr>
      <w:tr w14:paraId="6263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16" w:type="dxa"/>
            <w:noWrap/>
            <w:vAlign w:val="center"/>
          </w:tcPr>
          <w:p w14:paraId="3DCC457B">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微软客户端操作系统windows</w:t>
            </w:r>
          </w:p>
        </w:tc>
        <w:tc>
          <w:tcPr>
            <w:tcW w:w="4629" w:type="dxa"/>
          </w:tcPr>
          <w:p w14:paraId="448B118D">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客户端操作系统，Windows专业版系列，中英文2种版本，服务期限内，新版本发布免费使用。</w:t>
            </w:r>
          </w:p>
        </w:tc>
        <w:tc>
          <w:tcPr>
            <w:tcW w:w="2509" w:type="dxa"/>
            <w:noWrap/>
            <w:vAlign w:val="center"/>
          </w:tcPr>
          <w:p w14:paraId="130F390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覆盖全校固定资产机器（包含老师家庭一台电脑），中英文2种版本。</w:t>
            </w:r>
          </w:p>
        </w:tc>
      </w:tr>
      <w:tr w14:paraId="392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16" w:type="dxa"/>
            <w:noWrap/>
            <w:vAlign w:val="center"/>
          </w:tcPr>
          <w:p w14:paraId="3DD98595">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微软办公软件office</w:t>
            </w:r>
          </w:p>
        </w:tc>
        <w:tc>
          <w:tcPr>
            <w:tcW w:w="4629" w:type="dxa"/>
          </w:tcPr>
          <w:p w14:paraId="448F6049">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办公软件，Office专业增强版系列，中英文2种版本，服务期限内，新版本发布免费使用。</w:t>
            </w:r>
          </w:p>
        </w:tc>
        <w:tc>
          <w:tcPr>
            <w:tcW w:w="2509" w:type="dxa"/>
            <w:noWrap/>
            <w:vAlign w:val="center"/>
          </w:tcPr>
          <w:p w14:paraId="2C05E24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覆盖全校固定资产机器（包含老师家庭一台电脑），中英文2种版本。</w:t>
            </w:r>
          </w:p>
        </w:tc>
      </w:tr>
      <w:tr w14:paraId="0B4C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16" w:type="dxa"/>
            <w:noWrap/>
            <w:vAlign w:val="center"/>
          </w:tcPr>
          <w:p w14:paraId="3BE4A4A4">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服务器操作系统</w:t>
            </w:r>
            <w:r>
              <w:rPr>
                <w:rFonts w:hint="eastAsia" w:ascii="宋体" w:hAnsi="宋体" w:eastAsia="宋体" w:cs="宋体"/>
                <w:sz w:val="21"/>
                <w:szCs w:val="21"/>
                <w:lang w:eastAsia="zh-CN"/>
              </w:rPr>
              <w:t>：</w:t>
            </w:r>
            <w:r>
              <w:rPr>
                <w:rFonts w:hint="eastAsia" w:ascii="宋体" w:hAnsi="宋体" w:eastAsia="宋体" w:cs="宋体"/>
                <w:sz w:val="21"/>
                <w:szCs w:val="21"/>
              </w:rPr>
              <w:t>Win server系列</w:t>
            </w:r>
          </w:p>
        </w:tc>
        <w:tc>
          <w:tcPr>
            <w:tcW w:w="4629" w:type="dxa"/>
          </w:tcPr>
          <w:p w14:paraId="12AD9832">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服务器操作系统，Win server系列</w:t>
            </w:r>
            <w:r>
              <w:rPr>
                <w:rFonts w:hint="eastAsia" w:ascii="宋体" w:hAnsi="宋体" w:eastAsia="宋体" w:cs="宋体"/>
                <w:sz w:val="21"/>
                <w:szCs w:val="21"/>
                <w:lang w:eastAsia="zh-CN"/>
              </w:rPr>
              <w:t>，</w:t>
            </w:r>
            <w:r>
              <w:rPr>
                <w:rFonts w:hint="eastAsia" w:ascii="宋体" w:hAnsi="宋体" w:eastAsia="宋体" w:cs="宋体"/>
                <w:sz w:val="21"/>
                <w:szCs w:val="21"/>
              </w:rPr>
              <w:t>中英文2种版本，在服务期限内，有新版本发布，免费提供。</w:t>
            </w:r>
          </w:p>
        </w:tc>
        <w:tc>
          <w:tcPr>
            <w:tcW w:w="2509" w:type="dxa"/>
            <w:noWrap/>
            <w:vAlign w:val="center"/>
          </w:tcPr>
          <w:p w14:paraId="5743526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kern w:val="0"/>
                <w:sz w:val="21"/>
                <w:szCs w:val="21"/>
              </w:rPr>
            </w:pPr>
          </w:p>
        </w:tc>
      </w:tr>
      <w:tr w14:paraId="1C29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16" w:type="dxa"/>
            <w:noWrap/>
            <w:vAlign w:val="center"/>
          </w:tcPr>
          <w:p w14:paraId="471B61BD">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数据库软件</w:t>
            </w:r>
          </w:p>
        </w:tc>
        <w:tc>
          <w:tcPr>
            <w:tcW w:w="4629" w:type="dxa"/>
          </w:tcPr>
          <w:p w14:paraId="58216337">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SQL server标准版 全系列，中英文2种版本，有新版本发布，免费提供</w:t>
            </w:r>
          </w:p>
        </w:tc>
        <w:tc>
          <w:tcPr>
            <w:tcW w:w="2509" w:type="dxa"/>
            <w:noWrap/>
            <w:vAlign w:val="center"/>
          </w:tcPr>
          <w:p w14:paraId="11A78AB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kern w:val="0"/>
                <w:sz w:val="21"/>
                <w:szCs w:val="21"/>
              </w:rPr>
            </w:pPr>
          </w:p>
        </w:tc>
      </w:tr>
      <w:tr w14:paraId="372E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16" w:type="dxa"/>
            <w:noWrap/>
            <w:vAlign w:val="center"/>
          </w:tcPr>
          <w:p w14:paraId="5C569194">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正版化管理平台</w:t>
            </w:r>
          </w:p>
        </w:tc>
        <w:tc>
          <w:tcPr>
            <w:tcW w:w="4629" w:type="dxa"/>
          </w:tcPr>
          <w:p w14:paraId="416C0175">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提供Windows、Office产品介绍与镜像下载；提供激活客户端下载；帮助页面提供使用说明、常见错误解决方案。</w:t>
            </w:r>
          </w:p>
          <w:p w14:paraId="17E4CF97">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后台管理系统，可以提供日志管理，可显示用户下载与激活日志；提供下载统计，可统计全产品全年下载数量，并自动生成图表，可按照月度单独生成每个产品的下载图表；提供激活情况统计，可统计全产品全年的激活数量，并生成图表，可按照月度单独生成每个产品的激活图表。</w:t>
            </w:r>
            <w:r>
              <w:rPr>
                <w:rFonts w:hint="eastAsia" w:ascii="宋体" w:hAnsi="宋体" w:eastAsia="宋体" w:cs="宋体"/>
                <w:sz w:val="21"/>
                <w:szCs w:val="21"/>
                <w:lang w:val="en-US" w:eastAsia="zh-CN"/>
              </w:rPr>
              <w:t>3.</w:t>
            </w:r>
            <w:r>
              <w:rPr>
                <w:rFonts w:hint="eastAsia" w:ascii="宋体" w:hAnsi="宋体" w:eastAsia="宋体" w:cs="宋体"/>
                <w:sz w:val="21"/>
                <w:szCs w:val="21"/>
              </w:rPr>
              <w:t>提供Windows、Office产品一键激活；提供Office镜像的一键下载和一键安装；提供Widows镜像一键下载；提供Office一键卸载功能。</w:t>
            </w:r>
          </w:p>
        </w:tc>
        <w:tc>
          <w:tcPr>
            <w:tcW w:w="2509" w:type="dxa"/>
            <w:noWrap/>
            <w:vAlign w:val="center"/>
          </w:tcPr>
          <w:p w14:paraId="689D1DB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eastAsia="宋体" w:cs="宋体"/>
                <w:kern w:val="0"/>
                <w:sz w:val="21"/>
                <w:szCs w:val="21"/>
              </w:rPr>
            </w:pPr>
          </w:p>
        </w:tc>
      </w:tr>
    </w:tbl>
    <w:p w14:paraId="7BC99386">
      <w:pPr>
        <w:pStyle w:val="2"/>
        <w:rPr>
          <w:rFonts w:hint="eastAsia"/>
          <w:lang w:eastAsia="zh-CN"/>
        </w:rPr>
      </w:pPr>
    </w:p>
    <w:p w14:paraId="5B524F87">
      <w:pPr>
        <w:spacing w:line="360" w:lineRule="auto"/>
        <w:ind w:firstLine="422" w:firstLineChars="200"/>
        <w:rPr>
          <w:rFonts w:hint="eastAsia" w:ascii="宋体" w:hAnsi="宋体" w:eastAsia="宋体" w:cs="宋体"/>
          <w:color w:val="000000"/>
          <w:kern w:val="0"/>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 xml:space="preserve">微软产品技术支持服务： </w:t>
      </w:r>
    </w:p>
    <w:p w14:paraId="50BCD4E9">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提供正版化软件管理平台实现以下功能：</w:t>
      </w:r>
    </w:p>
    <w:p w14:paraId="5E50EACA">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（1）提供Windows、Office产品介绍与镜像下载；</w:t>
      </w:r>
    </w:p>
    <w:p w14:paraId="168702E1">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（2）提供激活客户端下载；</w:t>
      </w:r>
    </w:p>
    <w:p w14:paraId="47134244">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（3）帮助页面提供使用说明、常见错误解决方案。（提供功能截图）</w:t>
      </w:r>
    </w:p>
    <w:p w14:paraId="668325F2">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（4）提供后台管理系统，可以提供日志管理，可显示用户下载与激活日志；（提供功能截图）</w:t>
      </w:r>
    </w:p>
    <w:p w14:paraId="40A7DDB8">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（5）提供下载统计，可统计全产品全年下载数量，并自动生成图表，可按照月度单独生成每个产品的下载图表；（提供功能截图）</w:t>
      </w:r>
    </w:p>
    <w:p w14:paraId="4EBB49A5">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（6）提供激活情况统计，可统计全产品全年的激活数量，并生成图表，可按照月度单独生成每个产品的激活图表。（提供功能截图）</w:t>
      </w:r>
    </w:p>
    <w:p w14:paraId="5DAED67B">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（7）提供Windows、Office产品一键激活；</w:t>
      </w:r>
    </w:p>
    <w:p w14:paraId="22B10907">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（8）提供Office镜像的一键下载和一键安装；（提供功能截图）</w:t>
      </w:r>
    </w:p>
    <w:p w14:paraId="67B11957">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（9）提供Widows镜像一键下载；</w:t>
      </w:r>
    </w:p>
    <w:p w14:paraId="509DA858">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（10）提供Office一键卸载功能。（提供功能截图）</w:t>
      </w:r>
    </w:p>
    <w:p w14:paraId="4F30BBBC">
      <w:pPr>
        <w:adjustRightInd w:val="0"/>
        <w:snapToGrid w:val="0"/>
        <w:spacing w:line="360" w:lineRule="auto"/>
        <w:ind w:left="584" w:leftChars="228" w:hanging="105" w:hangingChars="5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本项目</w:t>
      </w:r>
      <w:r>
        <w:rPr>
          <w:rFonts w:hint="eastAsia" w:ascii="宋体" w:hAnsi="宋体" w:eastAsia="宋体" w:cs="宋体"/>
          <w:sz w:val="21"/>
          <w:szCs w:val="21"/>
          <w:lang w:eastAsia="zh-CN"/>
        </w:rPr>
        <w:t>合同</w:t>
      </w:r>
      <w:r>
        <w:rPr>
          <w:rFonts w:hint="eastAsia" w:ascii="宋体" w:hAnsi="宋体" w:cs="宋体"/>
          <w:sz w:val="21"/>
          <w:szCs w:val="21"/>
          <w:lang w:val="en-US" w:eastAsia="zh-CN"/>
        </w:rPr>
        <w:t>招投标</w:t>
      </w:r>
      <w:r>
        <w:rPr>
          <w:rFonts w:hint="eastAsia" w:ascii="宋体" w:hAnsi="宋体" w:eastAsia="宋体" w:cs="宋体"/>
          <w:sz w:val="21"/>
          <w:szCs w:val="21"/>
        </w:rPr>
        <w:t>完成后进行合同签订，合同日期以签订日期为准。</w:t>
      </w:r>
    </w:p>
    <w:p w14:paraId="45380DDB">
      <w:pPr>
        <w:adjustRightInd w:val="0"/>
        <w:snapToGrid w:val="0"/>
        <w:spacing w:line="360" w:lineRule="auto"/>
        <w:ind w:left="584" w:leftChars="228" w:hanging="105" w:hangingChars="50"/>
        <w:rPr>
          <w:rFonts w:hint="eastAsia" w:ascii="宋体" w:hAnsi="宋体" w:eastAsia="宋体" w:cs="宋体"/>
          <w:b/>
          <w:bCs/>
          <w:sz w:val="21"/>
          <w:szCs w:val="21"/>
        </w:rPr>
      </w:pPr>
      <w:r>
        <w:rPr>
          <w:rFonts w:hint="eastAsia" w:ascii="宋体" w:hAnsi="宋体" w:eastAsia="宋体" w:cs="宋体"/>
          <w:b/>
          <w:bCs/>
          <w:sz w:val="21"/>
          <w:szCs w:val="21"/>
        </w:rPr>
        <w:t>三、</w:t>
      </w:r>
      <w:r>
        <w:rPr>
          <w:rFonts w:hint="eastAsia" w:ascii="宋体" w:hAnsi="宋体" w:eastAsia="宋体" w:cs="宋体"/>
          <w:b/>
          <w:bCs/>
          <w:sz w:val="21"/>
          <w:szCs w:val="21"/>
          <w:lang w:eastAsia="zh-CN"/>
        </w:rPr>
        <w:t>其他</w:t>
      </w:r>
      <w:r>
        <w:rPr>
          <w:rFonts w:hint="eastAsia" w:ascii="宋体" w:hAnsi="宋体" w:eastAsia="宋体" w:cs="宋体"/>
          <w:b/>
          <w:bCs/>
          <w:sz w:val="21"/>
          <w:szCs w:val="21"/>
        </w:rPr>
        <w:t>要求</w:t>
      </w:r>
    </w:p>
    <w:p w14:paraId="68AB896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所有报价设备的生产、制造、安装等，各项技术标准应当符合国家（强制性）标准、各项规范要求；国家没有相应标准、规范的，</w:t>
      </w:r>
      <w:r>
        <w:rPr>
          <w:rFonts w:hint="eastAsia" w:ascii="宋体" w:hAnsi="宋体" w:eastAsia="宋体" w:cs="宋体"/>
          <w:sz w:val="21"/>
          <w:szCs w:val="21"/>
          <w:lang w:eastAsia="zh-CN"/>
        </w:rPr>
        <w:t>可以</w:t>
      </w:r>
      <w:r>
        <w:rPr>
          <w:rFonts w:hint="eastAsia" w:ascii="宋体" w:hAnsi="宋体" w:eastAsia="宋体" w:cs="宋体"/>
          <w:sz w:val="21"/>
          <w:szCs w:val="21"/>
        </w:rPr>
        <w:t>使用行业标准、规定；非标设备按采购文件约定的技术要求和规范，所有报价设备技术参数应达到采购文件要求。</w:t>
      </w:r>
    </w:p>
    <w:p w14:paraId="15D15A6D">
      <w:pPr>
        <w:adjustRightInd w:val="0"/>
        <w:snapToGrid w:val="0"/>
        <w:spacing w:line="360" w:lineRule="auto"/>
        <w:ind w:left="584" w:leftChars="228" w:hanging="105" w:hangingChars="5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质保期限及售后服务要求：</w:t>
      </w:r>
    </w:p>
    <w:p w14:paraId="612A05E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合同期内</w:t>
      </w:r>
      <w:r>
        <w:rPr>
          <w:rFonts w:hint="eastAsia" w:ascii="宋体" w:hAnsi="宋体" w:eastAsia="宋体" w:cs="宋体"/>
          <w:sz w:val="21"/>
          <w:szCs w:val="21"/>
          <w:highlight w:val="none"/>
        </w:rPr>
        <w:t>免费质保，质保期自最终验收合格并交付使用之日起计算。在产品保修期内，一旦发生质量问题，供应商保证在接到通知1小时内响应，24小时内赶到现场进行修理，费用由供应商负责。质保期满后的</w:t>
      </w:r>
      <w:r>
        <w:rPr>
          <w:rFonts w:hint="eastAsia" w:ascii="宋体" w:hAnsi="宋体" w:eastAsia="宋体" w:cs="宋体"/>
          <w:sz w:val="21"/>
          <w:szCs w:val="21"/>
          <w:highlight w:val="none"/>
          <w:lang w:eastAsia="zh-CN"/>
        </w:rPr>
        <w:t>维修</w:t>
      </w:r>
      <w:r>
        <w:rPr>
          <w:rFonts w:hint="eastAsia" w:ascii="宋体" w:hAnsi="宋体" w:eastAsia="宋体" w:cs="宋体"/>
          <w:sz w:val="21"/>
          <w:szCs w:val="21"/>
          <w:highlight w:val="none"/>
        </w:rPr>
        <w:t>减免上门费及人工费等费用，仅按原材料的价格收取维修费用。设备质保期按国家、厂商、行业标准执行，质保期</w:t>
      </w:r>
      <w:r>
        <w:rPr>
          <w:rFonts w:hint="eastAsia" w:ascii="宋体" w:hAnsi="宋体" w:eastAsia="宋体" w:cs="宋体"/>
          <w:sz w:val="21"/>
          <w:szCs w:val="21"/>
          <w:highlight w:val="none"/>
          <w:lang w:eastAsia="zh-CN"/>
        </w:rPr>
        <w:t>自</w:t>
      </w:r>
      <w:r>
        <w:rPr>
          <w:rFonts w:hint="eastAsia" w:ascii="宋体" w:hAnsi="宋体" w:eastAsia="宋体" w:cs="宋体"/>
          <w:sz w:val="21"/>
          <w:szCs w:val="21"/>
          <w:highlight w:val="none"/>
        </w:rPr>
        <w:t>设备安装调试合格后开始计算。</w:t>
      </w:r>
    </w:p>
    <w:p w14:paraId="63CFDC2F">
      <w:pPr>
        <w:numPr>
          <w:ilvl w:val="0"/>
          <w:numId w:val="0"/>
        </w:numPr>
        <w:spacing w:line="360" w:lineRule="auto"/>
        <w:ind w:leftChars="0"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四、</w:t>
      </w:r>
      <w:r>
        <w:rPr>
          <w:rFonts w:hint="eastAsia" w:ascii="宋体" w:hAnsi="宋体" w:eastAsia="宋体" w:cs="宋体"/>
          <w:b/>
          <w:kern w:val="0"/>
          <w:sz w:val="21"/>
          <w:szCs w:val="21"/>
        </w:rPr>
        <w:t>项目清单</w:t>
      </w:r>
    </w:p>
    <w:tbl>
      <w:tblPr>
        <w:tblStyle w:val="40"/>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3351"/>
        <w:gridCol w:w="1446"/>
        <w:gridCol w:w="1500"/>
        <w:gridCol w:w="1479"/>
      </w:tblGrid>
      <w:tr w14:paraId="0D19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0" w:type="dxa"/>
            <w:vAlign w:val="center"/>
          </w:tcPr>
          <w:p w14:paraId="1F260ACF">
            <w:pPr>
              <w:spacing w:line="276"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序号</w:t>
            </w:r>
          </w:p>
        </w:tc>
        <w:tc>
          <w:tcPr>
            <w:tcW w:w="3351" w:type="dxa"/>
            <w:vAlign w:val="center"/>
          </w:tcPr>
          <w:p w14:paraId="0B317EEF">
            <w:pPr>
              <w:spacing w:line="276"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1446" w:type="dxa"/>
            <w:vAlign w:val="center"/>
          </w:tcPr>
          <w:p w14:paraId="02A7A353">
            <w:pPr>
              <w:spacing w:line="276"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数量（套）</w:t>
            </w:r>
          </w:p>
        </w:tc>
        <w:tc>
          <w:tcPr>
            <w:tcW w:w="1500" w:type="dxa"/>
            <w:vAlign w:val="center"/>
          </w:tcPr>
          <w:p w14:paraId="7B4B11D3">
            <w:pPr>
              <w:spacing w:line="276"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单价（元）</w:t>
            </w:r>
          </w:p>
        </w:tc>
        <w:tc>
          <w:tcPr>
            <w:tcW w:w="1479" w:type="dxa"/>
            <w:vAlign w:val="center"/>
          </w:tcPr>
          <w:p w14:paraId="03BE7780">
            <w:pPr>
              <w:spacing w:line="276"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合计（元）</w:t>
            </w:r>
          </w:p>
        </w:tc>
      </w:tr>
      <w:tr w14:paraId="6228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0" w:type="dxa"/>
            <w:vAlign w:val="center"/>
          </w:tcPr>
          <w:p w14:paraId="30413A79">
            <w:pPr>
              <w:spacing w:line="276"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351" w:type="dxa"/>
            <w:vAlign w:val="center"/>
          </w:tcPr>
          <w:p w14:paraId="6BA84D25">
            <w:pPr>
              <w:spacing w:line="276"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正版化（微软）</w:t>
            </w:r>
          </w:p>
        </w:tc>
        <w:tc>
          <w:tcPr>
            <w:tcW w:w="1446" w:type="dxa"/>
            <w:vAlign w:val="center"/>
          </w:tcPr>
          <w:p w14:paraId="1D949CBB">
            <w:pPr>
              <w:spacing w:line="276"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00" w:type="dxa"/>
            <w:vAlign w:val="center"/>
          </w:tcPr>
          <w:p w14:paraId="24DB1921">
            <w:pPr>
              <w:spacing w:line="276" w:lineRule="auto"/>
              <w:ind w:firstLine="525" w:firstLineChars="250"/>
              <w:jc w:val="center"/>
              <w:rPr>
                <w:rFonts w:hint="eastAsia" w:ascii="宋体" w:hAnsi="宋体" w:eastAsia="宋体" w:cs="宋体"/>
                <w:color w:val="000000"/>
                <w:sz w:val="21"/>
                <w:szCs w:val="21"/>
              </w:rPr>
            </w:pPr>
          </w:p>
        </w:tc>
        <w:tc>
          <w:tcPr>
            <w:tcW w:w="1479" w:type="dxa"/>
            <w:vAlign w:val="center"/>
          </w:tcPr>
          <w:p w14:paraId="5C86249E">
            <w:pPr>
              <w:spacing w:line="276" w:lineRule="auto"/>
              <w:ind w:firstLine="525" w:firstLineChars="250"/>
              <w:jc w:val="center"/>
              <w:rPr>
                <w:rFonts w:hint="eastAsia" w:ascii="宋体" w:hAnsi="宋体" w:eastAsia="宋体" w:cs="宋体"/>
                <w:color w:val="000000"/>
                <w:sz w:val="21"/>
                <w:szCs w:val="21"/>
              </w:rPr>
            </w:pPr>
          </w:p>
        </w:tc>
      </w:tr>
    </w:tbl>
    <w:p w14:paraId="0738FBD0">
      <w:pPr>
        <w:pStyle w:val="109"/>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商务条款</w:t>
      </w:r>
    </w:p>
    <w:p w14:paraId="38A44AC8">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lang w:val="en-US" w:eastAsia="zh-CN"/>
        </w:rPr>
        <w:t>1.</w:t>
      </w:r>
      <w:r>
        <w:rPr>
          <w:rFonts w:hint="eastAsia" w:ascii="宋体" w:hAnsi="宋体" w:eastAsia="宋体" w:cs="宋体"/>
          <w:sz w:val="21"/>
          <w:szCs w:val="21"/>
        </w:rPr>
        <w:t>本项目所</w:t>
      </w:r>
      <w:r>
        <w:rPr>
          <w:rFonts w:hint="eastAsia" w:ascii="宋体" w:hAnsi="宋体" w:eastAsia="宋体" w:cs="宋体"/>
          <w:sz w:val="21"/>
          <w:szCs w:val="21"/>
          <w:highlight w:val="none"/>
        </w:rPr>
        <w:t>采购</w:t>
      </w:r>
      <w:r>
        <w:rPr>
          <w:rFonts w:hint="eastAsia" w:ascii="宋体" w:hAnsi="宋体" w:cs="宋体"/>
          <w:sz w:val="21"/>
          <w:szCs w:val="21"/>
          <w:highlight w:val="none"/>
          <w:lang w:val="en-US" w:eastAsia="zh-CN"/>
        </w:rPr>
        <w:t>软件</w:t>
      </w:r>
      <w:r>
        <w:rPr>
          <w:rFonts w:hint="eastAsia" w:ascii="宋体" w:hAnsi="宋体" w:eastAsia="宋体" w:cs="宋体"/>
          <w:sz w:val="21"/>
          <w:szCs w:val="21"/>
          <w:highlight w:val="none"/>
        </w:rPr>
        <w:t>，</w:t>
      </w:r>
      <w:r>
        <w:rPr>
          <w:rFonts w:hint="eastAsia" w:ascii="宋体" w:hAnsi="宋体" w:cs="宋体"/>
          <w:kern w:val="0"/>
          <w:sz w:val="21"/>
          <w:szCs w:val="21"/>
          <w:highlight w:val="none"/>
          <w:lang w:eastAsia="zh-CN"/>
        </w:rPr>
        <w:t>供应商</w:t>
      </w:r>
      <w:r>
        <w:rPr>
          <w:rFonts w:hint="eastAsia" w:ascii="宋体" w:hAnsi="宋体" w:eastAsia="宋体" w:cs="宋体"/>
          <w:sz w:val="21"/>
          <w:szCs w:val="21"/>
          <w:highlight w:val="none"/>
        </w:rPr>
        <w:t>必须承诺免费运送至南邮通达学院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扬州市邗江区润扬南路33号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的指定安装地点，并按要求安装、调试到位。</w:t>
      </w:r>
    </w:p>
    <w:p w14:paraId="6ED7CA3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val="en-US" w:eastAsia="zh-CN"/>
        </w:rPr>
        <w:t>为叁</w:t>
      </w:r>
      <w:r>
        <w:rPr>
          <w:rFonts w:hint="eastAsia" w:ascii="宋体" w:hAnsi="宋体" w:eastAsia="宋体" w:cs="宋体"/>
          <w:sz w:val="21"/>
          <w:szCs w:val="21"/>
          <w:highlight w:val="none"/>
        </w:rPr>
        <w:t>年，合同首签壹年，经双方商定同意情况下，签订下一年合同。</w:t>
      </w:r>
    </w:p>
    <w:p w14:paraId="7E36D95C">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供货时限：合同签订后20日内送至项目指定地点并完成安装调试。</w:t>
      </w:r>
    </w:p>
    <w:p w14:paraId="1686CCD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在中标有效期内，如使用方对供应方产品及服务等无异议，可续签下一年度合同，否则终止</w:t>
      </w:r>
      <w:r>
        <w:rPr>
          <w:rFonts w:hint="eastAsia" w:ascii="宋体" w:hAnsi="宋体" w:eastAsia="宋体" w:cs="宋体"/>
          <w:kern w:val="0"/>
          <w:sz w:val="21"/>
          <w:szCs w:val="21"/>
          <w:highlight w:val="none"/>
        </w:rPr>
        <w:t>中标有效期</w:t>
      </w:r>
      <w:r>
        <w:rPr>
          <w:rFonts w:hint="eastAsia" w:ascii="宋体" w:hAnsi="宋体" w:eastAsia="宋体" w:cs="宋体"/>
          <w:sz w:val="21"/>
          <w:szCs w:val="21"/>
          <w:highlight w:val="none"/>
        </w:rPr>
        <w:t>。</w:t>
      </w:r>
    </w:p>
    <w:p w14:paraId="2ADA9A51">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投标文件应提供符合本技术要求</w:t>
      </w:r>
      <w:r>
        <w:rPr>
          <w:rFonts w:hint="eastAsia" w:ascii="宋体" w:hAnsi="宋体" w:eastAsia="宋体" w:cs="宋体"/>
          <w:kern w:val="0"/>
          <w:sz w:val="21"/>
          <w:szCs w:val="21"/>
          <w:highlight w:val="none"/>
          <w:lang w:eastAsia="zh-CN"/>
        </w:rPr>
        <w:t>所涉及</w:t>
      </w:r>
      <w:r>
        <w:rPr>
          <w:rFonts w:hint="eastAsia" w:ascii="宋体" w:hAnsi="宋体" w:eastAsia="宋体" w:cs="宋体"/>
          <w:kern w:val="0"/>
          <w:sz w:val="21"/>
          <w:szCs w:val="21"/>
          <w:highlight w:val="none"/>
        </w:rPr>
        <w:t>内容的、</w:t>
      </w:r>
      <w:r>
        <w:rPr>
          <w:rFonts w:hint="eastAsia" w:ascii="宋体" w:hAnsi="宋体" w:eastAsia="宋体" w:cs="宋体"/>
          <w:kern w:val="0"/>
          <w:sz w:val="21"/>
          <w:szCs w:val="21"/>
          <w:highlight w:val="none"/>
          <w:lang w:eastAsia="zh-CN"/>
        </w:rPr>
        <w:t>为期</w:t>
      </w: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eastAsia="zh-CN"/>
        </w:rPr>
        <w:t>年</w:t>
      </w:r>
      <w:r>
        <w:rPr>
          <w:rFonts w:hint="eastAsia" w:ascii="宋体" w:hAnsi="宋体" w:eastAsia="宋体" w:cs="宋体"/>
          <w:kern w:val="0"/>
          <w:sz w:val="21"/>
          <w:szCs w:val="21"/>
          <w:highlight w:val="none"/>
        </w:rPr>
        <w:t>的正版化服务报价。</w:t>
      </w:r>
    </w:p>
    <w:p w14:paraId="41A4754F">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付款方式：本采购项目无预付款，安装调试结束，经甲乙双方共同验收，合格后</w:t>
      </w:r>
      <w:r>
        <w:rPr>
          <w:rFonts w:hint="eastAsia" w:ascii="宋体" w:hAnsi="宋体" w:eastAsia="宋体" w:cs="宋体"/>
          <w:sz w:val="21"/>
          <w:szCs w:val="21"/>
          <w:highlight w:val="none"/>
          <w:lang w:eastAsia="zh-CN"/>
        </w:rPr>
        <w:t>，支</w:t>
      </w:r>
      <w:r>
        <w:rPr>
          <w:rFonts w:hint="eastAsia" w:ascii="宋体" w:hAnsi="宋体" w:eastAsia="宋体" w:cs="宋体"/>
          <w:sz w:val="21"/>
          <w:szCs w:val="21"/>
          <w:highlight w:val="none"/>
        </w:rPr>
        <w:t>付至当年合同总额的95%；</w:t>
      </w:r>
      <w:r>
        <w:rPr>
          <w:rFonts w:hint="eastAsia" w:ascii="宋体" w:hAnsi="宋体" w:eastAsia="宋体" w:cs="宋体"/>
          <w:sz w:val="21"/>
          <w:szCs w:val="21"/>
          <w:highlight w:val="none"/>
          <w:lang w:eastAsia="zh-CN"/>
        </w:rPr>
        <w:t>一年</w:t>
      </w:r>
      <w:r>
        <w:rPr>
          <w:rFonts w:hint="eastAsia" w:ascii="宋体" w:hAnsi="宋体" w:eastAsia="宋体" w:cs="宋体"/>
          <w:sz w:val="21"/>
          <w:szCs w:val="21"/>
          <w:highlight w:val="none"/>
        </w:rPr>
        <w:t>后无质量问题，余款无息结清。甲方付款前乙方需提供合法、有效、等额的增值税发票，否则，甲方有权拒付相应款项。</w:t>
      </w:r>
    </w:p>
    <w:p w14:paraId="1E2D3105">
      <w:pPr>
        <w:adjustRightInd w:val="0"/>
        <w:snapToGrid w:val="0"/>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综合说明及其它要求</w:t>
      </w:r>
    </w:p>
    <w:p w14:paraId="51D0A96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供应商</w:t>
      </w:r>
      <w:r>
        <w:rPr>
          <w:rFonts w:hint="eastAsia" w:ascii="宋体" w:hAnsi="宋体" w:eastAsia="宋体" w:cs="宋体"/>
          <w:sz w:val="21"/>
          <w:szCs w:val="21"/>
        </w:rPr>
        <w:t>应对所投项目的全部内容进行报价，只投其中部分内容者，其标书将被拒绝。</w:t>
      </w:r>
    </w:p>
    <w:p w14:paraId="31F12BD1">
      <w:pPr>
        <w:spacing w:line="360" w:lineRule="auto"/>
        <w:ind w:firstLine="420" w:firstLineChars="200"/>
        <w:rPr>
          <w:rFonts w:hint="eastAsia" w:ascii="宋体" w:hAnsi="宋体" w:eastAsia="宋体" w:cs="宋体"/>
          <w:bCs/>
          <w:szCs w:val="21"/>
          <w:highlight w:val="none"/>
        </w:rPr>
        <w:sectPr>
          <w:pgSz w:w="11906" w:h="16838"/>
          <w:pgMar w:top="1440" w:right="1800" w:bottom="1440" w:left="1800" w:header="1191" w:footer="992" w:gutter="0"/>
          <w:cols w:space="720" w:num="1"/>
          <w:docGrid w:type="lines" w:linePitch="312" w:charSpace="0"/>
        </w:sect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凡涉及</w:t>
      </w:r>
      <w:r>
        <w:rPr>
          <w:rFonts w:hint="eastAsia" w:ascii="宋体" w:hAnsi="宋体" w:cs="宋体"/>
          <w:sz w:val="21"/>
          <w:szCs w:val="21"/>
          <w:lang w:val="en-US" w:eastAsia="zh-CN"/>
        </w:rPr>
        <w:t>磋商</w:t>
      </w:r>
      <w:r>
        <w:rPr>
          <w:rFonts w:hint="eastAsia" w:ascii="宋体" w:hAnsi="宋体" w:eastAsia="宋体" w:cs="宋体"/>
          <w:sz w:val="21"/>
          <w:szCs w:val="21"/>
        </w:rPr>
        <w:t>文件的补充说明和修改，均以南邮通达学院公示的补充通知为准。</w:t>
      </w:r>
    </w:p>
    <w:p w14:paraId="1DF42BF3">
      <w:pPr>
        <w:tabs>
          <w:tab w:val="left" w:pos="0"/>
        </w:tabs>
        <w:spacing w:line="360" w:lineRule="auto"/>
        <w:jc w:val="left"/>
        <w:rPr>
          <w:rFonts w:hint="eastAsia" w:ascii="宋体" w:hAnsi="宋体" w:eastAsia="宋体" w:cs="Arial"/>
          <w:bCs/>
          <w:sz w:val="36"/>
          <w:szCs w:val="36"/>
        </w:rPr>
      </w:pPr>
      <w:r>
        <w:rPr>
          <w:rFonts w:hint="eastAsia" w:ascii="宋体" w:hAnsi="宋体" w:eastAsia="宋体" w:cs="宋体"/>
          <w:szCs w:val="21"/>
        </w:rPr>
        <w:t xml:space="preserve">                  </w:t>
      </w:r>
      <w:r>
        <w:rPr>
          <w:rFonts w:hint="eastAsia" w:ascii="宋体" w:hAnsi="宋体" w:eastAsia="宋体" w:cs="Arial"/>
          <w:b/>
          <w:bCs/>
          <w:sz w:val="36"/>
          <w:szCs w:val="36"/>
        </w:rPr>
        <w:t>第五章 评审方法和评审标准</w:t>
      </w:r>
    </w:p>
    <w:p w14:paraId="535006F6">
      <w:pPr>
        <w:pStyle w:val="102"/>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73D47702">
      <w:pPr>
        <w:ind w:left="420" w:leftChars="200" w:firstLine="420" w:firstLineChars="200"/>
        <w:rPr>
          <w:rFonts w:hint="eastAsia" w:ascii="宋体" w:hAnsi="宋体"/>
          <w:szCs w:val="21"/>
        </w:rPr>
      </w:pPr>
      <w:r>
        <w:rPr>
          <w:rFonts w:hint="eastAsia" w:ascii="宋体" w:hAnsi="宋体" w:eastAsia="宋体" w:cs="宋体"/>
          <w:szCs w:val="21"/>
        </w:rPr>
        <w:t>本次评标采用综合评分法，即在满足采购文件实质性要求前提下，按照采购文件中规定的评分标准和各项因素进行综合评审后，以评标总得分最高的</w:t>
      </w:r>
      <w:r>
        <w:rPr>
          <w:rFonts w:hint="eastAsia" w:ascii="宋体" w:hAnsi="宋体" w:cs="宋体"/>
          <w:szCs w:val="21"/>
          <w:lang w:eastAsia="zh-CN"/>
        </w:rPr>
        <w:t>供应商</w:t>
      </w:r>
      <w:r>
        <w:rPr>
          <w:rFonts w:hint="eastAsia" w:ascii="宋体" w:hAnsi="宋体" w:eastAsia="宋体" w:cs="宋体"/>
          <w:szCs w:val="21"/>
        </w:rPr>
        <w:t>作为中标候选人。得分相同的，按投标报价由低到高顺序排列。得分且投标报价相同的，按技术服务方案优劣顺序排列本综合评分法采用百分制形式，具体分值详见本细则。</w:t>
      </w:r>
    </w:p>
    <w:p w14:paraId="75F2358A">
      <w:pPr>
        <w:pStyle w:val="107"/>
        <w:ind w:firstLine="422"/>
      </w:pPr>
      <w:r>
        <w:rPr>
          <w:rFonts w:hint="eastAsia" w:ascii="宋体" w:hAnsi="宋体" w:eastAsia="宋体" w:cs="Times New Roman"/>
          <w:b/>
          <w:szCs w:val="21"/>
        </w:rPr>
        <w:t>二、评分标准</w:t>
      </w:r>
    </w:p>
    <w:tbl>
      <w:tblPr>
        <w:tblStyle w:val="40"/>
        <w:tblW w:w="968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685"/>
        <w:gridCol w:w="8000"/>
      </w:tblGrid>
      <w:tr w14:paraId="6D2427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4" w:hRule="atLeast"/>
          <w:jc w:val="center"/>
        </w:trPr>
        <w:tc>
          <w:tcPr>
            <w:tcW w:w="1685" w:type="dxa"/>
            <w:tcBorders>
              <w:top w:val="single" w:color="auto" w:sz="8" w:space="0"/>
              <w:left w:val="single" w:color="auto" w:sz="8" w:space="0"/>
              <w:bottom w:val="single" w:color="auto" w:sz="4" w:space="0"/>
              <w:right w:val="single" w:color="auto" w:sz="4" w:space="0"/>
            </w:tcBorders>
            <w:noWrap w:val="0"/>
            <w:vAlign w:val="center"/>
          </w:tcPr>
          <w:p w14:paraId="50D6A0E0">
            <w:pPr>
              <w:widowControl/>
              <w:spacing w:line="24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w:t>
            </w:r>
          </w:p>
        </w:tc>
        <w:tc>
          <w:tcPr>
            <w:tcW w:w="8000" w:type="dxa"/>
            <w:tcBorders>
              <w:top w:val="single" w:color="auto" w:sz="8" w:space="0"/>
              <w:left w:val="nil"/>
              <w:bottom w:val="single" w:color="auto" w:sz="4" w:space="0"/>
              <w:right w:val="single" w:color="000000" w:sz="8" w:space="0"/>
            </w:tcBorders>
            <w:noWrap w:val="0"/>
            <w:vAlign w:val="center"/>
          </w:tcPr>
          <w:p w14:paraId="65AACC1C">
            <w:pPr>
              <w:widowControl/>
              <w:spacing w:line="24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评分</w:t>
            </w:r>
            <w:r>
              <w:rPr>
                <w:rFonts w:hint="eastAsia" w:ascii="宋体" w:hAnsi="宋体" w:eastAsia="宋体" w:cs="宋体"/>
                <w:b/>
                <w:color w:val="auto"/>
                <w:kern w:val="0"/>
                <w:sz w:val="21"/>
                <w:szCs w:val="21"/>
                <w:highlight w:val="none"/>
                <w:lang w:val="en-US" w:eastAsia="zh-CN"/>
              </w:rPr>
              <w:t>标准</w:t>
            </w:r>
          </w:p>
        </w:tc>
      </w:tr>
      <w:tr w14:paraId="6AA82A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9" w:hRule="atLeast"/>
          <w:jc w:val="center"/>
        </w:trPr>
        <w:tc>
          <w:tcPr>
            <w:tcW w:w="1685" w:type="dxa"/>
            <w:tcBorders>
              <w:top w:val="single" w:color="auto" w:sz="4" w:space="0"/>
              <w:left w:val="single" w:color="auto" w:sz="8" w:space="0"/>
              <w:bottom w:val="single" w:color="auto" w:sz="4" w:space="0"/>
              <w:right w:val="single" w:color="auto" w:sz="4" w:space="0"/>
            </w:tcBorders>
            <w:noWrap w:val="0"/>
            <w:vAlign w:val="center"/>
          </w:tcPr>
          <w:p w14:paraId="19A67D22">
            <w:pPr>
              <w:spacing w:line="360" w:lineRule="auto"/>
              <w:jc w:val="center"/>
              <w:rPr>
                <w:rFonts w:hint="eastAsia" w:ascii="宋体" w:hAnsi="宋体" w:cs="宋体"/>
                <w:bCs/>
                <w:szCs w:val="21"/>
              </w:rPr>
            </w:pPr>
            <w:r>
              <w:rPr>
                <w:rFonts w:hint="eastAsia" w:ascii="宋体" w:hAnsi="宋体" w:cs="宋体"/>
                <w:bCs/>
                <w:szCs w:val="21"/>
              </w:rPr>
              <w:t>价格分</w:t>
            </w:r>
          </w:p>
          <w:p w14:paraId="40050183">
            <w:pPr>
              <w:spacing w:line="360" w:lineRule="auto"/>
              <w:jc w:val="center"/>
              <w:rPr>
                <w:rFonts w:hint="eastAsia" w:ascii="宋体" w:hAnsi="宋体" w:eastAsia="宋体" w:cs="宋体"/>
                <w:color w:val="auto"/>
                <w:sz w:val="21"/>
                <w:szCs w:val="21"/>
                <w:highlight w:val="none"/>
              </w:rPr>
            </w:pPr>
            <w:r>
              <w:rPr>
                <w:rFonts w:hint="eastAsia" w:ascii="宋体" w:hAnsi="宋体" w:cs="宋体"/>
                <w:bCs/>
                <w:szCs w:val="21"/>
              </w:rPr>
              <w:t>（</w:t>
            </w:r>
            <w:r>
              <w:rPr>
                <w:rFonts w:hint="eastAsia" w:ascii="宋体" w:hAnsi="宋体" w:cs="宋体"/>
                <w:bCs/>
                <w:szCs w:val="21"/>
                <w:lang w:val="en-US" w:eastAsia="zh-CN"/>
              </w:rPr>
              <w:t>55</w:t>
            </w:r>
            <w:r>
              <w:rPr>
                <w:rFonts w:hint="eastAsia" w:ascii="宋体" w:hAnsi="宋体" w:cs="宋体"/>
                <w:bCs/>
                <w:szCs w:val="21"/>
              </w:rPr>
              <w:t>分）</w:t>
            </w:r>
          </w:p>
        </w:tc>
        <w:tc>
          <w:tcPr>
            <w:tcW w:w="8000" w:type="dxa"/>
            <w:tcBorders>
              <w:top w:val="single" w:color="auto" w:sz="4" w:space="0"/>
              <w:left w:val="nil"/>
              <w:bottom w:val="single" w:color="auto" w:sz="4" w:space="0"/>
              <w:right w:val="single" w:color="000000" w:sz="8" w:space="0"/>
            </w:tcBorders>
            <w:noWrap w:val="0"/>
            <w:vAlign w:val="center"/>
          </w:tcPr>
          <w:p w14:paraId="29612CC6">
            <w:pPr>
              <w:spacing w:line="360" w:lineRule="auto"/>
            </w:pPr>
            <w:r>
              <w:rPr>
                <w:rFonts w:hint="eastAsia"/>
              </w:rPr>
              <w:t>价格分采用低价优先法计算，即满足采购文件要求且报价最低的</w:t>
            </w:r>
            <w:r>
              <w:rPr>
                <w:rFonts w:hint="eastAsia"/>
                <w:lang w:eastAsia="zh-CN"/>
              </w:rPr>
              <w:t>供应商</w:t>
            </w:r>
            <w:r>
              <w:rPr>
                <w:rFonts w:hint="eastAsia"/>
              </w:rPr>
              <w:t>报价为评标基准价，其价格分为满分</w:t>
            </w:r>
            <w:r>
              <w:rPr>
                <w:rFonts w:hint="eastAsia"/>
                <w:lang w:val="en-US" w:eastAsia="zh-CN"/>
              </w:rPr>
              <w:t>55</w:t>
            </w:r>
            <w:r>
              <w:rPr>
                <w:rFonts w:hint="eastAsia"/>
              </w:rPr>
              <w:t>分，其它</w:t>
            </w:r>
            <w:r>
              <w:rPr>
                <w:rFonts w:hint="eastAsia"/>
                <w:lang w:eastAsia="zh-CN"/>
              </w:rPr>
              <w:t>供应商</w:t>
            </w:r>
            <w:r>
              <w:rPr>
                <w:rFonts w:hint="eastAsia"/>
              </w:rPr>
              <w:t>的价格分统一按照以下公式计算：</w:t>
            </w:r>
          </w:p>
          <w:p w14:paraId="0D36A4E0">
            <w:pPr>
              <w:spacing w:line="360" w:lineRule="auto"/>
              <w:rPr>
                <w:rFonts w:hint="eastAsia"/>
              </w:rPr>
            </w:pPr>
            <w:r>
              <w:rPr>
                <w:rFonts w:hint="eastAsia"/>
              </w:rPr>
              <w:t>投标报价得分=(最低报价/该</w:t>
            </w:r>
            <w:r>
              <w:rPr>
                <w:rFonts w:hint="eastAsia"/>
                <w:lang w:eastAsia="zh-CN"/>
              </w:rPr>
              <w:t>供应商</w:t>
            </w:r>
            <w:r>
              <w:rPr>
                <w:rFonts w:hint="eastAsia"/>
              </w:rPr>
              <w:t>的投标报价)×</w:t>
            </w:r>
            <w:r>
              <w:rPr>
                <w:rFonts w:hint="eastAsia"/>
                <w:lang w:val="en-US" w:eastAsia="zh-CN"/>
              </w:rPr>
              <w:t>55</w:t>
            </w:r>
            <w:r>
              <w:rPr>
                <w:rFonts w:hint="eastAsia"/>
              </w:rPr>
              <w:t>分。</w:t>
            </w:r>
          </w:p>
          <w:p w14:paraId="4D6E7DD4">
            <w:pPr>
              <w:spacing w:line="360" w:lineRule="auto"/>
              <w:rPr>
                <w:rFonts w:hint="eastAsia" w:ascii="宋体" w:hAnsi="宋体" w:eastAsia="宋体" w:cs="宋体"/>
                <w:color w:val="auto"/>
                <w:sz w:val="21"/>
                <w:szCs w:val="21"/>
                <w:highlight w:val="none"/>
              </w:rPr>
            </w:pPr>
            <w:r>
              <w:rPr>
                <w:rFonts w:hint="eastAsia"/>
                <w:lang w:val="en-US" w:eastAsia="zh-CN"/>
              </w:rPr>
              <w:t>注：</w:t>
            </w:r>
            <w:r>
              <w:rPr>
                <w:rFonts w:hint="eastAsia" w:ascii="宋体" w:hAnsi="宋体" w:cs="宋体"/>
                <w:b w:val="0"/>
                <w:bCs/>
                <w:color w:val="000000"/>
                <w:sz w:val="21"/>
                <w:szCs w:val="21"/>
              </w:rPr>
              <w:t>磋商小组认为供应商的报价明显低于其他通过符合性审查供应商的报价，有可能影响产品质量或者不能诚信履约的，将要求其在评标现场合理的时间内提供书面说明，必要时提交相关证明材料；供应商若不能证明其报价合理性的，磋商小组将其作为无效投标处理。</w:t>
            </w:r>
          </w:p>
        </w:tc>
      </w:tr>
      <w:tr w14:paraId="6C5A6D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19FB89D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1EFB312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（10分</w:t>
            </w:r>
            <w:r>
              <w:rPr>
                <w:rFonts w:hint="eastAsia" w:ascii="宋体" w:hAnsi="宋体" w:cs="宋体"/>
                <w:color w:val="auto"/>
                <w:sz w:val="21"/>
                <w:szCs w:val="21"/>
                <w:highlight w:val="none"/>
                <w:lang w:val="en-US" w:eastAsia="zh-CN"/>
              </w:rPr>
              <w:t>）</w:t>
            </w:r>
          </w:p>
        </w:tc>
        <w:tc>
          <w:tcPr>
            <w:tcW w:w="8000" w:type="dxa"/>
            <w:tcBorders>
              <w:top w:val="single" w:color="auto" w:sz="4" w:space="0"/>
              <w:left w:val="single" w:color="auto" w:sz="4" w:space="0"/>
              <w:bottom w:val="single" w:color="auto" w:sz="4" w:space="0"/>
              <w:right w:val="single" w:color="auto" w:sz="4" w:space="0"/>
            </w:tcBorders>
            <w:noWrap w:val="0"/>
            <w:vAlign w:val="center"/>
          </w:tcPr>
          <w:p w14:paraId="25B54E6E">
            <w:pPr>
              <w:pStyle w:val="110"/>
              <w:spacing w:line="360" w:lineRule="auto"/>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供应商 2022年1</w:t>
            </w:r>
            <w:r>
              <w:rPr>
                <w:rFonts w:hint="eastAsia" w:ascii="宋体" w:hAnsi="宋体" w:cs="宋体"/>
                <w:bCs/>
                <w:color w:val="000000"/>
                <w:kern w:val="2"/>
                <w:sz w:val="21"/>
                <w:szCs w:val="21"/>
                <w:highlight w:val="none"/>
                <w:lang w:val="en-US" w:eastAsia="zh-CN" w:bidi="ar-SA"/>
              </w:rPr>
              <w:t>1</w:t>
            </w:r>
            <w:r>
              <w:rPr>
                <w:rFonts w:hint="eastAsia" w:ascii="宋体" w:hAnsi="宋体" w:eastAsia="宋体" w:cs="宋体"/>
                <w:bCs/>
                <w:color w:val="000000"/>
                <w:kern w:val="2"/>
                <w:sz w:val="21"/>
                <w:szCs w:val="21"/>
                <w:highlight w:val="none"/>
                <w:lang w:val="en-US" w:eastAsia="zh-CN" w:bidi="ar-SA"/>
              </w:rPr>
              <w:t>月1日以来(以合同签订时间为准)正版软件产品及软件正版化服务类似业绩的合同。按要求提供的每个得2分，最高得10分。</w:t>
            </w:r>
          </w:p>
          <w:p w14:paraId="54753DA5">
            <w:pPr>
              <w:spacing w:line="360" w:lineRule="auto"/>
              <w:rPr>
                <w:rFonts w:hint="eastAsia" w:ascii="宋体" w:hAnsi="宋体" w:eastAsia="宋体" w:cs="宋体"/>
                <w:color w:val="auto"/>
                <w:sz w:val="21"/>
                <w:szCs w:val="21"/>
                <w:highlight w:val="none"/>
                <w:lang w:eastAsia="zh-Hans"/>
              </w:rPr>
            </w:pPr>
            <w:r>
              <w:rPr>
                <w:rFonts w:hint="eastAsia" w:ascii="宋体" w:hAnsi="宋体" w:eastAsia="宋体" w:cs="宋体"/>
                <w:b/>
                <w:bCs/>
                <w:szCs w:val="21"/>
                <w:highlight w:val="none"/>
                <w:lang w:val="en-US" w:eastAsia="zh-CN"/>
              </w:rPr>
              <w:t>（须提供业绩合同及验收材料，合同需同时包含：正版软件产品、软件正版化服务相关内容、合同签订时间、合同签字盖章页等关键内容的扫描件；验收材料包含：验收报告或发票等扫描件；以上提供复印件加盖供应商公章)</w:t>
            </w:r>
          </w:p>
        </w:tc>
      </w:tr>
      <w:tr w14:paraId="1B83B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5166AFCC">
            <w:pPr>
              <w:spacing w:line="24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参数响应</w:t>
            </w:r>
          </w:p>
          <w:p w14:paraId="4FC46127">
            <w:pPr>
              <w:spacing w:line="24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000" w:type="dxa"/>
            <w:tcBorders>
              <w:top w:val="single" w:color="auto" w:sz="4" w:space="0"/>
              <w:left w:val="single" w:color="auto" w:sz="4" w:space="0"/>
              <w:bottom w:val="single" w:color="auto" w:sz="4" w:space="0"/>
              <w:right w:val="single" w:color="auto" w:sz="4" w:space="0"/>
            </w:tcBorders>
            <w:noWrap w:val="0"/>
            <w:vAlign w:val="center"/>
          </w:tcPr>
          <w:p w14:paraId="4510891C">
            <w:pPr>
              <w:widowControl/>
              <w:shd w:val="clear" w:color="auto" w:fill="auto"/>
              <w:spacing w:line="360" w:lineRule="auto"/>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en-US" w:eastAsia="zh-CN"/>
              </w:rPr>
              <w:t>供应商</w:t>
            </w:r>
            <w:r>
              <w:rPr>
                <w:rFonts w:hint="eastAsia" w:ascii="宋体" w:hAnsi="宋体" w:eastAsia="宋体" w:cs="宋体"/>
                <w:color w:val="000000"/>
                <w:kern w:val="0"/>
                <w:sz w:val="21"/>
                <w:szCs w:val="21"/>
                <w:highlight w:val="none"/>
                <w:lang w:val="zh-CN"/>
              </w:rPr>
              <w:t>所投产品服务完全满足</w:t>
            </w:r>
            <w:r>
              <w:rPr>
                <w:rFonts w:hint="eastAsia" w:ascii="宋体" w:hAnsi="宋体" w:eastAsia="宋体" w:cs="宋体"/>
                <w:color w:val="000000"/>
                <w:kern w:val="0"/>
                <w:sz w:val="21"/>
                <w:szCs w:val="21"/>
                <w:highlight w:val="none"/>
                <w:lang w:val="en-US" w:eastAsia="zh-CN"/>
              </w:rPr>
              <w:t>磋商</w:t>
            </w:r>
            <w:r>
              <w:rPr>
                <w:rFonts w:hint="eastAsia" w:ascii="宋体" w:hAnsi="宋体" w:eastAsia="宋体" w:cs="宋体"/>
                <w:color w:val="000000"/>
                <w:kern w:val="0"/>
                <w:sz w:val="21"/>
                <w:szCs w:val="21"/>
                <w:highlight w:val="none"/>
                <w:lang w:val="zh-CN"/>
              </w:rPr>
              <w:t>文件的相关要求，得</w:t>
            </w:r>
            <w:r>
              <w:rPr>
                <w:rFonts w:hint="eastAsia" w:ascii="宋体" w:hAnsi="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lang w:val="zh-CN"/>
              </w:rPr>
              <w:t>分；指标参数，每负偏离一项扣</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lang w:val="zh-CN"/>
              </w:rPr>
              <w:t>分，扣完为止。</w:t>
            </w:r>
          </w:p>
          <w:p w14:paraId="7BAFC591">
            <w:pPr>
              <w:widowControl/>
              <w:spacing w:line="360" w:lineRule="auto"/>
              <w:jc w:val="left"/>
              <w:textAlignment w:val="top"/>
              <w:rPr>
                <w:rFonts w:hint="eastAsia" w:ascii="宋体" w:hAnsi="宋体" w:eastAsia="宋体" w:cs="宋体"/>
                <w:color w:val="auto"/>
                <w:sz w:val="21"/>
                <w:szCs w:val="21"/>
                <w:highlight w:val="none"/>
                <w:lang w:eastAsia="zh-Hans"/>
              </w:rPr>
            </w:pPr>
            <w:r>
              <w:rPr>
                <w:rFonts w:hint="eastAsia" w:ascii="宋体" w:hAnsi="宋体" w:eastAsia="宋体" w:cs="宋体"/>
                <w:color w:val="000000"/>
                <w:kern w:val="0"/>
                <w:sz w:val="21"/>
                <w:szCs w:val="21"/>
                <w:highlight w:val="none"/>
                <w:lang w:val="zh-CN"/>
              </w:rPr>
              <w:t>各投标供应商均应如实填写偏离情况，并按要求提供相关证明材料。</w:t>
            </w:r>
          </w:p>
        </w:tc>
      </w:tr>
      <w:tr w14:paraId="30EFE0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63065633">
            <w:pPr>
              <w:spacing w:line="480" w:lineRule="exact"/>
              <w:jc w:val="center"/>
              <w:rPr>
                <w:rFonts w:ascii="宋体" w:hAnsi="宋体" w:cs="宋体"/>
                <w:szCs w:val="21"/>
              </w:rPr>
            </w:pPr>
            <w:r>
              <w:rPr>
                <w:rFonts w:hint="eastAsia" w:ascii="宋体" w:hAnsi="宋体" w:cs="宋体"/>
                <w:szCs w:val="21"/>
              </w:rPr>
              <w:t>实施方案</w:t>
            </w:r>
          </w:p>
          <w:p w14:paraId="4171768C">
            <w:pPr>
              <w:spacing w:line="4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8000" w:type="dxa"/>
            <w:tcBorders>
              <w:top w:val="single" w:color="auto" w:sz="4" w:space="0"/>
              <w:left w:val="single" w:color="auto" w:sz="4" w:space="0"/>
              <w:bottom w:val="single" w:color="auto" w:sz="4" w:space="0"/>
              <w:right w:val="single" w:color="auto" w:sz="4" w:space="0"/>
            </w:tcBorders>
            <w:noWrap w:val="0"/>
            <w:vAlign w:val="center"/>
          </w:tcPr>
          <w:p w14:paraId="3DFCD67C">
            <w:pPr>
              <w:spacing w:line="480" w:lineRule="exact"/>
              <w:jc w:val="left"/>
              <w:rPr>
                <w:rFonts w:hint="eastAsia" w:ascii="宋体" w:hAnsi="宋体" w:cs="宋体"/>
                <w:szCs w:val="21"/>
              </w:rPr>
            </w:pPr>
            <w:r>
              <w:rPr>
                <w:rFonts w:hint="eastAsia" w:ascii="宋体" w:hAnsi="宋体" w:eastAsia="宋体" w:cs="宋体"/>
                <w:sz w:val="21"/>
                <w:szCs w:val="21"/>
              </w:rPr>
              <w:t>根据</w:t>
            </w:r>
            <w:r>
              <w:rPr>
                <w:rFonts w:hint="eastAsia" w:ascii="宋体" w:hAnsi="宋体" w:cs="宋体"/>
                <w:sz w:val="21"/>
                <w:szCs w:val="21"/>
                <w:lang w:eastAsia="zh-CN"/>
              </w:rPr>
              <w:t>供应商</w:t>
            </w:r>
            <w:r>
              <w:rPr>
                <w:rFonts w:hint="eastAsia" w:ascii="宋体" w:hAnsi="宋体" w:eastAsia="宋体" w:cs="宋体"/>
                <w:sz w:val="21"/>
                <w:szCs w:val="21"/>
              </w:rPr>
              <w:t>要求及项目需求提出的详细</w:t>
            </w:r>
            <w:r>
              <w:rPr>
                <w:rFonts w:hint="eastAsia" w:ascii="宋体" w:hAnsi="宋体" w:eastAsia="宋体" w:cs="宋体"/>
                <w:sz w:val="21"/>
                <w:szCs w:val="21"/>
                <w:highlight w:val="none"/>
              </w:rPr>
              <w:t>深化设计和软件部署实施方案</w:t>
            </w:r>
            <w:r>
              <w:rPr>
                <w:rFonts w:hint="eastAsia" w:ascii="宋体" w:hAnsi="宋体" w:cs="宋体"/>
                <w:szCs w:val="21"/>
              </w:rPr>
              <w:t>制定详细的实施方案，依据方案的专业性和完善度进行综合评分。</w:t>
            </w:r>
          </w:p>
          <w:p w14:paraId="5E70CEFD">
            <w:pPr>
              <w:spacing w:line="480" w:lineRule="exact"/>
              <w:jc w:val="left"/>
              <w:rPr>
                <w:rFonts w:ascii="宋体" w:hAnsi="宋体" w:cs="宋体"/>
                <w:szCs w:val="21"/>
              </w:rPr>
            </w:pPr>
            <w:r>
              <w:rPr>
                <w:rFonts w:hint="eastAsia" w:ascii="宋体" w:hAnsi="宋体" w:cs="宋体"/>
                <w:szCs w:val="21"/>
              </w:rPr>
              <w:t>方案完整且实际操作性强，得1</w:t>
            </w:r>
            <w:r>
              <w:rPr>
                <w:rFonts w:hint="eastAsia" w:ascii="宋体" w:hAnsi="宋体" w:cs="宋体"/>
                <w:szCs w:val="21"/>
                <w:lang w:val="en-US" w:eastAsia="zh-CN"/>
              </w:rPr>
              <w:t>0</w:t>
            </w:r>
            <w:r>
              <w:rPr>
                <w:rFonts w:hint="eastAsia" w:ascii="宋体" w:hAnsi="宋体" w:cs="宋体"/>
                <w:szCs w:val="21"/>
              </w:rPr>
              <w:t>分；</w:t>
            </w:r>
          </w:p>
          <w:p w14:paraId="4C225631">
            <w:pPr>
              <w:spacing w:line="480" w:lineRule="exact"/>
              <w:jc w:val="left"/>
              <w:rPr>
                <w:rFonts w:ascii="宋体" w:hAnsi="宋体" w:cs="宋体"/>
                <w:szCs w:val="21"/>
              </w:rPr>
            </w:pPr>
            <w:r>
              <w:rPr>
                <w:rFonts w:hint="eastAsia" w:ascii="宋体" w:hAnsi="宋体" w:cs="宋体"/>
                <w:szCs w:val="21"/>
              </w:rPr>
              <w:t>方案较全面或实际操作性较强，得</w:t>
            </w:r>
            <w:r>
              <w:rPr>
                <w:rFonts w:hint="eastAsia" w:ascii="宋体" w:hAnsi="宋体" w:cs="宋体"/>
                <w:szCs w:val="21"/>
                <w:lang w:val="en-US" w:eastAsia="zh-CN"/>
              </w:rPr>
              <w:t>7</w:t>
            </w:r>
            <w:r>
              <w:rPr>
                <w:rFonts w:hint="eastAsia" w:ascii="宋体" w:hAnsi="宋体" w:cs="宋体"/>
                <w:szCs w:val="21"/>
              </w:rPr>
              <w:t>分；</w:t>
            </w:r>
          </w:p>
          <w:p w14:paraId="35B6E5CD">
            <w:pPr>
              <w:spacing w:line="480" w:lineRule="exact"/>
              <w:jc w:val="left"/>
              <w:rPr>
                <w:rFonts w:ascii="宋体" w:hAnsi="宋体" w:cs="宋体"/>
                <w:szCs w:val="21"/>
              </w:rPr>
            </w:pPr>
            <w:r>
              <w:rPr>
                <w:rFonts w:hint="eastAsia" w:ascii="宋体" w:hAnsi="宋体" w:cs="宋体"/>
                <w:szCs w:val="21"/>
              </w:rPr>
              <w:t>方案基本全面或实际操作性一般，得</w:t>
            </w:r>
            <w:r>
              <w:rPr>
                <w:rFonts w:hint="eastAsia" w:ascii="宋体" w:hAnsi="宋体" w:cs="宋体"/>
                <w:szCs w:val="21"/>
                <w:lang w:val="en-US" w:eastAsia="zh-CN"/>
              </w:rPr>
              <w:t>4</w:t>
            </w:r>
            <w:r>
              <w:rPr>
                <w:rFonts w:hint="eastAsia" w:ascii="宋体" w:hAnsi="宋体" w:cs="宋体"/>
                <w:szCs w:val="21"/>
              </w:rPr>
              <w:t>分；</w:t>
            </w:r>
          </w:p>
          <w:p w14:paraId="19640D43">
            <w:pPr>
              <w:spacing w:line="4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方案差，实际操作性弱或未提供方案不得分。</w:t>
            </w:r>
          </w:p>
        </w:tc>
      </w:tr>
      <w:tr w14:paraId="24B12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5"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455CBAB3">
            <w:pPr>
              <w:spacing w:line="480" w:lineRule="exact"/>
              <w:jc w:val="center"/>
              <w:rPr>
                <w:rFonts w:ascii="宋体" w:hAnsi="宋体" w:cs="宋体"/>
                <w:szCs w:val="21"/>
                <w:highlight w:val="none"/>
              </w:rPr>
            </w:pPr>
            <w:r>
              <w:rPr>
                <w:rFonts w:hint="eastAsia" w:ascii="宋体" w:hAnsi="宋体" w:cs="宋体"/>
                <w:szCs w:val="21"/>
                <w:highlight w:val="none"/>
              </w:rPr>
              <w:t>售后服务方案</w:t>
            </w:r>
          </w:p>
          <w:p w14:paraId="3517DE02">
            <w:pPr>
              <w:spacing w:line="4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8000" w:type="dxa"/>
            <w:tcBorders>
              <w:top w:val="single" w:color="auto" w:sz="4" w:space="0"/>
              <w:left w:val="single" w:color="auto" w:sz="4" w:space="0"/>
              <w:bottom w:val="single" w:color="auto" w:sz="4" w:space="0"/>
              <w:right w:val="single" w:color="auto" w:sz="4" w:space="0"/>
            </w:tcBorders>
            <w:noWrap w:val="0"/>
            <w:vAlign w:val="center"/>
          </w:tcPr>
          <w:p w14:paraId="35FA6580">
            <w:pPr>
              <w:spacing w:line="480" w:lineRule="exact"/>
              <w:jc w:val="left"/>
              <w:rPr>
                <w:rFonts w:hint="eastAsia" w:ascii="宋体" w:hAnsi="宋体" w:eastAsia="宋体" w:cs="宋体"/>
                <w:szCs w:val="21"/>
                <w:highlight w:val="none"/>
                <w:lang w:val="en-US" w:eastAsia="zh-CN"/>
              </w:rPr>
            </w:pPr>
            <w:r>
              <w:rPr>
                <w:rFonts w:hint="eastAsia" w:ascii="宋体" w:hAnsi="宋体" w:cs="宋体"/>
                <w:color w:val="auto"/>
                <w:szCs w:val="21"/>
                <w:highlight w:val="none"/>
              </w:rPr>
              <w:t>根据</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要求及项目需求</w:t>
            </w:r>
            <w:r>
              <w:rPr>
                <w:rFonts w:hint="eastAsia" w:ascii="宋体" w:hAnsi="宋体" w:eastAsia="宋体" w:cs="宋体"/>
                <w:color w:val="auto"/>
                <w:sz w:val="21"/>
                <w:szCs w:val="21"/>
                <w:highlight w:val="none"/>
                <w:lang w:val="en-US" w:eastAsia="zh-CN"/>
              </w:rPr>
              <w:t>针对</w:t>
            </w:r>
            <w:r>
              <w:rPr>
                <w:rFonts w:hint="eastAsia" w:ascii="宋体" w:hAnsi="宋体" w:eastAsia="宋体" w:cs="宋体"/>
                <w:color w:val="auto"/>
                <w:sz w:val="21"/>
                <w:szCs w:val="21"/>
                <w:highlight w:val="none"/>
              </w:rPr>
              <w:t>免费质保及维保期内及期后服务方案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包括不限于：</w:t>
            </w:r>
            <w:r>
              <w:rPr>
                <w:rFonts w:hint="eastAsia" w:ascii="宋体" w:hAnsi="宋体" w:eastAsia="宋体" w:cs="宋体"/>
                <w:szCs w:val="21"/>
                <w:highlight w:val="none"/>
              </w:rPr>
              <w:t>质量保证、服务响应时间以及售后服务点的技术力量</w:t>
            </w:r>
            <w:r>
              <w:rPr>
                <w:rFonts w:hint="eastAsia" w:ascii="宋体" w:hAnsi="宋体" w:eastAsia="宋体" w:cs="宋体"/>
                <w:szCs w:val="21"/>
                <w:highlight w:val="none"/>
                <w:lang w:eastAsia="zh-CN"/>
              </w:rPr>
              <w:t>）</w:t>
            </w:r>
            <w:r>
              <w:rPr>
                <w:rFonts w:hint="eastAsia" w:ascii="宋体" w:hAnsi="宋体" w:eastAsia="宋体" w:cs="宋体"/>
                <w:szCs w:val="21"/>
                <w:highlight w:val="none"/>
              </w:rPr>
              <w:t>制定详细的售后服务方案，依据方案的专业性和完善度进行综合评分。</w:t>
            </w:r>
          </w:p>
          <w:p w14:paraId="22DA870E">
            <w:pPr>
              <w:spacing w:line="480" w:lineRule="exact"/>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（1）上述每项</w:t>
            </w:r>
            <w:r>
              <w:rPr>
                <w:rFonts w:hint="eastAsia" w:ascii="宋体" w:hAnsi="宋体" w:eastAsia="宋体" w:cs="宋体"/>
                <w:szCs w:val="21"/>
                <w:highlight w:val="none"/>
                <w:lang w:val="en-US" w:eastAsia="zh-CN"/>
              </w:rPr>
              <w:t>方案</w:t>
            </w:r>
            <w:r>
              <w:rPr>
                <w:rFonts w:hint="eastAsia" w:ascii="宋体" w:hAnsi="宋体" w:eastAsia="宋体" w:cs="宋体"/>
                <w:szCs w:val="21"/>
                <w:highlight w:val="none"/>
              </w:rPr>
              <w:t>完整，科学合理、操作性强的，得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分； </w:t>
            </w:r>
            <w:r>
              <w:rPr>
                <w:rFonts w:hint="eastAsia" w:ascii="宋体" w:hAnsi="宋体" w:eastAsia="宋体" w:cs="宋体"/>
                <w:szCs w:val="21"/>
                <w:highlight w:val="none"/>
              </w:rPr>
              <w:br w:type="textWrapping"/>
            </w:r>
            <w:r>
              <w:rPr>
                <w:rFonts w:hint="eastAsia" w:ascii="宋体" w:hAnsi="宋体" w:eastAsia="宋体" w:cs="宋体"/>
                <w:szCs w:val="21"/>
                <w:highlight w:val="none"/>
              </w:rPr>
              <w:t>（2）上述每项</w:t>
            </w:r>
            <w:r>
              <w:rPr>
                <w:rFonts w:hint="eastAsia" w:ascii="宋体" w:hAnsi="宋体" w:eastAsia="宋体" w:cs="宋体"/>
                <w:szCs w:val="21"/>
                <w:highlight w:val="none"/>
                <w:lang w:val="en-US" w:eastAsia="zh-CN"/>
              </w:rPr>
              <w:t>方案</w:t>
            </w:r>
            <w:r>
              <w:rPr>
                <w:rFonts w:hint="eastAsia" w:ascii="宋体" w:hAnsi="宋体" w:eastAsia="宋体" w:cs="宋体"/>
                <w:szCs w:val="21"/>
                <w:highlight w:val="none"/>
              </w:rPr>
              <w:t>较完整，较科学合理，有可操作性的，得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分； </w:t>
            </w:r>
            <w:r>
              <w:rPr>
                <w:rFonts w:hint="eastAsia" w:ascii="宋体" w:hAnsi="宋体" w:eastAsia="宋体" w:cs="宋体"/>
                <w:szCs w:val="21"/>
                <w:highlight w:val="none"/>
              </w:rPr>
              <w:br w:type="textWrapping"/>
            </w:r>
            <w:r>
              <w:rPr>
                <w:rFonts w:hint="eastAsia" w:ascii="宋体" w:hAnsi="宋体" w:eastAsia="宋体" w:cs="宋体"/>
                <w:szCs w:val="21"/>
                <w:highlight w:val="none"/>
              </w:rPr>
              <w:t>（3）上述每项</w:t>
            </w:r>
            <w:r>
              <w:rPr>
                <w:rFonts w:hint="eastAsia" w:ascii="宋体" w:hAnsi="宋体" w:eastAsia="宋体" w:cs="宋体"/>
                <w:szCs w:val="21"/>
                <w:highlight w:val="none"/>
                <w:lang w:val="en-US" w:eastAsia="zh-CN"/>
              </w:rPr>
              <w:t>方案</w:t>
            </w:r>
            <w:r>
              <w:rPr>
                <w:rFonts w:hint="eastAsia" w:ascii="宋体" w:hAnsi="宋体" w:eastAsia="宋体" w:cs="宋体"/>
                <w:szCs w:val="21"/>
                <w:highlight w:val="none"/>
              </w:rPr>
              <w:t>不</w:t>
            </w:r>
            <w:r>
              <w:rPr>
                <w:rFonts w:hint="eastAsia" w:ascii="宋体" w:hAnsi="宋体" w:eastAsia="宋体" w:cs="宋体"/>
                <w:szCs w:val="21"/>
                <w:highlight w:val="none"/>
                <w:lang w:val="en-US" w:eastAsia="zh-CN"/>
              </w:rPr>
              <w:t>完整，一般</w:t>
            </w:r>
            <w:r>
              <w:rPr>
                <w:rFonts w:hint="eastAsia" w:ascii="宋体" w:hAnsi="宋体" w:eastAsia="宋体" w:cs="宋体"/>
                <w:szCs w:val="21"/>
                <w:highlight w:val="none"/>
              </w:rPr>
              <w:t>科学合理、操作性</w:t>
            </w:r>
            <w:r>
              <w:rPr>
                <w:rFonts w:hint="eastAsia" w:ascii="宋体" w:hAnsi="宋体" w:eastAsia="宋体" w:cs="宋体"/>
                <w:szCs w:val="21"/>
                <w:highlight w:val="none"/>
                <w:lang w:val="en-US" w:eastAsia="zh-CN"/>
              </w:rPr>
              <w:t>一般得1分；</w:t>
            </w:r>
          </w:p>
          <w:p w14:paraId="77B1612B">
            <w:pPr>
              <w:spacing w:line="48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）上述每项</w:t>
            </w:r>
            <w:r>
              <w:rPr>
                <w:rFonts w:hint="eastAsia" w:ascii="宋体" w:hAnsi="宋体" w:eastAsia="宋体" w:cs="宋体"/>
                <w:szCs w:val="21"/>
                <w:highlight w:val="none"/>
                <w:lang w:val="en-US" w:eastAsia="zh-CN"/>
              </w:rPr>
              <w:t>方案不提供</w:t>
            </w:r>
            <w:r>
              <w:rPr>
                <w:rFonts w:hint="eastAsia" w:ascii="宋体" w:hAnsi="宋体" w:eastAsia="宋体" w:cs="宋体"/>
                <w:szCs w:val="21"/>
                <w:highlight w:val="none"/>
              </w:rPr>
              <w:t>不得分。</w:t>
            </w:r>
          </w:p>
        </w:tc>
      </w:tr>
    </w:tbl>
    <w:p w14:paraId="747606B1">
      <w:pPr>
        <w:pStyle w:val="107"/>
        <w:ind w:firstLine="420"/>
      </w:pPr>
    </w:p>
    <w:p w14:paraId="23DE9687">
      <w:pPr>
        <w:tabs>
          <w:tab w:val="left" w:pos="780"/>
        </w:tabs>
        <w:ind w:left="420"/>
        <w:rPr>
          <w:rFonts w:ascii="Times New Roman" w:hAnsi="Times New Roman" w:eastAsia="宋体" w:cs="Times New Roman"/>
          <w:szCs w:val="24"/>
        </w:rPr>
      </w:pPr>
    </w:p>
    <w:p w14:paraId="03AA8649">
      <w:pPr>
        <w:ind w:firstLine="420"/>
        <w:rPr>
          <w:rFonts w:ascii="楷体_GB2312" w:hAnsi="Times New Roman" w:eastAsia="楷体_GB2312" w:cs="Times New Roman"/>
          <w:sz w:val="32"/>
          <w:szCs w:val="21"/>
        </w:rPr>
      </w:pPr>
    </w:p>
    <w:p w14:paraId="152FA638">
      <w:pPr>
        <w:keepNext/>
        <w:keepLines/>
        <w:spacing w:before="260" w:after="260" w:line="360" w:lineRule="auto"/>
        <w:jc w:val="center"/>
        <w:outlineLvl w:val="1"/>
        <w:rPr>
          <w:rFonts w:hint="eastAsia" w:ascii="宋体" w:hAnsi="宋体" w:eastAsia="宋体" w:cs="Arial"/>
          <w:b/>
          <w:bCs/>
          <w:sz w:val="44"/>
          <w:szCs w:val="44"/>
        </w:rPr>
        <w:sectPr>
          <w:pgSz w:w="11906" w:h="16838"/>
          <w:pgMar w:top="1440" w:right="1800" w:bottom="1440" w:left="1800" w:header="1191" w:footer="992" w:gutter="0"/>
          <w:cols w:space="720" w:num="1"/>
          <w:docGrid w:type="lines" w:linePitch="312" w:charSpace="0"/>
        </w:sectPr>
      </w:pPr>
    </w:p>
    <w:p w14:paraId="2173C848">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第六章  竞争性磋商响应文件格式</w:t>
      </w:r>
    </w:p>
    <w:p w14:paraId="48CEA871">
      <w:pPr>
        <w:keepNext/>
        <w:keepLines/>
        <w:spacing w:before="260" w:after="260" w:line="360" w:lineRule="auto"/>
        <w:jc w:val="center"/>
        <w:outlineLvl w:val="1"/>
        <w:rPr>
          <w:rFonts w:hint="eastAsia" w:ascii="宋体" w:hAnsi="宋体" w:eastAsia="宋体" w:cs="Arial"/>
          <w:b/>
          <w:bCs/>
          <w:sz w:val="44"/>
          <w:szCs w:val="44"/>
        </w:rPr>
      </w:pPr>
    </w:p>
    <w:p w14:paraId="1C987DE9">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 xml:space="preserve"> </w:t>
      </w:r>
    </w:p>
    <w:p w14:paraId="2703668F">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竞争性磋商响应文件</w:t>
      </w:r>
    </w:p>
    <w:p w14:paraId="15F8A3B7">
      <w:pPr>
        <w:keepNext/>
        <w:keepLines/>
        <w:spacing w:before="260" w:after="260" w:line="480" w:lineRule="auto"/>
        <w:jc w:val="center"/>
        <w:outlineLvl w:val="1"/>
        <w:rPr>
          <w:rFonts w:hint="eastAsia" w:ascii="宋体" w:hAnsi="宋体" w:eastAsia="宋体" w:cs="Arial"/>
          <w:b/>
          <w:bCs/>
          <w:sz w:val="44"/>
          <w:szCs w:val="44"/>
        </w:rPr>
      </w:pPr>
    </w:p>
    <w:p w14:paraId="085748C9">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（正本或副本）</w:t>
      </w:r>
    </w:p>
    <w:p w14:paraId="451F9A51">
      <w:pPr>
        <w:keepNext/>
        <w:keepLines/>
        <w:spacing w:before="260" w:after="260" w:line="480" w:lineRule="auto"/>
        <w:jc w:val="center"/>
        <w:outlineLvl w:val="1"/>
        <w:rPr>
          <w:rFonts w:hint="eastAsia" w:ascii="宋体" w:hAnsi="宋体" w:eastAsia="宋体" w:cs="Arial"/>
          <w:b/>
          <w:bCs/>
          <w:sz w:val="44"/>
          <w:szCs w:val="44"/>
        </w:rPr>
      </w:pPr>
    </w:p>
    <w:p w14:paraId="7FD1DF18">
      <w:pPr>
        <w:keepNext/>
        <w:keepLines/>
        <w:spacing w:before="260" w:after="260" w:line="480" w:lineRule="auto"/>
        <w:jc w:val="center"/>
        <w:outlineLvl w:val="1"/>
        <w:rPr>
          <w:rFonts w:hint="eastAsia" w:ascii="宋体" w:hAnsi="宋体" w:eastAsia="宋体" w:cs="Arial"/>
          <w:b/>
          <w:bCs/>
          <w:sz w:val="44"/>
          <w:szCs w:val="44"/>
        </w:rPr>
      </w:pPr>
    </w:p>
    <w:p w14:paraId="1EA5B8D2">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lang w:eastAsia="zh-CN"/>
        </w:rPr>
      </w:pPr>
      <w:r>
        <w:rPr>
          <w:rFonts w:hint="eastAsia" w:ascii="宋体" w:hAnsi="宋体" w:eastAsia="宋体" w:cs="Arial"/>
          <w:bCs/>
          <w:kern w:val="0"/>
          <w:sz w:val="32"/>
          <w:szCs w:val="32"/>
        </w:rPr>
        <w:t>项目名称：</w:t>
      </w:r>
      <w:r>
        <w:rPr>
          <w:rFonts w:hint="eastAsia" w:ascii="宋体" w:hAnsi="宋体" w:cs="Arial"/>
          <w:bCs/>
          <w:kern w:val="0"/>
          <w:sz w:val="32"/>
          <w:szCs w:val="32"/>
          <w:u w:val="single"/>
          <w:lang w:eastAsia="zh-CN"/>
        </w:rPr>
        <w:t>2025—2028年教学办公软件正版化项目</w:t>
      </w:r>
    </w:p>
    <w:p w14:paraId="190CD789">
      <w:pPr>
        <w:tabs>
          <w:tab w:val="left" w:pos="2410"/>
        </w:tabs>
        <w:adjustRightInd w:val="0"/>
        <w:spacing w:before="120" w:after="120" w:line="360" w:lineRule="auto"/>
        <w:ind w:left="1134" w:leftChars="540"/>
        <w:jc w:val="left"/>
        <w:textAlignment w:val="baseline"/>
        <w:rPr>
          <w:rFonts w:hint="eastAsia" w:ascii="宋体" w:hAnsi="宋体" w:eastAsia="宋体" w:cs="Arial"/>
          <w:b/>
          <w:bCs/>
          <w:kern w:val="0"/>
          <w:sz w:val="32"/>
          <w:szCs w:val="32"/>
        </w:rPr>
      </w:pPr>
      <w:r>
        <w:rPr>
          <w:rFonts w:hint="eastAsia" w:ascii="宋体" w:hAnsi="宋体" w:eastAsia="宋体" w:cs="Arial"/>
          <w:bCs/>
          <w:kern w:val="0"/>
          <w:sz w:val="32"/>
          <w:szCs w:val="32"/>
        </w:rPr>
        <w:t>项目编号：</w:t>
      </w:r>
      <w:r>
        <w:rPr>
          <w:rFonts w:hint="eastAsia" w:ascii="宋体" w:hAnsi="宋体" w:cs="Arial"/>
          <w:bCs/>
          <w:kern w:val="0"/>
          <w:sz w:val="32"/>
          <w:szCs w:val="32"/>
          <w:u w:val="single"/>
          <w:lang w:eastAsia="zh-CN"/>
        </w:rPr>
        <w:t>TDCG2025052</w:t>
      </w:r>
      <w:r>
        <w:rPr>
          <w:rFonts w:hint="eastAsia" w:ascii="宋体" w:hAnsi="宋体" w:eastAsia="宋体" w:cs="Arial"/>
          <w:bCs/>
          <w:kern w:val="0"/>
          <w:sz w:val="32"/>
          <w:szCs w:val="32"/>
          <w:u w:val="single"/>
        </w:rPr>
        <w:t>号</w:t>
      </w:r>
    </w:p>
    <w:p w14:paraId="77CC7D20">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 xml:space="preserve">磋商供应商名称：               </w:t>
      </w:r>
    </w:p>
    <w:p w14:paraId="3CBAD8CA">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日期：</w:t>
      </w:r>
    </w:p>
    <w:p w14:paraId="4A8B9BFB">
      <w:pPr>
        <w:keepNext/>
        <w:keepLines/>
        <w:spacing w:before="260" w:after="260" w:line="360" w:lineRule="auto"/>
        <w:jc w:val="center"/>
        <w:outlineLvl w:val="1"/>
        <w:rPr>
          <w:rFonts w:hint="eastAsia" w:ascii="宋体" w:hAnsi="宋体" w:eastAsia="宋体" w:cs="Times New Roman"/>
          <w:b/>
          <w:sz w:val="28"/>
          <w:szCs w:val="28"/>
        </w:rPr>
      </w:pPr>
      <w:bookmarkStart w:id="136" w:name="_Toc24878535"/>
      <w:bookmarkStart w:id="137" w:name="_Toc22356583"/>
      <w:bookmarkStart w:id="138" w:name="_Toc120614284"/>
      <w:bookmarkStart w:id="139" w:name="_Toc26554103"/>
      <w:bookmarkStart w:id="140" w:name="_Toc120614291"/>
      <w:bookmarkStart w:id="141" w:name="_Toc49090582"/>
      <w:bookmarkStart w:id="142" w:name="_Toc513029281"/>
      <w:bookmarkStart w:id="143" w:name="_Toc23828483"/>
      <w:r>
        <w:rPr>
          <w:rFonts w:ascii="宋体" w:hAnsi="宋体" w:eastAsia="宋体" w:cs="Times New Roman"/>
          <w:b/>
          <w:sz w:val="28"/>
          <w:szCs w:val="28"/>
        </w:rPr>
        <w:br w:type="page"/>
      </w:r>
      <w:r>
        <w:rPr>
          <w:rFonts w:hint="eastAsia" w:ascii="宋体" w:hAnsi="宋体" w:eastAsia="宋体" w:cs="Times New Roman"/>
          <w:b/>
          <w:sz w:val="28"/>
          <w:szCs w:val="28"/>
        </w:rPr>
        <w:t>评分索引表</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8CB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103B06A4">
            <w:pPr>
              <w:widowControl/>
              <w:shd w:val="clear" w:color="auto" w:fill="FFFFFF"/>
              <w:spacing w:line="360" w:lineRule="auto"/>
              <w:ind w:left="420"/>
              <w:contextualSpacing/>
              <w:jc w:val="center"/>
              <w:rPr>
                <w:rFonts w:hint="eastAsia" w:ascii="宋体" w:hAnsi="宋体" w:eastAsia="宋体" w:cs="Times New Roman"/>
                <w:b/>
                <w:bCs/>
                <w:kern w:val="0"/>
                <w:szCs w:val="21"/>
                <w:lang w:bidi="en-US"/>
              </w:rPr>
            </w:pPr>
            <w:r>
              <w:rPr>
                <w:rFonts w:hint="eastAsia" w:ascii="宋体" w:hAnsi="宋体" w:eastAsia="宋体" w:cs="Times New Roman"/>
                <w:b/>
                <w:kern w:val="0"/>
                <w:szCs w:val="21"/>
                <w:lang w:eastAsia="en-US" w:bidi="en-US"/>
              </w:rPr>
              <w:t>评分项目</w:t>
            </w:r>
          </w:p>
        </w:tc>
        <w:tc>
          <w:tcPr>
            <w:tcW w:w="3570" w:type="dxa"/>
          </w:tcPr>
          <w:p w14:paraId="56A6DADF">
            <w:pPr>
              <w:spacing w:line="360" w:lineRule="auto"/>
              <w:jc w:val="center"/>
              <w:rPr>
                <w:rFonts w:hint="eastAsia" w:ascii="宋体" w:hAnsi="宋体" w:eastAsia="宋体" w:cs="Times New Roman"/>
                <w:b/>
                <w:szCs w:val="21"/>
              </w:rPr>
            </w:pPr>
            <w:r>
              <w:rPr>
                <w:rFonts w:hint="eastAsia" w:ascii="宋体" w:hAnsi="宋体" w:eastAsia="宋体" w:cs="Times New Roman"/>
                <w:b/>
                <w:kern w:val="0"/>
                <w:szCs w:val="21"/>
                <w:lang w:bidi="en-US"/>
              </w:rPr>
              <w:t>在响应文件中的页码位置</w:t>
            </w:r>
          </w:p>
        </w:tc>
      </w:tr>
      <w:tr w14:paraId="4939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22CDF6F1">
            <w:pPr>
              <w:widowControl/>
              <w:shd w:val="clear" w:color="auto" w:fill="FFFFFF"/>
              <w:spacing w:line="360" w:lineRule="auto"/>
              <w:ind w:left="420"/>
              <w:contextualSpacing/>
              <w:rPr>
                <w:rFonts w:hint="eastAsia" w:ascii="宋体" w:hAnsi="宋体" w:eastAsia="宋体" w:cs="Times New Roman"/>
                <w:b/>
                <w:kern w:val="0"/>
                <w:szCs w:val="21"/>
                <w:lang w:bidi="en-US"/>
              </w:rPr>
            </w:pPr>
          </w:p>
        </w:tc>
        <w:tc>
          <w:tcPr>
            <w:tcW w:w="3570" w:type="dxa"/>
          </w:tcPr>
          <w:p w14:paraId="617E6B68">
            <w:pPr>
              <w:spacing w:line="360" w:lineRule="auto"/>
              <w:rPr>
                <w:rFonts w:hint="eastAsia" w:ascii="宋体" w:hAnsi="宋体" w:eastAsia="宋体" w:cs="Times New Roman"/>
                <w:b/>
                <w:kern w:val="0"/>
                <w:szCs w:val="21"/>
                <w:lang w:bidi="en-US"/>
              </w:rPr>
            </w:pPr>
          </w:p>
        </w:tc>
      </w:tr>
      <w:tr w14:paraId="77F4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624DF991">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51CA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356F5BF8">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6717CEF8">
            <w:pPr>
              <w:spacing w:line="360" w:lineRule="auto"/>
              <w:rPr>
                <w:rFonts w:hint="eastAsia" w:ascii="宋体" w:hAnsi="宋体" w:eastAsia="宋体" w:cs="Times New Roman"/>
                <w:szCs w:val="21"/>
              </w:rPr>
            </w:pPr>
          </w:p>
        </w:tc>
      </w:tr>
      <w:tr w14:paraId="43F9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20F61789">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3A5CBC59">
            <w:pPr>
              <w:spacing w:line="360" w:lineRule="auto"/>
              <w:rPr>
                <w:rFonts w:hint="eastAsia" w:ascii="宋体" w:hAnsi="宋体" w:eastAsia="宋体" w:cs="Times New Roman"/>
                <w:szCs w:val="21"/>
              </w:rPr>
            </w:pPr>
          </w:p>
        </w:tc>
      </w:tr>
      <w:tr w14:paraId="7019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799E4C5">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439AB62C">
            <w:pPr>
              <w:spacing w:line="360" w:lineRule="auto"/>
              <w:rPr>
                <w:rFonts w:hint="eastAsia" w:ascii="宋体" w:hAnsi="宋体" w:eastAsia="宋体" w:cs="Times New Roman"/>
                <w:szCs w:val="21"/>
              </w:rPr>
            </w:pPr>
          </w:p>
        </w:tc>
      </w:tr>
      <w:tr w14:paraId="665A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0E0869A1">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440A3C3C">
            <w:pPr>
              <w:spacing w:line="360" w:lineRule="auto"/>
              <w:rPr>
                <w:rFonts w:hint="eastAsia" w:ascii="宋体" w:hAnsi="宋体" w:eastAsia="宋体" w:cs="Times New Roman"/>
                <w:szCs w:val="21"/>
              </w:rPr>
            </w:pPr>
          </w:p>
        </w:tc>
      </w:tr>
      <w:tr w14:paraId="74B4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48D57CA3">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CCD7B19">
            <w:pPr>
              <w:spacing w:line="360" w:lineRule="auto"/>
              <w:rPr>
                <w:rFonts w:hint="eastAsia" w:ascii="宋体" w:hAnsi="宋体" w:eastAsia="宋体" w:cs="Times New Roman"/>
                <w:szCs w:val="21"/>
              </w:rPr>
            </w:pPr>
          </w:p>
        </w:tc>
      </w:tr>
      <w:tr w14:paraId="213E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468E114B">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06D7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773A5B95">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07A425BB">
            <w:pPr>
              <w:spacing w:line="360" w:lineRule="auto"/>
              <w:rPr>
                <w:rFonts w:hint="eastAsia" w:ascii="宋体" w:hAnsi="宋体" w:eastAsia="宋体" w:cs="Times New Roman"/>
                <w:szCs w:val="21"/>
              </w:rPr>
            </w:pPr>
          </w:p>
        </w:tc>
      </w:tr>
      <w:tr w14:paraId="708F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27FF552B">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0A6BEAD2">
            <w:pPr>
              <w:spacing w:line="360" w:lineRule="auto"/>
              <w:rPr>
                <w:rFonts w:hint="eastAsia" w:ascii="宋体" w:hAnsi="宋体" w:eastAsia="宋体" w:cs="Times New Roman"/>
                <w:szCs w:val="21"/>
              </w:rPr>
            </w:pPr>
          </w:p>
        </w:tc>
      </w:tr>
      <w:tr w14:paraId="267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6660F4C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7E5C488D">
            <w:pPr>
              <w:spacing w:line="360" w:lineRule="auto"/>
              <w:rPr>
                <w:rFonts w:hint="eastAsia" w:ascii="宋体" w:hAnsi="宋体" w:eastAsia="宋体" w:cs="Times New Roman"/>
                <w:szCs w:val="21"/>
              </w:rPr>
            </w:pPr>
          </w:p>
        </w:tc>
      </w:tr>
      <w:tr w14:paraId="2FE3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07D49A36">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9C56CD9">
            <w:pPr>
              <w:spacing w:line="360" w:lineRule="auto"/>
              <w:rPr>
                <w:rFonts w:hint="eastAsia" w:ascii="宋体" w:hAnsi="宋体" w:eastAsia="宋体" w:cs="Times New Roman"/>
                <w:szCs w:val="21"/>
              </w:rPr>
            </w:pPr>
          </w:p>
        </w:tc>
      </w:tr>
      <w:tr w14:paraId="3F05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15E4AF82">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70CA3FC0">
            <w:pPr>
              <w:spacing w:line="360" w:lineRule="auto"/>
              <w:rPr>
                <w:rFonts w:hint="eastAsia" w:ascii="宋体" w:hAnsi="宋体" w:eastAsia="宋体" w:cs="Times New Roman"/>
                <w:szCs w:val="21"/>
              </w:rPr>
            </w:pPr>
          </w:p>
        </w:tc>
      </w:tr>
      <w:tr w14:paraId="2B3B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46FCBBDB">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33CB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63534A3">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3A81D3E5">
            <w:pPr>
              <w:spacing w:line="360" w:lineRule="auto"/>
              <w:rPr>
                <w:rFonts w:hint="eastAsia" w:ascii="宋体" w:hAnsi="宋体" w:eastAsia="宋体" w:cs="Times New Roman"/>
                <w:szCs w:val="21"/>
              </w:rPr>
            </w:pPr>
          </w:p>
        </w:tc>
      </w:tr>
      <w:tr w14:paraId="5D1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3C999331">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CB773FE">
            <w:pPr>
              <w:spacing w:line="360" w:lineRule="auto"/>
              <w:rPr>
                <w:rFonts w:hint="eastAsia" w:ascii="宋体" w:hAnsi="宋体" w:eastAsia="宋体" w:cs="Times New Roman"/>
                <w:szCs w:val="21"/>
              </w:rPr>
            </w:pPr>
          </w:p>
        </w:tc>
      </w:tr>
      <w:tr w14:paraId="41D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74219F2B">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2D848C76">
            <w:pPr>
              <w:spacing w:line="360" w:lineRule="auto"/>
              <w:rPr>
                <w:rFonts w:hint="eastAsia" w:ascii="宋体" w:hAnsi="宋体" w:eastAsia="宋体" w:cs="Times New Roman"/>
                <w:szCs w:val="21"/>
              </w:rPr>
            </w:pPr>
          </w:p>
        </w:tc>
      </w:tr>
      <w:tr w14:paraId="20C4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2158239D">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2C85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29D8FC21">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Pr>
          <w:p w14:paraId="00090D11">
            <w:pPr>
              <w:spacing w:line="360" w:lineRule="auto"/>
              <w:rPr>
                <w:rFonts w:hint="eastAsia" w:ascii="宋体" w:hAnsi="宋体" w:eastAsia="宋体" w:cs="Times New Roman"/>
                <w:szCs w:val="21"/>
              </w:rPr>
            </w:pPr>
          </w:p>
        </w:tc>
      </w:tr>
      <w:tr w14:paraId="2392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442B51A2">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Borders>
              <w:bottom w:val="single" w:color="auto" w:sz="4" w:space="0"/>
            </w:tcBorders>
          </w:tcPr>
          <w:p w14:paraId="5F77B072">
            <w:pPr>
              <w:spacing w:line="360" w:lineRule="auto"/>
              <w:rPr>
                <w:rFonts w:hint="eastAsia" w:ascii="宋体" w:hAnsi="宋体" w:eastAsia="宋体" w:cs="Times New Roman"/>
                <w:szCs w:val="21"/>
              </w:rPr>
            </w:pPr>
          </w:p>
        </w:tc>
      </w:tr>
    </w:tbl>
    <w:p w14:paraId="7BD31EE1">
      <w:pPr>
        <w:spacing w:line="360" w:lineRule="auto"/>
        <w:rPr>
          <w:rFonts w:hint="eastAsia" w:ascii="宋体" w:hAnsi="宋体" w:eastAsia="宋体" w:cs="Times New Roman"/>
          <w:color w:val="FF0000"/>
          <w:szCs w:val="24"/>
        </w:rPr>
      </w:pPr>
    </w:p>
    <w:p w14:paraId="43F54F09">
      <w:pPr>
        <w:spacing w:line="360" w:lineRule="auto"/>
        <w:jc w:val="center"/>
        <w:rPr>
          <w:rFonts w:hint="eastAsia" w:ascii="宋体" w:hAnsi="宋体" w:eastAsia="宋体" w:cs="Times New Roman"/>
          <w:b/>
          <w:bCs/>
          <w:szCs w:val="21"/>
        </w:rPr>
      </w:pPr>
      <w:r>
        <w:rPr>
          <w:rFonts w:ascii="宋体" w:hAnsi="宋体" w:eastAsia="宋体" w:cs="Times New Roman"/>
          <w:b/>
          <w:color w:val="000000"/>
          <w:sz w:val="32"/>
          <w:szCs w:val="32"/>
        </w:rPr>
        <w:br w:type="page"/>
      </w:r>
      <w:r>
        <w:rPr>
          <w:rFonts w:hint="eastAsia" w:ascii="宋体" w:hAnsi="宋体" w:eastAsia="宋体" w:cs="Times New Roman"/>
          <w:b/>
          <w:bCs/>
          <w:szCs w:val="21"/>
        </w:rPr>
        <w:t>响应文件主要目录</w:t>
      </w:r>
    </w:p>
    <w:p w14:paraId="5BB4DACE">
      <w:pPr>
        <w:spacing w:line="360" w:lineRule="auto"/>
        <w:jc w:val="center"/>
        <w:rPr>
          <w:rFonts w:hint="eastAsia" w:ascii="宋体" w:hAnsi="宋体" w:eastAsia="宋体" w:cs="Times New Roman"/>
          <w:b/>
          <w:bCs/>
          <w:szCs w:val="21"/>
        </w:rPr>
      </w:pPr>
    </w:p>
    <w:p w14:paraId="4ECAE82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一、资格性和符合性检查响应对照表</w:t>
      </w:r>
    </w:p>
    <w:p w14:paraId="45093C2E">
      <w:pPr>
        <w:spacing w:line="360" w:lineRule="auto"/>
        <w:ind w:firstLine="422" w:firstLineChars="200"/>
        <w:rPr>
          <w:rFonts w:hint="eastAsia" w:ascii="宋体" w:hAnsi="宋体" w:eastAsia="宋体" w:cs="Times New Roman"/>
          <w:bCs/>
          <w:szCs w:val="21"/>
        </w:rPr>
      </w:pPr>
      <w:r>
        <w:rPr>
          <w:rFonts w:hint="eastAsia" w:ascii="宋体" w:hAnsi="宋体" w:eastAsia="宋体" w:cs="Times New Roman"/>
          <w:b/>
          <w:bCs/>
          <w:szCs w:val="21"/>
        </w:rPr>
        <w:t>二</w:t>
      </w:r>
      <w:r>
        <w:rPr>
          <w:rFonts w:hint="eastAsia" w:ascii="宋体" w:hAnsi="宋体" w:eastAsia="宋体" w:cs="Times New Roman"/>
          <w:szCs w:val="21"/>
        </w:rPr>
        <w:t>、</w:t>
      </w:r>
      <w:r>
        <w:rPr>
          <w:rFonts w:hint="eastAsia" w:ascii="宋体" w:hAnsi="宋体" w:eastAsia="宋体" w:cs="Times New Roman"/>
          <w:bCs/>
          <w:szCs w:val="21"/>
        </w:rPr>
        <w:t>资信证明文件</w:t>
      </w:r>
    </w:p>
    <w:p w14:paraId="2404237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三、磋商响应函</w:t>
      </w:r>
    </w:p>
    <w:p w14:paraId="69B979B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四、磋商响应报价表</w:t>
      </w:r>
    </w:p>
    <w:p w14:paraId="0851409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五、分项报价表</w:t>
      </w:r>
    </w:p>
    <w:p w14:paraId="56D4A7B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六、技术参数响应及偏离表</w:t>
      </w:r>
    </w:p>
    <w:p w14:paraId="6832CB2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七、商务条款响应及偏离表</w:t>
      </w:r>
    </w:p>
    <w:p w14:paraId="5D6385D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八</w:t>
      </w:r>
      <w:r>
        <w:rPr>
          <w:rFonts w:hint="eastAsia" w:ascii="宋体" w:hAnsi="宋体" w:eastAsia="宋体" w:cs="Courier New"/>
          <w:szCs w:val="21"/>
        </w:rPr>
        <w:t>、</w:t>
      </w:r>
      <w:r>
        <w:rPr>
          <w:rFonts w:ascii="宋体" w:hAnsi="宋体" w:eastAsia="宋体" w:cs="Courier New"/>
          <w:szCs w:val="21"/>
        </w:rPr>
        <w:t>……</w:t>
      </w:r>
    </w:p>
    <w:p w14:paraId="50B91470">
      <w:pPr>
        <w:keepNext/>
        <w:keepLines/>
        <w:spacing w:before="260" w:after="260" w:line="360" w:lineRule="auto"/>
        <w:jc w:val="center"/>
        <w:outlineLvl w:val="1"/>
        <w:rPr>
          <w:rFonts w:hint="eastAsia" w:ascii="宋体" w:hAnsi="宋体" w:eastAsia="幼圆" w:cs="Times New Roman"/>
          <w:color w:val="000000"/>
          <w:sz w:val="32"/>
          <w:szCs w:val="32"/>
        </w:rPr>
      </w:pPr>
    </w:p>
    <w:p w14:paraId="7268A2B8">
      <w:pPr>
        <w:spacing w:line="360" w:lineRule="auto"/>
        <w:jc w:val="center"/>
        <w:rPr>
          <w:rFonts w:hint="eastAsia" w:ascii="宋体" w:hAnsi="宋体" w:eastAsia="宋体" w:cs="Times New Roman"/>
          <w:b/>
          <w:color w:val="000000"/>
          <w:szCs w:val="21"/>
        </w:rPr>
      </w:pPr>
    </w:p>
    <w:p w14:paraId="01BB677A">
      <w:pPr>
        <w:spacing w:line="360" w:lineRule="auto"/>
        <w:jc w:val="center"/>
        <w:rPr>
          <w:rFonts w:hint="eastAsia" w:ascii="宋体" w:hAnsi="宋体" w:eastAsia="宋体" w:cs="Times New Roman"/>
          <w:b/>
          <w:color w:val="000000"/>
          <w:szCs w:val="21"/>
        </w:rPr>
      </w:pPr>
    </w:p>
    <w:p w14:paraId="43F7FEF3">
      <w:pPr>
        <w:spacing w:line="360" w:lineRule="auto"/>
        <w:jc w:val="center"/>
        <w:rPr>
          <w:rFonts w:hint="eastAsia" w:ascii="宋体" w:hAnsi="宋体" w:eastAsia="宋体" w:cs="Times New Roman"/>
          <w:b/>
          <w:color w:val="000000"/>
          <w:szCs w:val="21"/>
        </w:rPr>
      </w:pPr>
    </w:p>
    <w:p w14:paraId="2A5C8063">
      <w:pPr>
        <w:spacing w:line="360" w:lineRule="auto"/>
        <w:jc w:val="center"/>
        <w:rPr>
          <w:rFonts w:hint="eastAsia" w:ascii="宋体" w:hAnsi="宋体" w:eastAsia="宋体" w:cs="Times New Roman"/>
          <w:b/>
          <w:color w:val="000000"/>
          <w:szCs w:val="21"/>
        </w:rPr>
      </w:pPr>
    </w:p>
    <w:p w14:paraId="03A2B5ED">
      <w:pPr>
        <w:spacing w:line="360" w:lineRule="auto"/>
        <w:jc w:val="center"/>
        <w:rPr>
          <w:rFonts w:hint="eastAsia" w:ascii="宋体" w:hAnsi="宋体" w:eastAsia="宋体" w:cs="Times New Roman"/>
          <w:b/>
          <w:color w:val="000000"/>
          <w:szCs w:val="21"/>
        </w:rPr>
      </w:pPr>
    </w:p>
    <w:p w14:paraId="6BF0BF1A">
      <w:pPr>
        <w:spacing w:line="360" w:lineRule="auto"/>
        <w:jc w:val="center"/>
        <w:rPr>
          <w:rFonts w:hint="eastAsia" w:ascii="宋体" w:hAnsi="宋体" w:eastAsia="宋体" w:cs="Times New Roman"/>
          <w:b/>
          <w:color w:val="000000"/>
          <w:szCs w:val="21"/>
        </w:rPr>
      </w:pPr>
    </w:p>
    <w:p w14:paraId="46D1E87B">
      <w:pPr>
        <w:spacing w:line="360" w:lineRule="auto"/>
        <w:jc w:val="center"/>
        <w:rPr>
          <w:rFonts w:hint="eastAsia" w:ascii="宋体" w:hAnsi="宋体" w:eastAsia="宋体" w:cs="Times New Roman"/>
          <w:b/>
          <w:color w:val="000000"/>
          <w:szCs w:val="21"/>
        </w:rPr>
      </w:pPr>
    </w:p>
    <w:p w14:paraId="685A4C52">
      <w:pPr>
        <w:spacing w:line="360" w:lineRule="auto"/>
        <w:jc w:val="center"/>
        <w:rPr>
          <w:rFonts w:hint="eastAsia" w:ascii="宋体" w:hAnsi="宋体" w:eastAsia="宋体" w:cs="Times New Roman"/>
          <w:b/>
          <w:color w:val="000000"/>
          <w:szCs w:val="21"/>
        </w:rPr>
      </w:pPr>
    </w:p>
    <w:p w14:paraId="2BBA58A0">
      <w:pPr>
        <w:spacing w:line="360" w:lineRule="auto"/>
        <w:jc w:val="center"/>
        <w:rPr>
          <w:rFonts w:hint="eastAsia" w:ascii="宋体" w:hAnsi="宋体" w:eastAsia="宋体" w:cs="Times New Roman"/>
          <w:b/>
          <w:color w:val="000000"/>
          <w:szCs w:val="21"/>
        </w:rPr>
      </w:pPr>
    </w:p>
    <w:p w14:paraId="70DAA926">
      <w:pPr>
        <w:spacing w:line="360" w:lineRule="auto"/>
        <w:jc w:val="center"/>
        <w:rPr>
          <w:rFonts w:hint="eastAsia" w:ascii="宋体" w:hAnsi="宋体" w:eastAsia="宋体" w:cs="Times New Roman"/>
          <w:b/>
          <w:color w:val="000000"/>
          <w:szCs w:val="21"/>
        </w:rPr>
      </w:pPr>
    </w:p>
    <w:p w14:paraId="4F0D16FF">
      <w:pPr>
        <w:spacing w:line="360" w:lineRule="auto"/>
        <w:jc w:val="center"/>
        <w:rPr>
          <w:rFonts w:hint="eastAsia" w:ascii="宋体" w:hAnsi="宋体" w:eastAsia="宋体" w:cs="Times New Roman"/>
          <w:b/>
          <w:color w:val="000000"/>
          <w:szCs w:val="21"/>
        </w:rPr>
      </w:pPr>
    </w:p>
    <w:p w14:paraId="11AFCC33">
      <w:pPr>
        <w:spacing w:line="360" w:lineRule="auto"/>
        <w:jc w:val="center"/>
        <w:rPr>
          <w:rFonts w:hint="eastAsia" w:ascii="宋体" w:hAnsi="宋体" w:eastAsia="宋体" w:cs="Times New Roman"/>
          <w:b/>
          <w:color w:val="000000"/>
          <w:szCs w:val="21"/>
        </w:rPr>
      </w:pPr>
    </w:p>
    <w:p w14:paraId="2E9AE7B3">
      <w:pPr>
        <w:spacing w:line="360" w:lineRule="auto"/>
        <w:jc w:val="center"/>
        <w:rPr>
          <w:rFonts w:hint="eastAsia" w:ascii="宋体" w:hAnsi="宋体" w:eastAsia="宋体" w:cs="Times New Roman"/>
          <w:b/>
          <w:color w:val="000000"/>
          <w:szCs w:val="21"/>
        </w:rPr>
      </w:pPr>
    </w:p>
    <w:p w14:paraId="1FF97E52">
      <w:pPr>
        <w:spacing w:line="360" w:lineRule="auto"/>
        <w:jc w:val="center"/>
        <w:rPr>
          <w:rFonts w:hint="eastAsia" w:ascii="宋体" w:hAnsi="宋体" w:eastAsia="宋体" w:cs="Times New Roman"/>
          <w:b/>
          <w:color w:val="000000"/>
          <w:szCs w:val="21"/>
        </w:rPr>
      </w:pPr>
    </w:p>
    <w:p w14:paraId="7626CB89">
      <w:pPr>
        <w:spacing w:line="360" w:lineRule="auto"/>
        <w:jc w:val="center"/>
        <w:rPr>
          <w:rFonts w:hint="eastAsia" w:ascii="宋体" w:hAnsi="宋体" w:eastAsia="宋体" w:cs="Times New Roman"/>
          <w:b/>
          <w:color w:val="000000"/>
          <w:szCs w:val="21"/>
        </w:rPr>
      </w:pPr>
    </w:p>
    <w:p w14:paraId="405A3722">
      <w:pPr>
        <w:spacing w:line="360" w:lineRule="auto"/>
        <w:jc w:val="center"/>
        <w:rPr>
          <w:rFonts w:hint="eastAsia" w:ascii="宋体" w:hAnsi="宋体" w:eastAsia="宋体" w:cs="Times New Roman"/>
          <w:b/>
          <w:color w:val="000000"/>
          <w:szCs w:val="21"/>
        </w:rPr>
      </w:pPr>
    </w:p>
    <w:p w14:paraId="3E32F2E0">
      <w:pPr>
        <w:spacing w:line="360" w:lineRule="auto"/>
        <w:jc w:val="center"/>
        <w:rPr>
          <w:rFonts w:hint="eastAsia" w:ascii="宋体" w:hAnsi="宋体" w:eastAsia="宋体" w:cs="Times New Roman"/>
          <w:b/>
          <w:color w:val="000000"/>
          <w:szCs w:val="21"/>
        </w:rPr>
      </w:pPr>
    </w:p>
    <w:p w14:paraId="735D87E3">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一、资格性和符合性检查响应对照表</w:t>
      </w:r>
    </w:p>
    <w:p w14:paraId="0FE45DE4">
      <w:pPr>
        <w:spacing w:line="360" w:lineRule="auto"/>
        <w:ind w:firstLine="309"/>
        <w:rPr>
          <w:rFonts w:hint="eastAsia" w:ascii="宋体" w:hAnsi="宋体" w:eastAsia="宋体" w:cs="Times New Roman"/>
          <w:color w:val="000000"/>
          <w:szCs w:val="21"/>
        </w:rPr>
      </w:pPr>
      <w:r>
        <w:rPr>
          <w:rFonts w:hint="eastAsia" w:ascii="宋体" w:hAnsi="宋体" w:eastAsia="宋体" w:cs="Times New Roman"/>
          <w:color w:val="000000"/>
          <w:szCs w:val="21"/>
        </w:rPr>
        <w:t>磋商供应商全称（加盖公章）：</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2E4A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1061A2C2">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序号</w:t>
            </w:r>
          </w:p>
        </w:tc>
        <w:tc>
          <w:tcPr>
            <w:tcW w:w="5447" w:type="dxa"/>
            <w:vAlign w:val="center"/>
          </w:tcPr>
          <w:p w14:paraId="0F6CACF9">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资格和符合性检查响应内容</w:t>
            </w:r>
          </w:p>
        </w:tc>
        <w:tc>
          <w:tcPr>
            <w:tcW w:w="1680" w:type="dxa"/>
            <w:vAlign w:val="center"/>
          </w:tcPr>
          <w:p w14:paraId="2F93D640">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是否响应</w:t>
            </w:r>
          </w:p>
          <w:p w14:paraId="312DA603">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（填是或者否）</w:t>
            </w:r>
          </w:p>
        </w:tc>
        <w:tc>
          <w:tcPr>
            <w:tcW w:w="1785" w:type="dxa"/>
            <w:vAlign w:val="center"/>
          </w:tcPr>
          <w:p w14:paraId="5EF5F965">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响应文件中的页码位置</w:t>
            </w:r>
          </w:p>
        </w:tc>
      </w:tr>
      <w:tr w14:paraId="3203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21F9631C">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1</w:t>
            </w:r>
          </w:p>
        </w:tc>
        <w:tc>
          <w:tcPr>
            <w:tcW w:w="5447" w:type="dxa"/>
            <w:vAlign w:val="center"/>
          </w:tcPr>
          <w:p w14:paraId="7C8D6671">
            <w:pPr>
              <w:spacing w:line="360" w:lineRule="auto"/>
              <w:rPr>
                <w:rFonts w:hint="eastAsia" w:ascii="宋体" w:hAnsi="宋体" w:eastAsia="宋体" w:cs="Times New Roman"/>
                <w:i/>
                <w:iCs/>
                <w:color w:val="000000"/>
                <w:szCs w:val="21"/>
                <w:u w:val="single"/>
              </w:rPr>
            </w:pPr>
          </w:p>
        </w:tc>
        <w:tc>
          <w:tcPr>
            <w:tcW w:w="1680" w:type="dxa"/>
            <w:vAlign w:val="center"/>
          </w:tcPr>
          <w:p w14:paraId="650C9390">
            <w:pPr>
              <w:spacing w:line="360" w:lineRule="auto"/>
              <w:rPr>
                <w:rFonts w:hint="eastAsia" w:ascii="宋体" w:hAnsi="宋体" w:eastAsia="宋体" w:cs="Times New Roman"/>
                <w:color w:val="000000"/>
                <w:szCs w:val="21"/>
              </w:rPr>
            </w:pPr>
          </w:p>
        </w:tc>
        <w:tc>
          <w:tcPr>
            <w:tcW w:w="1785" w:type="dxa"/>
            <w:vAlign w:val="center"/>
          </w:tcPr>
          <w:p w14:paraId="4BE75082">
            <w:pPr>
              <w:spacing w:line="360" w:lineRule="auto"/>
              <w:rPr>
                <w:rFonts w:hint="eastAsia" w:ascii="宋体" w:hAnsi="宋体" w:eastAsia="宋体" w:cs="Times New Roman"/>
                <w:color w:val="000000"/>
                <w:szCs w:val="21"/>
              </w:rPr>
            </w:pPr>
          </w:p>
        </w:tc>
      </w:tr>
      <w:tr w14:paraId="3950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6ECB59E5">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2</w:t>
            </w:r>
          </w:p>
        </w:tc>
        <w:tc>
          <w:tcPr>
            <w:tcW w:w="5447" w:type="dxa"/>
            <w:vAlign w:val="center"/>
          </w:tcPr>
          <w:p w14:paraId="6EC3FAD7">
            <w:pPr>
              <w:spacing w:line="360" w:lineRule="auto"/>
              <w:rPr>
                <w:rFonts w:hint="eastAsia" w:ascii="宋体" w:hAnsi="宋体" w:eastAsia="宋体" w:cs="Times New Roman"/>
                <w:i/>
                <w:iCs/>
                <w:color w:val="000000"/>
                <w:szCs w:val="21"/>
                <w:u w:val="single"/>
              </w:rPr>
            </w:pPr>
          </w:p>
        </w:tc>
        <w:tc>
          <w:tcPr>
            <w:tcW w:w="1680" w:type="dxa"/>
            <w:vAlign w:val="center"/>
          </w:tcPr>
          <w:p w14:paraId="68818AA9">
            <w:pPr>
              <w:spacing w:line="360" w:lineRule="auto"/>
              <w:rPr>
                <w:rFonts w:hint="eastAsia" w:ascii="宋体" w:hAnsi="宋体" w:eastAsia="宋体" w:cs="Times New Roman"/>
                <w:color w:val="000000"/>
                <w:szCs w:val="21"/>
              </w:rPr>
            </w:pPr>
          </w:p>
        </w:tc>
        <w:tc>
          <w:tcPr>
            <w:tcW w:w="1785" w:type="dxa"/>
            <w:vAlign w:val="center"/>
          </w:tcPr>
          <w:p w14:paraId="623FCEE1">
            <w:pPr>
              <w:spacing w:line="360" w:lineRule="auto"/>
              <w:rPr>
                <w:rFonts w:hint="eastAsia" w:ascii="宋体" w:hAnsi="宋体" w:eastAsia="宋体" w:cs="Times New Roman"/>
                <w:color w:val="000000"/>
                <w:szCs w:val="21"/>
              </w:rPr>
            </w:pPr>
          </w:p>
        </w:tc>
      </w:tr>
      <w:tr w14:paraId="6070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53C05197">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3</w:t>
            </w:r>
          </w:p>
        </w:tc>
        <w:tc>
          <w:tcPr>
            <w:tcW w:w="5447" w:type="dxa"/>
            <w:vAlign w:val="center"/>
          </w:tcPr>
          <w:p w14:paraId="798A5462">
            <w:pPr>
              <w:spacing w:line="360" w:lineRule="auto"/>
              <w:rPr>
                <w:rFonts w:hint="eastAsia" w:ascii="宋体" w:hAnsi="宋体" w:eastAsia="宋体" w:cs="Times New Roman"/>
                <w:i/>
                <w:iCs/>
                <w:color w:val="000000"/>
                <w:szCs w:val="21"/>
                <w:u w:val="single"/>
              </w:rPr>
            </w:pPr>
          </w:p>
        </w:tc>
        <w:tc>
          <w:tcPr>
            <w:tcW w:w="1680" w:type="dxa"/>
            <w:vAlign w:val="center"/>
          </w:tcPr>
          <w:p w14:paraId="07CE9F98">
            <w:pPr>
              <w:spacing w:line="360" w:lineRule="auto"/>
              <w:rPr>
                <w:rFonts w:hint="eastAsia" w:ascii="宋体" w:hAnsi="宋体" w:eastAsia="宋体" w:cs="Times New Roman"/>
                <w:color w:val="000000"/>
                <w:szCs w:val="21"/>
              </w:rPr>
            </w:pPr>
          </w:p>
        </w:tc>
        <w:tc>
          <w:tcPr>
            <w:tcW w:w="1785" w:type="dxa"/>
            <w:vAlign w:val="center"/>
          </w:tcPr>
          <w:p w14:paraId="27FBDB54">
            <w:pPr>
              <w:spacing w:line="360" w:lineRule="auto"/>
              <w:rPr>
                <w:rFonts w:hint="eastAsia" w:ascii="宋体" w:hAnsi="宋体" w:eastAsia="宋体" w:cs="Times New Roman"/>
                <w:color w:val="000000"/>
                <w:szCs w:val="21"/>
              </w:rPr>
            </w:pPr>
          </w:p>
        </w:tc>
      </w:tr>
      <w:tr w14:paraId="56DA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14:paraId="0D9CA18C">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4</w:t>
            </w:r>
          </w:p>
        </w:tc>
        <w:tc>
          <w:tcPr>
            <w:tcW w:w="5447" w:type="dxa"/>
            <w:vAlign w:val="center"/>
          </w:tcPr>
          <w:p w14:paraId="2D1442E6">
            <w:pPr>
              <w:spacing w:line="360" w:lineRule="auto"/>
              <w:rPr>
                <w:rFonts w:hint="eastAsia" w:ascii="宋体" w:hAnsi="宋体" w:eastAsia="宋体" w:cs="Times New Roman"/>
                <w:i/>
                <w:iCs/>
                <w:color w:val="000000"/>
                <w:szCs w:val="21"/>
                <w:u w:val="single"/>
              </w:rPr>
            </w:pPr>
          </w:p>
        </w:tc>
        <w:tc>
          <w:tcPr>
            <w:tcW w:w="1680" w:type="dxa"/>
            <w:vAlign w:val="center"/>
          </w:tcPr>
          <w:p w14:paraId="24667DEE">
            <w:pPr>
              <w:spacing w:line="360" w:lineRule="auto"/>
              <w:rPr>
                <w:rFonts w:hint="eastAsia" w:ascii="宋体" w:hAnsi="宋体" w:eastAsia="宋体" w:cs="Times New Roman"/>
                <w:color w:val="000000"/>
                <w:szCs w:val="21"/>
              </w:rPr>
            </w:pPr>
          </w:p>
        </w:tc>
        <w:tc>
          <w:tcPr>
            <w:tcW w:w="1785" w:type="dxa"/>
            <w:vAlign w:val="center"/>
          </w:tcPr>
          <w:p w14:paraId="719D0039">
            <w:pPr>
              <w:spacing w:line="360" w:lineRule="auto"/>
              <w:rPr>
                <w:rFonts w:hint="eastAsia" w:ascii="宋体" w:hAnsi="宋体" w:eastAsia="宋体" w:cs="Times New Roman"/>
                <w:color w:val="000000"/>
                <w:szCs w:val="21"/>
              </w:rPr>
            </w:pPr>
          </w:p>
        </w:tc>
      </w:tr>
      <w:tr w14:paraId="7369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14:paraId="63FC78AD">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5</w:t>
            </w:r>
          </w:p>
        </w:tc>
        <w:tc>
          <w:tcPr>
            <w:tcW w:w="5447" w:type="dxa"/>
            <w:vAlign w:val="center"/>
          </w:tcPr>
          <w:p w14:paraId="6A2B7680">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67D98CAE">
            <w:pPr>
              <w:spacing w:line="360" w:lineRule="auto"/>
              <w:rPr>
                <w:rFonts w:hint="eastAsia" w:ascii="宋体" w:hAnsi="宋体" w:eastAsia="宋体" w:cs="Times New Roman"/>
                <w:color w:val="000000"/>
                <w:szCs w:val="21"/>
              </w:rPr>
            </w:pPr>
          </w:p>
        </w:tc>
        <w:tc>
          <w:tcPr>
            <w:tcW w:w="1785" w:type="dxa"/>
            <w:vAlign w:val="center"/>
          </w:tcPr>
          <w:p w14:paraId="059D7C36">
            <w:pPr>
              <w:spacing w:line="360" w:lineRule="auto"/>
              <w:rPr>
                <w:rFonts w:hint="eastAsia" w:ascii="宋体" w:hAnsi="宋体" w:eastAsia="宋体" w:cs="Times New Roman"/>
                <w:color w:val="000000"/>
                <w:szCs w:val="21"/>
              </w:rPr>
            </w:pPr>
          </w:p>
        </w:tc>
      </w:tr>
      <w:tr w14:paraId="4242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16FFAE66">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6</w:t>
            </w:r>
          </w:p>
        </w:tc>
        <w:tc>
          <w:tcPr>
            <w:tcW w:w="5447" w:type="dxa"/>
            <w:vAlign w:val="center"/>
          </w:tcPr>
          <w:p w14:paraId="46C479BF">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26F8663A">
            <w:pPr>
              <w:spacing w:line="360" w:lineRule="auto"/>
              <w:rPr>
                <w:rFonts w:hint="eastAsia" w:ascii="宋体" w:hAnsi="宋体" w:eastAsia="宋体" w:cs="Times New Roman"/>
                <w:color w:val="000000"/>
                <w:szCs w:val="21"/>
              </w:rPr>
            </w:pPr>
          </w:p>
        </w:tc>
        <w:tc>
          <w:tcPr>
            <w:tcW w:w="1785" w:type="dxa"/>
            <w:vAlign w:val="center"/>
          </w:tcPr>
          <w:p w14:paraId="5F787C0F">
            <w:pPr>
              <w:spacing w:line="360" w:lineRule="auto"/>
              <w:rPr>
                <w:rFonts w:hint="eastAsia" w:ascii="宋体" w:hAnsi="宋体" w:eastAsia="宋体" w:cs="Times New Roman"/>
                <w:color w:val="000000"/>
                <w:szCs w:val="21"/>
              </w:rPr>
            </w:pPr>
          </w:p>
        </w:tc>
      </w:tr>
      <w:tr w14:paraId="4E4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14:paraId="27031083">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7</w:t>
            </w:r>
          </w:p>
        </w:tc>
        <w:tc>
          <w:tcPr>
            <w:tcW w:w="5447" w:type="dxa"/>
            <w:vAlign w:val="center"/>
          </w:tcPr>
          <w:p w14:paraId="4DE11746">
            <w:pPr>
              <w:snapToGrid w:val="0"/>
              <w:spacing w:line="360" w:lineRule="auto"/>
              <w:rPr>
                <w:rFonts w:hint="eastAsia" w:ascii="宋体" w:hAnsi="宋体" w:eastAsia="宋体" w:cs="Times New Roman"/>
                <w:i/>
                <w:iCs/>
                <w:color w:val="000000"/>
                <w:szCs w:val="21"/>
                <w:u w:val="single"/>
              </w:rPr>
            </w:pPr>
            <w:r>
              <w:rPr>
                <w:rFonts w:hint="eastAsia" w:ascii="宋体" w:hAnsi="宋体" w:eastAsia="宋体" w:cs="Times New Roman"/>
                <w:i/>
                <w:iCs/>
                <w:color w:val="000000"/>
                <w:szCs w:val="21"/>
                <w:u w:val="single"/>
              </w:rPr>
              <w:t>磋商文件中的其他实质性要求</w:t>
            </w:r>
          </w:p>
        </w:tc>
        <w:tc>
          <w:tcPr>
            <w:tcW w:w="1680" w:type="dxa"/>
            <w:vAlign w:val="center"/>
          </w:tcPr>
          <w:p w14:paraId="20657D04">
            <w:pPr>
              <w:spacing w:line="360" w:lineRule="auto"/>
              <w:rPr>
                <w:rFonts w:hint="eastAsia" w:ascii="宋体" w:hAnsi="宋体" w:eastAsia="宋体" w:cs="Times New Roman"/>
                <w:color w:val="000000"/>
                <w:szCs w:val="21"/>
              </w:rPr>
            </w:pPr>
          </w:p>
        </w:tc>
        <w:tc>
          <w:tcPr>
            <w:tcW w:w="1785" w:type="dxa"/>
            <w:vAlign w:val="center"/>
          </w:tcPr>
          <w:p w14:paraId="70964B79">
            <w:pPr>
              <w:spacing w:line="360" w:lineRule="auto"/>
              <w:rPr>
                <w:rFonts w:hint="eastAsia" w:ascii="宋体" w:hAnsi="宋体" w:eastAsia="宋体" w:cs="Times New Roman"/>
                <w:color w:val="000000"/>
                <w:szCs w:val="21"/>
              </w:rPr>
            </w:pPr>
          </w:p>
        </w:tc>
      </w:tr>
    </w:tbl>
    <w:p w14:paraId="18CB234F">
      <w:pPr>
        <w:spacing w:line="360" w:lineRule="auto"/>
        <w:ind w:firstLine="420" w:firstLineChars="200"/>
        <w:rPr>
          <w:rFonts w:hint="eastAsia" w:ascii="宋体" w:hAnsi="宋体" w:eastAsia="宋体" w:cs="Times New Roman"/>
          <w:szCs w:val="21"/>
        </w:rPr>
      </w:pPr>
    </w:p>
    <w:p w14:paraId="28B99E5F">
      <w:pPr>
        <w:snapToGrid w:val="0"/>
        <w:spacing w:before="50" w:after="50"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769B1319">
      <w:pPr>
        <w:snapToGrid w:val="0"/>
        <w:spacing w:before="50" w:after="50" w:line="360" w:lineRule="auto"/>
        <w:rPr>
          <w:rFonts w:hint="eastAsia" w:ascii="宋体" w:hAnsi="宋体" w:eastAsia="宋体" w:cs="Times New Roman"/>
          <w:szCs w:val="21"/>
        </w:rPr>
      </w:pPr>
    </w:p>
    <w:p w14:paraId="1D23ED50">
      <w:pPr>
        <w:spacing w:line="360" w:lineRule="auto"/>
        <w:jc w:val="center"/>
        <w:rPr>
          <w:rFonts w:hint="eastAsia" w:ascii="宋体" w:hAnsi="宋体" w:eastAsia="宋体" w:cs="Times New Roman"/>
          <w:b/>
          <w:color w:val="000000"/>
          <w:szCs w:val="21"/>
        </w:rPr>
      </w:pPr>
    </w:p>
    <w:p w14:paraId="5CEBE4EB">
      <w:pPr>
        <w:spacing w:line="360" w:lineRule="auto"/>
        <w:jc w:val="center"/>
        <w:rPr>
          <w:rFonts w:hint="eastAsia" w:ascii="宋体" w:hAnsi="宋体" w:eastAsia="宋体" w:cs="Times New Roman"/>
          <w:b/>
          <w:color w:val="000000"/>
          <w:szCs w:val="21"/>
        </w:rPr>
      </w:pPr>
    </w:p>
    <w:p w14:paraId="675CB592">
      <w:pPr>
        <w:spacing w:line="360" w:lineRule="auto"/>
        <w:jc w:val="center"/>
        <w:rPr>
          <w:rFonts w:hint="eastAsia" w:ascii="宋体" w:hAnsi="宋体" w:eastAsia="宋体" w:cs="Times New Roman"/>
          <w:b/>
          <w:color w:val="000000"/>
          <w:szCs w:val="21"/>
        </w:rPr>
      </w:pPr>
    </w:p>
    <w:p w14:paraId="1B909D27">
      <w:pPr>
        <w:spacing w:line="360" w:lineRule="auto"/>
        <w:jc w:val="center"/>
        <w:rPr>
          <w:rFonts w:hint="eastAsia" w:ascii="宋体" w:hAnsi="宋体" w:eastAsia="宋体" w:cs="Times New Roman"/>
          <w:b/>
          <w:color w:val="000000"/>
          <w:szCs w:val="21"/>
        </w:rPr>
      </w:pPr>
    </w:p>
    <w:p w14:paraId="63DD5153">
      <w:pPr>
        <w:spacing w:line="360" w:lineRule="auto"/>
        <w:jc w:val="center"/>
        <w:rPr>
          <w:rFonts w:hint="eastAsia" w:ascii="宋体" w:hAnsi="宋体" w:eastAsia="宋体" w:cs="Times New Roman"/>
          <w:b/>
          <w:color w:val="000000"/>
          <w:szCs w:val="21"/>
        </w:rPr>
      </w:pPr>
    </w:p>
    <w:p w14:paraId="54A66351">
      <w:pPr>
        <w:spacing w:line="360" w:lineRule="auto"/>
        <w:jc w:val="center"/>
        <w:rPr>
          <w:rFonts w:hint="eastAsia" w:ascii="宋体" w:hAnsi="宋体" w:eastAsia="宋体" w:cs="Times New Roman"/>
          <w:b/>
          <w:color w:val="000000"/>
          <w:szCs w:val="21"/>
        </w:rPr>
      </w:pPr>
    </w:p>
    <w:p w14:paraId="62CE5371">
      <w:pPr>
        <w:spacing w:line="360" w:lineRule="auto"/>
        <w:jc w:val="center"/>
        <w:rPr>
          <w:rFonts w:hint="eastAsia" w:ascii="宋体" w:hAnsi="宋体" w:eastAsia="宋体" w:cs="Times New Roman"/>
          <w:b/>
          <w:color w:val="000000"/>
          <w:szCs w:val="21"/>
        </w:rPr>
      </w:pPr>
    </w:p>
    <w:p w14:paraId="353054B6">
      <w:pPr>
        <w:spacing w:line="360" w:lineRule="auto"/>
        <w:rPr>
          <w:rFonts w:hint="eastAsia" w:ascii="宋体" w:hAnsi="宋体" w:eastAsia="宋体" w:cs="Times New Roman"/>
          <w:b/>
          <w:color w:val="000000"/>
          <w:szCs w:val="21"/>
        </w:rPr>
      </w:pPr>
    </w:p>
    <w:p w14:paraId="23731AC4">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二、资信证明文件</w:t>
      </w:r>
    </w:p>
    <w:p w14:paraId="5476E343">
      <w:pPr>
        <w:snapToGrid w:val="0"/>
        <w:spacing w:before="50" w:after="50" w:line="360" w:lineRule="auto"/>
        <w:rPr>
          <w:rFonts w:hint="eastAsia" w:ascii="宋体" w:hAnsi="宋体" w:eastAsia="宋体" w:cs="Times New Roman"/>
          <w:b/>
          <w:bCs/>
          <w:szCs w:val="21"/>
        </w:rPr>
      </w:pPr>
      <w:r>
        <w:rPr>
          <w:rFonts w:hint="eastAsia" w:ascii="宋体" w:hAnsi="宋体" w:eastAsia="宋体" w:cs="Times New Roman"/>
          <w:szCs w:val="21"/>
        </w:rPr>
        <w:t xml:space="preserve">   </w:t>
      </w:r>
      <w:r>
        <w:rPr>
          <w:rFonts w:hint="eastAsia" w:ascii="宋体" w:hAnsi="宋体" w:eastAsia="宋体" w:cs="Times New Roman"/>
          <w:b/>
          <w:bCs/>
          <w:szCs w:val="21"/>
        </w:rPr>
        <w:t>1、实质性资格证明文件目录</w:t>
      </w:r>
    </w:p>
    <w:p w14:paraId="629BF157">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 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1272E3B3">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 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13E4303E">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 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 xml:space="preserve">； </w:t>
      </w:r>
    </w:p>
    <w:p w14:paraId="3DF7B3C5">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 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02A577F0">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 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(税务、银行或社会保险基金管理部门出具的近六个月内任意一份缴纳职工社会保障资金的缴款凭证或缴款证明)</w:t>
      </w:r>
    </w:p>
    <w:p w14:paraId="6BDC2A5F">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 供应商近六个月内任意一份依法纳税的缴款凭证</w:t>
      </w:r>
      <w:r>
        <w:rPr>
          <w:rFonts w:hint="eastAsia" w:ascii="宋体" w:hAnsi="宋体" w:eastAsia="宋体" w:cs="Arial"/>
          <w:b/>
          <w:bCs/>
          <w:i/>
          <w:iCs/>
          <w:color w:val="000000"/>
          <w:spacing w:val="-6"/>
          <w:szCs w:val="21"/>
          <w:u w:val="single"/>
        </w:rPr>
        <w:t>(复印件加盖供应商公章)</w:t>
      </w:r>
    </w:p>
    <w:p w14:paraId="05F3EF97">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 7上一年度财务报告（成立不足一年不需提供）</w:t>
      </w:r>
      <w:r>
        <w:rPr>
          <w:rFonts w:hint="eastAsia" w:ascii="宋体" w:hAnsi="宋体" w:eastAsia="宋体" w:cs="Arial"/>
          <w:b/>
          <w:bCs/>
          <w:i/>
          <w:iCs/>
          <w:color w:val="000000"/>
          <w:spacing w:val="-6"/>
          <w:szCs w:val="21"/>
          <w:u w:val="single"/>
        </w:rPr>
        <w:t>(复印件加盖供应商公章)</w:t>
      </w:r>
    </w:p>
    <w:p w14:paraId="3AC70F0C">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8供应商参加本次政府采购活动前3年内在经营活动中没有重大违法记录的书面声明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p>
    <w:p w14:paraId="62B3B442">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9)未被“信用中国”网站（www.creditchina.gov.cn）、“中国政府采购网"(www.ccgp.gov.cn)列入失信被执行人、重大税收违法案件当事人名单、政府采购严重违法失信行为记录名单（提供网页截图加盖</w:t>
      </w:r>
      <w:r>
        <w:rPr>
          <w:rFonts w:hint="eastAsia" w:ascii="宋体" w:hAnsi="宋体" w:cs="Arial"/>
          <w:i/>
          <w:iCs/>
          <w:color w:val="000000"/>
          <w:spacing w:val="-6"/>
          <w:szCs w:val="21"/>
          <w:u w:val="single"/>
          <w:lang w:eastAsia="zh-CN"/>
        </w:rPr>
        <w:t>供应商</w:t>
      </w:r>
      <w:r>
        <w:rPr>
          <w:rFonts w:hint="eastAsia" w:ascii="宋体" w:hAnsi="宋体" w:eastAsia="宋体" w:cs="Arial"/>
          <w:i/>
          <w:iCs/>
          <w:color w:val="000000"/>
          <w:spacing w:val="-6"/>
          <w:szCs w:val="21"/>
          <w:u w:val="single"/>
        </w:rPr>
        <w:t>公章）</w:t>
      </w:r>
    </w:p>
    <w:p w14:paraId="58F14BE9">
      <w:pPr>
        <w:widowControl/>
        <w:snapToGrid w:val="0"/>
        <w:spacing w:line="360" w:lineRule="auto"/>
        <w:ind w:firstLine="422" w:firstLineChars="200"/>
        <w:jc w:val="left"/>
        <w:rPr>
          <w:rFonts w:hint="eastAsia" w:ascii="宋体" w:hAnsi="宋体" w:eastAsia="宋体" w:cs="Arial"/>
          <w:color w:val="000000"/>
          <w:spacing w:val="-6"/>
          <w:szCs w:val="21"/>
        </w:rPr>
      </w:pPr>
      <w:r>
        <w:rPr>
          <w:rFonts w:hint="eastAsia" w:ascii="宋体" w:hAnsi="宋体" w:eastAsia="宋体" w:cs="Times New Roman"/>
          <w:b/>
          <w:bCs/>
          <w:szCs w:val="21"/>
        </w:rPr>
        <w:t>2、落实政府采购政策需满足的资格要求</w:t>
      </w:r>
      <w:r>
        <w:rPr>
          <w:rFonts w:hint="eastAsia" w:ascii="宋体" w:hAnsi="宋体" w:eastAsia="宋体" w:cs="Arial"/>
          <w:color w:val="000000"/>
          <w:spacing w:val="-6"/>
          <w:szCs w:val="21"/>
        </w:rPr>
        <w:t>：</w:t>
      </w:r>
      <w:r>
        <w:rPr>
          <w:rFonts w:hint="eastAsia" w:ascii="宋体" w:hAnsi="宋体" w:eastAsia="宋体" w:cs="Arial"/>
          <w:i/>
          <w:iCs/>
          <w:color w:val="000000"/>
          <w:spacing w:val="-6"/>
          <w:szCs w:val="21"/>
          <w:u w:val="single"/>
        </w:rPr>
        <w:t>无</w:t>
      </w:r>
    </w:p>
    <w:p w14:paraId="254A826E">
      <w:pPr>
        <w:pStyle w:val="14"/>
        <w:spacing w:line="360" w:lineRule="auto"/>
        <w:ind w:firstLine="422" w:firstLineChars="200"/>
        <w:rPr>
          <w:rFonts w:hint="eastAsia" w:ascii="宋体" w:hAnsi="宋体" w:eastAsia="宋体"/>
          <w:b/>
          <w:bCs/>
          <w:sz w:val="21"/>
          <w:szCs w:val="21"/>
        </w:rPr>
      </w:pPr>
      <w:r>
        <w:rPr>
          <w:rFonts w:hint="eastAsia" w:ascii="宋体" w:hAnsi="宋体" w:eastAsia="宋体"/>
          <w:b/>
          <w:bCs/>
          <w:sz w:val="21"/>
          <w:szCs w:val="21"/>
        </w:rPr>
        <w:t>3、本项目的特定资格要求：</w:t>
      </w:r>
      <w:r>
        <w:rPr>
          <w:rFonts w:hint="eastAsia" w:ascii="宋体" w:hAnsi="宋体" w:eastAsia="宋体" w:cs="Arial"/>
          <w:i/>
          <w:iCs/>
          <w:color w:val="000000"/>
          <w:spacing w:val="-6"/>
          <w:szCs w:val="21"/>
          <w:u w:val="single"/>
        </w:rPr>
        <w:t>无</w:t>
      </w:r>
    </w:p>
    <w:p w14:paraId="69176988">
      <w:pPr>
        <w:widowControl/>
        <w:snapToGrid w:val="0"/>
        <w:spacing w:line="360" w:lineRule="auto"/>
        <w:ind w:firstLine="525"/>
        <w:jc w:val="left"/>
        <w:rPr>
          <w:rFonts w:hint="eastAsia" w:ascii="宋体" w:hAnsi="宋体" w:eastAsia="宋体" w:cs="Arial"/>
          <w:b/>
          <w:bCs/>
          <w:i/>
          <w:iCs/>
          <w:color w:val="000000"/>
          <w:spacing w:val="-6"/>
          <w:szCs w:val="21"/>
          <w:u w:val="single"/>
        </w:rPr>
      </w:pPr>
    </w:p>
    <w:p w14:paraId="568E723C">
      <w:pPr>
        <w:snapToGrid w:val="0"/>
        <w:spacing w:before="50" w:after="50" w:line="360" w:lineRule="auto"/>
        <w:rPr>
          <w:rFonts w:hint="eastAsia" w:ascii="宋体" w:hAnsi="宋体" w:eastAsia="宋体" w:cs="Times New Roman"/>
          <w:b/>
          <w:bCs/>
          <w:szCs w:val="21"/>
        </w:rPr>
      </w:pPr>
    </w:p>
    <w:p w14:paraId="6E143E09">
      <w:pPr>
        <w:tabs>
          <w:tab w:val="left" w:pos="360"/>
        </w:tabs>
        <w:spacing w:line="360" w:lineRule="auto"/>
        <w:ind w:firstLine="561"/>
        <w:jc w:val="center"/>
        <w:rPr>
          <w:rFonts w:hint="eastAsia" w:ascii="宋体" w:hAnsi="宋体" w:eastAsia="宋体" w:cs="Times New Roman"/>
          <w:b/>
          <w:bCs/>
          <w:szCs w:val="21"/>
        </w:rPr>
      </w:pPr>
    </w:p>
    <w:p w14:paraId="64C5E49E">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备注：投标文件的正本和副本中均须提供上述资信证明文件。资信证明文件须清晰可辨，若有缺失或不清晰，将导致投标被拒绝且不允许在开标后补正。</w:t>
      </w:r>
    </w:p>
    <w:p w14:paraId="000B4CCF">
      <w:pPr>
        <w:tabs>
          <w:tab w:val="left" w:pos="360"/>
        </w:tabs>
        <w:spacing w:line="360" w:lineRule="auto"/>
        <w:ind w:firstLine="480"/>
        <w:rPr>
          <w:rFonts w:hint="eastAsia" w:ascii="宋体" w:hAnsi="宋体" w:eastAsia="宋体" w:cs="Times New Roman"/>
          <w:szCs w:val="21"/>
        </w:rPr>
      </w:pPr>
    </w:p>
    <w:p w14:paraId="2396F2E6">
      <w:pPr>
        <w:tabs>
          <w:tab w:val="left" w:pos="360"/>
        </w:tabs>
        <w:spacing w:line="360" w:lineRule="auto"/>
        <w:ind w:firstLine="561"/>
        <w:jc w:val="center"/>
        <w:rPr>
          <w:rFonts w:hint="eastAsia" w:ascii="宋体" w:hAnsi="宋体" w:eastAsia="宋体" w:cs="Times New Roman"/>
          <w:b/>
          <w:bCs/>
          <w:szCs w:val="21"/>
        </w:rPr>
      </w:pPr>
    </w:p>
    <w:p w14:paraId="0C0ACD09">
      <w:pPr>
        <w:tabs>
          <w:tab w:val="left" w:pos="360"/>
        </w:tabs>
        <w:spacing w:line="360" w:lineRule="auto"/>
        <w:ind w:firstLine="561"/>
        <w:jc w:val="center"/>
        <w:rPr>
          <w:rFonts w:hint="eastAsia" w:ascii="宋体" w:hAnsi="宋体" w:eastAsia="宋体" w:cs="Times New Roman"/>
          <w:b/>
          <w:bCs/>
          <w:szCs w:val="21"/>
        </w:rPr>
      </w:pPr>
    </w:p>
    <w:p w14:paraId="189AC84C">
      <w:pPr>
        <w:tabs>
          <w:tab w:val="left" w:pos="360"/>
        </w:tabs>
        <w:spacing w:line="360" w:lineRule="auto"/>
        <w:ind w:firstLine="561"/>
        <w:jc w:val="center"/>
        <w:rPr>
          <w:rFonts w:hint="eastAsia" w:ascii="宋体" w:hAnsi="宋体" w:eastAsia="宋体" w:cs="Times New Roman"/>
          <w:b/>
          <w:bCs/>
          <w:szCs w:val="21"/>
        </w:rPr>
      </w:pPr>
    </w:p>
    <w:p w14:paraId="1AEDDA4A">
      <w:pPr>
        <w:tabs>
          <w:tab w:val="left" w:pos="360"/>
        </w:tabs>
        <w:spacing w:line="360" w:lineRule="auto"/>
        <w:ind w:firstLine="561"/>
        <w:jc w:val="center"/>
        <w:rPr>
          <w:rFonts w:hint="eastAsia" w:ascii="宋体" w:hAnsi="宋体" w:eastAsia="宋体" w:cs="Times New Roman"/>
          <w:b/>
          <w:bCs/>
          <w:szCs w:val="21"/>
        </w:rPr>
      </w:pPr>
    </w:p>
    <w:p w14:paraId="3D77A328">
      <w:pPr>
        <w:spacing w:line="360" w:lineRule="auto"/>
        <w:rPr>
          <w:rFonts w:hint="eastAsia" w:ascii="宋体" w:hAnsi="宋体" w:eastAsia="宋体" w:cs="Times New Roman"/>
          <w:b/>
          <w:color w:val="000000"/>
          <w:szCs w:val="21"/>
        </w:rPr>
      </w:pPr>
    </w:p>
    <w:p w14:paraId="4CD59909">
      <w:pPr>
        <w:pStyle w:val="27"/>
      </w:pPr>
    </w:p>
    <w:p w14:paraId="30B13C68">
      <w:pPr>
        <w:spacing w:line="360" w:lineRule="auto"/>
        <w:jc w:val="center"/>
        <w:rPr>
          <w:rFonts w:hint="eastAsia" w:ascii="宋体" w:hAnsi="宋体" w:eastAsia="宋体" w:cs="Times New Roman"/>
          <w:b/>
          <w:color w:val="000000"/>
          <w:szCs w:val="21"/>
        </w:rPr>
      </w:pPr>
    </w:p>
    <w:p w14:paraId="125F8D9F">
      <w:pPr>
        <w:spacing w:line="360" w:lineRule="auto"/>
        <w:jc w:val="center"/>
        <w:rPr>
          <w:rFonts w:hint="eastAsia" w:ascii="宋体" w:hAnsi="宋体" w:eastAsia="宋体" w:cs="Times New Roman"/>
          <w:b/>
          <w:color w:val="000000"/>
          <w:szCs w:val="21"/>
        </w:rPr>
      </w:pPr>
    </w:p>
    <w:p w14:paraId="58ED8CA8">
      <w:pPr>
        <w:spacing w:line="360" w:lineRule="auto"/>
        <w:jc w:val="center"/>
        <w:rPr>
          <w:rFonts w:hint="eastAsia" w:ascii="宋体" w:hAnsi="宋体" w:eastAsia="宋体" w:cs="Times New Roman"/>
          <w:b/>
          <w:szCs w:val="21"/>
        </w:rPr>
      </w:pPr>
      <w:r>
        <w:rPr>
          <w:rFonts w:hint="eastAsia" w:ascii="宋体" w:hAnsi="宋体" w:eastAsia="宋体" w:cs="Times New Roman"/>
          <w:b/>
          <w:color w:val="000000"/>
          <w:szCs w:val="21"/>
        </w:rPr>
        <w:t>三、磋商响应函</w:t>
      </w:r>
    </w:p>
    <w:p w14:paraId="06413ADF">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致：江苏唯诚建设咨询有限公司</w:t>
      </w:r>
    </w:p>
    <w:p w14:paraId="15601B92">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根据贵方的</w:t>
      </w:r>
      <w:r>
        <w:rPr>
          <w:rFonts w:hint="eastAsia" w:ascii="宋体" w:hAnsi="宋体" w:eastAsia="宋体" w:cs="Times New Roman"/>
          <w:szCs w:val="21"/>
          <w:u w:val="single"/>
        </w:rPr>
        <w:t xml:space="preserve">       </w:t>
      </w:r>
      <w:r>
        <w:rPr>
          <w:rFonts w:hint="eastAsia" w:ascii="宋体" w:hAnsi="宋体" w:eastAsia="宋体" w:cs="Times New Roman"/>
          <w:szCs w:val="21"/>
        </w:rPr>
        <w:t>号磋商文件，正式授权下述签字人_________ (姓名和职务)代表我方______________（供应商的名称），全权处理本次项目磋商采购的有关事宜。</w:t>
      </w:r>
    </w:p>
    <w:p w14:paraId="6231168E">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据此函，__________（签字人）兹宣布同意如下：</w:t>
      </w:r>
    </w:p>
    <w:p w14:paraId="2D76CC06">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1.按磋商文件规定的各项要求，向买方提供所需服务。</w:t>
      </w:r>
    </w:p>
    <w:p w14:paraId="400DDFA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2.我们已详细审核全部磋商文件及其有效补充文件，我们知道必须放弃提出含糊不清或误解问题的权利。</w:t>
      </w:r>
    </w:p>
    <w:p w14:paraId="23F2B6E9">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3.我们同意从规定的</w:t>
      </w:r>
      <w:r>
        <w:rPr>
          <w:rFonts w:hint="eastAsia" w:ascii="宋体" w:hAnsi="宋体" w:eastAsia="宋体" w:cs="Times New Roman"/>
          <w:color w:val="000000"/>
          <w:szCs w:val="21"/>
        </w:rPr>
        <w:t>响应文件接收截止时间</w:t>
      </w:r>
      <w:r>
        <w:rPr>
          <w:rFonts w:hint="eastAsia" w:ascii="宋体" w:hAnsi="宋体" w:eastAsia="宋体" w:cs="Times New Roman"/>
          <w:szCs w:val="21"/>
        </w:rPr>
        <w:t>起遵循本响应文件，并在规定的磋商有效期期满之前均具有约束力。</w:t>
      </w:r>
    </w:p>
    <w:p w14:paraId="5991D89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4.同意向贵方提供贵方可能另外要求的与磋商采购有关的任何证据或资料，并保证我方已提供和将要提供的文件是真实的、准确的。</w:t>
      </w:r>
    </w:p>
    <w:p w14:paraId="4D1629B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5.一旦我方成交，我方将根据磋商文件的规定，严格履行合同的责任和义务，并保证在磋商文件规定的时间完成项目，交付买方验收、使用。</w:t>
      </w:r>
    </w:p>
    <w:p w14:paraId="67905061">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6.遵守磋商文件中要求的收费项目和标准。</w:t>
      </w:r>
    </w:p>
    <w:p w14:paraId="5FBC5B15">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7.与本磋商采购有关的正式通讯地址为：</w:t>
      </w:r>
    </w:p>
    <w:p w14:paraId="4C29220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地 址：                         邮 编：</w:t>
      </w:r>
    </w:p>
    <w:p w14:paraId="24BAEDA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电 话：                         传 真：</w:t>
      </w:r>
    </w:p>
    <w:p w14:paraId="1D90912A">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供应商开户行：                  账 户： </w:t>
      </w:r>
    </w:p>
    <w:p w14:paraId="4B03693B">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法定代表人或授权代表姓名（签字）：     联系电话：</w:t>
      </w:r>
    </w:p>
    <w:p w14:paraId="75B1503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供应商名称（公章）：            </w:t>
      </w:r>
    </w:p>
    <w:p w14:paraId="47D64DC1">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日 期：________年____月____日</w:t>
      </w:r>
    </w:p>
    <w:p w14:paraId="6E03409E">
      <w:pPr>
        <w:tabs>
          <w:tab w:val="left" w:pos="360"/>
        </w:tabs>
        <w:spacing w:line="360" w:lineRule="auto"/>
        <w:ind w:firstLine="561"/>
        <w:jc w:val="center"/>
        <w:rPr>
          <w:rFonts w:hint="eastAsia" w:ascii="宋体" w:hAnsi="宋体" w:eastAsia="宋体" w:cs="Times New Roman"/>
          <w:b/>
          <w:bCs/>
          <w:szCs w:val="21"/>
        </w:rPr>
      </w:pPr>
    </w:p>
    <w:p w14:paraId="321845BB">
      <w:pPr>
        <w:tabs>
          <w:tab w:val="left" w:pos="360"/>
        </w:tabs>
        <w:spacing w:line="360" w:lineRule="auto"/>
        <w:ind w:firstLine="561"/>
        <w:jc w:val="center"/>
        <w:rPr>
          <w:rFonts w:hint="eastAsia" w:ascii="宋体" w:hAnsi="宋体" w:eastAsia="宋体" w:cs="Times New Roman"/>
          <w:b/>
          <w:bCs/>
          <w:szCs w:val="21"/>
        </w:rPr>
      </w:pPr>
    </w:p>
    <w:p w14:paraId="73A98D61">
      <w:pPr>
        <w:tabs>
          <w:tab w:val="left" w:pos="360"/>
        </w:tabs>
        <w:spacing w:line="360" w:lineRule="auto"/>
        <w:ind w:firstLine="561"/>
        <w:jc w:val="center"/>
        <w:rPr>
          <w:rFonts w:hint="eastAsia" w:ascii="宋体" w:hAnsi="宋体" w:eastAsia="宋体" w:cs="Times New Roman"/>
          <w:b/>
          <w:bCs/>
          <w:szCs w:val="21"/>
        </w:rPr>
      </w:pPr>
    </w:p>
    <w:p w14:paraId="095DF831">
      <w:pPr>
        <w:tabs>
          <w:tab w:val="left" w:pos="360"/>
        </w:tabs>
        <w:spacing w:line="360" w:lineRule="auto"/>
        <w:ind w:firstLine="561"/>
        <w:jc w:val="center"/>
        <w:rPr>
          <w:rFonts w:hint="eastAsia" w:ascii="宋体" w:hAnsi="宋体" w:eastAsia="宋体" w:cs="Times New Roman"/>
          <w:b/>
          <w:bCs/>
          <w:szCs w:val="21"/>
        </w:rPr>
      </w:pPr>
    </w:p>
    <w:p w14:paraId="0F53BE7E">
      <w:pPr>
        <w:tabs>
          <w:tab w:val="left" w:pos="360"/>
        </w:tabs>
        <w:spacing w:line="360" w:lineRule="auto"/>
        <w:ind w:firstLine="561"/>
        <w:jc w:val="center"/>
        <w:rPr>
          <w:rFonts w:hint="eastAsia" w:ascii="宋体" w:hAnsi="宋体" w:eastAsia="宋体" w:cs="Times New Roman"/>
          <w:b/>
          <w:bCs/>
          <w:szCs w:val="21"/>
        </w:rPr>
      </w:pPr>
    </w:p>
    <w:p w14:paraId="4DEC674D">
      <w:pPr>
        <w:tabs>
          <w:tab w:val="left" w:pos="360"/>
        </w:tabs>
        <w:spacing w:line="360" w:lineRule="auto"/>
        <w:ind w:firstLine="561"/>
        <w:jc w:val="center"/>
        <w:rPr>
          <w:rFonts w:hint="eastAsia" w:ascii="宋体" w:hAnsi="宋体" w:eastAsia="宋体" w:cs="Times New Roman"/>
          <w:b/>
          <w:bCs/>
          <w:szCs w:val="21"/>
        </w:rPr>
      </w:pPr>
    </w:p>
    <w:p w14:paraId="369F1E15">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14:paraId="129C03FF">
      <w:pPr>
        <w:spacing w:line="360" w:lineRule="auto"/>
        <w:ind w:firstLine="422" w:firstLineChars="200"/>
        <w:jc w:val="center"/>
        <w:rPr>
          <w:rFonts w:hint="eastAsia" w:ascii="宋体" w:hAnsi="宋体" w:eastAsia="宋体" w:cs="Times New Roman"/>
          <w:b/>
          <w:bCs/>
          <w:szCs w:val="21"/>
        </w:rPr>
      </w:pPr>
      <w:r>
        <w:rPr>
          <w:rFonts w:hint="eastAsia" w:ascii="宋体" w:hAnsi="宋体" w:eastAsia="宋体" w:cs="Times New Roman"/>
          <w:b/>
          <w:bCs/>
          <w:szCs w:val="21"/>
        </w:rPr>
        <w:t>资 格 声 明</w:t>
      </w:r>
    </w:p>
    <w:p w14:paraId="2DEFE405">
      <w:pPr>
        <w:spacing w:line="360" w:lineRule="auto"/>
        <w:rPr>
          <w:rFonts w:hint="eastAsia" w:ascii="宋体" w:hAnsi="宋体" w:eastAsia="宋体" w:cs="Times New Roman"/>
          <w:szCs w:val="21"/>
        </w:rPr>
      </w:pPr>
      <w:r>
        <w:rPr>
          <w:rFonts w:hint="eastAsia" w:ascii="宋体" w:hAnsi="宋体" w:eastAsia="宋体" w:cs="Times New Roman"/>
          <w:szCs w:val="21"/>
        </w:rPr>
        <w:t>1、名称及其它情况：</w:t>
      </w:r>
    </w:p>
    <w:p w14:paraId="093F6606">
      <w:pPr>
        <w:spacing w:line="360" w:lineRule="auto"/>
        <w:rPr>
          <w:rFonts w:hint="eastAsia" w:ascii="宋体" w:hAnsi="宋体" w:eastAsia="宋体" w:cs="Times New Roman"/>
          <w:szCs w:val="21"/>
        </w:rPr>
      </w:pPr>
      <w:r>
        <w:rPr>
          <w:rFonts w:hint="eastAsia" w:ascii="宋体" w:hAnsi="宋体" w:eastAsia="宋体" w:cs="Times New Roman"/>
          <w:szCs w:val="21"/>
        </w:rPr>
        <w:t>（1）供应商名称：</w:t>
      </w:r>
      <w:r>
        <w:rPr>
          <w:rFonts w:hint="eastAsia" w:ascii="宋体" w:hAnsi="宋体" w:eastAsia="宋体" w:cs="Times New Roman"/>
          <w:szCs w:val="21"/>
          <w:u w:val="single"/>
        </w:rPr>
        <w:t xml:space="preserve">                            </w:t>
      </w:r>
    </w:p>
    <w:p w14:paraId="483B8388">
      <w:pPr>
        <w:tabs>
          <w:tab w:val="left" w:pos="4530"/>
        </w:tabs>
        <w:spacing w:line="360" w:lineRule="auto"/>
        <w:rPr>
          <w:rFonts w:hint="eastAsia" w:ascii="宋体" w:hAnsi="宋体" w:eastAsia="宋体" w:cs="Times New Roman"/>
          <w:szCs w:val="21"/>
        </w:rPr>
      </w:pPr>
      <w:r>
        <w:rPr>
          <w:rFonts w:hint="eastAsia" w:ascii="宋体" w:hAnsi="宋体" w:eastAsia="宋体" w:cs="Times New Roman"/>
          <w:szCs w:val="21"/>
        </w:rPr>
        <w:t>（2）地址：</w:t>
      </w:r>
      <w:r>
        <w:rPr>
          <w:rFonts w:hint="eastAsia" w:ascii="宋体" w:hAnsi="宋体" w:eastAsia="宋体" w:cs="Times New Roman"/>
          <w:szCs w:val="21"/>
          <w:u w:val="single"/>
        </w:rPr>
        <w:t xml:space="preserve">                           </w:t>
      </w:r>
      <w:r>
        <w:rPr>
          <w:rFonts w:hint="eastAsia" w:ascii="宋体" w:hAnsi="宋体" w:eastAsia="宋体" w:cs="Times New Roman"/>
          <w:szCs w:val="21"/>
        </w:rPr>
        <w:tab/>
      </w:r>
      <w:r>
        <w:rPr>
          <w:rFonts w:hint="eastAsia" w:ascii="宋体" w:hAnsi="宋体" w:eastAsia="宋体" w:cs="Times New Roman"/>
          <w:szCs w:val="21"/>
        </w:rPr>
        <w:t>邮编：</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48E284A9">
      <w:pPr>
        <w:tabs>
          <w:tab w:val="left" w:pos="600"/>
          <w:tab w:val="left" w:pos="4320"/>
        </w:tabs>
        <w:spacing w:line="360" w:lineRule="auto"/>
        <w:ind w:firstLine="525" w:firstLineChars="250"/>
        <w:rPr>
          <w:rFonts w:hint="eastAsia" w:ascii="宋体" w:hAnsi="宋体" w:eastAsia="宋体" w:cs="Times New Roman"/>
          <w:szCs w:val="21"/>
        </w:rPr>
      </w:pP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传真：</w:t>
      </w:r>
      <w:r>
        <w:rPr>
          <w:rFonts w:hint="eastAsia" w:ascii="宋体" w:hAnsi="宋体" w:eastAsia="宋体" w:cs="Times New Roman"/>
          <w:szCs w:val="21"/>
          <w:u w:val="single"/>
        </w:rPr>
        <w:t xml:space="preserve">                  </w:t>
      </w:r>
    </w:p>
    <w:p w14:paraId="28CEE566">
      <w:pPr>
        <w:spacing w:line="360" w:lineRule="auto"/>
        <w:rPr>
          <w:rFonts w:hint="eastAsia" w:ascii="宋体" w:hAnsi="宋体" w:eastAsia="宋体" w:cs="Times New Roman"/>
          <w:szCs w:val="21"/>
          <w:u w:val="single"/>
        </w:rPr>
      </w:pPr>
      <w:r>
        <w:rPr>
          <w:rFonts w:hint="eastAsia" w:ascii="宋体" w:hAnsi="宋体" w:eastAsia="宋体" w:cs="Times New Roman"/>
          <w:szCs w:val="21"/>
        </w:rPr>
        <w:t>（3）成立和/或注册日期：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36BEE6FA">
      <w:pPr>
        <w:spacing w:line="360" w:lineRule="auto"/>
        <w:rPr>
          <w:rFonts w:hint="eastAsia" w:ascii="宋体" w:hAnsi="宋体" w:eastAsia="宋体" w:cs="Times New Roman"/>
          <w:szCs w:val="21"/>
        </w:rPr>
      </w:pPr>
      <w:r>
        <w:rPr>
          <w:rFonts w:hint="eastAsia" w:ascii="宋体" w:hAnsi="宋体" w:eastAsia="宋体" w:cs="Times New Roman"/>
          <w:szCs w:val="21"/>
        </w:rPr>
        <w:t>（4）法定代表人：</w:t>
      </w:r>
      <w:r>
        <w:rPr>
          <w:rFonts w:hint="eastAsia" w:ascii="宋体" w:hAnsi="宋体" w:eastAsia="宋体" w:cs="Times New Roman"/>
          <w:szCs w:val="21"/>
          <w:u w:val="single"/>
        </w:rPr>
        <w:t xml:space="preserve">                    </w:t>
      </w:r>
    </w:p>
    <w:p w14:paraId="21B5C703">
      <w:pPr>
        <w:spacing w:line="360" w:lineRule="auto"/>
        <w:rPr>
          <w:rFonts w:hint="eastAsia" w:ascii="宋体" w:hAnsi="宋体" w:eastAsia="宋体" w:cs="Times New Roman"/>
          <w:szCs w:val="21"/>
          <w:u w:val="single"/>
        </w:rPr>
      </w:pPr>
      <w:r>
        <w:rPr>
          <w:rFonts w:hint="eastAsia" w:ascii="宋体" w:hAnsi="宋体" w:eastAsia="宋体" w:cs="Times New Roman"/>
          <w:szCs w:val="21"/>
        </w:rPr>
        <w:t>（5）实收资本：</w:t>
      </w:r>
      <w:r>
        <w:rPr>
          <w:rFonts w:hint="eastAsia" w:ascii="宋体" w:hAnsi="宋体" w:eastAsia="宋体" w:cs="Times New Roman"/>
          <w:szCs w:val="21"/>
          <w:u w:val="single"/>
        </w:rPr>
        <w:t xml:space="preserve">                                 </w:t>
      </w:r>
    </w:p>
    <w:p w14:paraId="1CA69645">
      <w:pPr>
        <w:spacing w:line="360" w:lineRule="auto"/>
        <w:rPr>
          <w:rFonts w:hint="eastAsia" w:ascii="宋体" w:hAnsi="宋体" w:eastAsia="宋体" w:cs="Times New Roman"/>
          <w:szCs w:val="21"/>
        </w:rPr>
      </w:pPr>
      <w:r>
        <w:rPr>
          <w:rFonts w:hint="eastAsia" w:ascii="宋体" w:hAnsi="宋体" w:eastAsia="宋体" w:cs="Times New Roman"/>
          <w:szCs w:val="21"/>
        </w:rPr>
        <w:t>（6）近期资产负债表：（到</w:t>
      </w:r>
      <w:r>
        <w:rPr>
          <w:rFonts w:hint="eastAsia" w:ascii="宋体" w:hAnsi="宋体" w:eastAsia="宋体" w:cs="Times New Roman"/>
          <w:szCs w:val="21"/>
          <w:u w:val="single"/>
        </w:rPr>
        <w:t>20  年12月31日</w:t>
      </w:r>
      <w:r>
        <w:rPr>
          <w:rFonts w:hint="eastAsia" w:ascii="宋体" w:hAnsi="宋体" w:eastAsia="宋体" w:cs="Times New Roman"/>
          <w:szCs w:val="21"/>
        </w:rPr>
        <w:t>）</w:t>
      </w:r>
    </w:p>
    <w:p w14:paraId="06B264AF">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&lt;1&gt; 固定资产：</w:t>
      </w:r>
      <w:r>
        <w:rPr>
          <w:rFonts w:hint="eastAsia" w:ascii="宋体" w:hAnsi="宋体" w:eastAsia="宋体" w:cs="Times New Roman"/>
          <w:szCs w:val="21"/>
          <w:u w:val="single"/>
        </w:rPr>
        <w:t xml:space="preserve">                          </w:t>
      </w:r>
    </w:p>
    <w:p w14:paraId="65D225B9">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&lt;2&gt; 流动资金：</w:t>
      </w:r>
      <w:r>
        <w:rPr>
          <w:rFonts w:hint="eastAsia" w:ascii="宋体" w:hAnsi="宋体" w:eastAsia="宋体" w:cs="Times New Roman"/>
          <w:szCs w:val="21"/>
          <w:u w:val="single"/>
        </w:rPr>
        <w:t xml:space="preserve">                          </w:t>
      </w:r>
    </w:p>
    <w:p w14:paraId="7ABCD10F">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&lt;3&gt; 长期负债：</w:t>
      </w:r>
      <w:r>
        <w:rPr>
          <w:rFonts w:hint="eastAsia" w:ascii="宋体" w:hAnsi="宋体" w:eastAsia="宋体" w:cs="Times New Roman"/>
          <w:szCs w:val="21"/>
          <w:u w:val="single"/>
        </w:rPr>
        <w:t xml:space="preserve">                          </w:t>
      </w:r>
    </w:p>
    <w:p w14:paraId="7772777A">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&lt;4&gt; 短期负债：</w:t>
      </w:r>
      <w:r>
        <w:rPr>
          <w:rFonts w:hint="eastAsia" w:ascii="宋体" w:hAnsi="宋体" w:eastAsia="宋体" w:cs="Times New Roman"/>
          <w:szCs w:val="21"/>
          <w:u w:val="single"/>
        </w:rPr>
        <w:t xml:space="preserve">                          </w:t>
      </w:r>
    </w:p>
    <w:p w14:paraId="08CE224A">
      <w:pPr>
        <w:spacing w:line="360" w:lineRule="auto"/>
        <w:rPr>
          <w:rFonts w:hint="eastAsia" w:ascii="宋体" w:hAnsi="宋体" w:eastAsia="宋体" w:cs="Times New Roman"/>
          <w:szCs w:val="21"/>
        </w:rPr>
      </w:pPr>
      <w:r>
        <w:rPr>
          <w:rFonts w:hint="eastAsia" w:ascii="宋体" w:hAnsi="宋体" w:eastAsia="宋体" w:cs="Times New Roman"/>
          <w:szCs w:val="21"/>
        </w:rPr>
        <w:t>2、近三年同类货物和服务的主要销售业绩（无有效联系人、联系方式和合同复印件的视为未填报本项目）：</w:t>
      </w:r>
    </w:p>
    <w:tbl>
      <w:tblPr>
        <w:tblStyle w:val="40"/>
        <w:tblW w:w="9286" w:type="dxa"/>
        <w:tblInd w:w="0" w:type="dxa"/>
        <w:tblLayout w:type="fixed"/>
        <w:tblCellMar>
          <w:top w:w="0" w:type="dxa"/>
          <w:left w:w="108" w:type="dxa"/>
          <w:bottom w:w="0" w:type="dxa"/>
          <w:right w:w="108" w:type="dxa"/>
        </w:tblCellMar>
      </w:tblPr>
      <w:tblGrid>
        <w:gridCol w:w="4643"/>
        <w:gridCol w:w="4643"/>
      </w:tblGrid>
      <w:tr w14:paraId="64E87595">
        <w:tblPrEx>
          <w:tblCellMar>
            <w:top w:w="0" w:type="dxa"/>
            <w:left w:w="108" w:type="dxa"/>
            <w:bottom w:w="0" w:type="dxa"/>
            <w:right w:w="108" w:type="dxa"/>
          </w:tblCellMar>
        </w:tblPrEx>
        <w:tc>
          <w:tcPr>
            <w:tcW w:w="4643" w:type="dxa"/>
          </w:tcPr>
          <w:p w14:paraId="042BD33C">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甲方名称、联系人、联系方式</w:t>
            </w:r>
          </w:p>
        </w:tc>
        <w:tc>
          <w:tcPr>
            <w:tcW w:w="4643" w:type="dxa"/>
          </w:tcPr>
          <w:p w14:paraId="7A64EA46">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项   目   名   称</w:t>
            </w:r>
          </w:p>
        </w:tc>
      </w:tr>
      <w:tr w14:paraId="216E4C15">
        <w:tblPrEx>
          <w:tblCellMar>
            <w:top w:w="0" w:type="dxa"/>
            <w:left w:w="108" w:type="dxa"/>
            <w:bottom w:w="0" w:type="dxa"/>
            <w:right w:w="108" w:type="dxa"/>
          </w:tblCellMar>
        </w:tblPrEx>
        <w:tc>
          <w:tcPr>
            <w:tcW w:w="4643" w:type="dxa"/>
          </w:tcPr>
          <w:p w14:paraId="5421FB05">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c>
          <w:tcPr>
            <w:tcW w:w="4643" w:type="dxa"/>
          </w:tcPr>
          <w:p w14:paraId="4F27812A">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r>
    </w:tbl>
    <w:p w14:paraId="7952E6A0">
      <w:pPr>
        <w:spacing w:line="360" w:lineRule="auto"/>
        <w:rPr>
          <w:rFonts w:hint="eastAsia" w:ascii="宋体" w:hAnsi="宋体" w:eastAsia="宋体" w:cs="Times New Roman"/>
          <w:szCs w:val="21"/>
        </w:rPr>
      </w:pPr>
      <w:r>
        <w:rPr>
          <w:rFonts w:hint="eastAsia" w:ascii="宋体" w:hAnsi="宋体" w:eastAsia="宋体" w:cs="Times New Roman"/>
          <w:szCs w:val="21"/>
        </w:rPr>
        <w:t xml:space="preserve">3、近三年的营业额： </w:t>
      </w:r>
    </w:p>
    <w:tbl>
      <w:tblPr>
        <w:tblStyle w:val="40"/>
        <w:tblW w:w="0" w:type="auto"/>
        <w:tblInd w:w="0" w:type="dxa"/>
        <w:tblLayout w:type="fixed"/>
        <w:tblCellMar>
          <w:top w:w="0" w:type="dxa"/>
          <w:left w:w="108" w:type="dxa"/>
          <w:bottom w:w="0" w:type="dxa"/>
          <w:right w:w="108" w:type="dxa"/>
        </w:tblCellMar>
      </w:tblPr>
      <w:tblGrid>
        <w:gridCol w:w="2321"/>
        <w:gridCol w:w="2322"/>
        <w:gridCol w:w="2321"/>
        <w:gridCol w:w="2322"/>
      </w:tblGrid>
      <w:tr w14:paraId="1A6EFC7A">
        <w:tblPrEx>
          <w:tblCellMar>
            <w:top w:w="0" w:type="dxa"/>
            <w:left w:w="108" w:type="dxa"/>
            <w:bottom w:w="0" w:type="dxa"/>
            <w:right w:w="108" w:type="dxa"/>
          </w:tblCellMar>
        </w:tblPrEx>
        <w:tc>
          <w:tcPr>
            <w:tcW w:w="2321" w:type="dxa"/>
          </w:tcPr>
          <w:p w14:paraId="3F2C1475">
            <w:pPr>
              <w:spacing w:line="360" w:lineRule="auto"/>
              <w:jc w:val="center"/>
              <w:rPr>
                <w:rFonts w:hint="eastAsia" w:ascii="宋体" w:hAnsi="宋体" w:eastAsia="宋体" w:cs="Times New Roman"/>
                <w:szCs w:val="21"/>
              </w:rPr>
            </w:pPr>
            <w:r>
              <w:rPr>
                <w:rFonts w:hint="eastAsia" w:ascii="宋体" w:hAnsi="宋体" w:eastAsia="宋体" w:cs="Times New Roman"/>
                <w:szCs w:val="21"/>
              </w:rPr>
              <w:t>年    份</w:t>
            </w:r>
          </w:p>
        </w:tc>
        <w:tc>
          <w:tcPr>
            <w:tcW w:w="2322" w:type="dxa"/>
          </w:tcPr>
          <w:p w14:paraId="4C49B5F2">
            <w:pPr>
              <w:spacing w:line="360" w:lineRule="auto"/>
              <w:jc w:val="center"/>
              <w:rPr>
                <w:rFonts w:hint="eastAsia" w:ascii="宋体" w:hAnsi="宋体" w:eastAsia="宋体" w:cs="Times New Roman"/>
                <w:szCs w:val="21"/>
              </w:rPr>
            </w:pPr>
            <w:r>
              <w:rPr>
                <w:rFonts w:hint="eastAsia" w:ascii="宋体" w:hAnsi="宋体" w:eastAsia="宋体" w:cs="Times New Roman"/>
                <w:szCs w:val="21"/>
              </w:rPr>
              <w:t>国    内（万元）</w:t>
            </w:r>
          </w:p>
        </w:tc>
        <w:tc>
          <w:tcPr>
            <w:tcW w:w="2321" w:type="dxa"/>
          </w:tcPr>
          <w:p w14:paraId="44B05714">
            <w:pPr>
              <w:spacing w:line="360" w:lineRule="auto"/>
              <w:jc w:val="center"/>
              <w:rPr>
                <w:rFonts w:hint="eastAsia" w:ascii="宋体" w:hAnsi="宋体" w:eastAsia="宋体" w:cs="Times New Roman"/>
                <w:szCs w:val="21"/>
              </w:rPr>
            </w:pPr>
            <w:r>
              <w:rPr>
                <w:rFonts w:hint="eastAsia" w:ascii="宋体" w:hAnsi="宋体" w:eastAsia="宋体" w:cs="Times New Roman"/>
                <w:szCs w:val="21"/>
              </w:rPr>
              <w:t>出    口（万元）</w:t>
            </w:r>
          </w:p>
        </w:tc>
        <w:tc>
          <w:tcPr>
            <w:tcW w:w="2322" w:type="dxa"/>
          </w:tcPr>
          <w:p w14:paraId="2DF0689C">
            <w:pPr>
              <w:spacing w:line="360" w:lineRule="auto"/>
              <w:jc w:val="center"/>
              <w:rPr>
                <w:rFonts w:hint="eastAsia" w:ascii="宋体" w:hAnsi="宋体" w:eastAsia="宋体" w:cs="Times New Roman"/>
                <w:szCs w:val="21"/>
              </w:rPr>
            </w:pPr>
            <w:r>
              <w:rPr>
                <w:rFonts w:hint="eastAsia" w:ascii="宋体" w:hAnsi="宋体" w:eastAsia="宋体" w:cs="Times New Roman"/>
                <w:szCs w:val="21"/>
              </w:rPr>
              <w:t>总    额（万元）</w:t>
            </w:r>
          </w:p>
        </w:tc>
      </w:tr>
      <w:tr w14:paraId="109C99BF">
        <w:tblPrEx>
          <w:tblCellMar>
            <w:top w:w="0" w:type="dxa"/>
            <w:left w:w="108" w:type="dxa"/>
            <w:bottom w:w="0" w:type="dxa"/>
            <w:right w:w="108" w:type="dxa"/>
          </w:tblCellMar>
        </w:tblPrEx>
        <w:tc>
          <w:tcPr>
            <w:tcW w:w="2321" w:type="dxa"/>
          </w:tcPr>
          <w:p w14:paraId="6C165E55">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1440E17D">
            <w:pPr>
              <w:spacing w:line="360" w:lineRule="auto"/>
              <w:rPr>
                <w:rFonts w:hint="eastAsia" w:ascii="宋体" w:hAnsi="宋体" w:eastAsia="宋体" w:cs="Times New Roman"/>
                <w:szCs w:val="21"/>
              </w:rPr>
            </w:pPr>
          </w:p>
        </w:tc>
        <w:tc>
          <w:tcPr>
            <w:tcW w:w="2321" w:type="dxa"/>
          </w:tcPr>
          <w:p w14:paraId="0C7866D7">
            <w:pPr>
              <w:spacing w:line="360" w:lineRule="auto"/>
              <w:rPr>
                <w:rFonts w:hint="eastAsia" w:ascii="宋体" w:hAnsi="宋体" w:eastAsia="宋体" w:cs="Times New Roman"/>
                <w:szCs w:val="21"/>
              </w:rPr>
            </w:pPr>
          </w:p>
        </w:tc>
        <w:tc>
          <w:tcPr>
            <w:tcW w:w="2322" w:type="dxa"/>
          </w:tcPr>
          <w:p w14:paraId="0AC2C284">
            <w:pPr>
              <w:spacing w:line="360" w:lineRule="auto"/>
              <w:rPr>
                <w:rFonts w:hint="eastAsia" w:ascii="宋体" w:hAnsi="宋体" w:eastAsia="宋体" w:cs="Times New Roman"/>
                <w:szCs w:val="21"/>
              </w:rPr>
            </w:pPr>
          </w:p>
        </w:tc>
      </w:tr>
      <w:tr w14:paraId="4B9A71F0">
        <w:tblPrEx>
          <w:tblCellMar>
            <w:top w:w="0" w:type="dxa"/>
            <w:left w:w="108" w:type="dxa"/>
            <w:bottom w:w="0" w:type="dxa"/>
            <w:right w:w="108" w:type="dxa"/>
          </w:tblCellMar>
        </w:tblPrEx>
        <w:tc>
          <w:tcPr>
            <w:tcW w:w="2321" w:type="dxa"/>
          </w:tcPr>
          <w:p w14:paraId="5AC750B4">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16DB04BB">
            <w:pPr>
              <w:spacing w:line="360" w:lineRule="auto"/>
              <w:rPr>
                <w:rFonts w:hint="eastAsia" w:ascii="宋体" w:hAnsi="宋体" w:eastAsia="宋体" w:cs="Times New Roman"/>
                <w:szCs w:val="21"/>
              </w:rPr>
            </w:pPr>
          </w:p>
        </w:tc>
        <w:tc>
          <w:tcPr>
            <w:tcW w:w="2321" w:type="dxa"/>
          </w:tcPr>
          <w:p w14:paraId="026DC04B">
            <w:pPr>
              <w:spacing w:line="360" w:lineRule="auto"/>
              <w:rPr>
                <w:rFonts w:hint="eastAsia" w:ascii="宋体" w:hAnsi="宋体" w:eastAsia="宋体" w:cs="Times New Roman"/>
                <w:szCs w:val="21"/>
              </w:rPr>
            </w:pPr>
          </w:p>
        </w:tc>
        <w:tc>
          <w:tcPr>
            <w:tcW w:w="2322" w:type="dxa"/>
          </w:tcPr>
          <w:p w14:paraId="770EB00B">
            <w:pPr>
              <w:spacing w:line="360" w:lineRule="auto"/>
              <w:rPr>
                <w:rFonts w:hint="eastAsia" w:ascii="宋体" w:hAnsi="宋体" w:eastAsia="宋体" w:cs="Times New Roman"/>
                <w:szCs w:val="21"/>
              </w:rPr>
            </w:pPr>
          </w:p>
        </w:tc>
      </w:tr>
      <w:tr w14:paraId="7C707FAE">
        <w:tblPrEx>
          <w:tblCellMar>
            <w:top w:w="0" w:type="dxa"/>
            <w:left w:w="108" w:type="dxa"/>
            <w:bottom w:w="0" w:type="dxa"/>
            <w:right w:w="108" w:type="dxa"/>
          </w:tblCellMar>
        </w:tblPrEx>
        <w:tc>
          <w:tcPr>
            <w:tcW w:w="2321" w:type="dxa"/>
          </w:tcPr>
          <w:p w14:paraId="097F3938">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7E957725">
            <w:pPr>
              <w:spacing w:line="360" w:lineRule="auto"/>
              <w:rPr>
                <w:rFonts w:hint="eastAsia" w:ascii="宋体" w:hAnsi="宋体" w:eastAsia="宋体" w:cs="Times New Roman"/>
                <w:szCs w:val="21"/>
              </w:rPr>
            </w:pPr>
          </w:p>
        </w:tc>
        <w:tc>
          <w:tcPr>
            <w:tcW w:w="2321" w:type="dxa"/>
          </w:tcPr>
          <w:p w14:paraId="77456D8C">
            <w:pPr>
              <w:spacing w:line="360" w:lineRule="auto"/>
              <w:rPr>
                <w:rFonts w:hint="eastAsia" w:ascii="宋体" w:hAnsi="宋体" w:eastAsia="宋体" w:cs="Times New Roman"/>
                <w:szCs w:val="21"/>
              </w:rPr>
            </w:pPr>
          </w:p>
        </w:tc>
        <w:tc>
          <w:tcPr>
            <w:tcW w:w="2322" w:type="dxa"/>
          </w:tcPr>
          <w:p w14:paraId="46D261AB">
            <w:pPr>
              <w:spacing w:line="360" w:lineRule="auto"/>
              <w:rPr>
                <w:rFonts w:hint="eastAsia" w:ascii="宋体" w:hAnsi="宋体" w:eastAsia="宋体" w:cs="Times New Roman"/>
                <w:szCs w:val="21"/>
              </w:rPr>
            </w:pPr>
          </w:p>
        </w:tc>
      </w:tr>
    </w:tbl>
    <w:p w14:paraId="6477D97F">
      <w:pPr>
        <w:spacing w:line="360" w:lineRule="auto"/>
        <w:ind w:left="410" w:hanging="410"/>
        <w:rPr>
          <w:rFonts w:hint="eastAsia" w:ascii="宋体" w:hAnsi="宋体" w:eastAsia="宋体" w:cs="Times New Roman"/>
          <w:szCs w:val="21"/>
        </w:rPr>
      </w:pPr>
      <w:r>
        <w:rPr>
          <w:rFonts w:hint="eastAsia" w:ascii="宋体" w:hAnsi="宋体" w:eastAsia="宋体" w:cs="Times New Roman"/>
          <w:szCs w:val="21"/>
        </w:rPr>
        <w:t>4、本次采购要求的其他资格文件以及供应商认为需要声明的其他情况：</w:t>
      </w:r>
      <w:r>
        <w:rPr>
          <w:rFonts w:hint="eastAsia" w:ascii="宋体" w:hAnsi="宋体" w:eastAsia="宋体" w:cs="Times New Roman"/>
          <w:szCs w:val="21"/>
          <w:u w:val="single"/>
        </w:rPr>
        <w:t xml:space="preserve">                         </w:t>
      </w:r>
    </w:p>
    <w:p w14:paraId="7DCFD3D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szCs w:val="21"/>
        </w:rPr>
        <w:t>兹证明上述</w:t>
      </w:r>
      <w:r>
        <w:rPr>
          <w:rFonts w:hint="eastAsia" w:ascii="宋体" w:hAnsi="宋体" w:eastAsia="宋体" w:cs="Times New Roman"/>
          <w:color w:val="000000"/>
          <w:szCs w:val="21"/>
        </w:rPr>
        <w:t>声明是真实的、正确的，并提供了全部能提供的资料和数据，我们同意遵照贵方要求出示有关证明文件，如有虚假，自愿丧失中标资格，一年内退出扬州政府采购市场。</w:t>
      </w:r>
    </w:p>
    <w:p w14:paraId="666305FA">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供应商公章：</w:t>
      </w:r>
      <w:r>
        <w:rPr>
          <w:rFonts w:hint="eastAsia" w:ascii="宋体" w:hAnsi="宋体" w:eastAsia="宋体" w:cs="Times New Roman"/>
          <w:color w:val="000000"/>
          <w:szCs w:val="21"/>
          <w:u w:val="single"/>
        </w:rPr>
        <w:t xml:space="preserve">                         </w:t>
      </w:r>
    </w:p>
    <w:p w14:paraId="0FF6942B">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法定代表人或授权代表签字：</w:t>
      </w:r>
      <w:r>
        <w:rPr>
          <w:rFonts w:hint="eastAsia" w:ascii="宋体" w:hAnsi="宋体" w:eastAsia="宋体" w:cs="Times New Roman"/>
          <w:color w:val="000000"/>
          <w:szCs w:val="21"/>
          <w:u w:val="single"/>
        </w:rPr>
        <w:t xml:space="preserve">                          </w:t>
      </w:r>
    </w:p>
    <w:p w14:paraId="60874F0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14:paraId="150CCDB3">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bCs/>
          <w:color w:val="000000"/>
          <w:szCs w:val="21"/>
        </w:rPr>
        <w:t>（注：资格声明为格式文件,实质性内容请勿修改，否则将导致投标文件无效）</w:t>
      </w:r>
    </w:p>
    <w:p w14:paraId="1DC5A743">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14:paraId="27B3838C">
      <w:pPr>
        <w:tabs>
          <w:tab w:val="left" w:pos="360"/>
        </w:tabs>
        <w:spacing w:line="360" w:lineRule="auto"/>
        <w:ind w:firstLine="561"/>
        <w:jc w:val="center"/>
        <w:rPr>
          <w:rFonts w:hint="eastAsia" w:ascii="宋体" w:hAnsi="宋体" w:eastAsia="宋体" w:cs="Times New Roman"/>
          <w:b/>
          <w:szCs w:val="21"/>
        </w:rPr>
      </w:pPr>
      <w:r>
        <w:rPr>
          <w:rFonts w:hint="eastAsia" w:ascii="宋体" w:hAnsi="宋体" w:eastAsia="宋体" w:cs="Times New Roman"/>
          <w:b/>
          <w:bCs/>
          <w:szCs w:val="21"/>
        </w:rPr>
        <w:t>法人</w:t>
      </w:r>
      <w:r>
        <w:rPr>
          <w:rFonts w:hint="eastAsia" w:ascii="宋体" w:hAnsi="宋体" w:eastAsia="宋体" w:cs="Times New Roman"/>
          <w:b/>
          <w:szCs w:val="21"/>
        </w:rPr>
        <w:t>授权书</w:t>
      </w:r>
    </w:p>
    <w:p w14:paraId="5C2C6EAD">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 xml:space="preserve">本授权书声明：____________（供应商名称）授权________________（被授权人的姓名）为我方就 </w:t>
      </w:r>
      <w:r>
        <w:rPr>
          <w:rFonts w:hint="eastAsia" w:ascii="宋体" w:hAnsi="宋体" w:eastAsia="宋体" w:cs="Times New Roman"/>
          <w:szCs w:val="21"/>
          <w:u w:val="single"/>
        </w:rPr>
        <w:t xml:space="preserve">       </w:t>
      </w:r>
      <w:r>
        <w:rPr>
          <w:rFonts w:hint="eastAsia" w:ascii="宋体" w:hAnsi="宋体" w:eastAsia="宋体" w:cs="Times New Roman"/>
          <w:szCs w:val="21"/>
        </w:rPr>
        <w:t>号项目采购活动的合法代理人，以本公司名义全权处理一切与该项目采购有关的事务。</w:t>
      </w:r>
    </w:p>
    <w:p w14:paraId="212AB8F8">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本授权书于______年____月____日起生效，特此声明。</w:t>
      </w:r>
    </w:p>
    <w:p w14:paraId="00FC3ED7">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被授权人：_______________________</w:t>
      </w:r>
    </w:p>
    <w:p w14:paraId="486F134F">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单位名称：_____________________________________</w:t>
      </w:r>
    </w:p>
    <w:p w14:paraId="0FA646D2">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授权单位盖章：_________________________________</w:t>
      </w:r>
    </w:p>
    <w:p w14:paraId="7E0E32B3">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单位名称：_____________________________________</w:t>
      </w:r>
    </w:p>
    <w:p w14:paraId="047E81EA">
      <w:pPr>
        <w:tabs>
          <w:tab w:val="left" w:pos="360"/>
        </w:tabs>
        <w:spacing w:line="360" w:lineRule="auto"/>
        <w:ind w:firstLine="480"/>
        <w:rPr>
          <w:rFonts w:hint="eastAsia" w:ascii="宋体" w:hAnsi="宋体" w:eastAsia="宋体" w:cs="Times New Roman"/>
          <w:szCs w:val="21"/>
          <w:u w:val="single"/>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p>
    <w:p w14:paraId="5AA22B7D">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06CFECA">
      <w:pPr>
        <w:tabs>
          <w:tab w:val="left" w:pos="360"/>
        </w:tabs>
        <w:spacing w:line="360" w:lineRule="auto"/>
        <w:ind w:firstLine="480"/>
        <w:rPr>
          <w:rFonts w:hint="eastAsia" w:ascii="宋体" w:hAnsi="宋体" w:eastAsia="宋体" w:cs="Times New Roman"/>
          <w:szCs w:val="21"/>
        </w:rPr>
      </w:pPr>
    </w:p>
    <w:p w14:paraId="4D815C38">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被授权人身份证复印件：</w:t>
      </w:r>
    </w:p>
    <w:p w14:paraId="754DA714">
      <w:pPr>
        <w:spacing w:line="360" w:lineRule="auto"/>
        <w:ind w:firstLine="420"/>
        <w:rPr>
          <w:rFonts w:hint="eastAsia" w:ascii="宋体" w:hAnsi="宋体" w:eastAsia="宋体" w:cs="Times New Roman"/>
          <w:szCs w:val="21"/>
        </w:rPr>
      </w:pPr>
    </w:p>
    <w:p w14:paraId="2C720CFA">
      <w:pPr>
        <w:spacing w:line="360" w:lineRule="auto"/>
        <w:ind w:firstLine="420"/>
        <w:rPr>
          <w:rFonts w:hint="eastAsia" w:ascii="宋体" w:hAnsi="宋体" w:eastAsia="宋体" w:cs="Times New Roman"/>
          <w:szCs w:val="21"/>
        </w:rPr>
      </w:pPr>
    </w:p>
    <w:p w14:paraId="3CB1E15D">
      <w:pPr>
        <w:tabs>
          <w:tab w:val="left" w:pos="360"/>
        </w:tabs>
        <w:spacing w:line="360" w:lineRule="auto"/>
        <w:ind w:firstLine="801" w:firstLineChars="380"/>
        <w:jc w:val="center"/>
        <w:rPr>
          <w:rFonts w:hint="eastAsia" w:ascii="宋体" w:hAnsi="宋体" w:eastAsia="宋体" w:cs="Times New Roman"/>
          <w:szCs w:val="21"/>
        </w:rPr>
      </w:pPr>
      <w:r>
        <w:rPr>
          <w:rFonts w:ascii="宋体" w:hAnsi="宋体" w:eastAsia="宋体" w:cs="Times New Roman"/>
          <w:b/>
          <w:bCs/>
          <w:szCs w:val="21"/>
        </w:rPr>
        <w:br w:type="page"/>
      </w:r>
      <w:r>
        <w:rPr>
          <w:rFonts w:hint="eastAsia" w:ascii="宋体" w:hAnsi="宋体" w:eastAsia="宋体" w:cs="Times New Roman"/>
          <w:b/>
          <w:szCs w:val="21"/>
        </w:rPr>
        <w:t>参加政府采购活动前 3 年内在经营活动中没有重大违法记录的书面声明</w:t>
      </w:r>
    </w:p>
    <w:p w14:paraId="14E1CDE6">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p>
    <w:p w14:paraId="3939B818">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声  明   </w:t>
      </w:r>
    </w:p>
    <w:p w14:paraId="7AA3DD1D">
      <w:pPr>
        <w:spacing w:line="360" w:lineRule="auto"/>
        <w:rPr>
          <w:rFonts w:hint="eastAsia" w:ascii="宋体" w:hAnsi="宋体" w:eastAsia="宋体" w:cs="Times New Roman"/>
          <w:bCs/>
          <w:szCs w:val="21"/>
        </w:rPr>
      </w:pPr>
      <w:r>
        <w:rPr>
          <w:rFonts w:hint="eastAsia" w:ascii="宋体" w:hAnsi="宋体" w:eastAsia="宋体" w:cs="Times New Roman"/>
          <w:b/>
          <w:bCs/>
          <w:szCs w:val="21"/>
        </w:rPr>
        <w:t xml:space="preserve">    </w:t>
      </w:r>
      <w:r>
        <w:rPr>
          <w:rFonts w:hint="eastAsia" w:ascii="宋体" w:hAnsi="宋体" w:eastAsia="宋体" w:cs="Times New Roman"/>
          <w:bCs/>
          <w:szCs w:val="21"/>
        </w:rPr>
        <w:t>我公司郑重声明：参加本次政府采购活动前 3 年内，我公司在经营活动中没有因违法经营受到刑事处罚或者责令停产停业、吊销许可证或者执照、较大数额罚款等行政处罚。</w:t>
      </w:r>
    </w:p>
    <w:p w14:paraId="36C5827A">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w:t>
      </w:r>
    </w:p>
    <w:p w14:paraId="4E988D58">
      <w:pPr>
        <w:spacing w:line="360" w:lineRule="auto"/>
        <w:ind w:firstLine="4410" w:firstLineChars="2100"/>
        <w:rPr>
          <w:rFonts w:hint="eastAsia" w:ascii="宋体" w:hAnsi="宋体" w:eastAsia="宋体" w:cs="Times New Roman"/>
          <w:bCs/>
          <w:szCs w:val="21"/>
        </w:rPr>
      </w:pPr>
      <w:r>
        <w:rPr>
          <w:rFonts w:hint="eastAsia" w:ascii="宋体" w:hAnsi="宋体" w:eastAsia="宋体" w:cs="Times New Roman"/>
          <w:bCs/>
          <w:szCs w:val="21"/>
        </w:rPr>
        <w:t>供应商名称（公章）：</w:t>
      </w:r>
    </w:p>
    <w:p w14:paraId="7595D866">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法定代表人或授权代表签字：</w:t>
      </w:r>
      <w:r>
        <w:rPr>
          <w:rFonts w:hint="eastAsia" w:ascii="宋体" w:hAnsi="宋体" w:eastAsia="宋体" w:cs="Times New Roman"/>
          <w:bCs/>
          <w:szCs w:val="21"/>
          <w:u w:val="single"/>
        </w:rPr>
        <w:t>______</w:t>
      </w:r>
    </w:p>
    <w:p w14:paraId="1CBE8FA3">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日期：</w:t>
      </w:r>
      <w:r>
        <w:rPr>
          <w:rFonts w:hint="eastAsia" w:ascii="宋体" w:hAnsi="宋体" w:eastAsia="宋体" w:cs="Times New Roman"/>
          <w:bCs/>
          <w:szCs w:val="21"/>
          <w:u w:val="single"/>
        </w:rPr>
        <w:t>______</w:t>
      </w:r>
      <w:r>
        <w:rPr>
          <w:rFonts w:hint="eastAsia" w:ascii="宋体" w:hAnsi="宋体" w:eastAsia="宋体" w:cs="Times New Roman"/>
          <w:bCs/>
          <w:szCs w:val="21"/>
        </w:rPr>
        <w:t>年</w:t>
      </w:r>
      <w:r>
        <w:rPr>
          <w:rFonts w:hint="eastAsia" w:ascii="宋体" w:hAnsi="宋体" w:eastAsia="宋体" w:cs="Times New Roman"/>
          <w:bCs/>
          <w:szCs w:val="21"/>
          <w:u w:val="single"/>
        </w:rPr>
        <w:t xml:space="preserve">    </w:t>
      </w:r>
      <w:r>
        <w:rPr>
          <w:rFonts w:hint="eastAsia" w:ascii="宋体" w:hAnsi="宋体" w:eastAsia="宋体" w:cs="Times New Roman"/>
          <w:bCs/>
          <w:szCs w:val="21"/>
        </w:rPr>
        <w:t>月</w:t>
      </w:r>
      <w:r>
        <w:rPr>
          <w:rFonts w:hint="eastAsia" w:ascii="宋体" w:hAnsi="宋体" w:eastAsia="宋体" w:cs="Times New Roman"/>
          <w:bCs/>
          <w:szCs w:val="21"/>
          <w:u w:val="single"/>
        </w:rPr>
        <w:t xml:space="preserve">    </w:t>
      </w:r>
      <w:r>
        <w:rPr>
          <w:rFonts w:hint="eastAsia" w:ascii="宋体" w:hAnsi="宋体" w:eastAsia="宋体" w:cs="Times New Roman"/>
          <w:bCs/>
          <w:szCs w:val="21"/>
        </w:rPr>
        <w:t>日</w:t>
      </w:r>
    </w:p>
    <w:p w14:paraId="0788A169">
      <w:pPr>
        <w:spacing w:line="360" w:lineRule="auto"/>
        <w:rPr>
          <w:rFonts w:hint="eastAsia" w:ascii="宋体" w:hAnsi="宋体" w:eastAsia="宋体" w:cs="Times New Roman"/>
          <w:bCs/>
          <w:szCs w:val="21"/>
        </w:rPr>
      </w:pPr>
    </w:p>
    <w:p w14:paraId="1C71D49E">
      <w:pPr>
        <w:spacing w:line="360" w:lineRule="auto"/>
        <w:rPr>
          <w:rFonts w:hint="eastAsia" w:ascii="宋体" w:hAnsi="宋体" w:eastAsia="宋体" w:cs="Times New Roman"/>
          <w:bCs/>
          <w:szCs w:val="21"/>
        </w:rPr>
      </w:pPr>
    </w:p>
    <w:p w14:paraId="7B86623B">
      <w:pPr>
        <w:keepNext/>
        <w:keepLines/>
        <w:spacing w:before="260" w:after="260" w:line="360" w:lineRule="auto"/>
        <w:jc w:val="center"/>
        <w:outlineLvl w:val="2"/>
        <w:rPr>
          <w:rFonts w:hint="eastAsia" w:ascii="宋体" w:hAnsi="宋体" w:eastAsia="宋体" w:cs="Times New Roman"/>
          <w:bCs/>
          <w:szCs w:val="21"/>
        </w:rPr>
      </w:pPr>
    </w:p>
    <w:p w14:paraId="5A8E9E8D">
      <w:pPr>
        <w:spacing w:line="360" w:lineRule="auto"/>
        <w:jc w:val="center"/>
        <w:rPr>
          <w:rFonts w:hint="eastAsia" w:ascii="宋体" w:hAnsi="宋体" w:eastAsia="宋体" w:cs="Times New Roman"/>
          <w:b/>
          <w:bCs/>
          <w:color w:val="000000"/>
          <w:szCs w:val="21"/>
        </w:rPr>
      </w:pPr>
      <w:r>
        <w:rPr>
          <w:rFonts w:ascii="宋体" w:hAnsi="宋体" w:eastAsia="宋体" w:cs="Times New Roman"/>
          <w:bCs/>
          <w:szCs w:val="21"/>
        </w:rPr>
        <w:br w:type="page"/>
      </w:r>
      <w:r>
        <w:rPr>
          <w:rFonts w:hint="eastAsia" w:ascii="宋体" w:hAnsi="宋体" w:eastAsia="宋体" w:cs="Times New Roman"/>
          <w:b/>
          <w:bCs/>
          <w:color w:val="000000"/>
          <w:szCs w:val="21"/>
        </w:rPr>
        <w:t xml:space="preserve"> </w:t>
      </w:r>
    </w:p>
    <w:p w14:paraId="22189640">
      <w:pPr>
        <w:numPr>
          <w:ilvl w:val="0"/>
          <w:numId w:val="6"/>
        </w:num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磋商响应报价表</w:t>
      </w:r>
    </w:p>
    <w:p w14:paraId="770E5BFD">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项目名称： </w:t>
      </w:r>
    </w:p>
    <w:p w14:paraId="071273D6">
      <w:pPr>
        <w:spacing w:line="360" w:lineRule="auto"/>
        <w:rPr>
          <w:rFonts w:hint="eastAsia" w:ascii="宋体" w:hAnsi="宋体" w:eastAsia="宋体" w:cs="Times New Roman"/>
          <w:color w:val="000000"/>
          <w:szCs w:val="21"/>
        </w:rPr>
      </w:pPr>
      <w:r>
        <w:rPr>
          <w:rFonts w:hint="eastAsia" w:ascii="宋体" w:hAnsi="宋体" w:eastAsia="宋体" w:cs="Times New Roman"/>
          <w:szCs w:val="21"/>
        </w:rPr>
        <w:t xml:space="preserve">项目编号：  </w:t>
      </w:r>
      <w:r>
        <w:rPr>
          <w:rFonts w:hint="eastAsia" w:ascii="宋体" w:hAnsi="宋体" w:eastAsia="宋体" w:cs="Times New Roman"/>
          <w:color w:val="000000"/>
          <w:szCs w:val="21"/>
        </w:rPr>
        <w:t xml:space="preserve">                                    分包号：/                  </w:t>
      </w:r>
    </w:p>
    <w:p w14:paraId="528B98E2">
      <w:pPr>
        <w:spacing w:line="360" w:lineRule="auto"/>
        <w:rPr>
          <w:rFonts w:hint="eastAsia" w:ascii="宋体" w:hAnsi="宋体" w:eastAsia="宋体" w:cs="Times New Roman"/>
          <w:color w:val="000000"/>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448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5A4E51EA">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 xml:space="preserve">  服务名称</w:t>
            </w:r>
          </w:p>
        </w:tc>
        <w:tc>
          <w:tcPr>
            <w:tcW w:w="6405" w:type="dxa"/>
            <w:tcBorders>
              <w:top w:val="single" w:color="auto" w:sz="4" w:space="0"/>
              <w:left w:val="single" w:color="auto" w:sz="4" w:space="0"/>
              <w:bottom w:val="single" w:color="auto" w:sz="4" w:space="0"/>
              <w:right w:val="single" w:color="auto" w:sz="4" w:space="0"/>
            </w:tcBorders>
            <w:vAlign w:val="center"/>
          </w:tcPr>
          <w:p w14:paraId="79124A5A">
            <w:pPr>
              <w:adjustRightInd w:val="0"/>
              <w:snapToGrid w:val="0"/>
              <w:spacing w:after="200" w:line="220" w:lineRule="atLeast"/>
              <w:rPr>
                <w:rFonts w:hint="eastAsia" w:ascii="宋体" w:hAnsi="宋体" w:eastAsia="宋体" w:cs="Times New Roman"/>
                <w:szCs w:val="21"/>
              </w:rPr>
            </w:pPr>
            <w:r>
              <w:rPr>
                <w:rFonts w:hint="eastAsia" w:ascii="宋体" w:hAnsi="宋体" w:eastAsia="宋体" w:cs="宋体"/>
                <w:szCs w:val="21"/>
              </w:rPr>
              <w:t xml:space="preserve">                      </w:t>
            </w:r>
            <w:r>
              <w:rPr>
                <w:rFonts w:hint="eastAsia" w:ascii="宋体" w:hAnsi="宋体" w:eastAsia="宋体" w:cs="Times New Roman"/>
                <w:szCs w:val="21"/>
              </w:rPr>
              <w:t>第一轮报价</w:t>
            </w:r>
          </w:p>
        </w:tc>
      </w:tr>
      <w:tr w14:paraId="3131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296A7DBB">
            <w:pPr>
              <w:adjustRightInd w:val="0"/>
              <w:snapToGrid w:val="0"/>
              <w:spacing w:line="300" w:lineRule="auto"/>
              <w:rPr>
                <w:rFonts w:hint="eastAsia" w:ascii="宋体" w:hAnsi="宋体" w:eastAsia="宋体" w:cs="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14:paraId="7562F2AA">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大写：</w:t>
            </w:r>
          </w:p>
          <w:p w14:paraId="5478110B">
            <w:pPr>
              <w:adjustRightInd w:val="0"/>
              <w:spacing w:line="500" w:lineRule="exact"/>
              <w:jc w:val="left"/>
              <w:textAlignment w:val="baseline"/>
              <w:rPr>
                <w:rFonts w:hint="eastAsia" w:ascii="宋体" w:hAnsi="宋体" w:eastAsia="宋体" w:cs="Times New Roman"/>
                <w:szCs w:val="21"/>
              </w:rPr>
            </w:pPr>
            <w:r>
              <w:rPr>
                <w:rFonts w:hint="eastAsia" w:ascii="宋体" w:hAnsi="宋体" w:eastAsia="宋体" w:cs="宋体"/>
                <w:kern w:val="0"/>
                <w:szCs w:val="21"/>
              </w:rPr>
              <w:t>小写：                             （人民币）</w:t>
            </w:r>
          </w:p>
        </w:tc>
      </w:tr>
      <w:tr w14:paraId="060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111A47C9">
            <w:pPr>
              <w:adjustRightInd w:val="0"/>
              <w:snapToGrid w:val="0"/>
              <w:spacing w:line="300" w:lineRule="auto"/>
              <w:jc w:val="center"/>
              <w:rPr>
                <w:rFonts w:hint="eastAsia" w:ascii="宋体" w:hAnsi="宋体" w:eastAsia="宋体" w:cs="宋体"/>
                <w:szCs w:val="21"/>
              </w:rPr>
            </w:pPr>
            <w:r>
              <w:rPr>
                <w:rFonts w:hint="eastAsia" w:ascii="宋体" w:hAnsi="宋体" w:eastAsia="宋体" w:cs="宋体"/>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14:paraId="1BA0A970">
            <w:pPr>
              <w:adjustRightInd w:val="0"/>
              <w:snapToGrid w:val="0"/>
              <w:spacing w:line="300" w:lineRule="auto"/>
              <w:ind w:firstLine="1365" w:firstLineChars="650"/>
              <w:rPr>
                <w:rFonts w:hint="eastAsia" w:ascii="宋体" w:hAnsi="宋体" w:eastAsia="宋体" w:cs="宋体"/>
                <w:szCs w:val="21"/>
              </w:rPr>
            </w:pPr>
          </w:p>
        </w:tc>
      </w:tr>
    </w:tbl>
    <w:p w14:paraId="65851D63">
      <w:pPr>
        <w:spacing w:line="360" w:lineRule="auto"/>
        <w:rPr>
          <w:rFonts w:hint="eastAsia" w:ascii="宋体" w:hAnsi="宋体" w:eastAsia="宋体" w:cs="Times New Roman"/>
          <w:color w:val="000000"/>
          <w:szCs w:val="21"/>
        </w:rPr>
      </w:pPr>
    </w:p>
    <w:p w14:paraId="521658D9">
      <w:pPr>
        <w:spacing w:line="360" w:lineRule="auto"/>
        <w:rPr>
          <w:rFonts w:hint="eastAsia" w:ascii="宋体" w:hAnsi="宋体" w:eastAsia="宋体" w:cs="Times New Roman"/>
          <w:color w:val="000000"/>
          <w:szCs w:val="21"/>
        </w:rPr>
      </w:pPr>
    </w:p>
    <w:p w14:paraId="6201AE13">
      <w:pPr>
        <w:spacing w:line="360" w:lineRule="auto"/>
        <w:rPr>
          <w:rFonts w:hint="eastAsia" w:ascii="宋体" w:hAnsi="宋体" w:eastAsia="宋体" w:cs="Times New Roman"/>
          <w:color w:val="000000"/>
          <w:szCs w:val="21"/>
        </w:rPr>
      </w:pPr>
    </w:p>
    <w:p w14:paraId="613B055D">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法定代表人或者授权代表（签字或盖章）：                    </w:t>
      </w:r>
    </w:p>
    <w:p w14:paraId="2CEDC977">
      <w:pPr>
        <w:spacing w:line="36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rPr>
        <w:t>磋商供应商全称（盖章）：</w:t>
      </w:r>
      <w:r>
        <w:rPr>
          <w:rFonts w:hint="eastAsia" w:ascii="宋体" w:hAnsi="宋体" w:eastAsia="宋体" w:cs="Times New Roman"/>
          <w:color w:val="000000"/>
          <w:szCs w:val="21"/>
          <w:u w:val="single"/>
        </w:rPr>
        <w:t xml:space="preserve">                         </w:t>
      </w:r>
    </w:p>
    <w:p w14:paraId="7B10307A">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                                               日期：    年   月    日</w:t>
      </w:r>
    </w:p>
    <w:p w14:paraId="1C84FEBC">
      <w:pPr>
        <w:spacing w:line="360" w:lineRule="auto"/>
        <w:rPr>
          <w:rFonts w:hint="eastAsia" w:ascii="宋体" w:hAnsi="宋体" w:eastAsia="宋体" w:cs="Times New Roman"/>
          <w:b/>
          <w:szCs w:val="21"/>
        </w:rPr>
      </w:pPr>
      <w:r>
        <w:rPr>
          <w:rFonts w:hint="eastAsia" w:ascii="宋体" w:hAnsi="宋体" w:eastAsia="宋体" w:cs="Times New Roman"/>
          <w:b/>
          <w:szCs w:val="21"/>
        </w:rPr>
        <w:t>价格构成或报价要求：</w:t>
      </w:r>
    </w:p>
    <w:p w14:paraId="01DB003A">
      <w:pPr>
        <w:spacing w:line="360" w:lineRule="auto"/>
        <w:jc w:val="left"/>
        <w:rPr>
          <w:rFonts w:hint="eastAsia" w:ascii="宋体" w:hAnsi="宋体" w:eastAsia="宋体" w:cs="Times New Roman"/>
          <w:b/>
          <w:iCs/>
          <w:color w:val="000000"/>
          <w:szCs w:val="21"/>
          <w:u w:val="single"/>
        </w:rPr>
      </w:pPr>
      <w:r>
        <w:rPr>
          <w:rFonts w:hint="eastAsia" w:ascii="宋体" w:hAnsi="宋体" w:eastAsia="宋体" w:cs="Times New Roman"/>
          <w:iCs/>
          <w:szCs w:val="21"/>
          <w:u w:val="single"/>
        </w:rPr>
        <w:t>1、</w:t>
      </w:r>
      <w:r>
        <w:rPr>
          <w:rFonts w:hint="eastAsia" w:ascii="宋体" w:hAnsi="宋体" w:eastAsia="宋体" w:cs="Times New Roman"/>
          <w:bCs/>
          <w:iCs/>
          <w:szCs w:val="21"/>
          <w:u w:val="single"/>
        </w:rPr>
        <w:t>磋商响应报价表和分项报价表</w:t>
      </w:r>
      <w:r>
        <w:rPr>
          <w:rFonts w:hint="eastAsia" w:ascii="宋体" w:hAnsi="宋体" w:eastAsia="宋体" w:cs="Times New Roman"/>
          <w:iCs/>
          <w:szCs w:val="21"/>
          <w:u w:val="single"/>
        </w:rPr>
        <w:t>必须单独密封在信封中，在投标截止时间前与投标文件分别递交。</w:t>
      </w:r>
    </w:p>
    <w:p w14:paraId="00B08214">
      <w:pPr>
        <w:spacing w:line="360" w:lineRule="auto"/>
        <w:jc w:val="left"/>
        <w:rPr>
          <w:rFonts w:hint="eastAsia" w:ascii="宋体" w:hAnsi="宋体" w:eastAsia="宋体" w:cs="Times New Roman"/>
          <w:iCs/>
          <w:szCs w:val="21"/>
          <w:u w:val="single"/>
        </w:rPr>
      </w:pPr>
      <w:r>
        <w:rPr>
          <w:rFonts w:hint="eastAsia" w:ascii="宋体" w:hAnsi="宋体" w:eastAsia="宋体" w:cs="Times New Roman"/>
          <w:iCs/>
          <w:szCs w:val="21"/>
          <w:u w:val="single"/>
        </w:rPr>
        <w:t>2、</w:t>
      </w:r>
      <w:r>
        <w:rPr>
          <w:rFonts w:hint="eastAsia" w:ascii="宋体" w:hAnsi="宋体" w:eastAsia="宋体" w:cs="Times New Roman"/>
          <w:bCs/>
          <w:iCs/>
          <w:szCs w:val="21"/>
          <w:u w:val="single"/>
        </w:rPr>
        <w:t>磋商响应报价表和分项报价表必须加盖</w:t>
      </w:r>
      <w:r>
        <w:rPr>
          <w:rFonts w:hint="eastAsia" w:ascii="宋体" w:hAnsi="宋体" w:cs="Times New Roman"/>
          <w:bCs/>
          <w:iCs/>
          <w:szCs w:val="21"/>
          <w:u w:val="single"/>
          <w:lang w:eastAsia="zh-CN"/>
        </w:rPr>
        <w:t>供应商</w:t>
      </w:r>
      <w:r>
        <w:rPr>
          <w:rFonts w:hint="eastAsia" w:ascii="宋体" w:hAnsi="宋体" w:eastAsia="宋体" w:cs="Times New Roman"/>
          <w:bCs/>
          <w:iCs/>
          <w:szCs w:val="21"/>
          <w:u w:val="single"/>
        </w:rPr>
        <w:t>公章（复印件无效）</w:t>
      </w:r>
      <w:r>
        <w:rPr>
          <w:rFonts w:hint="eastAsia" w:ascii="宋体" w:hAnsi="宋体" w:eastAsia="宋体" w:cs="Times New Roman"/>
          <w:iCs/>
          <w:szCs w:val="21"/>
          <w:u w:val="single"/>
        </w:rPr>
        <w:t>。</w:t>
      </w:r>
    </w:p>
    <w:p w14:paraId="20D6B601">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3、此表可以根据需要自行增减行数，且该表报价非本次磋商中的最后报价。</w:t>
      </w:r>
    </w:p>
    <w:p w14:paraId="3B763308">
      <w:pPr>
        <w:spacing w:line="360" w:lineRule="auto"/>
        <w:rPr>
          <w:rFonts w:hint="eastAsia" w:ascii="宋体" w:hAnsi="宋体" w:eastAsia="宋体" w:cs="Times New Roman"/>
          <w:b/>
          <w:szCs w:val="21"/>
        </w:rPr>
      </w:pPr>
      <w:r>
        <w:rPr>
          <w:rFonts w:hint="eastAsia" w:ascii="宋体" w:hAnsi="宋体" w:eastAsia="宋体" w:cs="Times New Roman"/>
          <w:b/>
          <w:szCs w:val="21"/>
        </w:rPr>
        <w:t>4、项目如有分包，请各磋商供应商按投报的分包分别列表。</w:t>
      </w:r>
    </w:p>
    <w:p w14:paraId="37863BBC">
      <w:pPr>
        <w:spacing w:line="360" w:lineRule="auto"/>
        <w:rPr>
          <w:rFonts w:hint="eastAsia" w:ascii="宋体" w:hAnsi="宋体" w:eastAsia="宋体" w:cs="Times New Roman"/>
          <w:b/>
          <w:color w:val="000000"/>
          <w:szCs w:val="21"/>
        </w:rPr>
      </w:pPr>
    </w:p>
    <w:p w14:paraId="4B4F7B0A">
      <w:pPr>
        <w:spacing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12033DE6">
      <w:pPr>
        <w:rPr>
          <w:rFonts w:hint="eastAsia" w:ascii="宋体" w:hAnsi="宋体" w:eastAsia="楷体_GB2312" w:cs="Times New Roman"/>
          <w:sz w:val="32"/>
          <w:szCs w:val="21"/>
        </w:rPr>
      </w:pPr>
    </w:p>
    <w:p w14:paraId="4F4B96E5">
      <w:pPr>
        <w:numPr>
          <w:ilvl w:val="0"/>
          <w:numId w:val="6"/>
        </w:numPr>
        <w:spacing w:after="312" w:afterLines="100" w:line="360" w:lineRule="auto"/>
        <w:jc w:val="center"/>
        <w:rPr>
          <w:rFonts w:hint="eastAsia" w:ascii="宋体" w:hAnsi="宋体" w:eastAsia="宋体" w:cs="宋体"/>
          <w:b/>
          <w:szCs w:val="21"/>
        </w:rPr>
      </w:pPr>
      <w:r>
        <w:rPr>
          <w:rFonts w:hint="eastAsia" w:ascii="宋体" w:hAnsi="宋体" w:eastAsia="宋体" w:cs="宋体"/>
          <w:b/>
          <w:szCs w:val="21"/>
        </w:rPr>
        <w:t>分项报价表</w:t>
      </w:r>
    </w:p>
    <w:p w14:paraId="2E2ED70B">
      <w:pPr>
        <w:pStyle w:val="10"/>
        <w:spacing w:line="360" w:lineRule="auto"/>
        <w:rPr>
          <w:rFonts w:hint="eastAsia" w:ascii="宋体" w:hAnsi="宋体" w:cs="宋体"/>
          <w:szCs w:val="21"/>
        </w:rPr>
      </w:pPr>
    </w:p>
    <w:p w14:paraId="7D0E9C5B">
      <w:pPr>
        <w:pStyle w:val="10"/>
        <w:spacing w:line="360" w:lineRule="auto"/>
        <w:ind w:firstLineChars="200"/>
        <w:rPr>
          <w:rFonts w:hint="eastAsia" w:ascii="宋体" w:hAnsi="宋体" w:cs="宋体"/>
          <w:szCs w:val="21"/>
        </w:rPr>
      </w:pPr>
      <w:r>
        <w:rPr>
          <w:rFonts w:hint="eastAsia" w:ascii="宋体" w:hAnsi="宋体" w:cs="宋体"/>
          <w:szCs w:val="21"/>
        </w:rPr>
        <w:t>磋商供应商全称（盖章）：</w:t>
      </w:r>
    </w:p>
    <w:p w14:paraId="2AB205A7">
      <w:pPr>
        <w:pStyle w:val="10"/>
        <w:spacing w:line="360" w:lineRule="auto"/>
        <w:ind w:firstLineChars="200"/>
        <w:rPr>
          <w:rFonts w:hint="eastAsia" w:ascii="宋体" w:hAnsi="宋体" w:cs="宋体"/>
          <w:szCs w:val="21"/>
        </w:rPr>
      </w:pPr>
      <w:r>
        <w:rPr>
          <w:rFonts w:hint="eastAsia" w:ascii="宋体" w:hAnsi="宋体" w:cs="宋体"/>
          <w:szCs w:val="21"/>
        </w:rPr>
        <w:t xml:space="preserve">项目名称： </w:t>
      </w:r>
    </w:p>
    <w:p w14:paraId="0211D24E">
      <w:pPr>
        <w:spacing w:line="360" w:lineRule="auto"/>
        <w:ind w:firstLine="420" w:firstLineChars="200"/>
        <w:rPr>
          <w:szCs w:val="21"/>
        </w:rPr>
      </w:pPr>
      <w:r>
        <w:rPr>
          <w:rFonts w:hint="eastAsia" w:ascii="宋体" w:hAnsi="宋体" w:cs="宋体"/>
          <w:szCs w:val="21"/>
        </w:rPr>
        <w:t>项目编号：</w:t>
      </w:r>
    </w:p>
    <w:tbl>
      <w:tblPr>
        <w:tblStyle w:val="40"/>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745"/>
        <w:gridCol w:w="1718"/>
        <w:gridCol w:w="2810"/>
      </w:tblGrid>
      <w:tr w14:paraId="3BB3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24CD0F11">
            <w:pPr>
              <w:adjustRightInd w:val="0"/>
              <w:snapToGrid w:val="0"/>
              <w:spacing w:after="200" w:line="220" w:lineRule="atLeast"/>
              <w:jc w:val="center"/>
              <w:rPr>
                <w:rFonts w:hint="eastAsia" w:ascii="宋体" w:hAnsi="宋体" w:cs="宋体"/>
                <w:szCs w:val="21"/>
              </w:rPr>
            </w:pPr>
            <w:r>
              <w:rPr>
                <w:rFonts w:hint="eastAsia" w:ascii="宋体" w:hAnsi="宋体" w:cs="宋体"/>
                <w:szCs w:val="21"/>
              </w:rPr>
              <w:t>1</w:t>
            </w:r>
          </w:p>
        </w:tc>
        <w:tc>
          <w:tcPr>
            <w:tcW w:w="1745" w:type="dxa"/>
            <w:tcBorders>
              <w:top w:val="single" w:color="auto" w:sz="4" w:space="0"/>
              <w:left w:val="single" w:color="auto" w:sz="4" w:space="0"/>
              <w:bottom w:val="single" w:color="auto" w:sz="4" w:space="0"/>
              <w:right w:val="single" w:color="auto" w:sz="4" w:space="0"/>
            </w:tcBorders>
            <w:vAlign w:val="center"/>
          </w:tcPr>
          <w:p w14:paraId="1477D1EB">
            <w:pPr>
              <w:adjustRightInd w:val="0"/>
              <w:snapToGrid w:val="0"/>
              <w:spacing w:after="200" w:line="220" w:lineRule="atLeast"/>
              <w:jc w:val="center"/>
              <w:rPr>
                <w:rFonts w:hint="eastAsia" w:ascii="宋体" w:hAnsi="宋体" w:cs="宋体"/>
                <w:szCs w:val="21"/>
              </w:rPr>
            </w:pPr>
            <w:r>
              <w:rPr>
                <w:rFonts w:hint="eastAsia" w:ascii="宋体" w:hAnsi="宋体" w:cs="宋体"/>
                <w:szCs w:val="21"/>
              </w:rPr>
              <w:t>2</w:t>
            </w:r>
          </w:p>
        </w:tc>
        <w:tc>
          <w:tcPr>
            <w:tcW w:w="1718" w:type="dxa"/>
            <w:tcBorders>
              <w:top w:val="single" w:color="auto" w:sz="4" w:space="0"/>
              <w:left w:val="single" w:color="auto" w:sz="4" w:space="0"/>
              <w:bottom w:val="single" w:color="auto" w:sz="4" w:space="0"/>
              <w:right w:val="single" w:color="auto" w:sz="4" w:space="0"/>
            </w:tcBorders>
            <w:vAlign w:val="center"/>
          </w:tcPr>
          <w:p w14:paraId="1C4572BD">
            <w:pPr>
              <w:adjustRightInd w:val="0"/>
              <w:snapToGrid w:val="0"/>
              <w:spacing w:after="200" w:line="220" w:lineRule="atLeast"/>
              <w:jc w:val="center"/>
              <w:rPr>
                <w:rFonts w:hint="eastAsia" w:ascii="宋体" w:hAnsi="宋体" w:cs="宋体"/>
                <w:szCs w:val="21"/>
              </w:rPr>
            </w:pPr>
            <w:r>
              <w:rPr>
                <w:rFonts w:hint="eastAsia" w:ascii="宋体" w:hAnsi="宋体" w:cs="宋体"/>
                <w:szCs w:val="21"/>
              </w:rPr>
              <w:t>3</w:t>
            </w:r>
          </w:p>
        </w:tc>
        <w:tc>
          <w:tcPr>
            <w:tcW w:w="2810" w:type="dxa"/>
            <w:tcBorders>
              <w:top w:val="single" w:color="auto" w:sz="4" w:space="0"/>
              <w:left w:val="single" w:color="auto" w:sz="4" w:space="0"/>
              <w:bottom w:val="single" w:color="auto" w:sz="4" w:space="0"/>
              <w:right w:val="single" w:color="auto" w:sz="4" w:space="0"/>
            </w:tcBorders>
            <w:vAlign w:val="center"/>
          </w:tcPr>
          <w:p w14:paraId="11BD01DC">
            <w:pPr>
              <w:adjustRightInd w:val="0"/>
              <w:snapToGrid w:val="0"/>
              <w:spacing w:after="200" w:line="220" w:lineRule="atLeast"/>
              <w:jc w:val="center"/>
              <w:rPr>
                <w:rFonts w:hint="eastAsia" w:ascii="宋体" w:hAnsi="宋体" w:cs="宋体"/>
                <w:szCs w:val="21"/>
              </w:rPr>
            </w:pPr>
            <w:r>
              <w:rPr>
                <w:rFonts w:hint="eastAsia" w:ascii="宋体" w:hAnsi="宋体" w:cs="宋体"/>
                <w:szCs w:val="21"/>
              </w:rPr>
              <w:t>4</w:t>
            </w:r>
          </w:p>
        </w:tc>
      </w:tr>
      <w:tr w14:paraId="1EB8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0AD4FC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分项</w:t>
            </w:r>
          </w:p>
        </w:tc>
        <w:tc>
          <w:tcPr>
            <w:tcW w:w="1745" w:type="dxa"/>
            <w:tcBorders>
              <w:top w:val="single" w:color="auto" w:sz="4" w:space="0"/>
              <w:left w:val="single" w:color="auto" w:sz="4" w:space="0"/>
              <w:bottom w:val="single" w:color="auto" w:sz="4" w:space="0"/>
              <w:right w:val="single" w:color="auto" w:sz="4" w:space="0"/>
            </w:tcBorders>
            <w:vAlign w:val="center"/>
          </w:tcPr>
          <w:p w14:paraId="63EA0653">
            <w:pPr>
              <w:adjustRightInd w:val="0"/>
              <w:snapToGrid w:val="0"/>
              <w:spacing w:after="200" w:line="220" w:lineRule="atLeast"/>
              <w:jc w:val="center"/>
              <w:rPr>
                <w:rFonts w:hint="eastAsia" w:ascii="宋体" w:hAnsi="宋体" w:cs="宋体"/>
                <w:szCs w:val="21"/>
              </w:rPr>
            </w:pPr>
            <w:r>
              <w:rPr>
                <w:rFonts w:hint="eastAsia" w:ascii="宋体" w:hAnsi="宋体" w:cs="宋体"/>
                <w:szCs w:val="21"/>
              </w:rPr>
              <w:t>单价</w:t>
            </w:r>
          </w:p>
        </w:tc>
        <w:tc>
          <w:tcPr>
            <w:tcW w:w="1718" w:type="dxa"/>
            <w:tcBorders>
              <w:top w:val="single" w:color="auto" w:sz="4" w:space="0"/>
              <w:left w:val="single" w:color="auto" w:sz="4" w:space="0"/>
              <w:bottom w:val="single" w:color="auto" w:sz="4" w:space="0"/>
              <w:right w:val="single" w:color="auto" w:sz="4" w:space="0"/>
            </w:tcBorders>
            <w:vAlign w:val="center"/>
          </w:tcPr>
          <w:p w14:paraId="1AB84F64">
            <w:pPr>
              <w:adjustRightInd w:val="0"/>
              <w:snapToGrid w:val="0"/>
              <w:spacing w:after="200" w:line="220" w:lineRule="atLeast"/>
              <w:jc w:val="center"/>
              <w:rPr>
                <w:rFonts w:hint="eastAsia" w:ascii="宋体" w:hAnsi="宋体" w:cs="宋体"/>
                <w:szCs w:val="21"/>
              </w:rPr>
            </w:pPr>
            <w:r>
              <w:rPr>
                <w:rFonts w:hint="eastAsia" w:ascii="宋体" w:hAnsi="宋体" w:cs="宋体"/>
                <w:szCs w:val="21"/>
              </w:rPr>
              <w:t>数量</w:t>
            </w:r>
          </w:p>
        </w:tc>
        <w:tc>
          <w:tcPr>
            <w:tcW w:w="2810" w:type="dxa"/>
            <w:tcBorders>
              <w:top w:val="single" w:color="auto" w:sz="4" w:space="0"/>
              <w:left w:val="single" w:color="auto" w:sz="4" w:space="0"/>
              <w:bottom w:val="single" w:color="auto" w:sz="4" w:space="0"/>
              <w:right w:val="single" w:color="auto" w:sz="4" w:space="0"/>
            </w:tcBorders>
            <w:vAlign w:val="center"/>
          </w:tcPr>
          <w:p w14:paraId="268E8C7F">
            <w:pPr>
              <w:adjustRightInd w:val="0"/>
              <w:snapToGrid w:val="0"/>
              <w:spacing w:after="200" w:line="220" w:lineRule="atLeast"/>
              <w:jc w:val="center"/>
              <w:rPr>
                <w:rFonts w:hint="eastAsia" w:ascii="宋体" w:hAnsi="宋体" w:cs="宋体"/>
                <w:szCs w:val="21"/>
              </w:rPr>
            </w:pPr>
            <w:r>
              <w:rPr>
                <w:rFonts w:hint="eastAsia" w:ascii="宋体" w:hAnsi="宋体" w:cs="宋体"/>
                <w:szCs w:val="21"/>
              </w:rPr>
              <w:t>总价</w:t>
            </w:r>
          </w:p>
        </w:tc>
      </w:tr>
      <w:tr w14:paraId="20C1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44A40025">
            <w:pPr>
              <w:pStyle w:val="14"/>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2934B85A">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6FB77564">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2E517719">
            <w:pPr>
              <w:adjustRightInd w:val="0"/>
              <w:snapToGrid w:val="0"/>
              <w:spacing w:after="200" w:line="220" w:lineRule="atLeast"/>
              <w:jc w:val="center"/>
              <w:rPr>
                <w:rFonts w:hint="eastAsia" w:ascii="宋体" w:hAnsi="宋体" w:cs="宋体"/>
                <w:szCs w:val="21"/>
              </w:rPr>
            </w:pPr>
          </w:p>
        </w:tc>
      </w:tr>
      <w:tr w14:paraId="40A3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7A772269">
            <w:pPr>
              <w:pStyle w:val="14"/>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14FE3EC">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38458F60">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20FDE6F1">
            <w:pPr>
              <w:adjustRightInd w:val="0"/>
              <w:snapToGrid w:val="0"/>
              <w:spacing w:after="200" w:line="220" w:lineRule="atLeast"/>
              <w:jc w:val="center"/>
              <w:rPr>
                <w:rFonts w:hint="eastAsia" w:ascii="宋体" w:hAnsi="宋体" w:cs="宋体"/>
                <w:szCs w:val="21"/>
              </w:rPr>
            </w:pPr>
          </w:p>
        </w:tc>
      </w:tr>
      <w:tr w14:paraId="3A67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3C35341">
            <w:pPr>
              <w:pStyle w:val="14"/>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DF7455F">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40E88660">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31E4DAAC">
            <w:pPr>
              <w:adjustRightInd w:val="0"/>
              <w:snapToGrid w:val="0"/>
              <w:spacing w:after="200" w:line="220" w:lineRule="atLeast"/>
              <w:jc w:val="center"/>
              <w:rPr>
                <w:rFonts w:hint="eastAsia" w:ascii="宋体" w:hAnsi="宋体" w:cs="宋体"/>
                <w:szCs w:val="21"/>
              </w:rPr>
            </w:pPr>
          </w:p>
        </w:tc>
      </w:tr>
      <w:tr w14:paraId="12D6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7808264C">
            <w:pPr>
              <w:pStyle w:val="14"/>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13847D4">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440612AB">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1231C7BC">
            <w:pPr>
              <w:adjustRightInd w:val="0"/>
              <w:snapToGrid w:val="0"/>
              <w:spacing w:after="200" w:line="220" w:lineRule="atLeast"/>
              <w:jc w:val="center"/>
              <w:rPr>
                <w:rFonts w:hint="eastAsia" w:ascii="宋体" w:hAnsi="宋体" w:cs="宋体"/>
                <w:szCs w:val="21"/>
              </w:rPr>
            </w:pPr>
          </w:p>
        </w:tc>
      </w:tr>
      <w:tr w14:paraId="3492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6F97CFC8">
            <w:pPr>
              <w:pStyle w:val="14"/>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5CCBFEE5">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44E46EBE">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7A0D1A99">
            <w:pPr>
              <w:adjustRightInd w:val="0"/>
              <w:snapToGrid w:val="0"/>
              <w:spacing w:after="200" w:line="220" w:lineRule="atLeast"/>
              <w:jc w:val="center"/>
              <w:rPr>
                <w:rFonts w:hint="eastAsia" w:ascii="宋体" w:hAnsi="宋体" w:cs="宋体"/>
                <w:szCs w:val="21"/>
              </w:rPr>
            </w:pPr>
          </w:p>
        </w:tc>
      </w:tr>
      <w:tr w14:paraId="7EF5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0CAF1B4">
            <w:pPr>
              <w:adjustRightInd w:val="0"/>
              <w:snapToGrid w:val="0"/>
              <w:spacing w:after="200" w:line="220" w:lineRule="atLeast"/>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2D1661D4">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1C3E4DFD">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4743335A">
            <w:pPr>
              <w:adjustRightInd w:val="0"/>
              <w:snapToGrid w:val="0"/>
              <w:spacing w:after="200" w:line="220" w:lineRule="atLeast"/>
              <w:jc w:val="center"/>
              <w:rPr>
                <w:rFonts w:hint="eastAsia" w:ascii="宋体" w:hAnsi="宋体" w:cs="宋体"/>
                <w:szCs w:val="21"/>
              </w:rPr>
            </w:pPr>
          </w:p>
        </w:tc>
      </w:tr>
      <w:tr w14:paraId="740C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248" w:type="dxa"/>
            <w:gridSpan w:val="3"/>
            <w:tcBorders>
              <w:top w:val="single" w:color="auto" w:sz="4" w:space="0"/>
              <w:left w:val="single" w:color="auto" w:sz="4" w:space="0"/>
              <w:bottom w:val="single" w:color="auto" w:sz="4" w:space="0"/>
              <w:right w:val="single" w:color="auto" w:sz="4" w:space="0"/>
            </w:tcBorders>
            <w:vAlign w:val="center"/>
          </w:tcPr>
          <w:p w14:paraId="334E46E8">
            <w:pPr>
              <w:adjustRightInd w:val="0"/>
              <w:snapToGrid w:val="0"/>
              <w:spacing w:after="200" w:line="220" w:lineRule="atLeast"/>
              <w:jc w:val="center"/>
              <w:rPr>
                <w:rFonts w:hint="eastAsia" w:ascii="宋体" w:hAnsi="宋体" w:cs="宋体"/>
                <w:szCs w:val="21"/>
              </w:rPr>
            </w:pPr>
            <w:r>
              <w:rPr>
                <w:rFonts w:hint="eastAsia" w:ascii="宋体" w:hAnsi="宋体" w:cs="宋体"/>
                <w:szCs w:val="21"/>
              </w:rPr>
              <w:t>合计</w:t>
            </w:r>
          </w:p>
        </w:tc>
        <w:tc>
          <w:tcPr>
            <w:tcW w:w="2810" w:type="dxa"/>
            <w:tcBorders>
              <w:top w:val="single" w:color="auto" w:sz="4" w:space="0"/>
              <w:left w:val="single" w:color="auto" w:sz="4" w:space="0"/>
              <w:bottom w:val="single" w:color="auto" w:sz="4" w:space="0"/>
              <w:right w:val="single" w:color="auto" w:sz="4" w:space="0"/>
            </w:tcBorders>
            <w:vAlign w:val="center"/>
          </w:tcPr>
          <w:p w14:paraId="7892E65E">
            <w:pPr>
              <w:adjustRightInd w:val="0"/>
              <w:snapToGrid w:val="0"/>
              <w:spacing w:after="200" w:line="220" w:lineRule="atLeast"/>
              <w:jc w:val="center"/>
              <w:rPr>
                <w:rFonts w:hint="eastAsia" w:ascii="宋体" w:hAnsi="宋体" w:cs="宋体"/>
                <w:szCs w:val="21"/>
              </w:rPr>
            </w:pPr>
          </w:p>
        </w:tc>
      </w:tr>
    </w:tbl>
    <w:p w14:paraId="74D6C7B5">
      <w:pPr>
        <w:rPr>
          <w:rFonts w:hint="eastAsia" w:ascii="宋体" w:hAnsi="宋体" w:cs="宋体"/>
          <w:szCs w:val="21"/>
        </w:rPr>
      </w:pPr>
    </w:p>
    <w:p w14:paraId="5ECBEEED">
      <w:pPr>
        <w:spacing w:line="360" w:lineRule="auto"/>
        <w:ind w:firstLine="420" w:firstLineChars="200"/>
        <w:jc w:val="left"/>
        <w:rPr>
          <w:rFonts w:hint="eastAsia" w:ascii="宋体" w:hAnsi="宋体" w:cs="宋体"/>
          <w:szCs w:val="21"/>
        </w:rPr>
      </w:pPr>
      <w:r>
        <w:rPr>
          <w:rFonts w:hint="eastAsia" w:ascii="宋体" w:hAnsi="宋体" w:cs="宋体"/>
          <w:szCs w:val="21"/>
        </w:rPr>
        <w:t>法定代表人或授权代表（签字或盖章）</w:t>
      </w:r>
    </w:p>
    <w:p w14:paraId="26FD99D7">
      <w:pPr>
        <w:spacing w:line="360" w:lineRule="auto"/>
        <w:rPr>
          <w:rFonts w:hint="eastAsia" w:ascii="宋体" w:hAnsi="宋体" w:cs="宋体"/>
          <w:szCs w:val="21"/>
        </w:rPr>
      </w:pPr>
    </w:p>
    <w:p w14:paraId="169CC979">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年     月    日</w:t>
      </w:r>
    </w:p>
    <w:p w14:paraId="6F4C776E">
      <w:pPr>
        <w:spacing w:line="360" w:lineRule="auto"/>
        <w:ind w:firstLine="420" w:firstLineChars="200"/>
        <w:rPr>
          <w:rFonts w:hint="eastAsia" w:ascii="宋体" w:hAnsi="宋体" w:cs="宋体"/>
          <w:szCs w:val="21"/>
        </w:rPr>
      </w:pPr>
      <w:r>
        <w:rPr>
          <w:rFonts w:hint="eastAsia" w:ascii="宋体" w:hAnsi="宋体" w:cs="宋体"/>
          <w:bCs/>
          <w:szCs w:val="21"/>
        </w:rPr>
        <w:t>注：1、</w:t>
      </w:r>
      <w:r>
        <w:rPr>
          <w:rFonts w:hint="eastAsia" w:ascii="宋体" w:hAnsi="宋体" w:cs="宋体"/>
          <w:szCs w:val="21"/>
        </w:rPr>
        <w:t>各供应商可以根据实际情况合理安排，对上述项目适当予以调整。</w:t>
      </w:r>
    </w:p>
    <w:p w14:paraId="1CF45520">
      <w:pPr>
        <w:pStyle w:val="29"/>
      </w:pPr>
    </w:p>
    <w:p w14:paraId="2D515B2B"/>
    <w:p w14:paraId="4D6C4607">
      <w:pPr>
        <w:pStyle w:val="29"/>
      </w:pPr>
    </w:p>
    <w:p w14:paraId="191FE4C1"/>
    <w:p w14:paraId="454A7955">
      <w:pPr>
        <w:pStyle w:val="29"/>
      </w:pPr>
    </w:p>
    <w:p w14:paraId="05CEA324"/>
    <w:p w14:paraId="5F1DBD06">
      <w:pPr>
        <w:spacing w:line="360" w:lineRule="auto"/>
        <w:jc w:val="center"/>
        <w:rPr>
          <w:rFonts w:hint="eastAsia" w:ascii="宋体" w:hAnsi="宋体" w:cs="宋体"/>
          <w:b/>
          <w:szCs w:val="21"/>
        </w:rPr>
      </w:pPr>
    </w:p>
    <w:p w14:paraId="70993E02">
      <w:pPr>
        <w:pStyle w:val="29"/>
        <w:sectPr>
          <w:pgSz w:w="11906" w:h="16838"/>
          <w:pgMar w:top="1440" w:right="1800" w:bottom="1440" w:left="1800" w:header="1191" w:footer="992" w:gutter="0"/>
          <w:cols w:space="720" w:num="1"/>
          <w:docGrid w:type="lines" w:linePitch="312" w:charSpace="0"/>
        </w:sectPr>
      </w:pPr>
    </w:p>
    <w:p w14:paraId="00650303">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六、技术参数响应及偏离表</w:t>
      </w:r>
    </w:p>
    <w:p w14:paraId="52967032">
      <w:pPr>
        <w:spacing w:line="360" w:lineRule="auto"/>
        <w:rPr>
          <w:rFonts w:hint="eastAsia" w:ascii="宋体" w:hAnsi="宋体" w:eastAsia="宋体" w:cs="Times New Roman"/>
          <w:bCs/>
          <w:szCs w:val="21"/>
        </w:rPr>
      </w:pPr>
      <w:r>
        <w:rPr>
          <w:rFonts w:hint="eastAsia" w:ascii="宋体" w:hAnsi="宋体" w:eastAsia="宋体" w:cs="Times New Roman"/>
          <w:bCs/>
          <w:szCs w:val="21"/>
        </w:rPr>
        <w:t>供应商全称（加盖公章）：</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305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2E43E83B">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5822E794">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112C83F5">
            <w:pPr>
              <w:adjustRightInd w:val="0"/>
              <w:snapToGrid w:val="0"/>
              <w:spacing w:after="200" w:line="220" w:lineRule="atLeast"/>
              <w:ind w:firstLine="315" w:firstLineChars="150"/>
              <w:rPr>
                <w:rFonts w:hint="eastAsia" w:ascii="宋体" w:hAnsi="宋体" w:eastAsia="宋体" w:cs="Times New Roman"/>
                <w:szCs w:val="21"/>
              </w:rPr>
            </w:pPr>
            <w:r>
              <w:rPr>
                <w:rFonts w:hint="eastAsia" w:ascii="宋体" w:hAnsi="宋体" w:eastAsia="宋体" w:cs="Times New Roman"/>
                <w:szCs w:val="21"/>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14:paraId="36795B3A">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14:paraId="1F81BC68">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6E448139">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原因或说明</w:t>
            </w:r>
          </w:p>
        </w:tc>
      </w:tr>
      <w:tr w14:paraId="5012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FFDB781">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3BA2B0">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4A40C39">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C550116">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23A618B">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48B967C">
            <w:pPr>
              <w:adjustRightInd w:val="0"/>
              <w:snapToGrid w:val="0"/>
              <w:spacing w:after="200" w:line="220" w:lineRule="atLeast"/>
              <w:jc w:val="center"/>
              <w:rPr>
                <w:rFonts w:hint="eastAsia" w:ascii="宋体" w:hAnsi="宋体" w:eastAsia="宋体" w:cs="Times New Roman"/>
                <w:sz w:val="24"/>
                <w:szCs w:val="24"/>
              </w:rPr>
            </w:pPr>
          </w:p>
        </w:tc>
      </w:tr>
      <w:tr w14:paraId="532F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77A7C78">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5A9542">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DBAC7E5">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34802BD">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AF51320">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A0A654C">
            <w:pPr>
              <w:adjustRightInd w:val="0"/>
              <w:snapToGrid w:val="0"/>
              <w:spacing w:after="200" w:line="220" w:lineRule="atLeast"/>
              <w:jc w:val="center"/>
              <w:rPr>
                <w:rFonts w:hint="eastAsia" w:ascii="宋体" w:hAnsi="宋体" w:eastAsia="宋体" w:cs="Times New Roman"/>
                <w:sz w:val="24"/>
                <w:szCs w:val="24"/>
              </w:rPr>
            </w:pPr>
          </w:p>
        </w:tc>
      </w:tr>
      <w:tr w14:paraId="0593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CD9B52B">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6D03BF7E">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5AB967C">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B2194E2">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B8858A8">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E892ECE">
            <w:pPr>
              <w:adjustRightInd w:val="0"/>
              <w:snapToGrid w:val="0"/>
              <w:spacing w:after="200" w:line="220" w:lineRule="atLeast"/>
              <w:jc w:val="center"/>
              <w:rPr>
                <w:rFonts w:hint="eastAsia" w:ascii="宋体" w:hAnsi="宋体" w:eastAsia="宋体" w:cs="Times New Roman"/>
                <w:sz w:val="24"/>
                <w:szCs w:val="24"/>
              </w:rPr>
            </w:pPr>
          </w:p>
        </w:tc>
      </w:tr>
      <w:tr w14:paraId="0E1C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CC75F91">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576DF66">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4F60DCE">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CFB84C">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EC3FE92">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204F56F">
            <w:pPr>
              <w:adjustRightInd w:val="0"/>
              <w:snapToGrid w:val="0"/>
              <w:spacing w:after="200" w:line="220" w:lineRule="atLeast"/>
              <w:jc w:val="center"/>
              <w:rPr>
                <w:rFonts w:hint="eastAsia" w:ascii="宋体" w:hAnsi="宋体" w:eastAsia="宋体" w:cs="Times New Roman"/>
                <w:sz w:val="24"/>
                <w:szCs w:val="24"/>
              </w:rPr>
            </w:pPr>
          </w:p>
        </w:tc>
      </w:tr>
      <w:tr w14:paraId="02E6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F40DE82">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AED6794">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72A6F95">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265BECB">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55689A9">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0FFC565">
            <w:pPr>
              <w:adjustRightInd w:val="0"/>
              <w:snapToGrid w:val="0"/>
              <w:spacing w:after="200" w:line="220" w:lineRule="atLeast"/>
              <w:jc w:val="center"/>
              <w:rPr>
                <w:rFonts w:hint="eastAsia" w:ascii="宋体" w:hAnsi="宋体" w:eastAsia="宋体" w:cs="Times New Roman"/>
                <w:sz w:val="24"/>
                <w:szCs w:val="24"/>
              </w:rPr>
            </w:pPr>
          </w:p>
        </w:tc>
      </w:tr>
      <w:tr w14:paraId="27DB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EA36A79">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92806C1">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4B8203">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224B68">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934022">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79EA5D7">
            <w:pPr>
              <w:adjustRightInd w:val="0"/>
              <w:snapToGrid w:val="0"/>
              <w:spacing w:after="200" w:line="220" w:lineRule="atLeast"/>
              <w:jc w:val="center"/>
              <w:rPr>
                <w:rFonts w:hint="eastAsia" w:ascii="宋体" w:hAnsi="宋体" w:eastAsia="宋体" w:cs="Times New Roman"/>
                <w:sz w:val="24"/>
                <w:szCs w:val="24"/>
              </w:rPr>
            </w:pPr>
          </w:p>
        </w:tc>
      </w:tr>
      <w:tr w14:paraId="4D0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ED0707C">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074EE8C">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BD2DF59">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00F6E73">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E5F5263">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14CBCF9">
            <w:pPr>
              <w:adjustRightInd w:val="0"/>
              <w:snapToGrid w:val="0"/>
              <w:spacing w:after="200" w:line="220" w:lineRule="atLeast"/>
              <w:jc w:val="center"/>
              <w:rPr>
                <w:rFonts w:hint="eastAsia" w:ascii="宋体" w:hAnsi="宋体" w:eastAsia="宋体" w:cs="Times New Roman"/>
                <w:sz w:val="24"/>
                <w:szCs w:val="24"/>
              </w:rPr>
            </w:pPr>
          </w:p>
        </w:tc>
      </w:tr>
      <w:tr w14:paraId="160E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7A71F997">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8075354">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87EDCD7">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D25C547">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ED1A905">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57CB362">
            <w:pPr>
              <w:adjustRightInd w:val="0"/>
              <w:snapToGrid w:val="0"/>
              <w:spacing w:after="200" w:line="220" w:lineRule="atLeast"/>
              <w:jc w:val="center"/>
              <w:rPr>
                <w:rFonts w:hint="eastAsia" w:ascii="宋体" w:hAnsi="宋体" w:eastAsia="宋体" w:cs="Times New Roman"/>
                <w:sz w:val="24"/>
                <w:szCs w:val="24"/>
              </w:rPr>
            </w:pPr>
          </w:p>
        </w:tc>
      </w:tr>
    </w:tbl>
    <w:p w14:paraId="3FCBA87C">
      <w:pPr>
        <w:spacing w:line="360" w:lineRule="auto"/>
        <w:rPr>
          <w:rFonts w:hint="eastAsia" w:ascii="宋体" w:hAnsi="宋体" w:eastAsia="宋体" w:cs="Times New Roman"/>
          <w:szCs w:val="21"/>
        </w:rPr>
      </w:pPr>
      <w:r>
        <w:rPr>
          <w:rFonts w:hint="eastAsia" w:ascii="宋体" w:hAnsi="宋体" w:eastAsia="宋体" w:cs="Times New Roman"/>
          <w:szCs w:val="21"/>
        </w:rPr>
        <w:t>法定代表人或授权代表（签字或盖章）</w:t>
      </w:r>
    </w:p>
    <w:p w14:paraId="2501ACA5">
      <w:pPr>
        <w:spacing w:line="360" w:lineRule="auto"/>
        <w:rPr>
          <w:rFonts w:hint="eastAsia" w:ascii="宋体" w:hAnsi="宋体" w:eastAsia="宋体" w:cs="Times New Roman"/>
          <w:szCs w:val="21"/>
        </w:rPr>
      </w:pPr>
      <w:r>
        <w:rPr>
          <w:rFonts w:hint="eastAsia" w:ascii="宋体" w:hAnsi="宋体" w:eastAsia="宋体" w:cs="Times New Roman"/>
          <w:szCs w:val="21"/>
        </w:rPr>
        <w:t xml:space="preserve">                                             日期：     年    月     日</w:t>
      </w:r>
    </w:p>
    <w:p w14:paraId="0C8D5F19">
      <w:pPr>
        <w:spacing w:line="360" w:lineRule="auto"/>
        <w:rPr>
          <w:rFonts w:hint="eastAsia" w:ascii="宋体" w:hAnsi="宋体" w:eastAsia="宋体" w:cs="Times New Roman"/>
          <w:b/>
          <w:szCs w:val="21"/>
        </w:rPr>
      </w:pPr>
    </w:p>
    <w:p w14:paraId="20E3823C">
      <w:pPr>
        <w:spacing w:line="360" w:lineRule="auto"/>
        <w:rPr>
          <w:rFonts w:hint="eastAsia" w:ascii="宋体" w:hAnsi="宋体" w:eastAsia="宋体" w:cs="Times New Roman"/>
          <w:bCs/>
          <w:szCs w:val="21"/>
        </w:rPr>
      </w:pPr>
      <w:r>
        <w:rPr>
          <w:rFonts w:hint="eastAsia" w:ascii="宋体" w:hAnsi="宋体" w:eastAsia="宋体" w:cs="Times New Roman"/>
          <w:b/>
          <w:szCs w:val="21"/>
        </w:rPr>
        <w:t>注：</w:t>
      </w:r>
      <w:r>
        <w:rPr>
          <w:rFonts w:hint="eastAsia" w:ascii="宋体" w:hAnsi="宋体" w:eastAsia="宋体" w:cs="Times New Roman"/>
          <w:bCs/>
          <w:szCs w:val="21"/>
        </w:rPr>
        <w:t>1、按照基本技术要求详细填列；</w:t>
      </w:r>
    </w:p>
    <w:p w14:paraId="4C63A4E8">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2、行数不够，可自行添加。</w:t>
      </w:r>
    </w:p>
    <w:p w14:paraId="570AB4FE">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3、技术偏离表应针对项目需求逐条应答。</w:t>
      </w:r>
    </w:p>
    <w:p w14:paraId="1C082A11">
      <w:pPr>
        <w:jc w:val="center"/>
        <w:rPr>
          <w:rFonts w:hint="eastAsia" w:ascii="宋体" w:hAnsi="宋体" w:eastAsia="宋体" w:cs="Times New Roman"/>
          <w:szCs w:val="21"/>
        </w:rPr>
      </w:pPr>
    </w:p>
    <w:p w14:paraId="6A7DCC00">
      <w:pPr>
        <w:jc w:val="center"/>
        <w:rPr>
          <w:rFonts w:hint="eastAsia" w:ascii="宋体" w:hAnsi="宋体" w:eastAsia="宋体" w:cs="Times New Roman"/>
          <w:szCs w:val="21"/>
        </w:rPr>
      </w:pPr>
    </w:p>
    <w:p w14:paraId="31DE3B02">
      <w:pPr>
        <w:rPr>
          <w:rFonts w:hint="eastAsia" w:ascii="宋体" w:hAnsi="宋体" w:eastAsia="宋体" w:cs="Times New Roman"/>
          <w:szCs w:val="21"/>
        </w:rPr>
      </w:pPr>
    </w:p>
    <w:p w14:paraId="6E88A937">
      <w:pPr>
        <w:jc w:val="center"/>
        <w:rPr>
          <w:rFonts w:hint="eastAsia" w:ascii="宋体" w:hAnsi="宋体" w:eastAsia="宋体" w:cs="Times New Roman"/>
          <w:szCs w:val="21"/>
        </w:rPr>
      </w:pPr>
    </w:p>
    <w:p w14:paraId="46B1BD9C">
      <w:pPr>
        <w:jc w:val="center"/>
        <w:rPr>
          <w:rFonts w:hint="eastAsia" w:ascii="宋体" w:hAnsi="宋体" w:eastAsia="宋体" w:cs="Times New Roman"/>
          <w:szCs w:val="21"/>
        </w:rPr>
      </w:pPr>
    </w:p>
    <w:p w14:paraId="61C89C92">
      <w:pPr>
        <w:spacing w:line="360" w:lineRule="auto"/>
        <w:jc w:val="center"/>
        <w:rPr>
          <w:rFonts w:hint="eastAsia"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Cs w:val="21"/>
        </w:rPr>
        <w:t>七、商务条款响应及偏离表</w:t>
      </w:r>
    </w:p>
    <w:p w14:paraId="3315719F">
      <w:pPr>
        <w:rPr>
          <w:rFonts w:hint="eastAsia" w:ascii="宋体" w:hAnsi="宋体" w:eastAsia="宋体" w:cs="Times New Roman"/>
          <w:szCs w:val="21"/>
        </w:rPr>
      </w:pPr>
      <w:r>
        <w:rPr>
          <w:rFonts w:hint="eastAsia" w:ascii="宋体" w:hAnsi="宋体" w:eastAsia="宋体" w:cs="Times New Roman"/>
          <w:szCs w:val="21"/>
        </w:rPr>
        <w:t xml:space="preserve">供应商全称（加盖公章）：       </w:t>
      </w:r>
    </w:p>
    <w:p w14:paraId="11D5C81C">
      <w:pPr>
        <w:rPr>
          <w:rFonts w:hint="eastAsia" w:ascii="宋体" w:hAnsi="宋体" w:eastAsia="宋体" w:cs="Times New Roman"/>
          <w:szCs w:val="21"/>
        </w:rPr>
      </w:pPr>
      <w:r>
        <w:rPr>
          <w:rFonts w:hint="eastAsia" w:ascii="宋体" w:hAnsi="宋体" w:eastAsia="宋体" w:cs="Times New Roman"/>
          <w:szCs w:val="21"/>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512D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14:paraId="406209E7">
            <w:pPr>
              <w:adjustRightInd w:val="0"/>
              <w:snapToGrid w:val="0"/>
              <w:spacing w:before="156" w:beforeLines="50" w:after="200" w:line="220" w:lineRule="atLeast"/>
              <w:jc w:val="right"/>
              <w:rPr>
                <w:rFonts w:hint="eastAsia" w:ascii="宋体" w:hAnsi="宋体" w:eastAsia="宋体" w:cs="Times New Roman"/>
                <w:szCs w:val="21"/>
              </w:rPr>
            </w:pPr>
            <w:r>
              <w:rPr>
                <w:rFonts w:hint="eastAsia" w:ascii="宋体" w:hAnsi="宋体" w:eastAsia="宋体" w:cs="Times New Roman"/>
                <w:szCs w:val="21"/>
              </w:rPr>
              <w:t>序号</w:t>
            </w:r>
          </w:p>
        </w:tc>
        <w:tc>
          <w:tcPr>
            <w:tcW w:w="1843" w:type="dxa"/>
            <w:tcBorders>
              <w:top w:val="single" w:color="auto" w:sz="4" w:space="0"/>
              <w:left w:val="single" w:color="auto" w:sz="4" w:space="0"/>
              <w:bottom w:val="single" w:color="auto" w:sz="4" w:space="0"/>
              <w:right w:val="single" w:color="auto" w:sz="4" w:space="0"/>
            </w:tcBorders>
          </w:tcPr>
          <w:p w14:paraId="0E8F74E8">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项目</w:t>
            </w:r>
          </w:p>
        </w:tc>
        <w:tc>
          <w:tcPr>
            <w:tcW w:w="2693" w:type="dxa"/>
            <w:tcBorders>
              <w:top w:val="single" w:color="auto" w:sz="4" w:space="0"/>
              <w:left w:val="single" w:color="auto" w:sz="4" w:space="0"/>
              <w:bottom w:val="single" w:color="auto" w:sz="4" w:space="0"/>
              <w:right w:val="single" w:color="auto" w:sz="4" w:space="0"/>
            </w:tcBorders>
          </w:tcPr>
          <w:p w14:paraId="3EBAC36B">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磋商要求</w:t>
            </w:r>
          </w:p>
        </w:tc>
        <w:tc>
          <w:tcPr>
            <w:tcW w:w="993" w:type="dxa"/>
            <w:tcBorders>
              <w:top w:val="single" w:color="auto" w:sz="4" w:space="0"/>
              <w:left w:val="single" w:color="auto" w:sz="4" w:space="0"/>
              <w:bottom w:val="single" w:color="auto" w:sz="4" w:space="0"/>
              <w:right w:val="single" w:color="auto" w:sz="4" w:space="0"/>
            </w:tcBorders>
          </w:tcPr>
          <w:p w14:paraId="0F27D061">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是否响应</w:t>
            </w:r>
          </w:p>
        </w:tc>
        <w:tc>
          <w:tcPr>
            <w:tcW w:w="2318" w:type="dxa"/>
            <w:tcBorders>
              <w:top w:val="single" w:color="auto" w:sz="4" w:space="0"/>
              <w:left w:val="single" w:color="auto" w:sz="4" w:space="0"/>
              <w:bottom w:val="single" w:color="auto" w:sz="4" w:space="0"/>
              <w:right w:val="single" w:color="auto" w:sz="4" w:space="0"/>
            </w:tcBorders>
          </w:tcPr>
          <w:p w14:paraId="4B983AC3">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供应商的承诺或说明</w:t>
            </w:r>
          </w:p>
        </w:tc>
      </w:tr>
      <w:tr w14:paraId="6F16D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tcPr>
          <w:p w14:paraId="0E73A93C">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68067C2">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服务期限</w:t>
            </w:r>
          </w:p>
        </w:tc>
        <w:tc>
          <w:tcPr>
            <w:tcW w:w="2693" w:type="dxa"/>
            <w:tcBorders>
              <w:top w:val="single" w:color="auto" w:sz="4" w:space="0"/>
              <w:left w:val="single" w:color="auto" w:sz="4" w:space="0"/>
              <w:bottom w:val="single" w:color="auto" w:sz="4" w:space="0"/>
              <w:right w:val="single" w:color="auto" w:sz="4" w:space="0"/>
            </w:tcBorders>
          </w:tcPr>
          <w:p w14:paraId="05C22811">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264F292B">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3C15905A">
            <w:pPr>
              <w:adjustRightInd w:val="0"/>
              <w:snapToGrid w:val="0"/>
              <w:spacing w:before="156" w:beforeLines="50" w:after="200" w:line="220" w:lineRule="atLeast"/>
              <w:rPr>
                <w:rFonts w:hint="eastAsia" w:ascii="仿宋_GB2312" w:hAnsi="宋体" w:eastAsia="仿宋_GB2312" w:cs="Times New Roman"/>
                <w:szCs w:val="21"/>
              </w:rPr>
            </w:pPr>
          </w:p>
        </w:tc>
      </w:tr>
      <w:tr w14:paraId="3D5B8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tcPr>
          <w:p w14:paraId="79D03BBA">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E566989">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服务要求</w:t>
            </w:r>
          </w:p>
        </w:tc>
        <w:tc>
          <w:tcPr>
            <w:tcW w:w="2693" w:type="dxa"/>
            <w:tcBorders>
              <w:top w:val="single" w:color="auto" w:sz="4" w:space="0"/>
              <w:left w:val="single" w:color="auto" w:sz="4" w:space="0"/>
              <w:bottom w:val="single" w:color="auto" w:sz="4" w:space="0"/>
              <w:right w:val="single" w:color="auto" w:sz="4" w:space="0"/>
            </w:tcBorders>
          </w:tcPr>
          <w:p w14:paraId="5DD45621">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028134EC">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78C1EA59">
            <w:pPr>
              <w:adjustRightInd w:val="0"/>
              <w:snapToGrid w:val="0"/>
              <w:spacing w:before="156" w:beforeLines="50" w:after="200" w:line="220" w:lineRule="atLeast"/>
              <w:rPr>
                <w:rFonts w:hint="eastAsia" w:ascii="仿宋_GB2312" w:hAnsi="宋体" w:eastAsia="仿宋_GB2312" w:cs="Times New Roman"/>
                <w:szCs w:val="21"/>
              </w:rPr>
            </w:pPr>
          </w:p>
        </w:tc>
      </w:tr>
      <w:tr w14:paraId="43F94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63E5C3D3">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E333812">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4F5BEBEB">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7B4A813E">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224BE13A">
            <w:pPr>
              <w:adjustRightInd w:val="0"/>
              <w:snapToGrid w:val="0"/>
              <w:spacing w:before="156" w:beforeLines="50" w:after="200" w:line="220" w:lineRule="atLeast"/>
              <w:ind w:left="43"/>
              <w:rPr>
                <w:rFonts w:hint="eastAsia" w:ascii="仿宋_GB2312" w:hAnsi="宋体" w:eastAsia="仿宋_GB2312" w:cs="Times New Roman"/>
                <w:szCs w:val="21"/>
              </w:rPr>
            </w:pPr>
          </w:p>
        </w:tc>
      </w:tr>
      <w:tr w14:paraId="23B0C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69722B5F">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31562368">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2644CF2">
            <w:pPr>
              <w:spacing w:before="156" w:beforeLines="50" w:line="220" w:lineRule="atLeast"/>
              <w:rPr>
                <w:rFonts w:hint="eastAsia" w:ascii="仿宋_GB2312" w:hAnsi="宋体" w:eastAsia="微软雅黑" w:cs="Times New Roman"/>
                <w:szCs w:val="21"/>
              </w:rPr>
            </w:pPr>
          </w:p>
          <w:p w14:paraId="79459CB2">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70DB63A6">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3023272A">
            <w:pPr>
              <w:adjustRightInd w:val="0"/>
              <w:snapToGrid w:val="0"/>
              <w:spacing w:before="156" w:beforeLines="50" w:after="200" w:line="220" w:lineRule="atLeast"/>
              <w:ind w:left="43"/>
              <w:rPr>
                <w:rFonts w:hint="eastAsia" w:ascii="仿宋_GB2312" w:hAnsi="宋体" w:eastAsia="仿宋_GB2312" w:cs="Times New Roman"/>
                <w:szCs w:val="21"/>
              </w:rPr>
            </w:pPr>
          </w:p>
        </w:tc>
      </w:tr>
      <w:tr w14:paraId="20546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7D2B5F46">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1783798A">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1DB7B0A8">
            <w:pPr>
              <w:spacing w:before="156" w:beforeLines="50" w:line="220" w:lineRule="atLeast"/>
              <w:rPr>
                <w:rFonts w:hint="eastAsia" w:ascii="仿宋_GB2312" w:hAnsi="宋体" w:eastAsia="微软雅黑" w:cs="Times New Roman"/>
                <w:szCs w:val="21"/>
              </w:rPr>
            </w:pPr>
          </w:p>
          <w:p w14:paraId="0183E6B9">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44457974">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060B7A9E">
            <w:pPr>
              <w:adjustRightInd w:val="0"/>
              <w:snapToGrid w:val="0"/>
              <w:spacing w:before="156" w:beforeLines="50" w:after="200" w:line="220" w:lineRule="atLeast"/>
              <w:ind w:left="43"/>
              <w:rPr>
                <w:rFonts w:hint="eastAsia" w:ascii="仿宋_GB2312" w:hAnsi="宋体" w:eastAsia="仿宋_GB2312" w:cs="Times New Roman"/>
                <w:szCs w:val="21"/>
              </w:rPr>
            </w:pPr>
          </w:p>
        </w:tc>
      </w:tr>
      <w:tr w14:paraId="0FDA0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3FBCD7B5">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7A3EB6D">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11DF03B9">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19929D24">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6FB87F20">
            <w:pPr>
              <w:adjustRightInd w:val="0"/>
              <w:snapToGrid w:val="0"/>
              <w:spacing w:before="156" w:beforeLines="50" w:after="200" w:line="220" w:lineRule="atLeast"/>
              <w:rPr>
                <w:rFonts w:hint="eastAsia" w:ascii="仿宋_GB2312" w:hAnsi="宋体" w:eastAsia="仿宋_GB2312" w:cs="Times New Roman"/>
                <w:sz w:val="24"/>
                <w:szCs w:val="20"/>
              </w:rPr>
            </w:pPr>
          </w:p>
        </w:tc>
      </w:tr>
      <w:tr w14:paraId="034B5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14C8D9F7">
            <w:pPr>
              <w:adjustRightInd w:val="0"/>
              <w:snapToGrid w:val="0"/>
              <w:spacing w:before="156" w:beforeLines="50" w:after="200" w:line="220" w:lineRule="atLeast"/>
              <w:jc w:val="right"/>
              <w:rPr>
                <w:rFonts w:hint="eastAsia" w:ascii="宋体" w:hAnsi="宋体"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505164AF">
            <w:pPr>
              <w:adjustRightInd w:val="0"/>
              <w:snapToGrid w:val="0"/>
              <w:spacing w:before="156" w:beforeLines="50" w:after="200" w:line="220" w:lineRule="atLeast"/>
              <w:jc w:val="left"/>
              <w:rPr>
                <w:rFonts w:hint="eastAsia" w:ascii="宋体" w:hAnsi="宋体" w:eastAsia="宋体" w:cs="Times New Roman"/>
                <w:szCs w:val="21"/>
              </w:rPr>
            </w:pPr>
            <w:r>
              <w:rPr>
                <w:rFonts w:hint="eastAsia" w:ascii="宋体" w:hAnsi="宋体" w:eastAsia="宋体" w:cs="Times New Roman"/>
                <w:szCs w:val="21"/>
              </w:rPr>
              <w:t>磋商响应货币</w:t>
            </w:r>
          </w:p>
        </w:tc>
        <w:tc>
          <w:tcPr>
            <w:tcW w:w="2693" w:type="dxa"/>
            <w:tcBorders>
              <w:top w:val="single" w:color="auto" w:sz="4" w:space="0"/>
              <w:left w:val="single" w:color="auto" w:sz="4" w:space="0"/>
              <w:bottom w:val="single" w:color="auto" w:sz="4" w:space="0"/>
              <w:right w:val="single" w:color="auto" w:sz="4" w:space="0"/>
            </w:tcBorders>
          </w:tcPr>
          <w:p w14:paraId="65897A72">
            <w:pPr>
              <w:spacing w:before="156" w:beforeLines="50" w:line="220" w:lineRule="atLeast"/>
              <w:rPr>
                <w:rFonts w:hint="eastAsia" w:ascii="仿宋_GB2312" w:hAnsi="宋体" w:eastAsia="仿宋_GB2312" w:cs="Times New Roman"/>
                <w:sz w:val="24"/>
                <w:szCs w:val="20"/>
              </w:rPr>
            </w:pPr>
          </w:p>
          <w:p w14:paraId="06F5B6DA">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74CCCA49">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2AC1B5D6">
            <w:pPr>
              <w:adjustRightInd w:val="0"/>
              <w:snapToGrid w:val="0"/>
              <w:spacing w:before="156" w:beforeLines="50" w:after="200" w:line="220" w:lineRule="atLeast"/>
              <w:rPr>
                <w:rFonts w:hint="eastAsia" w:ascii="仿宋_GB2312" w:hAnsi="宋体" w:eastAsia="仿宋_GB2312" w:cs="Times New Roman"/>
                <w:sz w:val="24"/>
                <w:szCs w:val="20"/>
              </w:rPr>
            </w:pPr>
          </w:p>
        </w:tc>
      </w:tr>
      <w:tr w14:paraId="06336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4D3860D7">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10D3D8C">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其他</w:t>
            </w:r>
          </w:p>
        </w:tc>
        <w:tc>
          <w:tcPr>
            <w:tcW w:w="2693" w:type="dxa"/>
            <w:tcBorders>
              <w:top w:val="single" w:color="auto" w:sz="4" w:space="0"/>
              <w:left w:val="single" w:color="auto" w:sz="4" w:space="0"/>
              <w:bottom w:val="single" w:color="auto" w:sz="4" w:space="0"/>
              <w:right w:val="single" w:color="auto" w:sz="4" w:space="0"/>
            </w:tcBorders>
          </w:tcPr>
          <w:p w14:paraId="3D414AB4">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4941BC6F">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21402537">
            <w:pPr>
              <w:adjustRightInd w:val="0"/>
              <w:snapToGrid w:val="0"/>
              <w:spacing w:before="156" w:beforeLines="50" w:after="200" w:line="220" w:lineRule="atLeast"/>
              <w:rPr>
                <w:rFonts w:hint="eastAsia" w:ascii="仿宋_GB2312" w:hAnsi="宋体" w:eastAsia="仿宋_GB2312" w:cs="Times New Roman"/>
                <w:szCs w:val="21"/>
              </w:rPr>
            </w:pPr>
          </w:p>
        </w:tc>
      </w:tr>
    </w:tbl>
    <w:p w14:paraId="7A14AEB3">
      <w:pPr>
        <w:rPr>
          <w:rFonts w:hint="eastAsia" w:ascii="宋体" w:hAnsi="宋体" w:eastAsia="宋体" w:cs="Times New Roman"/>
          <w:szCs w:val="21"/>
        </w:rPr>
      </w:pPr>
    </w:p>
    <w:p w14:paraId="36EA8434">
      <w:pPr>
        <w:rPr>
          <w:rFonts w:hint="eastAsia" w:ascii="宋体" w:hAnsi="宋体" w:eastAsia="宋体" w:cs="Times New Roman"/>
          <w:szCs w:val="21"/>
        </w:rPr>
      </w:pPr>
      <w:r>
        <w:rPr>
          <w:rFonts w:hint="eastAsia" w:ascii="宋体" w:hAnsi="宋体" w:eastAsia="宋体" w:cs="Times New Roman"/>
          <w:szCs w:val="21"/>
        </w:rPr>
        <w:t>法定代表人或授权代表签字：</w:t>
      </w:r>
    </w:p>
    <w:p w14:paraId="714052A0">
      <w:pPr>
        <w:jc w:val="right"/>
        <w:rPr>
          <w:rFonts w:hint="eastAsia" w:ascii="宋体" w:hAnsi="宋体" w:eastAsia="宋体" w:cs="Times New Roman"/>
          <w:szCs w:val="21"/>
        </w:rPr>
      </w:pPr>
    </w:p>
    <w:p w14:paraId="6A7F1BF2">
      <w:pPr>
        <w:jc w:val="right"/>
        <w:rPr>
          <w:rFonts w:hint="eastAsia" w:ascii="宋体" w:hAnsi="宋体" w:eastAsia="宋体" w:cs="Times New Roman"/>
          <w:szCs w:val="21"/>
        </w:rPr>
        <w:sectPr>
          <w:pgSz w:w="11906" w:h="16838"/>
          <w:pgMar w:top="1440" w:right="1800" w:bottom="1440" w:left="1800" w:header="1191" w:footer="992" w:gutter="0"/>
          <w:cols w:space="720" w:num="1"/>
          <w:docGrid w:type="lines" w:linePitch="312" w:charSpace="0"/>
        </w:sectPr>
      </w:pPr>
      <w:r>
        <w:rPr>
          <w:rFonts w:hint="eastAsia" w:ascii="宋体" w:hAnsi="宋体" w:eastAsia="宋体" w:cs="Times New Roman"/>
          <w:szCs w:val="21"/>
        </w:rPr>
        <w:t>日期：     年    月     日</w:t>
      </w:r>
    </w:p>
    <w:bookmarkEnd w:id="133"/>
    <w:bookmarkEnd w:id="134"/>
    <w:bookmarkEnd w:id="135"/>
    <w:bookmarkEnd w:id="136"/>
    <w:bookmarkEnd w:id="137"/>
    <w:bookmarkEnd w:id="138"/>
    <w:bookmarkEnd w:id="139"/>
    <w:bookmarkEnd w:id="140"/>
    <w:bookmarkEnd w:id="141"/>
    <w:bookmarkEnd w:id="142"/>
    <w:bookmarkEnd w:id="143"/>
    <w:p w14:paraId="1DB16BAC">
      <w:pPr>
        <w:jc w:val="center"/>
        <w:rPr>
          <w:rFonts w:hint="eastAsia" w:ascii="宋体" w:hAnsi="宋体" w:cs="宋体"/>
          <w:szCs w:val="21"/>
        </w:rPr>
      </w:pPr>
    </w:p>
    <w:p w14:paraId="30AAB1B9">
      <w:pPr>
        <w:rPr>
          <w:rFonts w:hint="eastAsia" w:ascii="宋体" w:hAnsi="宋体" w:cs="宋体"/>
          <w:b/>
          <w:szCs w:val="21"/>
        </w:rPr>
      </w:pPr>
    </w:p>
    <w:p w14:paraId="7974FDF9">
      <w:pPr>
        <w:spacing w:line="360" w:lineRule="auto"/>
        <w:ind w:left="420" w:leftChars="200" w:right="-2"/>
        <w:jc w:val="center"/>
        <w:rPr>
          <w:rFonts w:hint="eastAsia" w:ascii="宋体" w:hAnsi="宋体" w:cs="Times New Roman"/>
          <w:b/>
          <w:bCs/>
          <w:szCs w:val="21"/>
        </w:rPr>
      </w:pPr>
      <w:r>
        <w:rPr>
          <w:rFonts w:hint="eastAsia" w:ascii="宋体" w:hAnsi="宋体" w:cs="Times New Roman"/>
          <w:b/>
          <w:bCs/>
          <w:szCs w:val="21"/>
        </w:rPr>
        <w:t>八、其他</w:t>
      </w:r>
    </w:p>
    <w:p w14:paraId="6CBE6A21">
      <w:pPr>
        <w:pStyle w:val="107"/>
        <w:ind w:firstLine="0" w:firstLineChars="0"/>
        <w:jc w:val="center"/>
      </w:pPr>
      <w:r>
        <w:rPr>
          <w:rFonts w:hint="eastAsia"/>
          <w:szCs w:val="21"/>
        </w:rPr>
        <w:t>（磋商文件中要求提供的资料及投标供应商认为需要提供的资料）</w:t>
      </w:r>
    </w:p>
    <w:sectPr>
      <w:pgSz w:w="11906" w:h="16838"/>
      <w:pgMar w:top="1440" w:right="1247" w:bottom="1440" w:left="1247" w:header="119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9BBF7">
    <w:pPr>
      <w:pStyle w:val="27"/>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67F5905">
                          <w:pPr>
                            <w:pStyle w:val="2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067F5905">
                    <w:pPr>
                      <w:pStyle w:val="2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59F1">
    <w:pPr>
      <w:pStyle w:val="27"/>
      <w:tabs>
        <w:tab w:val="clear" w:pos="4153"/>
      </w:tabs>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AD5B">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84C5C23">
                          <w:pPr>
                            <w:pStyle w:val="27"/>
                            <w:rPr>
                              <w:rStyle w:val="44"/>
                            </w:rPr>
                          </w:pPr>
                          <w:r>
                            <w:fldChar w:fldCharType="begin"/>
                          </w:r>
                          <w:r>
                            <w:rPr>
                              <w:rStyle w:val="44"/>
                            </w:rPr>
                            <w:instrText xml:space="preserve">PAGE  </w:instrText>
                          </w:r>
                          <w:r>
                            <w:fldChar w:fldCharType="separate"/>
                          </w:r>
                          <w:r>
                            <w:rPr>
                              <w:rStyle w:val="44"/>
                            </w:rPr>
                            <w:t>40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v:fill on="f" focussize="0,0"/>
              <v:stroke on="f"/>
              <v:imagedata o:title=""/>
              <o:lock v:ext="edit" aspectratio="f"/>
              <v:textbox inset="0mm,0mm,0mm,0mm" style="mso-fit-shape-to-text:t;">
                <w:txbxContent>
                  <w:p w14:paraId="184C5C23">
                    <w:pPr>
                      <w:pStyle w:val="27"/>
                      <w:rPr>
                        <w:rStyle w:val="44"/>
                      </w:rPr>
                    </w:pPr>
                    <w:r>
                      <w:fldChar w:fldCharType="begin"/>
                    </w:r>
                    <w:r>
                      <w:rPr>
                        <w:rStyle w:val="44"/>
                      </w:rPr>
                      <w:instrText xml:space="preserve">PAGE  </w:instrText>
                    </w:r>
                    <w:r>
                      <w:fldChar w:fldCharType="separate"/>
                    </w:r>
                    <w:r>
                      <w:rPr>
                        <w:rStyle w:val="44"/>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8163">
    <w:pPr>
      <w:pStyle w:val="28"/>
      <w:pBdr>
        <w:bottom w:val="single" w:color="auto" w:sz="6" w:space="0"/>
      </w:pBdr>
      <w:ind w:firstLine="180" w:firstLineChars="100"/>
      <w:jc w:val="both"/>
      <w:rPr>
        <w:rFonts w:hint="eastAsia" w:ascii="宋体" w:hAnsi="宋体"/>
        <w:szCs w:val="21"/>
      </w:rPr>
    </w:pPr>
  </w:p>
  <w:p w14:paraId="49B103E0">
    <w:pPr>
      <w:pStyle w:val="28"/>
      <w:pBdr>
        <w:bottom w:val="single" w:color="auto" w:sz="6" w:space="0"/>
      </w:pBdr>
      <w:ind w:firstLine="180" w:firstLineChars="100"/>
      <w:jc w:val="both"/>
      <w:rPr>
        <w:rFonts w:hint="eastAsia" w:ascii="宋体" w:hAnsi="宋体"/>
        <w:szCs w:val="21"/>
      </w:rPr>
    </w:pPr>
  </w:p>
  <w:p w14:paraId="7BE7CFDF">
    <w:pPr>
      <w:pStyle w:val="28"/>
      <w:pBdr>
        <w:bottom w:val="single" w:color="auto" w:sz="6" w:space="0"/>
      </w:pBdr>
      <w:ind w:firstLine="180" w:firstLineChars="100"/>
      <w:jc w:val="both"/>
      <w:rPr>
        <w:rFonts w:hint="eastAsia" w:ascii="宋体" w:hAnsi="宋体"/>
        <w:szCs w:val="21"/>
      </w:rPr>
    </w:pPr>
    <w:r>
      <w:rPr>
        <w:rFonts w:hint="eastAsia" w:ascii="宋体" w:hAnsi="宋体"/>
        <w:szCs w:val="21"/>
      </w:rPr>
      <w:t xml:space="preserve">  </w:t>
    </w:r>
  </w:p>
  <w:p w14:paraId="61105E1A">
    <w:pPr>
      <w:pStyle w:val="28"/>
      <w:pBdr>
        <w:bottom w:val="single" w:color="auto" w:sz="6" w:space="0"/>
      </w:pBdr>
      <w:ind w:firstLine="180" w:firstLineChars="100"/>
      <w:jc w:val="both"/>
      <w:rPr>
        <w:rFonts w:hint="eastAsia" w:ascii="宋体" w:hAnsi="宋体"/>
        <w:szCs w:val="21"/>
      </w:rPr>
    </w:pPr>
    <w:r>
      <w:rPr>
        <w:rFonts w:hint="eastAsia" w:ascii="宋体" w:hAnsi="宋体"/>
        <w:szCs w:val="21"/>
        <w:lang w:eastAsia="zh-CN"/>
      </w:rPr>
      <w:t>TDCG2025052</w:t>
    </w:r>
    <w:r>
      <w:rPr>
        <w:rFonts w:hint="eastAsia" w:ascii="宋体" w:hAnsi="宋体"/>
        <w:szCs w:val="21"/>
      </w:rPr>
      <w:t xml:space="preserve">                                                                 </w:t>
    </w:r>
    <w:r>
      <w:rPr>
        <w:rFonts w:hint="eastAsia" w:ascii="宋体" w:hAnsi="宋体" w:cs="宋体"/>
        <w:color w:val="333333"/>
        <w:kern w:val="0"/>
        <w:sz w:val="15"/>
        <w:szCs w:val="15"/>
        <w:lang w:val="en"/>
      </w:rPr>
      <w:t>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06FC">
    <w:pPr>
      <w:pStyle w:val="28"/>
      <w:jc w:val="left"/>
    </w:pPr>
    <w:r>
      <w:rPr>
        <w:rFonts w:hint="eastAsia" w:ascii="宋体" w:hAnsi="宋体"/>
        <w:szCs w:val="21"/>
        <w:lang w:eastAsia="zh-CN"/>
      </w:rPr>
      <w:t>TDCG2025052</w:t>
    </w:r>
    <w:r>
      <w:rPr>
        <w:rFonts w:hint="eastAsia" w:ascii="宋体" w:hAnsi="宋体"/>
        <w:szCs w:val="21"/>
      </w:rPr>
      <w:t xml:space="preserve">                                                              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9C2D">
    <w:pPr>
      <w:pStyle w:val="28"/>
      <w:tabs>
        <w:tab w:val="left" w:pos="3565"/>
        <w:tab w:val="clear" w:pos="4153"/>
        <w:tab w:val="clear" w:pos="8306"/>
      </w:tabs>
      <w:jc w:val="both"/>
      <w:rPr>
        <w:color w:val="000000"/>
      </w:rPr>
    </w:pPr>
    <w:r>
      <w:rPr>
        <w:rFonts w:hint="eastAsia" w:ascii="宋体" w:hAnsi="宋体"/>
        <w:szCs w:val="21"/>
        <w:lang w:eastAsia="zh-CN"/>
      </w:rPr>
      <w:t>TDCG2025052</w:t>
    </w:r>
    <w:r>
      <w:rPr>
        <w:rFonts w:hint="eastAsia" w:ascii="宋体" w:hAnsi="宋体"/>
        <w:szCs w:val="21"/>
      </w:rPr>
      <w:t xml:space="preserve">    </w:t>
    </w:r>
    <w:r>
      <w:rPr>
        <w:rFonts w:hint="eastAsia"/>
      </w:rPr>
      <w:t xml:space="preserve">                                           </w:t>
    </w:r>
    <w:r>
      <w:rPr>
        <w:rFonts w:hint="eastAsia"/>
        <w:lang w:val="en-US" w:eastAsia="zh-CN"/>
      </w:rPr>
      <w:t xml:space="preserve">          </w:t>
    </w:r>
    <w:r>
      <w:rPr>
        <w:rFonts w:hint="eastAsia" w:ascii="宋体" w:hAnsi="宋体"/>
        <w:szCs w:val="21"/>
      </w:rPr>
      <w:t>江苏唯诚建设咨询有限公司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8"/>
      <w:lvlText w:val=""/>
      <w:lvlJc w:val="left"/>
      <w:pPr>
        <w:tabs>
          <w:tab w:val="left" w:pos="780"/>
        </w:tabs>
        <w:ind w:left="780" w:leftChars="200" w:hanging="360" w:hangingChars="200"/>
      </w:pPr>
      <w:rPr>
        <w:rFonts w:hint="default" w:ascii="Wingdings" w:hAnsi="Wingdings"/>
      </w:r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pPr>
      <w:rPr>
        <w:rFonts w:hint="eastAsia"/>
      </w:rPr>
    </w:lvl>
  </w:abstractNum>
  <w:abstractNum w:abstractNumId="2">
    <w:nsid w:val="237E4D61"/>
    <w:multiLevelType w:val="multilevel"/>
    <w:tmpl w:val="237E4D61"/>
    <w:lvl w:ilvl="0" w:tentative="0">
      <w:start w:val="1"/>
      <w:numFmt w:val="japaneseCounting"/>
      <w:pStyle w:val="87"/>
      <w:lvlText w:val="第%1章"/>
      <w:lvlJc w:val="left"/>
      <w:pPr>
        <w:ind w:left="9351" w:hanging="420"/>
      </w:pPr>
      <w:rPr>
        <w:rFonts w:hint="eastAsia" w:ascii="黑体" w:eastAsia="黑体"/>
        <w:b w:val="0"/>
        <w:sz w:val="36"/>
        <w:lang w:val="en-US"/>
      </w:rPr>
    </w:lvl>
    <w:lvl w:ilvl="1" w:tentative="0">
      <w:start w:val="1"/>
      <w:numFmt w:val="decimal"/>
      <w:pStyle w:val="88"/>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6"/>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3"/>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338F4DE1"/>
    <w:multiLevelType w:val="singleLevel"/>
    <w:tmpl w:val="338F4DE1"/>
    <w:lvl w:ilvl="0" w:tentative="0">
      <w:start w:val="4"/>
      <w:numFmt w:val="chineseCounting"/>
      <w:suff w:val="space"/>
      <w:lvlText w:val="第%1章"/>
      <w:lvlJc w:val="left"/>
      <w:rPr>
        <w:rFonts w:hint="eastAsia"/>
      </w:rPr>
    </w:lvl>
  </w:abstractNum>
  <w:abstractNum w:abstractNumId="4">
    <w:nsid w:val="3F647FB0"/>
    <w:multiLevelType w:val="singleLevel"/>
    <w:tmpl w:val="3F647FB0"/>
    <w:lvl w:ilvl="0" w:tentative="0">
      <w:start w:val="9"/>
      <w:numFmt w:val="chineseCounting"/>
      <w:suff w:val="nothing"/>
      <w:lvlText w:val="%1、"/>
      <w:lvlJc w:val="left"/>
      <w:rPr>
        <w:rFonts w:hint="eastAsia"/>
      </w:rPr>
    </w:lvl>
  </w:abstractNum>
  <w:abstractNum w:abstractNumId="5">
    <w:nsid w:val="466B8673"/>
    <w:multiLevelType w:val="singleLevel"/>
    <w:tmpl w:val="466B8673"/>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mM4ODZmY2YwZTU2MDljY2NhZGFiMjZmZDk1ZTcifQ=="/>
  </w:docVars>
  <w:rsids>
    <w:rsidRoot w:val="00EF7728"/>
    <w:rsid w:val="00044055"/>
    <w:rsid w:val="000460FF"/>
    <w:rsid w:val="000953A1"/>
    <w:rsid w:val="000E3DEA"/>
    <w:rsid w:val="00177CA8"/>
    <w:rsid w:val="001E3AFE"/>
    <w:rsid w:val="002A6B23"/>
    <w:rsid w:val="002E1CAB"/>
    <w:rsid w:val="002F5550"/>
    <w:rsid w:val="003168C9"/>
    <w:rsid w:val="003503FC"/>
    <w:rsid w:val="00384757"/>
    <w:rsid w:val="003967CA"/>
    <w:rsid w:val="003C4CC4"/>
    <w:rsid w:val="003E4CFE"/>
    <w:rsid w:val="00460C9A"/>
    <w:rsid w:val="00476B93"/>
    <w:rsid w:val="004A1757"/>
    <w:rsid w:val="004D025B"/>
    <w:rsid w:val="00581487"/>
    <w:rsid w:val="00596E58"/>
    <w:rsid w:val="005B227B"/>
    <w:rsid w:val="005C611E"/>
    <w:rsid w:val="005E5E27"/>
    <w:rsid w:val="005F62EA"/>
    <w:rsid w:val="00651602"/>
    <w:rsid w:val="00661709"/>
    <w:rsid w:val="006A1E9C"/>
    <w:rsid w:val="0091024D"/>
    <w:rsid w:val="00933A48"/>
    <w:rsid w:val="009434F3"/>
    <w:rsid w:val="00994A05"/>
    <w:rsid w:val="009F7F0D"/>
    <w:rsid w:val="00A20DCB"/>
    <w:rsid w:val="00B3364B"/>
    <w:rsid w:val="00B46575"/>
    <w:rsid w:val="00B67A13"/>
    <w:rsid w:val="00BC2E37"/>
    <w:rsid w:val="00C24817"/>
    <w:rsid w:val="00C61120"/>
    <w:rsid w:val="00D655BB"/>
    <w:rsid w:val="00D815A4"/>
    <w:rsid w:val="00E322B5"/>
    <w:rsid w:val="00E8620D"/>
    <w:rsid w:val="00EE1A3C"/>
    <w:rsid w:val="00EF7728"/>
    <w:rsid w:val="00F12440"/>
    <w:rsid w:val="00F141E1"/>
    <w:rsid w:val="00FD3183"/>
    <w:rsid w:val="014020B7"/>
    <w:rsid w:val="05365415"/>
    <w:rsid w:val="0594441E"/>
    <w:rsid w:val="06681449"/>
    <w:rsid w:val="08E250C3"/>
    <w:rsid w:val="0B512FB6"/>
    <w:rsid w:val="0B564379"/>
    <w:rsid w:val="0EFC1528"/>
    <w:rsid w:val="10B53BB0"/>
    <w:rsid w:val="10F1296D"/>
    <w:rsid w:val="119B4F5D"/>
    <w:rsid w:val="14326B2F"/>
    <w:rsid w:val="15A8458C"/>
    <w:rsid w:val="15AC5140"/>
    <w:rsid w:val="16562D64"/>
    <w:rsid w:val="1A65781B"/>
    <w:rsid w:val="1BCA4DEA"/>
    <w:rsid w:val="213B7E78"/>
    <w:rsid w:val="27590D8A"/>
    <w:rsid w:val="27710308"/>
    <w:rsid w:val="30253F00"/>
    <w:rsid w:val="31C36CB2"/>
    <w:rsid w:val="322D7E22"/>
    <w:rsid w:val="341C2D24"/>
    <w:rsid w:val="35460AC5"/>
    <w:rsid w:val="36D44917"/>
    <w:rsid w:val="377B0670"/>
    <w:rsid w:val="3AA02591"/>
    <w:rsid w:val="3B5B5607"/>
    <w:rsid w:val="3D6A321F"/>
    <w:rsid w:val="3E3C4C75"/>
    <w:rsid w:val="3E9543CC"/>
    <w:rsid w:val="3F817694"/>
    <w:rsid w:val="3F8F7188"/>
    <w:rsid w:val="411F39C6"/>
    <w:rsid w:val="413955EE"/>
    <w:rsid w:val="467E5DB6"/>
    <w:rsid w:val="46865814"/>
    <w:rsid w:val="4849595A"/>
    <w:rsid w:val="4B665175"/>
    <w:rsid w:val="4D9E03BC"/>
    <w:rsid w:val="4DB05488"/>
    <w:rsid w:val="4DD52C7D"/>
    <w:rsid w:val="4E0E6C08"/>
    <w:rsid w:val="502B0EA1"/>
    <w:rsid w:val="516A26A0"/>
    <w:rsid w:val="55F976E6"/>
    <w:rsid w:val="5A1A6AFF"/>
    <w:rsid w:val="5BFB1B82"/>
    <w:rsid w:val="5C527136"/>
    <w:rsid w:val="5EA12D8F"/>
    <w:rsid w:val="60A27BAC"/>
    <w:rsid w:val="62B4363B"/>
    <w:rsid w:val="64D755F1"/>
    <w:rsid w:val="662762F1"/>
    <w:rsid w:val="68710088"/>
    <w:rsid w:val="68716D41"/>
    <w:rsid w:val="689F0EDE"/>
    <w:rsid w:val="69187AAF"/>
    <w:rsid w:val="6D85338E"/>
    <w:rsid w:val="6FB62DFB"/>
    <w:rsid w:val="6FC80719"/>
    <w:rsid w:val="70CD3F40"/>
    <w:rsid w:val="70FD615C"/>
    <w:rsid w:val="73441F01"/>
    <w:rsid w:val="743261FE"/>
    <w:rsid w:val="74F02341"/>
    <w:rsid w:val="75EE6A2E"/>
    <w:rsid w:val="769D5641"/>
    <w:rsid w:val="78956C26"/>
    <w:rsid w:val="7DB75610"/>
    <w:rsid w:val="7E4B05E8"/>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2"/>
    <w:autoRedefine/>
    <w:qFormat/>
    <w:uiPriority w:val="0"/>
    <w:pPr>
      <w:keepNext/>
      <w:outlineLvl w:val="0"/>
    </w:pPr>
    <w:rPr>
      <w:rFonts w:ascii="楷体_GB2312" w:hAnsi="Times New Roman" w:eastAsia="楷体_GB2312" w:cs="Times New Roman"/>
      <w:sz w:val="28"/>
      <w:szCs w:val="20"/>
    </w:rPr>
  </w:style>
  <w:style w:type="paragraph" w:styleId="4">
    <w:name w:val="heading 2"/>
    <w:basedOn w:val="1"/>
    <w:next w:val="1"/>
    <w:link w:val="53"/>
    <w:autoRedefine/>
    <w:qFormat/>
    <w:uiPriority w:val="0"/>
    <w:pPr>
      <w:keepNext/>
      <w:keepLines/>
      <w:spacing w:before="260" w:after="260" w:line="416" w:lineRule="auto"/>
      <w:jc w:val="center"/>
      <w:outlineLvl w:val="1"/>
    </w:pPr>
    <w:rPr>
      <w:rFonts w:ascii="Arial" w:hAnsi="Arial" w:eastAsia="幼圆" w:cs="Times New Roman"/>
      <w:b/>
      <w:sz w:val="44"/>
      <w:szCs w:val="20"/>
    </w:rPr>
  </w:style>
  <w:style w:type="paragraph" w:styleId="5">
    <w:name w:val="heading 3"/>
    <w:basedOn w:val="1"/>
    <w:next w:val="1"/>
    <w:link w:val="54"/>
    <w:autoRedefine/>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55"/>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56"/>
    <w:autoRedefine/>
    <w:qFormat/>
    <w:uiPriority w:val="0"/>
    <w:pPr>
      <w:keepNext/>
      <w:outlineLvl w:val="4"/>
    </w:pPr>
    <w:rPr>
      <w:rFonts w:ascii="宋体" w:hAnsi="宋体" w:eastAsia="宋体" w:cs="Times New Roman"/>
      <w:b/>
      <w:bCs/>
      <w:szCs w:val="24"/>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rPr>
      <w:rFonts w:ascii="Times New Roman" w:hAnsi="Times New Roman" w:eastAsia="宋体" w:cs="Times New Roman"/>
      <w:lang w:val="en-US" w:eastAsia="zh-CN" w:bidi="ar-SA"/>
    </w:rPr>
  </w:style>
  <w:style w:type="paragraph" w:styleId="8">
    <w:name w:val="toc 7"/>
    <w:basedOn w:val="1"/>
    <w:next w:val="1"/>
    <w:autoRedefine/>
    <w:semiHidden/>
    <w:qFormat/>
    <w:uiPriority w:val="0"/>
    <w:pPr>
      <w:ind w:left="2520" w:leftChars="1200"/>
    </w:pPr>
    <w:rPr>
      <w:rFonts w:ascii="Times New Roman" w:hAnsi="Times New Roman" w:eastAsia="宋体" w:cs="Times New Roman"/>
      <w:szCs w:val="24"/>
    </w:rPr>
  </w:style>
  <w:style w:type="paragraph" w:styleId="9">
    <w:name w:val="table of authorities"/>
    <w:basedOn w:val="1"/>
    <w:next w:val="1"/>
    <w:autoRedefine/>
    <w:qFormat/>
    <w:uiPriority w:val="0"/>
    <w:pPr>
      <w:spacing w:line="360" w:lineRule="auto"/>
      <w:ind w:left="420" w:leftChars="200" w:firstLine="200" w:firstLineChars="200"/>
    </w:pPr>
    <w:rPr>
      <w:rFonts w:ascii="Times New Roman" w:hAnsi="Times New Roman" w:eastAsia="宋体" w:cs="Times New Roman"/>
      <w:sz w:val="24"/>
      <w:szCs w:val="24"/>
    </w:rPr>
  </w:style>
  <w:style w:type="paragraph" w:styleId="10">
    <w:name w:val="Normal Indent"/>
    <w:basedOn w:val="1"/>
    <w:link w:val="58"/>
    <w:autoRedefine/>
    <w:qFormat/>
    <w:uiPriority w:val="0"/>
    <w:pPr>
      <w:ind w:firstLine="420"/>
    </w:pPr>
    <w:rPr>
      <w:rFonts w:ascii="Times New Roman" w:hAnsi="Times New Roman" w:eastAsia="宋体" w:cs="Times New Roman"/>
      <w:szCs w:val="20"/>
    </w:rPr>
  </w:style>
  <w:style w:type="paragraph" w:styleId="11">
    <w:name w:val="Document Map"/>
    <w:basedOn w:val="1"/>
    <w:link w:val="59"/>
    <w:autoRedefine/>
    <w:semiHidden/>
    <w:qFormat/>
    <w:uiPriority w:val="0"/>
    <w:pPr>
      <w:shd w:val="clear" w:color="auto" w:fill="000080"/>
    </w:pPr>
    <w:rPr>
      <w:rFonts w:ascii="Times New Roman" w:hAnsi="Times New Roman" w:eastAsia="宋体" w:cs="Times New Roman"/>
      <w:szCs w:val="24"/>
    </w:rPr>
  </w:style>
  <w:style w:type="paragraph" w:styleId="12">
    <w:name w:val="annotation text"/>
    <w:basedOn w:val="1"/>
    <w:link w:val="60"/>
    <w:autoRedefine/>
    <w:qFormat/>
    <w:uiPriority w:val="0"/>
    <w:pPr>
      <w:jc w:val="left"/>
    </w:pPr>
    <w:rPr>
      <w:rFonts w:ascii="Times New Roman" w:hAnsi="Times New Roman" w:eastAsia="宋体" w:cs="Times New Roman"/>
      <w:szCs w:val="24"/>
    </w:rPr>
  </w:style>
  <w:style w:type="paragraph" w:styleId="13">
    <w:name w:val="Body Text 3"/>
    <w:basedOn w:val="1"/>
    <w:link w:val="61"/>
    <w:autoRedefine/>
    <w:qFormat/>
    <w:uiPriority w:val="0"/>
    <w:rPr>
      <w:rFonts w:ascii="仿宋_GB2312" w:hAnsi="Arial" w:eastAsia="仿宋_GB2312" w:cs="Times New Roman"/>
      <w:sz w:val="32"/>
      <w:szCs w:val="20"/>
    </w:rPr>
  </w:style>
  <w:style w:type="paragraph" w:styleId="14">
    <w:name w:val="Body Text"/>
    <w:basedOn w:val="1"/>
    <w:next w:val="15"/>
    <w:link w:val="62"/>
    <w:autoRedefine/>
    <w:qFormat/>
    <w:uiPriority w:val="0"/>
    <w:rPr>
      <w:rFonts w:ascii="楷体_GB2312" w:hAnsi="Arial" w:eastAsia="楷体_GB2312" w:cs="Times New Roman"/>
      <w:sz w:val="28"/>
      <w:szCs w:val="20"/>
    </w:rPr>
  </w:style>
  <w:style w:type="paragraph" w:styleId="15">
    <w:name w:val="Body Text 2"/>
    <w:basedOn w:val="1"/>
    <w:link w:val="68"/>
    <w:autoRedefine/>
    <w:qFormat/>
    <w:uiPriority w:val="0"/>
    <w:pPr>
      <w:jc w:val="center"/>
    </w:pPr>
    <w:rPr>
      <w:rFonts w:ascii="仿宋_GB2312" w:hAnsi="Times New Roman" w:eastAsia="仿宋_GB2312" w:cs="Times New Roman"/>
      <w:sz w:val="44"/>
      <w:szCs w:val="24"/>
    </w:rPr>
  </w:style>
  <w:style w:type="paragraph" w:styleId="16">
    <w:name w:val="Body Text Indent"/>
    <w:basedOn w:val="1"/>
    <w:next w:val="1"/>
    <w:link w:val="57"/>
    <w:autoRedefine/>
    <w:qFormat/>
    <w:uiPriority w:val="0"/>
    <w:pPr>
      <w:ind w:firstLine="645"/>
    </w:pPr>
    <w:rPr>
      <w:rFonts w:ascii="楷体_GB2312" w:hAnsi="Times New Roman" w:eastAsia="楷体_GB2312" w:cs="Times New Roman"/>
      <w:sz w:val="32"/>
      <w:szCs w:val="20"/>
    </w:rPr>
  </w:style>
  <w:style w:type="paragraph" w:styleId="17">
    <w:name w:val="Block Text"/>
    <w:basedOn w:val="1"/>
    <w:autoRedefine/>
    <w:qFormat/>
    <w:uiPriority w:val="99"/>
    <w:pPr>
      <w:spacing w:after="120"/>
      <w:ind w:left="1440" w:leftChars="700" w:right="1440" w:rightChars="700"/>
    </w:pPr>
  </w:style>
  <w:style w:type="paragraph" w:styleId="18">
    <w:name w:val="List Bullet 2"/>
    <w:basedOn w:val="1"/>
    <w:autoRedefine/>
    <w:qFormat/>
    <w:uiPriority w:val="0"/>
    <w:pPr>
      <w:numPr>
        <w:ilvl w:val="0"/>
        <w:numId w:val="1"/>
      </w:numPr>
      <w:ind w:left="0" w:leftChars="0" w:firstLine="0" w:firstLineChars="0"/>
    </w:pPr>
    <w:rPr>
      <w:rFonts w:ascii="Times New Roman" w:hAnsi="Times New Roman" w:eastAsia="宋体" w:cs="Times New Roman"/>
      <w:szCs w:val="24"/>
    </w:rPr>
  </w:style>
  <w:style w:type="paragraph" w:styleId="19">
    <w:name w:val="index 4"/>
    <w:basedOn w:val="1"/>
    <w:next w:val="1"/>
    <w:autoRedefine/>
    <w:unhideWhenUsed/>
    <w:qFormat/>
    <w:uiPriority w:val="99"/>
    <w:pPr>
      <w:ind w:left="600" w:leftChars="600"/>
    </w:pPr>
  </w:style>
  <w:style w:type="paragraph" w:styleId="20">
    <w:name w:val="toc 5"/>
    <w:basedOn w:val="1"/>
    <w:next w:val="1"/>
    <w:autoRedefine/>
    <w:semiHidden/>
    <w:qFormat/>
    <w:uiPriority w:val="0"/>
    <w:pPr>
      <w:ind w:left="1680" w:leftChars="800"/>
    </w:pPr>
    <w:rPr>
      <w:rFonts w:ascii="Times New Roman" w:hAnsi="Times New Roman" w:eastAsia="宋体" w:cs="Times New Roman"/>
      <w:szCs w:val="24"/>
    </w:rPr>
  </w:style>
  <w:style w:type="paragraph" w:styleId="21">
    <w:name w:val="toc 3"/>
    <w:basedOn w:val="1"/>
    <w:next w:val="1"/>
    <w:autoRedefine/>
    <w:semiHidden/>
    <w:qFormat/>
    <w:uiPriority w:val="0"/>
    <w:pPr>
      <w:tabs>
        <w:tab w:val="right" w:leader="dot" w:pos="9440"/>
      </w:tabs>
      <w:spacing w:line="240" w:lineRule="exact"/>
      <w:ind w:left="539"/>
      <w:jc w:val="left"/>
    </w:pPr>
    <w:rPr>
      <w:rFonts w:ascii="黑体" w:hAnsi="宋体" w:eastAsia="黑体" w:cs="Times New Roman"/>
      <w:bCs/>
      <w:iCs/>
      <w:sz w:val="18"/>
      <w:szCs w:val="32"/>
    </w:rPr>
  </w:style>
  <w:style w:type="paragraph" w:styleId="22">
    <w:name w:val="Plain Text"/>
    <w:basedOn w:val="1"/>
    <w:link w:val="63"/>
    <w:autoRedefine/>
    <w:qFormat/>
    <w:uiPriority w:val="0"/>
    <w:rPr>
      <w:rFonts w:hint="eastAsia" w:ascii="宋体" w:hAnsi="Courier New" w:eastAsia="宋体" w:cs="Times New Roman"/>
      <w:szCs w:val="20"/>
    </w:rPr>
  </w:style>
  <w:style w:type="paragraph" w:styleId="23">
    <w:name w:val="toc 8"/>
    <w:basedOn w:val="1"/>
    <w:next w:val="1"/>
    <w:autoRedefine/>
    <w:semiHidden/>
    <w:qFormat/>
    <w:uiPriority w:val="0"/>
    <w:pPr>
      <w:ind w:left="2940" w:leftChars="1400"/>
    </w:pPr>
    <w:rPr>
      <w:rFonts w:ascii="Times New Roman" w:hAnsi="Times New Roman" w:eastAsia="宋体" w:cs="Times New Roman"/>
      <w:szCs w:val="24"/>
    </w:rPr>
  </w:style>
  <w:style w:type="paragraph" w:styleId="24">
    <w:name w:val="Date"/>
    <w:basedOn w:val="1"/>
    <w:next w:val="1"/>
    <w:link w:val="64"/>
    <w:autoRedefine/>
    <w:qFormat/>
    <w:uiPriority w:val="0"/>
    <w:rPr>
      <w:rFonts w:ascii="Times New Roman" w:hAnsi="Times New Roman" w:eastAsia="宋体" w:cs="Times New Roman"/>
      <w:sz w:val="24"/>
      <w:szCs w:val="20"/>
    </w:rPr>
  </w:style>
  <w:style w:type="paragraph" w:styleId="25">
    <w:name w:val="Body Text Indent 2"/>
    <w:basedOn w:val="1"/>
    <w:link w:val="65"/>
    <w:autoRedefine/>
    <w:qFormat/>
    <w:uiPriority w:val="0"/>
    <w:pPr>
      <w:ind w:firstLine="560" w:firstLineChars="200"/>
    </w:pPr>
    <w:rPr>
      <w:rFonts w:ascii="宋体" w:hAnsi="宋体" w:eastAsia="宋体" w:cs="Times New Roman"/>
      <w:sz w:val="28"/>
      <w:szCs w:val="24"/>
    </w:rPr>
  </w:style>
  <w:style w:type="paragraph" w:styleId="26">
    <w:name w:val="Balloon Text"/>
    <w:basedOn w:val="1"/>
    <w:link w:val="66"/>
    <w:autoRedefine/>
    <w:semiHidden/>
    <w:qFormat/>
    <w:uiPriority w:val="0"/>
    <w:rPr>
      <w:rFonts w:ascii="Times New Roman" w:hAnsi="Times New Roman" w:eastAsia="宋体" w:cs="Times New Roman"/>
      <w:sz w:val="18"/>
      <w:szCs w:val="18"/>
    </w:rPr>
  </w:style>
  <w:style w:type="paragraph" w:styleId="27">
    <w:name w:val="footer"/>
    <w:basedOn w:val="1"/>
    <w:link w:val="51"/>
    <w:autoRedefine/>
    <w:unhideWhenUsed/>
    <w:qFormat/>
    <w:uiPriority w:val="99"/>
    <w:pPr>
      <w:tabs>
        <w:tab w:val="center" w:pos="4153"/>
        <w:tab w:val="right" w:pos="8306"/>
      </w:tabs>
      <w:snapToGrid w:val="0"/>
      <w:jc w:val="left"/>
    </w:pPr>
    <w:rPr>
      <w:sz w:val="18"/>
      <w:szCs w:val="18"/>
    </w:rPr>
  </w:style>
  <w:style w:type="paragraph" w:styleId="28">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tabs>
        <w:tab w:val="right" w:leader="dot" w:pos="9440"/>
      </w:tabs>
      <w:spacing w:before="120" w:after="120" w:line="300" w:lineRule="exact"/>
      <w:jc w:val="left"/>
    </w:pPr>
    <w:rPr>
      <w:rFonts w:ascii="黑体" w:hAnsi="Times New Roman" w:eastAsia="黑体" w:cs="Times New Roman"/>
      <w:b/>
      <w:caps/>
      <w:sz w:val="18"/>
      <w:szCs w:val="28"/>
    </w:rPr>
  </w:style>
  <w:style w:type="paragraph" w:styleId="30">
    <w:name w:val="toc 4"/>
    <w:basedOn w:val="1"/>
    <w:next w:val="1"/>
    <w:autoRedefine/>
    <w:semiHidden/>
    <w:qFormat/>
    <w:uiPriority w:val="0"/>
    <w:pPr>
      <w:ind w:left="1260" w:leftChars="600"/>
    </w:pPr>
    <w:rPr>
      <w:rFonts w:ascii="Times New Roman" w:hAnsi="Times New Roman" w:eastAsia="宋体" w:cs="Times New Roman"/>
      <w:szCs w:val="24"/>
    </w:rPr>
  </w:style>
  <w:style w:type="paragraph" w:styleId="31">
    <w:name w:val="toc 6"/>
    <w:basedOn w:val="1"/>
    <w:next w:val="1"/>
    <w:autoRedefine/>
    <w:semiHidden/>
    <w:qFormat/>
    <w:uiPriority w:val="0"/>
    <w:pPr>
      <w:ind w:left="2100" w:leftChars="1000"/>
    </w:pPr>
    <w:rPr>
      <w:rFonts w:ascii="Times New Roman" w:hAnsi="Times New Roman" w:eastAsia="宋体" w:cs="Times New Roman"/>
      <w:szCs w:val="24"/>
    </w:rPr>
  </w:style>
  <w:style w:type="paragraph" w:styleId="32">
    <w:name w:val="Body Text Indent 3"/>
    <w:basedOn w:val="1"/>
    <w:link w:val="67"/>
    <w:autoRedefine/>
    <w:qFormat/>
    <w:uiPriority w:val="0"/>
    <w:pPr>
      <w:ind w:firstLine="523"/>
    </w:pPr>
    <w:rPr>
      <w:rFonts w:ascii="仿宋_GB2312" w:hAnsi="宋体" w:eastAsia="仿宋_GB2312" w:cs="Times New Roman"/>
      <w:sz w:val="24"/>
      <w:szCs w:val="24"/>
    </w:rPr>
  </w:style>
  <w:style w:type="paragraph" w:styleId="33">
    <w:name w:val="toc 2"/>
    <w:basedOn w:val="1"/>
    <w:next w:val="1"/>
    <w:autoRedefine/>
    <w:semiHidden/>
    <w:qFormat/>
    <w:uiPriority w:val="0"/>
    <w:pPr>
      <w:tabs>
        <w:tab w:val="right" w:leader="dot" w:pos="9440"/>
      </w:tabs>
      <w:spacing w:line="260" w:lineRule="exact"/>
      <w:jc w:val="left"/>
    </w:pPr>
    <w:rPr>
      <w:rFonts w:ascii="黑体" w:hAnsi="Times New Roman" w:eastAsia="黑体" w:cs="Times New Roman"/>
      <w:b/>
      <w:bCs/>
      <w:smallCaps/>
      <w:sz w:val="18"/>
      <w:szCs w:val="44"/>
    </w:rPr>
  </w:style>
  <w:style w:type="paragraph" w:styleId="34">
    <w:name w:val="toc 9"/>
    <w:basedOn w:val="1"/>
    <w:next w:val="1"/>
    <w:autoRedefine/>
    <w:semiHidden/>
    <w:qFormat/>
    <w:uiPriority w:val="0"/>
    <w:pPr>
      <w:ind w:left="3360" w:leftChars="1600"/>
    </w:pPr>
    <w:rPr>
      <w:rFonts w:ascii="Times New Roman" w:hAnsi="Times New Roman" w:eastAsia="宋体" w:cs="Times New Roman"/>
      <w:szCs w:val="24"/>
    </w:rPr>
  </w:style>
  <w:style w:type="paragraph" w:styleId="35">
    <w:name w:val="HTML Preformatted"/>
    <w:basedOn w:val="1"/>
    <w:link w:val="6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autoRedefine/>
    <w:semiHidden/>
    <w:qFormat/>
    <w:uiPriority w:val="0"/>
    <w:rPr>
      <w:rFonts w:ascii="宋体" w:hAnsi="宋体" w:eastAsia="宋体" w:cs="Times New Roman"/>
      <w:szCs w:val="18"/>
    </w:rPr>
  </w:style>
  <w:style w:type="paragraph" w:styleId="38">
    <w:name w:val="annotation subject"/>
    <w:basedOn w:val="12"/>
    <w:next w:val="12"/>
    <w:link w:val="70"/>
    <w:autoRedefine/>
    <w:qFormat/>
    <w:uiPriority w:val="0"/>
    <w:rPr>
      <w:b/>
      <w:bCs/>
    </w:rPr>
  </w:style>
  <w:style w:type="paragraph" w:styleId="39">
    <w:name w:val="Body Text First Indent 2"/>
    <w:basedOn w:val="16"/>
    <w:link w:val="71"/>
    <w:autoRedefine/>
    <w:qFormat/>
    <w:uiPriority w:val="0"/>
    <w:pPr>
      <w:ind w:firstLine="420"/>
    </w:pPr>
  </w:style>
  <w:style w:type="table" w:styleId="41">
    <w:name w:val="Table Grid"/>
    <w:basedOn w:val="40"/>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page number"/>
    <w:autoRedefine/>
    <w:qFormat/>
    <w:uiPriority w:val="0"/>
  </w:style>
  <w:style w:type="character" w:styleId="45">
    <w:name w:val="FollowedHyperlink"/>
    <w:autoRedefine/>
    <w:qFormat/>
    <w:uiPriority w:val="0"/>
    <w:rPr>
      <w:color w:val="800080"/>
      <w:u w:val="single"/>
    </w:rPr>
  </w:style>
  <w:style w:type="character" w:styleId="46">
    <w:name w:val="Emphasis"/>
    <w:autoRedefine/>
    <w:qFormat/>
    <w:uiPriority w:val="0"/>
    <w:rPr>
      <w:i/>
    </w:rPr>
  </w:style>
  <w:style w:type="character" w:styleId="47">
    <w:name w:val="Hyperlink"/>
    <w:autoRedefine/>
    <w:qFormat/>
    <w:uiPriority w:val="0"/>
    <w:rPr>
      <w:color w:val="0000FF"/>
      <w:u w:val="single"/>
    </w:rPr>
  </w:style>
  <w:style w:type="character" w:styleId="48">
    <w:name w:val="annotation reference"/>
    <w:autoRedefine/>
    <w:qFormat/>
    <w:uiPriority w:val="0"/>
    <w:rPr>
      <w:sz w:val="21"/>
      <w:szCs w:val="21"/>
    </w:rPr>
  </w:style>
  <w:style w:type="paragraph" w:customStyle="1" w:styleId="49">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50">
    <w:name w:val="页眉 字符"/>
    <w:basedOn w:val="42"/>
    <w:link w:val="28"/>
    <w:autoRedefine/>
    <w:qFormat/>
    <w:uiPriority w:val="99"/>
    <w:rPr>
      <w:sz w:val="18"/>
      <w:szCs w:val="18"/>
    </w:rPr>
  </w:style>
  <w:style w:type="character" w:customStyle="1" w:styleId="51">
    <w:name w:val="页脚 字符"/>
    <w:basedOn w:val="42"/>
    <w:link w:val="27"/>
    <w:autoRedefine/>
    <w:qFormat/>
    <w:uiPriority w:val="99"/>
    <w:rPr>
      <w:sz w:val="18"/>
      <w:szCs w:val="18"/>
    </w:rPr>
  </w:style>
  <w:style w:type="character" w:customStyle="1" w:styleId="52">
    <w:name w:val="标题 1 字符"/>
    <w:basedOn w:val="42"/>
    <w:link w:val="3"/>
    <w:autoRedefine/>
    <w:qFormat/>
    <w:uiPriority w:val="0"/>
    <w:rPr>
      <w:rFonts w:ascii="楷体_GB2312" w:hAnsi="Times New Roman" w:eastAsia="楷体_GB2312" w:cs="Times New Roman"/>
      <w:sz w:val="28"/>
      <w:szCs w:val="20"/>
    </w:rPr>
  </w:style>
  <w:style w:type="character" w:customStyle="1" w:styleId="53">
    <w:name w:val="标题 2 字符"/>
    <w:basedOn w:val="42"/>
    <w:link w:val="4"/>
    <w:autoRedefine/>
    <w:qFormat/>
    <w:uiPriority w:val="0"/>
    <w:rPr>
      <w:rFonts w:ascii="Arial" w:hAnsi="Arial" w:eastAsia="幼圆" w:cs="Times New Roman"/>
      <w:b/>
      <w:sz w:val="44"/>
      <w:szCs w:val="20"/>
    </w:rPr>
  </w:style>
  <w:style w:type="character" w:customStyle="1" w:styleId="54">
    <w:name w:val="标题 3 字符"/>
    <w:basedOn w:val="42"/>
    <w:link w:val="5"/>
    <w:autoRedefine/>
    <w:qFormat/>
    <w:uiPriority w:val="0"/>
    <w:rPr>
      <w:rFonts w:ascii="Times New Roman" w:hAnsi="Times New Roman" w:eastAsia="宋体" w:cs="Times New Roman"/>
      <w:b/>
      <w:sz w:val="32"/>
      <w:szCs w:val="20"/>
    </w:rPr>
  </w:style>
  <w:style w:type="character" w:customStyle="1" w:styleId="55">
    <w:name w:val="标题 4 字符"/>
    <w:basedOn w:val="42"/>
    <w:link w:val="6"/>
    <w:autoRedefine/>
    <w:qFormat/>
    <w:uiPriority w:val="0"/>
    <w:rPr>
      <w:rFonts w:ascii="Arial" w:hAnsi="Arial" w:eastAsia="黑体" w:cs="Times New Roman"/>
      <w:b/>
      <w:bCs/>
      <w:sz w:val="28"/>
      <w:szCs w:val="28"/>
    </w:rPr>
  </w:style>
  <w:style w:type="character" w:customStyle="1" w:styleId="56">
    <w:name w:val="标题 5 字符"/>
    <w:basedOn w:val="42"/>
    <w:link w:val="7"/>
    <w:autoRedefine/>
    <w:qFormat/>
    <w:uiPriority w:val="0"/>
    <w:rPr>
      <w:rFonts w:ascii="宋体" w:hAnsi="宋体" w:eastAsia="宋体" w:cs="Times New Roman"/>
      <w:b/>
      <w:bCs/>
      <w:szCs w:val="24"/>
    </w:rPr>
  </w:style>
  <w:style w:type="character" w:customStyle="1" w:styleId="57">
    <w:name w:val="正文文本缩进 字符"/>
    <w:basedOn w:val="42"/>
    <w:link w:val="16"/>
    <w:autoRedefine/>
    <w:qFormat/>
    <w:uiPriority w:val="0"/>
    <w:rPr>
      <w:rFonts w:ascii="楷体_GB2312" w:hAnsi="Times New Roman" w:eastAsia="楷体_GB2312" w:cs="Times New Roman"/>
      <w:sz w:val="32"/>
      <w:szCs w:val="20"/>
    </w:rPr>
  </w:style>
  <w:style w:type="character" w:customStyle="1" w:styleId="58">
    <w:name w:val="正文缩进 字符"/>
    <w:link w:val="10"/>
    <w:autoRedefine/>
    <w:qFormat/>
    <w:uiPriority w:val="0"/>
    <w:rPr>
      <w:rFonts w:ascii="Times New Roman" w:hAnsi="Times New Roman" w:eastAsia="宋体" w:cs="Times New Roman"/>
      <w:szCs w:val="20"/>
    </w:rPr>
  </w:style>
  <w:style w:type="character" w:customStyle="1" w:styleId="59">
    <w:name w:val="文档结构图 字符"/>
    <w:basedOn w:val="42"/>
    <w:link w:val="11"/>
    <w:autoRedefine/>
    <w:semiHidden/>
    <w:qFormat/>
    <w:uiPriority w:val="0"/>
    <w:rPr>
      <w:rFonts w:ascii="Times New Roman" w:hAnsi="Times New Roman" w:eastAsia="宋体" w:cs="Times New Roman"/>
      <w:szCs w:val="24"/>
      <w:shd w:val="clear" w:color="auto" w:fill="000080"/>
    </w:rPr>
  </w:style>
  <w:style w:type="character" w:customStyle="1" w:styleId="60">
    <w:name w:val="批注文字 字符"/>
    <w:basedOn w:val="42"/>
    <w:link w:val="12"/>
    <w:autoRedefine/>
    <w:qFormat/>
    <w:uiPriority w:val="0"/>
    <w:rPr>
      <w:rFonts w:ascii="Times New Roman" w:hAnsi="Times New Roman" w:eastAsia="宋体" w:cs="Times New Roman"/>
      <w:szCs w:val="24"/>
    </w:rPr>
  </w:style>
  <w:style w:type="character" w:customStyle="1" w:styleId="61">
    <w:name w:val="正文文本 3 字符"/>
    <w:basedOn w:val="42"/>
    <w:link w:val="13"/>
    <w:autoRedefine/>
    <w:qFormat/>
    <w:uiPriority w:val="0"/>
    <w:rPr>
      <w:rFonts w:ascii="仿宋_GB2312" w:hAnsi="Arial" w:eastAsia="仿宋_GB2312" w:cs="Times New Roman"/>
      <w:sz w:val="32"/>
      <w:szCs w:val="20"/>
    </w:rPr>
  </w:style>
  <w:style w:type="character" w:customStyle="1" w:styleId="62">
    <w:name w:val="正文文本 字符"/>
    <w:basedOn w:val="42"/>
    <w:link w:val="14"/>
    <w:autoRedefine/>
    <w:qFormat/>
    <w:uiPriority w:val="0"/>
    <w:rPr>
      <w:rFonts w:ascii="楷体_GB2312" w:hAnsi="Arial" w:eastAsia="楷体_GB2312" w:cs="Times New Roman"/>
      <w:sz w:val="28"/>
      <w:szCs w:val="20"/>
    </w:rPr>
  </w:style>
  <w:style w:type="character" w:customStyle="1" w:styleId="63">
    <w:name w:val="纯文本 字符"/>
    <w:basedOn w:val="42"/>
    <w:link w:val="22"/>
    <w:autoRedefine/>
    <w:qFormat/>
    <w:uiPriority w:val="0"/>
    <w:rPr>
      <w:rFonts w:ascii="宋体" w:hAnsi="Courier New" w:eastAsia="宋体" w:cs="Times New Roman"/>
      <w:szCs w:val="20"/>
    </w:rPr>
  </w:style>
  <w:style w:type="character" w:customStyle="1" w:styleId="64">
    <w:name w:val="日期 字符"/>
    <w:basedOn w:val="42"/>
    <w:link w:val="24"/>
    <w:autoRedefine/>
    <w:qFormat/>
    <w:uiPriority w:val="0"/>
    <w:rPr>
      <w:rFonts w:ascii="Times New Roman" w:hAnsi="Times New Roman" w:eastAsia="宋体" w:cs="Times New Roman"/>
      <w:sz w:val="24"/>
      <w:szCs w:val="20"/>
    </w:rPr>
  </w:style>
  <w:style w:type="character" w:customStyle="1" w:styleId="65">
    <w:name w:val="正文文本缩进 2 字符"/>
    <w:basedOn w:val="42"/>
    <w:link w:val="25"/>
    <w:autoRedefine/>
    <w:qFormat/>
    <w:uiPriority w:val="0"/>
    <w:rPr>
      <w:rFonts w:ascii="宋体" w:hAnsi="宋体" w:eastAsia="宋体" w:cs="Times New Roman"/>
      <w:sz w:val="28"/>
      <w:szCs w:val="24"/>
    </w:rPr>
  </w:style>
  <w:style w:type="character" w:customStyle="1" w:styleId="66">
    <w:name w:val="批注框文本 字符"/>
    <w:basedOn w:val="42"/>
    <w:link w:val="26"/>
    <w:autoRedefine/>
    <w:semiHidden/>
    <w:qFormat/>
    <w:uiPriority w:val="0"/>
    <w:rPr>
      <w:rFonts w:ascii="Times New Roman" w:hAnsi="Times New Roman" w:eastAsia="宋体" w:cs="Times New Roman"/>
      <w:sz w:val="18"/>
      <w:szCs w:val="18"/>
    </w:rPr>
  </w:style>
  <w:style w:type="character" w:customStyle="1" w:styleId="67">
    <w:name w:val="正文文本缩进 3 字符"/>
    <w:basedOn w:val="42"/>
    <w:link w:val="32"/>
    <w:autoRedefine/>
    <w:qFormat/>
    <w:uiPriority w:val="0"/>
    <w:rPr>
      <w:rFonts w:ascii="仿宋_GB2312" w:hAnsi="宋体" w:eastAsia="仿宋_GB2312" w:cs="Times New Roman"/>
      <w:sz w:val="24"/>
      <w:szCs w:val="24"/>
    </w:rPr>
  </w:style>
  <w:style w:type="character" w:customStyle="1" w:styleId="68">
    <w:name w:val="正文文本 2 字符"/>
    <w:basedOn w:val="42"/>
    <w:link w:val="15"/>
    <w:autoRedefine/>
    <w:qFormat/>
    <w:uiPriority w:val="0"/>
    <w:rPr>
      <w:rFonts w:ascii="仿宋_GB2312" w:hAnsi="Times New Roman" w:eastAsia="仿宋_GB2312" w:cs="Times New Roman"/>
      <w:sz w:val="44"/>
      <w:szCs w:val="24"/>
    </w:rPr>
  </w:style>
  <w:style w:type="character" w:customStyle="1" w:styleId="69">
    <w:name w:val="HTML 预设格式 字符"/>
    <w:basedOn w:val="42"/>
    <w:link w:val="35"/>
    <w:autoRedefine/>
    <w:qFormat/>
    <w:uiPriority w:val="0"/>
    <w:rPr>
      <w:rFonts w:ascii="黑体" w:hAnsi="Courier New" w:eastAsia="黑体" w:cs="Courier New"/>
      <w:kern w:val="0"/>
      <w:sz w:val="20"/>
      <w:szCs w:val="20"/>
    </w:rPr>
  </w:style>
  <w:style w:type="character" w:customStyle="1" w:styleId="70">
    <w:name w:val="批注主题 字符"/>
    <w:basedOn w:val="60"/>
    <w:link w:val="38"/>
    <w:autoRedefine/>
    <w:qFormat/>
    <w:uiPriority w:val="0"/>
    <w:rPr>
      <w:rFonts w:ascii="Times New Roman" w:hAnsi="Times New Roman" w:eastAsia="宋体" w:cs="Times New Roman"/>
      <w:b/>
      <w:bCs/>
      <w:szCs w:val="24"/>
    </w:rPr>
  </w:style>
  <w:style w:type="character" w:customStyle="1" w:styleId="71">
    <w:name w:val="正文文本首行缩进 2 字符"/>
    <w:basedOn w:val="57"/>
    <w:link w:val="39"/>
    <w:autoRedefine/>
    <w:qFormat/>
    <w:uiPriority w:val="0"/>
    <w:rPr>
      <w:rFonts w:ascii="楷体_GB2312" w:hAnsi="Times New Roman" w:eastAsia="楷体_GB2312" w:cs="Times New Roman"/>
      <w:sz w:val="32"/>
      <w:szCs w:val="20"/>
    </w:rPr>
  </w:style>
  <w:style w:type="character" w:customStyle="1" w:styleId="72">
    <w:name w:val="标题2 Char"/>
    <w:autoRedefine/>
    <w:qFormat/>
    <w:uiPriority w:val="0"/>
    <w:rPr>
      <w:rFonts w:ascii="方正楷体_GBK" w:hAnsi="Book Antiqua" w:eastAsia="方正楷体_GBK"/>
      <w:snapToGrid w:val="0"/>
      <w:sz w:val="32"/>
      <w:lang w:val="en-US" w:eastAsia="zh-CN" w:bidi="ar-SA"/>
    </w:rPr>
  </w:style>
  <w:style w:type="character" w:customStyle="1" w:styleId="73">
    <w:name w:val="小四 段落 宋体 Char Char Char1"/>
    <w:autoRedefine/>
    <w:qFormat/>
    <w:uiPriority w:val="0"/>
    <w:rPr>
      <w:rFonts w:ascii="宋体" w:hAnsi="宋体" w:eastAsia="宋体"/>
      <w:kern w:val="2"/>
      <w:sz w:val="24"/>
      <w:szCs w:val="24"/>
      <w:lang w:val="en-US" w:eastAsia="zh-CN" w:bidi="ar-SA"/>
    </w:rPr>
  </w:style>
  <w:style w:type="character" w:customStyle="1" w:styleId="74">
    <w:name w:val="jj1"/>
    <w:autoRedefine/>
    <w:qFormat/>
    <w:uiPriority w:val="0"/>
    <w:rPr>
      <w:sz w:val="20"/>
      <w:szCs w:val="20"/>
      <w:u w:val="none"/>
    </w:rPr>
  </w:style>
  <w:style w:type="character" w:customStyle="1" w:styleId="75">
    <w:name w:val="列出段落 Char"/>
    <w:link w:val="76"/>
    <w:autoRedefine/>
    <w:qFormat/>
    <w:locked/>
    <w:uiPriority w:val="0"/>
    <w:rPr>
      <w:rFonts w:ascii="Calibri" w:hAnsi="Calibri"/>
      <w:sz w:val="24"/>
      <w:szCs w:val="24"/>
      <w:lang w:eastAsia="en-US" w:bidi="en-US"/>
    </w:rPr>
  </w:style>
  <w:style w:type="paragraph" w:customStyle="1" w:styleId="76">
    <w:name w:val="列出段落1"/>
    <w:basedOn w:val="1"/>
    <w:link w:val="75"/>
    <w:autoRedefine/>
    <w:qFormat/>
    <w:uiPriority w:val="0"/>
    <w:pPr>
      <w:widowControl/>
      <w:ind w:left="720"/>
      <w:contextualSpacing/>
      <w:jc w:val="left"/>
    </w:pPr>
    <w:rPr>
      <w:rFonts w:ascii="Calibri" w:hAnsi="Calibri"/>
      <w:sz w:val="24"/>
      <w:szCs w:val="24"/>
      <w:lang w:eastAsia="en-US" w:bidi="en-US"/>
    </w:rPr>
  </w:style>
  <w:style w:type="paragraph" w:customStyle="1" w:styleId="77">
    <w:name w:val="标题3"/>
    <w:basedOn w:val="1"/>
    <w:next w:val="1"/>
    <w:autoRedefine/>
    <w:qFormat/>
    <w:uiPriority w:val="0"/>
    <w:rPr>
      <w:rFonts w:ascii="Times New Roman" w:hAnsi="Times New Roman" w:eastAsia="方正黑体_GBK" w:cs="Times New Roman"/>
      <w:szCs w:val="24"/>
    </w:rPr>
  </w:style>
  <w:style w:type="paragraph" w:customStyle="1" w:styleId="78">
    <w:name w:val="标题 4_0"/>
    <w:basedOn w:val="79"/>
    <w:next w:val="79"/>
    <w:autoRedefine/>
    <w:qFormat/>
    <w:uiPriority w:val="0"/>
    <w:pPr>
      <w:keepNext/>
      <w:keepLines/>
      <w:spacing w:before="280" w:after="290" w:line="372" w:lineRule="auto"/>
      <w:outlineLvl w:val="3"/>
    </w:pPr>
    <w:rPr>
      <w:rFonts w:ascii="Cambria" w:hAnsi="Cambria"/>
      <w:b/>
      <w:bCs/>
      <w:sz w:val="28"/>
      <w:szCs w:val="28"/>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Char Char Char Char"/>
    <w:basedOn w:val="11"/>
    <w:autoRedefine/>
    <w:qFormat/>
    <w:uiPriority w:val="0"/>
    <w:pPr>
      <w:adjustRightInd w:val="0"/>
      <w:snapToGrid w:val="0"/>
      <w:spacing w:line="360" w:lineRule="auto"/>
    </w:pPr>
    <w:rPr>
      <w:rFonts w:ascii="Tahoma" w:hAnsi="Tahoma"/>
      <w:sz w:val="24"/>
    </w:rPr>
  </w:style>
  <w:style w:type="paragraph" w:customStyle="1" w:styleId="8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82">
    <w:name w:val="Blockquote"/>
    <w:basedOn w:val="1"/>
    <w:autoRedefine/>
    <w:qFormat/>
    <w:uiPriority w:val="0"/>
    <w:pPr>
      <w:autoSpaceDE w:val="0"/>
      <w:autoSpaceDN w:val="0"/>
      <w:adjustRightInd w:val="0"/>
      <w:spacing w:before="100" w:after="100"/>
      <w:ind w:left="360" w:right="360"/>
    </w:pPr>
    <w:rPr>
      <w:rFonts w:ascii="Times New Roman" w:hAnsi="Times New Roman" w:eastAsia="宋体" w:cs="Times New Roman"/>
      <w:sz w:val="24"/>
      <w:szCs w:val="24"/>
    </w:rPr>
  </w:style>
  <w:style w:type="paragraph" w:customStyle="1" w:styleId="83">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84">
    <w:name w:val="Char Char Char Char1 Char Char"/>
    <w:basedOn w:val="1"/>
    <w:autoRedefine/>
    <w:qFormat/>
    <w:uiPriority w:val="0"/>
    <w:pPr>
      <w:tabs>
        <w:tab w:val="left" w:pos="360"/>
      </w:tabs>
    </w:pPr>
    <w:rPr>
      <w:rFonts w:ascii="Times New Roman" w:hAnsi="Times New Roman" w:eastAsia="宋体" w:cs="Times New Roman"/>
      <w:sz w:val="24"/>
      <w:szCs w:val="24"/>
    </w:rPr>
  </w:style>
  <w:style w:type="paragraph" w:customStyle="1" w:styleId="85">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6">
    <w:name w:val="正文 1.1.1"/>
    <w:basedOn w:val="1"/>
    <w:next w:val="1"/>
    <w:autoRedefine/>
    <w:qFormat/>
    <w:uiPriority w:val="0"/>
    <w:pPr>
      <w:numPr>
        <w:ilvl w:val="2"/>
        <w:numId w:val="3"/>
      </w:numPr>
      <w:adjustRightInd w:val="0"/>
      <w:spacing w:line="360" w:lineRule="auto"/>
      <w:textAlignment w:val="baseline"/>
      <w:outlineLvl w:val="2"/>
    </w:pPr>
    <w:rPr>
      <w:rFonts w:ascii="宋体" w:hAnsi="宋体" w:eastAsia="宋体" w:cs="Times New Roman"/>
      <w:color w:val="000000"/>
      <w:kern w:val="0"/>
      <w:sz w:val="28"/>
      <w:szCs w:val="21"/>
    </w:rPr>
  </w:style>
  <w:style w:type="paragraph" w:customStyle="1" w:styleId="87">
    <w:name w:val="正文 第一章"/>
    <w:basedOn w:val="1"/>
    <w:next w:val="88"/>
    <w:autoRedefine/>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cs="Times New Roman"/>
      <w:kern w:val="0"/>
      <w:sz w:val="36"/>
      <w:szCs w:val="21"/>
    </w:rPr>
  </w:style>
  <w:style w:type="paragraph" w:customStyle="1" w:styleId="88">
    <w:name w:val="正文 1.1"/>
    <w:basedOn w:val="1"/>
    <w:next w:val="86"/>
    <w:autoRedefine/>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cs="Times New Roman"/>
      <w:b/>
      <w:kern w:val="0"/>
      <w:sz w:val="28"/>
      <w:szCs w:val="21"/>
    </w:rPr>
  </w:style>
  <w:style w:type="paragraph" w:customStyle="1" w:styleId="89">
    <w:name w:val="默认段落字体 Para Char Char Char Char Char Char Char Char Char1 Char Char Char Char Char Char Char"/>
    <w:basedOn w:val="11"/>
    <w:autoRedefine/>
    <w:qFormat/>
    <w:uiPriority w:val="0"/>
    <w:rPr>
      <w:rFonts w:ascii="Tahoma" w:hAnsi="Tahoma"/>
      <w:sz w:val="24"/>
    </w:rPr>
  </w:style>
  <w:style w:type="paragraph" w:customStyle="1" w:styleId="90">
    <w:name w:val="BioQuote Tekst"/>
    <w:basedOn w:val="1"/>
    <w:autoRedefine/>
    <w:qFormat/>
    <w:uiPriority w:val="0"/>
    <w:pPr>
      <w:ind w:right="-1"/>
    </w:pPr>
    <w:rPr>
      <w:rFonts w:ascii="Arial" w:hAnsi="Arial" w:eastAsia="宋体" w:cs="Times New Roman"/>
      <w:snapToGrid w:val="0"/>
      <w:kern w:val="0"/>
      <w:sz w:val="22"/>
      <w:szCs w:val="20"/>
      <w:lang w:eastAsia="en-US"/>
    </w:rPr>
  </w:style>
  <w:style w:type="paragraph" w:customStyle="1" w:styleId="9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92">
    <w:name w:val="List Paragraph"/>
    <w:basedOn w:val="1"/>
    <w:autoRedefine/>
    <w:qFormat/>
    <w:uiPriority w:val="0"/>
    <w:pPr>
      <w:ind w:firstLine="420" w:firstLineChars="200"/>
    </w:pPr>
    <w:rPr>
      <w:rFonts w:ascii="Calibri" w:hAnsi="Calibri" w:eastAsia="宋体" w:cs="Times New Roman"/>
    </w:rPr>
  </w:style>
  <w:style w:type="paragraph" w:customStyle="1" w:styleId="93">
    <w:name w:val="Char"/>
    <w:basedOn w:val="1"/>
    <w:autoRedefine/>
    <w:qFormat/>
    <w:uiPriority w:val="0"/>
    <w:rPr>
      <w:rFonts w:ascii="Tahoma" w:hAnsi="Tahoma" w:eastAsia="宋体" w:cs="Times New Roman"/>
      <w:snapToGrid w:val="0"/>
      <w:sz w:val="24"/>
      <w:szCs w:val="20"/>
    </w:rPr>
  </w:style>
  <w:style w:type="paragraph" w:customStyle="1" w:styleId="94">
    <w:name w:val="Table Text"/>
    <w:autoRedefine/>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5">
    <w:name w:val="Char Char Char Char1 Char Char Char"/>
    <w:basedOn w:val="11"/>
    <w:autoRedefine/>
    <w:qFormat/>
    <w:uiPriority w:val="0"/>
    <w:pPr>
      <w:adjustRightInd w:val="0"/>
      <w:snapToGrid w:val="0"/>
      <w:spacing w:line="360" w:lineRule="auto"/>
    </w:pPr>
    <w:rPr>
      <w:rFonts w:ascii="Tahoma" w:hAnsi="Tahoma"/>
      <w:sz w:val="24"/>
    </w:rPr>
  </w:style>
  <w:style w:type="paragraph" w:customStyle="1" w:styleId="96">
    <w:name w:val="Char1"/>
    <w:basedOn w:val="1"/>
    <w:autoRedefine/>
    <w:qFormat/>
    <w:uiPriority w:val="0"/>
    <w:pPr>
      <w:tabs>
        <w:tab w:val="left" w:pos="360"/>
      </w:tabs>
    </w:pPr>
    <w:rPr>
      <w:rFonts w:ascii="Times New Roman" w:hAnsi="Times New Roman" w:eastAsia="宋体" w:cs="Times New Roman"/>
      <w:sz w:val="24"/>
      <w:szCs w:val="24"/>
    </w:rPr>
  </w:style>
  <w:style w:type="paragraph" w:customStyle="1" w:styleId="97">
    <w:name w:val="正文_0_0"/>
    <w:autoRedefine/>
    <w:qFormat/>
    <w:uiPriority w:val="0"/>
    <w:pPr>
      <w:widowControl w:val="0"/>
      <w:jc w:val="both"/>
    </w:pPr>
    <w:rPr>
      <w:rFonts w:ascii="Times New Roman" w:hAnsi="Times New Roman" w:eastAsia="宋体" w:cs="Times New Roman"/>
      <w:lang w:val="en-US" w:eastAsia="zh-CN" w:bidi="ar-SA"/>
    </w:rPr>
  </w:style>
  <w:style w:type="paragraph" w:customStyle="1" w:styleId="98">
    <w:name w:val="Coms Alinea"/>
    <w:autoRedefine/>
    <w:qFormat/>
    <w:uiPriority w:val="0"/>
    <w:pPr>
      <w:widowControl w:val="0"/>
    </w:pPr>
    <w:rPr>
      <w:rFonts w:ascii="Arial" w:hAnsi="Arial" w:eastAsia="宋体" w:cs="Arial"/>
      <w:lang w:val="en-US" w:eastAsia="zh-CN" w:bidi="ar-SA"/>
    </w:rPr>
  </w:style>
  <w:style w:type="paragraph" w:customStyle="1" w:styleId="99">
    <w:name w:val="标题2"/>
    <w:basedOn w:val="1"/>
    <w:next w:val="1"/>
    <w:autoRedefine/>
    <w:qFormat/>
    <w:uiPriority w:val="0"/>
    <w:pPr>
      <w:jc w:val="center"/>
    </w:pPr>
    <w:rPr>
      <w:rFonts w:ascii="Times New Roman" w:hAnsi="Times New Roman" w:eastAsia="方正楷体_GBK" w:cs="Times New Roman"/>
      <w:szCs w:val="24"/>
    </w:rPr>
  </w:style>
  <w:style w:type="paragraph" w:customStyle="1" w:styleId="100">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cs="Times New Roman"/>
      <w:sz w:val="44"/>
      <w:szCs w:val="24"/>
    </w:rPr>
  </w:style>
  <w:style w:type="paragraph" w:customStyle="1" w:styleId="101">
    <w:name w:val="xl47"/>
    <w:basedOn w:val="1"/>
    <w:autoRedefine/>
    <w:qFormat/>
    <w:uiPriority w:val="0"/>
    <w:pPr>
      <w:widowControl/>
      <w:spacing w:before="100" w:beforeAutospacing="1" w:after="100" w:afterAutospacing="1"/>
      <w:jc w:val="center"/>
    </w:pPr>
    <w:rPr>
      <w:rFonts w:hint="eastAsia" w:ascii="方正姚体" w:hAnsi="宋体" w:eastAsia="方正姚体" w:cs="Times New Roman"/>
      <w:b/>
      <w:bCs/>
      <w:kern w:val="0"/>
      <w:sz w:val="36"/>
      <w:szCs w:val="36"/>
    </w:rPr>
  </w:style>
  <w:style w:type="paragraph" w:customStyle="1" w:styleId="102">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3">
    <w:name w:val="第四级"/>
    <w:basedOn w:val="1"/>
    <w:next w:val="1"/>
    <w:autoRedefine/>
    <w:qFormat/>
    <w:uiPriority w:val="0"/>
    <w:pPr>
      <w:numPr>
        <w:ilvl w:val="3"/>
        <w:numId w:val="3"/>
      </w:numPr>
      <w:adjustRightInd w:val="0"/>
      <w:spacing w:line="360" w:lineRule="auto"/>
      <w:textAlignment w:val="baseline"/>
    </w:pPr>
    <w:rPr>
      <w:rFonts w:ascii="宋体" w:hAnsi="宋体" w:eastAsia="仿宋" w:cs="Times New Roman"/>
      <w:kern w:val="0"/>
      <w:sz w:val="28"/>
      <w:szCs w:val="21"/>
    </w:rPr>
  </w:style>
  <w:style w:type="character" w:customStyle="1" w:styleId="104">
    <w:name w:val="gwds_nopic1"/>
    <w:basedOn w:val="42"/>
    <w:autoRedefine/>
    <w:qFormat/>
    <w:uiPriority w:val="0"/>
  </w:style>
  <w:style w:type="paragraph" w:customStyle="1" w:styleId="105">
    <w:name w:val="列表段落1"/>
    <w:basedOn w:val="1"/>
    <w:autoRedefine/>
    <w:qFormat/>
    <w:uiPriority w:val="34"/>
    <w:pPr>
      <w:ind w:firstLine="420" w:firstLineChars="200"/>
    </w:pPr>
    <w:rPr>
      <w:rFonts w:ascii="Times New Roman" w:hAnsi="Times New Roman" w:eastAsia="宋体" w:cs="Times New Roman"/>
      <w:sz w:val="28"/>
      <w:szCs w:val="20"/>
    </w:rPr>
  </w:style>
  <w:style w:type="paragraph" w:customStyle="1" w:styleId="106">
    <w:name w:val="Table Paragraph"/>
    <w:basedOn w:val="1"/>
    <w:autoRedefine/>
    <w:qFormat/>
    <w:uiPriority w:val="1"/>
    <w:rPr>
      <w:rFonts w:ascii="宋体" w:hAnsi="宋体" w:cs="宋体"/>
    </w:rPr>
  </w:style>
  <w:style w:type="paragraph" w:customStyle="1" w:styleId="107">
    <w:name w:val="正文（缩进）"/>
    <w:basedOn w:val="1"/>
    <w:autoRedefine/>
    <w:qFormat/>
    <w:uiPriority w:val="0"/>
    <w:pPr>
      <w:spacing w:before="156" w:after="156"/>
      <w:ind w:firstLine="480" w:firstLineChars="200"/>
    </w:pPr>
  </w:style>
  <w:style w:type="paragraph" w:customStyle="1" w:styleId="108">
    <w:name w:val="Revision"/>
    <w:autoRedefine/>
    <w:hidden/>
    <w:unhideWhenUsed/>
    <w:qFormat/>
    <w:uiPriority w:val="99"/>
    <w:rPr>
      <w:rFonts w:ascii="Calibri" w:hAnsi="Calibri" w:eastAsia="宋体" w:cs="Times New Roman"/>
      <w:kern w:val="2"/>
      <w:sz w:val="21"/>
      <w:szCs w:val="22"/>
      <w:lang w:val="en-US" w:eastAsia="zh-CN" w:bidi="ar-SA"/>
    </w:rPr>
  </w:style>
  <w:style w:type="paragraph" w:customStyle="1" w:styleId="109">
    <w:name w:val="pa-0"/>
    <w:basedOn w:val="1"/>
    <w:autoRedefine/>
    <w:qFormat/>
    <w:uiPriority w:val="99"/>
    <w:pPr>
      <w:widowControl/>
      <w:spacing w:before="150" w:after="150"/>
      <w:jc w:val="left"/>
    </w:pPr>
    <w:rPr>
      <w:rFonts w:ascii="宋体" w:hAnsi="宋体" w:eastAsia="宋体" w:cs="宋体"/>
      <w:kern w:val="0"/>
      <w:sz w:val="24"/>
      <w:szCs w:val="24"/>
    </w:rPr>
  </w:style>
  <w:style w:type="paragraph" w:styleId="110">
    <w:name w:val="No Spacing"/>
    <w:basedOn w:val="1"/>
    <w:autoRedefine/>
    <w:qFormat/>
    <w:uiPriority w:val="0"/>
    <w:pPr>
      <w:widowControl/>
      <w:jc w:val="left"/>
    </w:pPr>
    <w:rPr>
      <w:kern w:val="0"/>
      <w:sz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CE1FC-0D5A-49B4-82D3-D058F956B1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17644</Words>
  <Characters>18807</Characters>
  <Lines>898</Lines>
  <Paragraphs>848</Paragraphs>
  <TotalTime>9</TotalTime>
  <ScaleCrop>false</ScaleCrop>
  <LinksUpToDate>false</LinksUpToDate>
  <CharactersWithSpaces>21042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2023-04-28T09:56:00Z</dcterms:created>
  <dc:creator>扬州市八里镇人民政府(审核)</dc:creator>
  <cp:lastModifiedBy>linzuchao</cp:lastModifiedBy>
  <dcterms:modified xsi:type="dcterms:W3CDTF">2025-11-25T06:41:49Z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C37642800FC5482EBA969D6C3EFC80B3_13</vt:lpwstr>
  </property>
  <property fmtid="{D5CDD505-2E9C-101B-9397-08002B2CF9AE}" pid="4" name="KSOTemplateDocerSaveRecord">
    <vt:lpwstr>eyJoZGlkIjoiNTM5YTVkYWMyOWU3ODg4NDBiYWQyMWRiMDBmNmZkODkiLCJ1c2VySWQiOiI0MTk2MzY1OTUifQ==</vt:lpwstr>
  </property>
</Properties>
</file>