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00" w:beforeAutospacing="1" w:line="276" w:lineRule="auto"/>
        <w:jc w:val="left"/>
        <w:rPr>
          <w:rFonts w:asciiTheme="minorEastAsia" w:hAnsiTheme="minorEastAsia"/>
          <w:sz w:val="24"/>
        </w:rPr>
      </w:pPr>
      <w:r>
        <w:rPr>
          <w:rFonts w:asciiTheme="minorEastAsia" w:hAnsiTheme="minorEastAsia"/>
          <w:sz w:val="24"/>
        </w:rPr>
        <w:t>附件：</w:t>
      </w:r>
    </w:p>
    <w:p>
      <w:pPr>
        <w:shd w:val="clear" w:color="auto" w:fill="FFFFFF"/>
        <w:adjustRightInd w:val="0"/>
        <w:snapToGrid w:val="0"/>
        <w:spacing w:before="100" w:beforeAutospacing="1" w:line="276" w:lineRule="auto"/>
        <w:ind w:left="383"/>
        <w:jc w:val="left"/>
        <w:rPr>
          <w:rFonts w:asciiTheme="minorEastAsia" w:hAnsiTheme="minorEastAsia"/>
          <w:b/>
          <w:sz w:val="24"/>
        </w:rPr>
      </w:pPr>
      <w:r>
        <w:rPr>
          <w:rFonts w:asciiTheme="minorEastAsia" w:hAnsiTheme="minorEastAsia"/>
          <w:b/>
          <w:sz w:val="24"/>
        </w:rPr>
        <w:t>注：如供应商确认前来，</w:t>
      </w:r>
      <w:r>
        <w:rPr>
          <w:rFonts w:hint="eastAsia" w:asciiTheme="minorEastAsia" w:hAnsiTheme="minorEastAsia"/>
          <w:b/>
          <w:sz w:val="24"/>
        </w:rPr>
        <w:t>202</w:t>
      </w:r>
      <w:r>
        <w:rPr>
          <w:rFonts w:asciiTheme="minorEastAsia" w:hAnsiTheme="minorEastAsia"/>
          <w:b/>
          <w:sz w:val="24"/>
        </w:rPr>
        <w:t>4</w:t>
      </w:r>
      <w:r>
        <w:rPr>
          <w:rFonts w:hint="eastAsia" w:asciiTheme="minorEastAsia" w:hAnsiTheme="minorEastAsia"/>
          <w:b/>
          <w:sz w:val="24"/>
        </w:rPr>
        <w:t>年</w:t>
      </w:r>
      <w:r>
        <w:rPr>
          <w:rFonts w:asciiTheme="minorEastAsia" w:hAnsiTheme="minorEastAsia"/>
          <w:b/>
          <w:sz w:val="24"/>
        </w:rPr>
        <w:t>5</w:t>
      </w:r>
      <w:r>
        <w:rPr>
          <w:rFonts w:hint="eastAsia" w:asciiTheme="minorEastAsia" w:hAnsiTheme="minorEastAsia"/>
          <w:b/>
          <w:sz w:val="24"/>
        </w:rPr>
        <w:t>月</w:t>
      </w:r>
      <w:r>
        <w:rPr>
          <w:rFonts w:hint="eastAsia" w:asciiTheme="minorEastAsia" w:hAnsiTheme="minorEastAsia"/>
          <w:b/>
          <w:sz w:val="24"/>
          <w:lang w:val="en-US" w:eastAsia="zh-CN"/>
        </w:rPr>
        <w:t>22</w:t>
      </w:r>
      <w:r>
        <w:rPr>
          <w:rFonts w:hint="eastAsia" w:asciiTheme="minorEastAsia" w:hAnsiTheme="minorEastAsia"/>
          <w:b/>
          <w:sz w:val="24"/>
        </w:rPr>
        <w:t>日</w:t>
      </w:r>
      <w:r>
        <w:rPr>
          <w:rFonts w:hint="eastAsia" w:asciiTheme="minorEastAsia" w:hAnsiTheme="minorEastAsia"/>
          <w:b/>
          <w:sz w:val="24"/>
          <w:lang w:val="en-US" w:eastAsia="zh-CN"/>
        </w:rPr>
        <w:t>下</w:t>
      </w:r>
      <w:r>
        <w:rPr>
          <w:rFonts w:hint="eastAsia" w:asciiTheme="minorEastAsia" w:hAnsiTheme="minorEastAsia"/>
          <w:b/>
          <w:sz w:val="24"/>
        </w:rPr>
        <w:t>午</w:t>
      </w:r>
      <w:r>
        <w:rPr>
          <w:rFonts w:hint="eastAsia" w:asciiTheme="minorEastAsia" w:hAnsiTheme="minorEastAsia"/>
          <w:b/>
          <w:sz w:val="24"/>
          <w:lang w:val="en-US" w:eastAsia="zh-CN"/>
        </w:rPr>
        <w:t>15</w:t>
      </w:r>
      <w:bookmarkStart w:id="0" w:name="_GoBack"/>
      <w:bookmarkEnd w:id="0"/>
      <w:r>
        <w:rPr>
          <w:rFonts w:hint="eastAsia" w:asciiTheme="minorEastAsia" w:hAnsiTheme="minorEastAsia"/>
          <w:b/>
          <w:sz w:val="24"/>
        </w:rPr>
        <w:t>:00前关注“南京邮电大学通达学院保卫处”微信公众号，进入访客系统填写相关信息，访问部门选择“工会”，否则无法进入学院。</w:t>
      </w:r>
      <w:r>
        <w:rPr>
          <w:rFonts w:asciiTheme="minorEastAsia" w:hAnsiTheme="minorEastAsia"/>
          <w:b/>
          <w:sz w:val="24"/>
        </w:rPr>
        <w:t>感谢您的配合。</w:t>
      </w:r>
    </w:p>
    <w:p>
      <w:pPr>
        <w:shd w:val="clear" w:color="auto" w:fill="FFFFFF"/>
        <w:adjustRightInd w:val="0"/>
        <w:snapToGrid w:val="0"/>
        <w:spacing w:before="100" w:beforeAutospacing="1" w:line="276" w:lineRule="auto"/>
        <w:ind w:left="383"/>
        <w:jc w:val="left"/>
        <w:rPr>
          <w:rFonts w:asciiTheme="minorEastAsia" w:hAnsiTheme="minorEastAsia"/>
          <w:sz w:val="24"/>
        </w:rPr>
      </w:pPr>
    </w:p>
    <w:p>
      <w:pPr>
        <w:spacing w:line="360" w:lineRule="exact"/>
        <w:ind w:firstLine="472" w:firstLineChars="196"/>
        <w:rPr>
          <w:rFonts w:ascii="宋体" w:hAnsi="宋体" w:cs="宋体"/>
          <w:b/>
          <w:sz w:val="24"/>
          <w:lang w:bidi="ar"/>
        </w:rPr>
      </w:pPr>
      <w:r>
        <w:rPr>
          <w:rFonts w:ascii="宋体" w:hAnsi="宋体" w:cs="宋体"/>
          <w:b/>
          <w:sz w:val="24"/>
          <w:lang w:bidi="ar"/>
        </w:rPr>
        <w:t>一、项目需求：</w:t>
      </w:r>
    </w:p>
    <w:p>
      <w:pPr>
        <w:spacing w:line="360" w:lineRule="exact"/>
        <w:ind w:firstLine="472" w:firstLineChars="196"/>
        <w:rPr>
          <w:rFonts w:ascii="宋体" w:hAnsi="宋体" w:cs="宋体"/>
          <w:b/>
          <w:sz w:val="24"/>
          <w:lang w:bidi="ar"/>
        </w:rPr>
      </w:pP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1.投标方提供福利套餐清单，清单应包含固定产品和非邮寄教职工加赠产品。</w:t>
      </w: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2</w:t>
      </w:r>
      <w:r>
        <w:rPr>
          <w:rFonts w:ascii="宋体" w:hAnsi="宋体" w:cs="宋体"/>
          <w:sz w:val="24"/>
          <w:szCs w:val="21"/>
          <w:lang w:bidi="ar"/>
        </w:rPr>
        <w:t>.</w:t>
      </w:r>
      <w:r>
        <w:rPr>
          <w:rFonts w:hint="eastAsia" w:ascii="宋体" w:hAnsi="宋体" w:cs="宋体"/>
          <w:sz w:val="24"/>
          <w:szCs w:val="21"/>
          <w:lang w:bidi="ar"/>
        </w:rPr>
        <w:t xml:space="preserve"> 每份套餐均包含粽子一份，不含粮油、南北干货。为保证商品的品质要求，所提供的商品必须是在全国性销售平台上（例：苏果、大润发、家乐福、沃尔玛、京东等）均有销售，或为“国家品牌计划”“中华老字号”“全国驰名商标”等知名品牌。送标样品为市场常规规格及包装。</w:t>
      </w: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3</w:t>
      </w:r>
      <w:r>
        <w:rPr>
          <w:rFonts w:ascii="宋体" w:hAnsi="宋体" w:cs="宋体"/>
          <w:sz w:val="24"/>
          <w:szCs w:val="21"/>
          <w:lang w:bidi="ar"/>
        </w:rPr>
        <w:t>.</w:t>
      </w:r>
      <w:r>
        <w:rPr>
          <w:rFonts w:hint="eastAsia" w:ascii="宋体" w:hAnsi="宋体" w:cs="宋体"/>
          <w:sz w:val="24"/>
          <w:szCs w:val="21"/>
          <w:lang w:bidi="ar"/>
        </w:rPr>
        <w:t>商品产龄（商品自生产日期到收货日期）要求：所提供货物中，保质期在6</w:t>
      </w:r>
      <w:r>
        <w:rPr>
          <w:rFonts w:ascii="宋体" w:hAnsi="宋体" w:cs="宋体"/>
          <w:sz w:val="24"/>
          <w:szCs w:val="21"/>
          <w:lang w:bidi="ar"/>
        </w:rPr>
        <w:t>0天以内的商品，商品产领在前三分之一保质期内；所提供货物中，保质期在</w:t>
      </w:r>
      <w:r>
        <w:rPr>
          <w:rFonts w:hint="eastAsia" w:ascii="宋体" w:hAnsi="宋体" w:cs="宋体"/>
          <w:sz w:val="24"/>
          <w:szCs w:val="21"/>
          <w:lang w:bidi="ar"/>
        </w:rPr>
        <w:t>6</w:t>
      </w:r>
      <w:r>
        <w:rPr>
          <w:rFonts w:ascii="宋体" w:hAnsi="宋体" w:cs="宋体"/>
          <w:sz w:val="24"/>
          <w:szCs w:val="21"/>
          <w:lang w:bidi="ar"/>
        </w:rPr>
        <w:t>0天以上的商品，商品产领在前二分之一保质期内。</w:t>
      </w:r>
    </w:p>
    <w:p>
      <w:pPr>
        <w:adjustRightInd w:val="0"/>
        <w:snapToGrid w:val="0"/>
        <w:spacing w:line="360" w:lineRule="auto"/>
        <w:ind w:firstLine="480" w:firstLineChars="200"/>
        <w:rPr>
          <w:rFonts w:ascii="宋体" w:hAnsi="宋体" w:cs="宋体"/>
          <w:sz w:val="24"/>
          <w:szCs w:val="21"/>
          <w:lang w:bidi="ar"/>
        </w:rPr>
      </w:pPr>
      <w:r>
        <w:rPr>
          <w:rFonts w:hint="eastAsia" w:ascii="宋体" w:hAnsi="宋体" w:cs="宋体"/>
          <w:sz w:val="24"/>
          <w:szCs w:val="21"/>
          <w:lang w:bidi="ar"/>
        </w:rPr>
        <w:t>4</w:t>
      </w:r>
      <w:r>
        <w:rPr>
          <w:rFonts w:ascii="宋体" w:hAnsi="宋体" w:cs="宋体"/>
          <w:sz w:val="24"/>
          <w:szCs w:val="21"/>
          <w:lang w:bidi="ar"/>
        </w:rPr>
        <w:t>.</w:t>
      </w:r>
      <w:r>
        <w:rPr>
          <w:rFonts w:hint="eastAsia" w:ascii="宋体" w:hAnsi="宋体" w:cs="宋体"/>
          <w:sz w:val="24"/>
          <w:szCs w:val="21"/>
          <w:lang w:bidi="ar"/>
        </w:rPr>
        <w:t>供货时限：按采购人要求。</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5</w:t>
      </w:r>
      <w:r>
        <w:rPr>
          <w:rFonts w:hint="eastAsia" w:ascii="宋体" w:hAnsi="宋体" w:cs="宋体"/>
          <w:sz w:val="24"/>
          <w:szCs w:val="21"/>
          <w:lang w:bidi="ar"/>
        </w:rPr>
        <w:t>.此次采购约2</w:t>
      </w:r>
      <w:r>
        <w:rPr>
          <w:rFonts w:ascii="宋体" w:hAnsi="宋体" w:cs="宋体"/>
          <w:sz w:val="24"/>
          <w:szCs w:val="21"/>
          <w:lang w:bidi="ar"/>
        </w:rPr>
        <w:t>8</w:t>
      </w:r>
      <w:r>
        <w:rPr>
          <w:rFonts w:hint="eastAsia" w:ascii="宋体" w:hAnsi="宋体" w:cs="宋体"/>
          <w:sz w:val="24"/>
          <w:szCs w:val="21"/>
          <w:lang w:bidi="ar"/>
        </w:rPr>
        <w:t>0份，具体结算以实际为准，</w:t>
      </w:r>
      <w:r>
        <w:rPr>
          <w:rFonts w:ascii="宋体" w:hAnsi="宋体" w:cs="宋体"/>
          <w:sz w:val="24"/>
          <w:szCs w:val="21"/>
          <w:lang w:bidi="ar"/>
        </w:rPr>
        <w:t>投标人可以接受小于280份的采购需求。不接受联合体参与</w:t>
      </w:r>
      <w:r>
        <w:rPr>
          <w:rFonts w:hint="eastAsia" w:ascii="宋体" w:hAnsi="宋体" w:cs="宋体"/>
          <w:sz w:val="24"/>
          <w:szCs w:val="21"/>
          <w:lang w:bidi="ar"/>
        </w:rPr>
        <w:t>。</w:t>
      </w:r>
    </w:p>
    <w:p>
      <w:pPr>
        <w:adjustRightInd w:val="0"/>
        <w:snapToGrid w:val="0"/>
        <w:spacing w:line="360" w:lineRule="auto"/>
        <w:ind w:firstLine="480" w:firstLineChars="200"/>
        <w:rPr>
          <w:rFonts w:ascii="宋体" w:hAnsi="宋体"/>
          <w:bCs/>
          <w:sz w:val="24"/>
          <w:szCs w:val="24"/>
        </w:rPr>
      </w:pPr>
      <w:r>
        <w:rPr>
          <w:rFonts w:ascii="宋体" w:hAnsi="宋体" w:cs="宋体"/>
          <w:sz w:val="24"/>
          <w:szCs w:val="21"/>
          <w:lang w:bidi="ar"/>
        </w:rPr>
        <w:t>6.</w:t>
      </w:r>
      <w:r>
        <w:rPr>
          <w:rFonts w:hint="eastAsia" w:ascii="宋体" w:hAnsi="宋体" w:cs="宋体"/>
          <w:sz w:val="24"/>
        </w:rPr>
        <w:t xml:space="preserve"> 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w:t>
      </w:r>
      <w:r>
        <w:rPr>
          <w:rFonts w:hint="eastAsia" w:ascii="宋体" w:hAnsi="宋体"/>
          <w:bCs/>
          <w:sz w:val="24"/>
          <w:szCs w:val="24"/>
        </w:rPr>
        <w:t>每人份的所有福利产品，打包整理并分装到箱（袋）。</w:t>
      </w:r>
    </w:p>
    <w:p>
      <w:pPr>
        <w:adjustRightInd w:val="0"/>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.报价包括运输费、装卸费、税金等全部费用，采购单位不再支付其它费用。</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8</w:t>
      </w:r>
      <w:r>
        <w:rPr>
          <w:rFonts w:hint="eastAsia" w:ascii="宋体" w:hAnsi="宋体" w:cs="宋体"/>
          <w:sz w:val="24"/>
          <w:szCs w:val="21"/>
          <w:lang w:bidi="ar"/>
        </w:rPr>
        <w:t>．供货结束后，中标人需开具两个抬头的发票：南京邮电大学通达学院和南京邮电大学工会委员会</w:t>
      </w: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0" w:firstLineChars="200"/>
        <w:rPr>
          <w:rFonts w:hint="eastAsia" w:ascii="宋体" w:hAnsi="宋体" w:cs="宋体"/>
          <w:sz w:val="24"/>
          <w:szCs w:val="21"/>
          <w:lang w:bidi="ar"/>
        </w:rPr>
      </w:pP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二、评标准则及标准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次采购采用综合评分法，即在满足采购文件实质性要求前提下，按照采购文件中规定的评分标准和各项因素进行综合评审后，以总得分最高的供应商作为成交供应商。本综合评分法采用百分制形式，具体分值详见本细则。</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1.品牌知名度、行业美誉度(20分)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根据投标人所投产品品牌口碑、市场美誉度、绿色标志等，评委酌情给分。口碑、美誉度好得20分，口碑、美誉度较好得15分，口碑、美誉度一般得10分，口碑、美誉度较差得5分，口碑、美誉度差得0分。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2.套餐外产品得分（10分）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不需要邮寄的教职工套餐外产品。套餐外产品的种类及价值最高得10分，套餐外产品的种类及价值良好得7分，套餐外产品的种类及价值较低得4分，套餐外产品的种类及价值低得1分，没有不得分。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3.产品服务方案（20分）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cs="宋体"/>
          <w:sz w:val="24"/>
        </w:rPr>
      </w:pPr>
      <w:r>
        <w:rPr>
          <w:rFonts w:hint="eastAsia" w:ascii="宋体" w:hAnsi="宋体" w:cs="宋体"/>
          <w:sz w:val="24"/>
        </w:rPr>
        <w:t>根据投标人每人份的所有福利产品，打包整理并分装到箱（袋）及售后方案，评委酌情给分，包装最精美，售后服务完善得20分，包装较精美，售后服务较完善得15分，包装不够精美，售后服务一般得10分，包装较差，售后服务较差得5分，包装不精美，售后服务不完善或无售后服务的得0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4.样品得分（40分）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b/>
          <w:bCs/>
          <w:color w:val="000000"/>
          <w:sz w:val="22"/>
          <w:szCs w:val="20"/>
        </w:rPr>
      </w:pPr>
      <w:r>
        <w:rPr>
          <w:rFonts w:hint="eastAsia" w:ascii="宋体" w:hAnsi="宋体" w:cs="宋体"/>
          <w:sz w:val="24"/>
        </w:rPr>
        <w:t>根据供应商提供的样品，评委酌情给分，样品品质标准高得40分，样品品质标准较高得30分，样品品质标准一般得20分，样品品质标准较低得10分，不提供不得分。</w:t>
      </w:r>
      <w:r>
        <w:rPr>
          <w:rFonts w:hint="eastAsia" w:ascii="宋体" w:hAnsi="宋体"/>
          <w:b/>
          <w:bCs/>
          <w:color w:val="000000"/>
          <w:sz w:val="24"/>
          <w:szCs w:val="24"/>
        </w:rPr>
        <w:t>（套餐外产品不参加样品打分，中标后样品封存，作为验收标准）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sz w:val="24"/>
        </w:rPr>
      </w:pPr>
      <w:r>
        <w:rPr>
          <w:rFonts w:hint="eastAsia" w:ascii="宋体" w:hAnsi="宋体"/>
          <w:b/>
          <w:bCs/>
          <w:sz w:val="24"/>
        </w:rPr>
        <w:t>5.业绩（10分）</w:t>
      </w:r>
    </w:p>
    <w:p>
      <w:pPr>
        <w:tabs>
          <w:tab w:val="left" w:pos="0"/>
          <w:tab w:val="left" w:pos="600"/>
          <w:tab w:val="left" w:pos="993"/>
          <w:tab w:val="left" w:pos="1134"/>
        </w:tabs>
        <w:adjustRightInd w:val="0"/>
        <w:snapToGrid w:val="0"/>
        <w:spacing w:line="360" w:lineRule="auto"/>
        <w:ind w:firstLine="480" w:firstLineChars="200"/>
        <w:jc w:val="left"/>
        <w:rPr>
          <w:rFonts w:ascii="宋体" w:hAnsi="宋体"/>
          <w:b/>
          <w:bCs/>
          <w:color w:val="000000"/>
          <w:sz w:val="24"/>
          <w:szCs w:val="24"/>
        </w:rPr>
      </w:pPr>
      <w:r>
        <w:rPr>
          <w:rFonts w:hint="eastAsia" w:ascii="宋体" w:hAnsi="宋体"/>
          <w:bCs/>
          <w:sz w:val="24"/>
        </w:rPr>
        <w:t>至本项目投标截止日期止三年内有类似产品业绩每个合同得2分，最高10分。</w:t>
      </w:r>
      <w:r>
        <w:rPr>
          <w:rFonts w:hint="eastAsia" w:ascii="宋体" w:hAnsi="宋体"/>
          <w:b/>
          <w:bCs/>
          <w:color w:val="000000"/>
          <w:sz w:val="24"/>
          <w:szCs w:val="24"/>
        </w:rPr>
        <w:t>（提供合同复印件加盖投标人公章，原件备查）</w:t>
      </w:r>
    </w:p>
    <w:p>
      <w:pPr>
        <w:tabs>
          <w:tab w:val="left" w:pos="0"/>
          <w:tab w:val="left" w:pos="600"/>
          <w:tab w:val="left" w:pos="993"/>
          <w:tab w:val="left" w:pos="1134"/>
        </w:tabs>
        <w:adjustRightInd w:val="0"/>
        <w:snapToGrid w:val="0"/>
        <w:spacing w:before="156" w:beforeLines="50" w:after="156" w:afterLines="50" w:line="360" w:lineRule="exact"/>
        <w:ind w:firstLine="482" w:firstLineChars="200"/>
        <w:jc w:val="left"/>
        <w:rPr>
          <w:rFonts w:ascii="宋体" w:hAnsi="宋体" w:cs="宋体"/>
          <w:b/>
          <w:sz w:val="24"/>
          <w:shd w:val="clear" w:color="auto" w:fill="FFFFFF"/>
          <w:lang w:bidi="ar"/>
        </w:rPr>
      </w:pPr>
    </w:p>
    <w:p>
      <w:pPr>
        <w:shd w:val="clear" w:color="auto" w:fill="FFFFFF"/>
        <w:adjustRightInd w:val="0"/>
        <w:snapToGrid w:val="0"/>
        <w:spacing w:before="100" w:beforeAutospacing="1" w:line="276" w:lineRule="auto"/>
        <w:ind w:left="383"/>
        <w:jc w:val="right"/>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ZmM4ODZmY2YwZTU2MDljY2NhZGFiMjZmZDk1ZTcifQ=="/>
  </w:docVars>
  <w:rsids>
    <w:rsidRoot w:val="34AB47F3"/>
    <w:rsid w:val="00014C76"/>
    <w:rsid w:val="00106416"/>
    <w:rsid w:val="0014095D"/>
    <w:rsid w:val="00191C4A"/>
    <w:rsid w:val="00214C55"/>
    <w:rsid w:val="00254C3D"/>
    <w:rsid w:val="002F3620"/>
    <w:rsid w:val="003532DE"/>
    <w:rsid w:val="00375EB7"/>
    <w:rsid w:val="003D229F"/>
    <w:rsid w:val="003F5DBA"/>
    <w:rsid w:val="00410A74"/>
    <w:rsid w:val="00411CC9"/>
    <w:rsid w:val="0047422C"/>
    <w:rsid w:val="00482C58"/>
    <w:rsid w:val="004E0E61"/>
    <w:rsid w:val="004F111A"/>
    <w:rsid w:val="005241D2"/>
    <w:rsid w:val="0053304C"/>
    <w:rsid w:val="005765C1"/>
    <w:rsid w:val="00587858"/>
    <w:rsid w:val="005D7ED6"/>
    <w:rsid w:val="005E435B"/>
    <w:rsid w:val="005F32C8"/>
    <w:rsid w:val="00605D3F"/>
    <w:rsid w:val="00673419"/>
    <w:rsid w:val="00743DED"/>
    <w:rsid w:val="00756F5D"/>
    <w:rsid w:val="008005C9"/>
    <w:rsid w:val="008A79BB"/>
    <w:rsid w:val="008B4D4B"/>
    <w:rsid w:val="008C2EAD"/>
    <w:rsid w:val="008E3836"/>
    <w:rsid w:val="00937ECE"/>
    <w:rsid w:val="009520BF"/>
    <w:rsid w:val="00984C5B"/>
    <w:rsid w:val="00A72ADF"/>
    <w:rsid w:val="00BB44F8"/>
    <w:rsid w:val="00BB56D0"/>
    <w:rsid w:val="00BE0DCB"/>
    <w:rsid w:val="00BF44FB"/>
    <w:rsid w:val="00C06DEF"/>
    <w:rsid w:val="00C1175B"/>
    <w:rsid w:val="00C26FE0"/>
    <w:rsid w:val="00C37078"/>
    <w:rsid w:val="00CC4F76"/>
    <w:rsid w:val="00CF3AA6"/>
    <w:rsid w:val="00D3604C"/>
    <w:rsid w:val="00D833B1"/>
    <w:rsid w:val="00DC6DCE"/>
    <w:rsid w:val="00E15674"/>
    <w:rsid w:val="00E6189A"/>
    <w:rsid w:val="00E826BE"/>
    <w:rsid w:val="00EC19E8"/>
    <w:rsid w:val="00EC3C98"/>
    <w:rsid w:val="00EC43B4"/>
    <w:rsid w:val="00F01AE1"/>
    <w:rsid w:val="00F4056E"/>
    <w:rsid w:val="00F8352B"/>
    <w:rsid w:val="00F9600B"/>
    <w:rsid w:val="06BA0522"/>
    <w:rsid w:val="07BF46B0"/>
    <w:rsid w:val="112C33BF"/>
    <w:rsid w:val="15143DD5"/>
    <w:rsid w:val="158C2E9E"/>
    <w:rsid w:val="16956BD5"/>
    <w:rsid w:val="19E212FF"/>
    <w:rsid w:val="1C533032"/>
    <w:rsid w:val="1D215461"/>
    <w:rsid w:val="1DD836CC"/>
    <w:rsid w:val="1F3E332E"/>
    <w:rsid w:val="21B4182C"/>
    <w:rsid w:val="27DB567E"/>
    <w:rsid w:val="2E291E44"/>
    <w:rsid w:val="32A5066E"/>
    <w:rsid w:val="34AB47F3"/>
    <w:rsid w:val="3647614D"/>
    <w:rsid w:val="39B639F0"/>
    <w:rsid w:val="3A8C5D2A"/>
    <w:rsid w:val="3C903186"/>
    <w:rsid w:val="40237A4B"/>
    <w:rsid w:val="40710E5E"/>
    <w:rsid w:val="419F4074"/>
    <w:rsid w:val="4A8D765C"/>
    <w:rsid w:val="4F7B50C1"/>
    <w:rsid w:val="622B0FE0"/>
    <w:rsid w:val="6E537F7F"/>
    <w:rsid w:val="724059FD"/>
    <w:rsid w:val="72810D4E"/>
    <w:rsid w:val="72BF11DF"/>
    <w:rsid w:val="73AA5DF1"/>
    <w:rsid w:val="7D6A77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15"/>
    <w:qFormat/>
    <w:uiPriority w:val="0"/>
    <w:rPr>
      <w:b/>
      <w:bCs/>
    </w:rPr>
  </w:style>
  <w:style w:type="character" w:styleId="11">
    <w:name w:val="annotation reference"/>
    <w:basedOn w:val="10"/>
    <w:qFormat/>
    <w:uiPriority w:val="0"/>
    <w:rPr>
      <w:sz w:val="21"/>
      <w:szCs w:val="21"/>
    </w:rPr>
  </w:style>
  <w:style w:type="character" w:customStyle="1" w:styleId="12">
    <w:name w:val="页眉 字符"/>
    <w:basedOn w:val="10"/>
    <w:link w:val="6"/>
    <w:qFormat/>
    <w:uiPriority w:val="0"/>
    <w:rPr>
      <w:rFonts w:ascii="Calibri" w:hAnsi="Calibri" w:eastAsia="宋体" w:cs="Times New Roman"/>
      <w:kern w:val="2"/>
      <w:sz w:val="18"/>
      <w:szCs w:val="18"/>
    </w:rPr>
  </w:style>
  <w:style w:type="character" w:customStyle="1" w:styleId="13">
    <w:name w:val="页脚 字符"/>
    <w:basedOn w:val="10"/>
    <w:link w:val="5"/>
    <w:qFormat/>
    <w:uiPriority w:val="0"/>
    <w:rPr>
      <w:rFonts w:ascii="Calibri" w:hAnsi="Calibri" w:eastAsia="宋体" w:cs="Times New Roman"/>
      <w:kern w:val="2"/>
      <w:sz w:val="18"/>
      <w:szCs w:val="18"/>
    </w:rPr>
  </w:style>
  <w:style w:type="character" w:customStyle="1" w:styleId="14">
    <w:name w:val="批注文字 字符"/>
    <w:basedOn w:val="10"/>
    <w:link w:val="2"/>
    <w:autoRedefine/>
    <w:qFormat/>
    <w:uiPriority w:val="0"/>
    <w:rPr>
      <w:rFonts w:ascii="Calibri" w:hAnsi="Calibri" w:eastAsia="宋体" w:cs="Times New Roman"/>
      <w:kern w:val="2"/>
      <w:sz w:val="21"/>
      <w:szCs w:val="22"/>
    </w:rPr>
  </w:style>
  <w:style w:type="character" w:customStyle="1" w:styleId="15">
    <w:name w:val="批注主题 字符"/>
    <w:basedOn w:val="14"/>
    <w:link w:val="8"/>
    <w:qFormat/>
    <w:uiPriority w:val="0"/>
    <w:rPr>
      <w:rFonts w:ascii="Calibri" w:hAnsi="Calibri" w:eastAsia="宋体" w:cs="Times New Roman"/>
      <w:b/>
      <w:bCs/>
      <w:kern w:val="2"/>
      <w:sz w:val="21"/>
      <w:szCs w:val="22"/>
    </w:rPr>
  </w:style>
  <w:style w:type="character" w:customStyle="1" w:styleId="16">
    <w:name w:val="批注框文本 字符"/>
    <w:basedOn w:val="10"/>
    <w:link w:val="4"/>
    <w:qFormat/>
    <w:uiPriority w:val="0"/>
    <w:rPr>
      <w:rFonts w:ascii="Calibri" w:hAnsi="Calibri" w:eastAsia="宋体" w:cs="Times New Roman"/>
      <w:kern w:val="2"/>
      <w:sz w:val="18"/>
      <w:szCs w:val="18"/>
    </w:rPr>
  </w:style>
  <w:style w:type="character" w:customStyle="1" w:styleId="17">
    <w:name w:val="日期 字符"/>
    <w:basedOn w:val="10"/>
    <w:link w:val="3"/>
    <w:qFormat/>
    <w:uiPriority w:val="0"/>
    <w:rPr>
      <w:rFonts w:ascii="Calibri" w:hAnsi="Calibri" w:eastAsia="宋体" w:cs="Times New Roman"/>
      <w:kern w:val="2"/>
      <w:sz w:val="21"/>
      <w:szCs w:val="22"/>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397</Words>
  <Characters>2266</Characters>
  <Lines>18</Lines>
  <Paragraphs>5</Paragraphs>
  <TotalTime>5</TotalTime>
  <ScaleCrop>false</ScaleCrop>
  <LinksUpToDate>false</LinksUpToDate>
  <CharactersWithSpaces>2658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2023-05-22T02:54:00Z</dcterms:created>
  <dc:creator>通达袁</dc:creator>
  <cp:lastModifiedBy>季海燕</cp:lastModifiedBy>
  <cp:lastPrinted>2024-05-07T01:42:00Z</cp:lastPrinted>
  <dcterms:modified xsi:type="dcterms:W3CDTF">2024-05-16T07:58:14Z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6079372BC3214832B15CCA56F227AEF9_13</vt:lpwstr>
  </property>
</Properties>
</file>