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spacing w:before="0" w:after="0"/>
        <w:ind w:firstLine="0"/>
        <w:rPr>
          <w:rFonts w:hint="eastAsia" w:ascii="宋体" w:hAnsi="宋体" w:eastAsia="宋体" w:cs="宋体"/>
          <w:color w:val="auto"/>
        </w:rPr>
      </w:pPr>
    </w:p>
    <w:p>
      <w:pPr>
        <w:pStyle w:val="46"/>
        <w:spacing w:before="0" w:after="0"/>
        <w:ind w:firstLine="0"/>
        <w:rPr>
          <w:rFonts w:hint="eastAsia" w:ascii="宋体" w:hAnsi="宋体" w:eastAsia="宋体" w:cs="宋体"/>
          <w:color w:val="auto"/>
        </w:rPr>
      </w:pPr>
    </w:p>
    <w:p>
      <w:pPr>
        <w:pStyle w:val="46"/>
        <w:spacing w:before="0" w:after="0"/>
        <w:ind w:firstLine="0"/>
        <w:rPr>
          <w:rFonts w:hint="eastAsia" w:ascii="宋体" w:hAnsi="宋体" w:eastAsia="宋体" w:cs="宋体"/>
          <w:color w:val="auto"/>
        </w:rPr>
      </w:pPr>
    </w:p>
    <w:p>
      <w:pPr>
        <w:pStyle w:val="46"/>
        <w:spacing w:before="0" w:after="0"/>
        <w:ind w:firstLine="0"/>
        <w:rPr>
          <w:rFonts w:hint="eastAsia" w:ascii="宋体" w:hAnsi="宋体" w:eastAsia="宋体" w:cs="宋体"/>
          <w:color w:val="auto"/>
        </w:rPr>
      </w:pPr>
    </w:p>
    <w:p>
      <w:pPr>
        <w:pStyle w:val="46"/>
        <w:spacing w:before="0" w:after="0"/>
        <w:ind w:firstLine="0"/>
        <w:rPr>
          <w:rFonts w:hint="eastAsia" w:ascii="宋体" w:hAnsi="宋体" w:eastAsia="宋体" w:cs="宋体"/>
          <w:color w:val="auto"/>
        </w:rPr>
      </w:pPr>
    </w:p>
    <w:p>
      <w:pPr>
        <w:pStyle w:val="46"/>
        <w:spacing w:before="0" w:after="0"/>
        <w:ind w:firstLine="0"/>
        <w:rPr>
          <w:rFonts w:hint="eastAsia" w:ascii="宋体" w:hAnsi="宋体" w:eastAsia="宋体" w:cs="宋体"/>
          <w:color w:val="auto"/>
        </w:rPr>
      </w:pPr>
    </w:p>
    <w:p>
      <w:pPr>
        <w:pStyle w:val="46"/>
        <w:ind w:firstLine="0"/>
        <w:jc w:val="center"/>
        <w:rPr>
          <w:rFonts w:hint="eastAsia" w:ascii="黑体" w:hAnsi="黑体" w:eastAsia="黑体" w:cs="黑体"/>
          <w:color w:val="auto"/>
          <w:sz w:val="40"/>
          <w:szCs w:val="36"/>
          <w:lang w:eastAsia="zh-CN"/>
        </w:rPr>
      </w:pPr>
      <w:r>
        <w:rPr>
          <w:rFonts w:hint="eastAsia" w:ascii="黑体" w:hAnsi="黑体" w:eastAsia="黑体" w:cs="黑体"/>
          <w:color w:val="auto"/>
          <w:sz w:val="40"/>
          <w:szCs w:val="36"/>
          <w:lang w:eastAsia="zh-CN"/>
        </w:rPr>
        <w:t>南京邮电大学通达学院</w:t>
      </w:r>
    </w:p>
    <w:p>
      <w:pPr>
        <w:pStyle w:val="46"/>
        <w:ind w:firstLine="0"/>
        <w:jc w:val="center"/>
        <w:rPr>
          <w:rFonts w:hint="eastAsia" w:ascii="黑体" w:hAnsi="黑体" w:eastAsia="黑体" w:cs="黑体"/>
          <w:color w:val="auto"/>
          <w:sz w:val="40"/>
          <w:szCs w:val="36"/>
          <w:lang w:eastAsia="zh-CN"/>
        </w:rPr>
      </w:pPr>
      <w:r>
        <w:rPr>
          <w:rFonts w:hint="eastAsia" w:ascii="黑体" w:hAnsi="黑体" w:eastAsia="黑体" w:cs="黑体"/>
          <w:color w:val="auto"/>
          <w:sz w:val="40"/>
          <w:szCs w:val="36"/>
          <w:lang w:eastAsia="zh-CN"/>
        </w:rPr>
        <w:t>通信原理虚实结合实验平台采购项目</w:t>
      </w:r>
    </w:p>
    <w:p>
      <w:pPr>
        <w:pStyle w:val="46"/>
        <w:ind w:firstLine="0"/>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rPr>
        <w:t>项目编号：</w:t>
      </w:r>
      <w:r>
        <w:rPr>
          <w:rFonts w:hint="eastAsia" w:ascii="黑体" w:hAnsi="黑体" w:eastAsia="黑体" w:cs="黑体"/>
          <w:color w:val="auto"/>
          <w:sz w:val="36"/>
          <w:szCs w:val="36"/>
          <w:lang w:val="en-US" w:eastAsia="zh-CN"/>
        </w:rPr>
        <w:t>TDCG2022037</w:t>
      </w:r>
    </w:p>
    <w:p>
      <w:pPr>
        <w:pStyle w:val="46"/>
        <w:ind w:firstLine="0"/>
        <w:jc w:val="center"/>
        <w:rPr>
          <w:rFonts w:hint="eastAsia" w:ascii="黑体" w:hAnsi="黑体" w:eastAsia="黑体" w:cs="黑体"/>
          <w:color w:val="auto"/>
          <w:sz w:val="36"/>
          <w:szCs w:val="36"/>
        </w:rPr>
      </w:pPr>
    </w:p>
    <w:p>
      <w:pPr>
        <w:pStyle w:val="46"/>
        <w:ind w:firstLine="0"/>
        <w:jc w:val="center"/>
        <w:rPr>
          <w:rFonts w:hint="eastAsia" w:ascii="黑体" w:hAnsi="黑体" w:eastAsia="黑体" w:cs="黑体"/>
          <w:color w:val="auto"/>
          <w:sz w:val="36"/>
          <w:szCs w:val="36"/>
        </w:rPr>
      </w:pPr>
    </w:p>
    <w:p>
      <w:pPr>
        <w:pStyle w:val="46"/>
        <w:ind w:firstLine="0"/>
        <w:jc w:val="center"/>
        <w:rPr>
          <w:rFonts w:hint="eastAsia" w:ascii="黑体" w:hAnsi="黑体" w:eastAsia="黑体" w:cs="黑体"/>
          <w:bCs/>
          <w:color w:val="auto"/>
          <w:sz w:val="52"/>
        </w:rPr>
      </w:pPr>
      <w:r>
        <w:rPr>
          <w:rFonts w:hint="eastAsia" w:ascii="黑体" w:hAnsi="黑体" w:eastAsia="黑体" w:cs="黑体"/>
          <w:bCs/>
          <w:color w:val="auto"/>
          <w:sz w:val="52"/>
        </w:rPr>
        <w:t>招 标 文 件</w:t>
      </w:r>
    </w:p>
    <w:p>
      <w:pPr>
        <w:pStyle w:val="46"/>
        <w:ind w:firstLine="0"/>
        <w:jc w:val="center"/>
        <w:rPr>
          <w:rFonts w:hint="eastAsia" w:ascii="黑体" w:hAnsi="黑体" w:eastAsia="黑体" w:cs="黑体"/>
          <w:b/>
          <w:bCs/>
          <w:color w:val="auto"/>
          <w:sz w:val="32"/>
        </w:rPr>
      </w:pPr>
    </w:p>
    <w:p>
      <w:pPr>
        <w:pStyle w:val="46"/>
        <w:spacing w:before="0" w:after="0"/>
        <w:ind w:firstLine="0"/>
        <w:rPr>
          <w:rFonts w:hint="eastAsia" w:ascii="黑体" w:hAnsi="黑体" w:eastAsia="黑体" w:cs="黑体"/>
          <w:color w:val="auto"/>
        </w:rPr>
      </w:pPr>
    </w:p>
    <w:p>
      <w:pPr>
        <w:pStyle w:val="46"/>
        <w:spacing w:before="0" w:after="0"/>
        <w:ind w:firstLine="0"/>
        <w:rPr>
          <w:rFonts w:hint="eastAsia" w:ascii="黑体" w:hAnsi="黑体" w:eastAsia="黑体" w:cs="黑体"/>
          <w:color w:val="auto"/>
        </w:rPr>
      </w:pPr>
    </w:p>
    <w:p>
      <w:pPr>
        <w:pStyle w:val="46"/>
        <w:spacing w:before="0" w:after="0"/>
        <w:ind w:firstLine="0"/>
        <w:rPr>
          <w:rFonts w:hint="eastAsia" w:ascii="黑体" w:hAnsi="黑体" w:eastAsia="黑体" w:cs="黑体"/>
          <w:color w:val="auto"/>
        </w:rPr>
      </w:pPr>
    </w:p>
    <w:p>
      <w:pPr>
        <w:pStyle w:val="46"/>
        <w:spacing w:before="0" w:after="0"/>
        <w:ind w:firstLine="0"/>
        <w:rPr>
          <w:rFonts w:hint="eastAsia" w:ascii="黑体" w:hAnsi="黑体" w:eastAsia="黑体" w:cs="黑体"/>
          <w:color w:val="auto"/>
        </w:rPr>
      </w:pPr>
    </w:p>
    <w:p>
      <w:pPr>
        <w:pStyle w:val="46"/>
        <w:spacing w:before="0" w:after="0"/>
        <w:ind w:firstLine="0"/>
        <w:rPr>
          <w:rFonts w:hint="eastAsia" w:ascii="黑体" w:hAnsi="黑体" w:eastAsia="黑体" w:cs="黑体"/>
          <w:color w:val="auto"/>
        </w:rPr>
      </w:pPr>
    </w:p>
    <w:p>
      <w:pPr>
        <w:pStyle w:val="46"/>
        <w:spacing w:before="0" w:after="0"/>
        <w:ind w:firstLine="0"/>
        <w:rPr>
          <w:rFonts w:hint="eastAsia" w:ascii="黑体" w:hAnsi="黑体" w:eastAsia="黑体" w:cs="黑体"/>
          <w:color w:val="auto"/>
        </w:rPr>
      </w:pPr>
    </w:p>
    <w:p>
      <w:pPr>
        <w:pStyle w:val="46"/>
        <w:spacing w:before="0" w:after="0"/>
        <w:ind w:firstLine="0"/>
        <w:rPr>
          <w:rFonts w:hint="eastAsia" w:ascii="黑体" w:hAnsi="黑体" w:eastAsia="黑体" w:cs="黑体"/>
          <w:color w:val="auto"/>
        </w:rPr>
      </w:pPr>
    </w:p>
    <w:p>
      <w:pPr>
        <w:pStyle w:val="46"/>
        <w:spacing w:before="0" w:after="0"/>
        <w:ind w:firstLine="0"/>
        <w:jc w:val="center"/>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rPr>
        <w:t>招标人：南京邮电大学</w:t>
      </w:r>
      <w:r>
        <w:rPr>
          <w:rFonts w:hint="eastAsia" w:ascii="黑体" w:hAnsi="黑体" w:eastAsia="黑体" w:cs="黑体"/>
          <w:color w:val="auto"/>
          <w:sz w:val="30"/>
          <w:szCs w:val="30"/>
          <w:lang w:val="en-US" w:eastAsia="zh-CN"/>
        </w:rPr>
        <w:t>通达学院</w:t>
      </w:r>
    </w:p>
    <w:p>
      <w:pPr>
        <w:pStyle w:val="46"/>
        <w:spacing w:before="0" w:after="0"/>
        <w:ind w:firstLine="0"/>
        <w:jc w:val="center"/>
        <w:rPr>
          <w:rFonts w:hint="eastAsia" w:ascii="黑体" w:hAnsi="黑体" w:eastAsia="黑体" w:cs="黑体"/>
          <w:color w:val="auto"/>
          <w:sz w:val="30"/>
          <w:szCs w:val="30"/>
        </w:rPr>
      </w:pPr>
      <w:r>
        <w:rPr>
          <w:rFonts w:hint="eastAsia" w:ascii="黑体" w:hAnsi="黑体" w:eastAsia="黑体" w:cs="黑体"/>
          <w:color w:val="auto"/>
          <w:sz w:val="30"/>
          <w:szCs w:val="30"/>
        </w:rPr>
        <w:t>招标代理机构：中通服咨询设计研究院有限公司</w:t>
      </w:r>
    </w:p>
    <w:p>
      <w:pPr>
        <w:spacing w:line="360" w:lineRule="auto"/>
        <w:jc w:val="center"/>
        <w:rPr>
          <w:rFonts w:hint="eastAsia" w:ascii="黑体" w:hAnsi="黑体" w:eastAsia="黑体" w:cs="黑体"/>
          <w:color w:val="auto"/>
          <w:sz w:val="28"/>
          <w:szCs w:val="28"/>
          <w:u w:color="000000"/>
        </w:rPr>
      </w:pPr>
      <w:r>
        <w:rPr>
          <w:rFonts w:hint="eastAsia" w:ascii="黑体" w:hAnsi="黑体" w:eastAsia="黑体" w:cs="黑体"/>
          <w:color w:val="auto"/>
          <w:sz w:val="30"/>
          <w:szCs w:val="30"/>
        </w:rPr>
        <w:t>202</w:t>
      </w:r>
      <w:r>
        <w:rPr>
          <w:rFonts w:hint="eastAsia" w:ascii="黑体" w:hAnsi="黑体" w:eastAsia="黑体" w:cs="黑体"/>
          <w:color w:val="auto"/>
          <w:sz w:val="30"/>
          <w:szCs w:val="30"/>
          <w:lang w:val="en-US" w:eastAsia="zh-CN"/>
        </w:rPr>
        <w:t>2</w:t>
      </w:r>
      <w:r>
        <w:rPr>
          <w:rFonts w:hint="eastAsia" w:ascii="黑体" w:hAnsi="黑体" w:eastAsia="黑体" w:cs="黑体"/>
          <w:color w:val="auto"/>
          <w:sz w:val="30"/>
          <w:szCs w:val="30"/>
        </w:rPr>
        <w:t>年</w:t>
      </w:r>
      <w:r>
        <w:rPr>
          <w:rFonts w:hint="eastAsia" w:ascii="黑体" w:hAnsi="黑体" w:eastAsia="黑体" w:cs="黑体"/>
          <w:color w:val="auto"/>
          <w:sz w:val="30"/>
          <w:szCs w:val="30"/>
          <w:lang w:val="en-US" w:eastAsia="zh-CN"/>
        </w:rPr>
        <w:t>9</w:t>
      </w:r>
      <w:r>
        <w:rPr>
          <w:rFonts w:hint="eastAsia" w:ascii="黑体" w:hAnsi="黑体" w:eastAsia="黑体" w:cs="黑体"/>
          <w:color w:val="auto"/>
          <w:sz w:val="30"/>
          <w:szCs w:val="30"/>
        </w:rPr>
        <w:t>月</w:t>
      </w:r>
    </w:p>
    <w:p>
      <w:pPr>
        <w:rPr>
          <w:rFonts w:hint="eastAsia" w:ascii="黑体" w:hAnsi="黑体" w:eastAsia="黑体" w:cs="黑体"/>
          <w:color w:val="auto"/>
        </w:rPr>
      </w:pPr>
    </w:p>
    <w:p>
      <w:pPr>
        <w:widowControl/>
        <w:jc w:val="left"/>
        <w:rPr>
          <w:rFonts w:hint="eastAsia" w:ascii="黑体" w:hAnsi="黑体" w:eastAsia="黑体" w:cs="黑体"/>
          <w:color w:val="auto"/>
        </w:rPr>
        <w:sectPr>
          <w:pgSz w:w="11906" w:h="16838"/>
          <w:pgMar w:top="1418" w:right="1418" w:bottom="1418" w:left="1701" w:header="851" w:footer="992" w:gutter="0"/>
          <w:cols w:space="425" w:num="1"/>
          <w:docGrid w:type="lines" w:linePitch="312" w:charSpace="0"/>
        </w:sectPr>
      </w:pPr>
    </w:p>
    <w:p>
      <w:pPr>
        <w:widowControl/>
        <w:spacing w:line="360" w:lineRule="auto"/>
        <w:jc w:val="center"/>
        <w:rPr>
          <w:rFonts w:hint="eastAsia" w:ascii="黑体" w:hAnsi="黑体" w:eastAsia="黑体" w:cs="黑体"/>
          <w:color w:val="auto"/>
          <w:sz w:val="36"/>
          <w:szCs w:val="36"/>
        </w:rPr>
      </w:pPr>
      <w:r>
        <w:rPr>
          <w:rFonts w:hint="eastAsia" w:ascii="黑体" w:hAnsi="黑体" w:eastAsia="黑体" w:cs="黑体"/>
          <w:color w:val="auto"/>
          <w:sz w:val="36"/>
          <w:szCs w:val="36"/>
        </w:rPr>
        <w:t>目  录</w:t>
      </w:r>
    </w:p>
    <w:sdt>
      <w:sdtPr>
        <w:rPr>
          <w:rFonts w:hint="eastAsia" w:ascii="黑体" w:hAnsi="黑体" w:eastAsia="黑体" w:cs="黑体"/>
          <w:color w:val="auto"/>
          <w:sz w:val="32"/>
          <w:szCs w:val="32"/>
          <w:lang w:val="zh-CN"/>
        </w:rPr>
        <w:id w:val="-1199246136"/>
        <w:docPartObj>
          <w:docPartGallery w:val="Table of Contents"/>
          <w:docPartUnique/>
        </w:docPartObj>
      </w:sdtPr>
      <w:sdtEndPr>
        <w:rPr>
          <w:rFonts w:hint="eastAsia" w:ascii="宋体" w:hAnsi="宋体" w:eastAsia="宋体" w:cs="宋体"/>
          <w:b/>
          <w:bCs/>
          <w:color w:val="auto"/>
          <w:sz w:val="24"/>
          <w:szCs w:val="22"/>
          <w:lang w:val="zh-CN"/>
        </w:rPr>
      </w:sdtEndPr>
      <w:sdtContent>
        <w:p>
          <w:pPr>
            <w:pStyle w:val="19"/>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TOC \o "1-3" \h \z \u </w:instrText>
          </w:r>
          <w:r>
            <w:rPr>
              <w:rFonts w:hint="eastAsia" w:ascii="黑体" w:hAnsi="黑体" w:eastAsia="黑体" w:cs="黑体"/>
              <w:color w:val="auto"/>
            </w:rPr>
            <w:fldChar w:fldCharType="separate"/>
          </w: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"_Toc57875955" </w:instrText>
          </w:r>
          <w:r>
            <w:rPr>
              <w:rFonts w:hint="eastAsia" w:ascii="黑体" w:hAnsi="黑体" w:eastAsia="黑体" w:cs="黑体"/>
              <w:color w:val="auto"/>
            </w:rPr>
            <w:fldChar w:fldCharType="separate"/>
          </w:r>
          <w:r>
            <w:rPr>
              <w:rStyle w:val="29"/>
              <w:rFonts w:hint="eastAsia" w:ascii="黑体" w:hAnsi="黑体" w:eastAsia="黑体" w:cs="黑体"/>
              <w:color w:val="auto"/>
              <w:kern w:val="44"/>
              <w:u w:color="000000"/>
              <w:lang w:val="zh-TW" w:eastAsia="zh-TW"/>
            </w:rPr>
            <w:t xml:space="preserve">第一章  </w:t>
          </w:r>
          <w:r>
            <w:rPr>
              <w:rStyle w:val="29"/>
              <w:rFonts w:hint="eastAsia" w:ascii="黑体" w:hAnsi="黑体" w:eastAsia="黑体" w:cs="黑体"/>
              <w:color w:val="auto"/>
              <w:kern w:val="44"/>
              <w:u w:color="000000"/>
              <w:lang w:val="zh-TW"/>
            </w:rPr>
            <w:t>招标</w:t>
          </w:r>
          <w:r>
            <w:rPr>
              <w:rStyle w:val="29"/>
              <w:rFonts w:hint="eastAsia" w:ascii="黑体" w:hAnsi="黑体" w:eastAsia="黑体" w:cs="黑体"/>
              <w:color w:val="auto"/>
              <w:kern w:val="44"/>
              <w:u w:color="000000"/>
              <w:lang w:val="zh-TW" w:eastAsia="zh-TW"/>
            </w:rPr>
            <w:t>公告</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_Toc57875955 \h </w:instrText>
          </w:r>
          <w:r>
            <w:rPr>
              <w:rFonts w:hint="eastAsia" w:ascii="黑体" w:hAnsi="黑体" w:eastAsia="黑体" w:cs="黑体"/>
              <w:color w:val="auto"/>
            </w:rPr>
            <w:fldChar w:fldCharType="separate"/>
          </w:r>
          <w:r>
            <w:rPr>
              <w:rFonts w:hint="eastAsia" w:ascii="黑体" w:hAnsi="黑体" w:eastAsia="黑体" w:cs="黑体"/>
              <w:color w:val="auto"/>
            </w:rPr>
            <w:t>1</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9"/>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"_Toc57875956" </w:instrText>
          </w:r>
          <w:r>
            <w:rPr>
              <w:rFonts w:hint="eastAsia" w:ascii="黑体" w:hAnsi="黑体" w:eastAsia="黑体" w:cs="黑体"/>
              <w:color w:val="auto"/>
            </w:rPr>
            <w:fldChar w:fldCharType="separate"/>
          </w:r>
          <w:r>
            <w:rPr>
              <w:rStyle w:val="29"/>
              <w:rFonts w:hint="eastAsia" w:ascii="黑体" w:hAnsi="黑体" w:eastAsia="黑体" w:cs="黑体"/>
              <w:color w:val="auto"/>
              <w:kern w:val="44"/>
              <w:u w:color="000000"/>
              <w:lang w:val="zh-TW" w:eastAsia="zh-TW"/>
            </w:rPr>
            <w:t xml:space="preserve">第二章  </w:t>
          </w:r>
          <w:r>
            <w:rPr>
              <w:rStyle w:val="29"/>
              <w:rFonts w:hint="eastAsia" w:ascii="黑体" w:hAnsi="黑体" w:eastAsia="黑体" w:cs="黑体"/>
              <w:color w:val="auto"/>
              <w:kern w:val="44"/>
              <w:u w:color="000000"/>
              <w:lang w:val="zh-TW"/>
            </w:rPr>
            <w:t>投标人</w:t>
          </w:r>
          <w:r>
            <w:rPr>
              <w:rStyle w:val="29"/>
              <w:rFonts w:hint="eastAsia" w:ascii="黑体" w:hAnsi="黑体" w:eastAsia="黑体" w:cs="黑体"/>
              <w:color w:val="auto"/>
              <w:kern w:val="44"/>
              <w:u w:color="000000"/>
              <w:lang w:val="zh-TW" w:eastAsia="zh-TW"/>
            </w:rPr>
            <w:t>须知</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_Toc57875956 \h </w:instrText>
          </w:r>
          <w:r>
            <w:rPr>
              <w:rFonts w:hint="eastAsia" w:ascii="黑体" w:hAnsi="黑体" w:eastAsia="黑体" w:cs="黑体"/>
              <w:color w:val="auto"/>
            </w:rPr>
            <w:fldChar w:fldCharType="separate"/>
          </w:r>
          <w:r>
            <w:rPr>
              <w:rFonts w:hint="eastAsia" w:ascii="黑体" w:hAnsi="黑体" w:eastAsia="黑体" w:cs="黑体"/>
              <w:color w:val="auto"/>
            </w:rPr>
            <w:t>4</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9"/>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"_Toc57875957" </w:instrText>
          </w:r>
          <w:r>
            <w:rPr>
              <w:rFonts w:hint="eastAsia" w:ascii="黑体" w:hAnsi="黑体" w:eastAsia="黑体" w:cs="黑体"/>
              <w:color w:val="auto"/>
            </w:rPr>
            <w:fldChar w:fldCharType="separate"/>
          </w:r>
          <w:r>
            <w:rPr>
              <w:rStyle w:val="29"/>
              <w:rFonts w:hint="eastAsia" w:ascii="黑体" w:hAnsi="黑体" w:eastAsia="黑体" w:cs="黑体"/>
              <w:color w:val="auto"/>
              <w:kern w:val="44"/>
              <w:u w:color="000000"/>
              <w:lang w:val="zh-TW" w:eastAsia="zh-TW"/>
            </w:rPr>
            <w:t>第</w:t>
          </w:r>
          <w:r>
            <w:rPr>
              <w:rStyle w:val="29"/>
              <w:rFonts w:hint="eastAsia" w:ascii="黑体" w:hAnsi="黑体" w:eastAsia="黑体" w:cs="黑体"/>
              <w:color w:val="auto"/>
              <w:kern w:val="44"/>
              <w:u w:color="000000"/>
              <w:lang w:val="zh-TW"/>
            </w:rPr>
            <w:t>三</w:t>
          </w:r>
          <w:r>
            <w:rPr>
              <w:rStyle w:val="29"/>
              <w:rFonts w:hint="eastAsia" w:ascii="黑体" w:hAnsi="黑体" w:eastAsia="黑体" w:cs="黑体"/>
              <w:color w:val="auto"/>
              <w:kern w:val="44"/>
              <w:u w:color="000000"/>
              <w:lang w:val="zh-TW" w:eastAsia="zh-TW"/>
            </w:rPr>
            <w:t>章  合同条款及格式</w:t>
          </w:r>
          <w:bookmarkStart w:id="48" w:name="_GoBack"/>
          <w:bookmarkEnd w:id="48"/>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_Toc57875957 \h </w:instrText>
          </w:r>
          <w:r>
            <w:rPr>
              <w:rFonts w:hint="eastAsia" w:ascii="黑体" w:hAnsi="黑体" w:eastAsia="黑体" w:cs="黑体"/>
              <w:color w:val="auto"/>
            </w:rPr>
            <w:fldChar w:fldCharType="separate"/>
          </w:r>
          <w:r>
            <w:rPr>
              <w:rFonts w:hint="eastAsia" w:ascii="黑体" w:hAnsi="黑体" w:eastAsia="黑体" w:cs="黑体"/>
              <w:color w:val="auto"/>
            </w:rPr>
            <w:t>14</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9"/>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"_Toc57875958" </w:instrText>
          </w:r>
          <w:r>
            <w:rPr>
              <w:rFonts w:hint="eastAsia" w:ascii="黑体" w:hAnsi="黑体" w:eastAsia="黑体" w:cs="黑体"/>
              <w:color w:val="auto"/>
            </w:rPr>
            <w:fldChar w:fldCharType="separate"/>
          </w:r>
          <w:r>
            <w:rPr>
              <w:rStyle w:val="29"/>
              <w:rFonts w:hint="eastAsia" w:ascii="黑体" w:hAnsi="黑体" w:eastAsia="黑体" w:cs="黑体"/>
              <w:color w:val="auto"/>
              <w:kern w:val="44"/>
              <w:u w:color="000000"/>
              <w:lang w:val="zh-TW" w:eastAsia="zh-TW"/>
            </w:rPr>
            <w:t>第</w:t>
          </w:r>
          <w:r>
            <w:rPr>
              <w:rStyle w:val="29"/>
              <w:rFonts w:hint="eastAsia" w:ascii="黑体" w:hAnsi="黑体" w:eastAsia="黑体" w:cs="黑体"/>
              <w:color w:val="auto"/>
              <w:kern w:val="44"/>
              <w:u w:color="000000"/>
              <w:lang w:val="zh-TW"/>
            </w:rPr>
            <w:t>四</w:t>
          </w:r>
          <w:r>
            <w:rPr>
              <w:rStyle w:val="29"/>
              <w:rFonts w:hint="eastAsia" w:ascii="黑体" w:hAnsi="黑体" w:eastAsia="黑体" w:cs="黑体"/>
              <w:color w:val="auto"/>
              <w:kern w:val="44"/>
              <w:u w:color="000000"/>
              <w:lang w:val="zh-TW" w:eastAsia="zh-TW"/>
            </w:rPr>
            <w:t xml:space="preserve">章  </w:t>
          </w:r>
          <w:r>
            <w:rPr>
              <w:rStyle w:val="29"/>
              <w:rFonts w:hint="eastAsia" w:ascii="黑体" w:hAnsi="黑体" w:eastAsia="黑体" w:cs="黑体"/>
              <w:color w:val="auto"/>
              <w:kern w:val="44"/>
              <w:u w:color="000000"/>
              <w:lang w:val="zh-TW"/>
            </w:rPr>
            <w:t>项目需求</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_Toc57875958 \h </w:instrText>
          </w:r>
          <w:r>
            <w:rPr>
              <w:rFonts w:hint="eastAsia" w:ascii="黑体" w:hAnsi="黑体" w:eastAsia="黑体" w:cs="黑体"/>
              <w:color w:val="auto"/>
            </w:rPr>
            <w:fldChar w:fldCharType="separate"/>
          </w:r>
          <w:r>
            <w:rPr>
              <w:rFonts w:hint="eastAsia" w:ascii="黑体" w:hAnsi="黑体" w:eastAsia="黑体" w:cs="黑体"/>
              <w:color w:val="auto"/>
            </w:rPr>
            <w:t>14</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9"/>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"_Toc57875959" </w:instrText>
          </w:r>
          <w:r>
            <w:rPr>
              <w:rFonts w:hint="eastAsia" w:ascii="黑体" w:hAnsi="黑体" w:eastAsia="黑体" w:cs="黑体"/>
              <w:color w:val="auto"/>
            </w:rPr>
            <w:fldChar w:fldCharType="separate"/>
          </w:r>
          <w:r>
            <w:rPr>
              <w:rStyle w:val="29"/>
              <w:rFonts w:hint="eastAsia" w:ascii="黑体" w:hAnsi="黑体" w:eastAsia="黑体" w:cs="黑体"/>
              <w:color w:val="auto"/>
              <w:kern w:val="44"/>
              <w:u w:color="000000"/>
              <w:lang w:val="zh-TW" w:eastAsia="zh-TW"/>
            </w:rPr>
            <w:t>第</w:t>
          </w:r>
          <w:r>
            <w:rPr>
              <w:rStyle w:val="29"/>
              <w:rFonts w:hint="eastAsia" w:ascii="黑体" w:hAnsi="黑体" w:eastAsia="黑体" w:cs="黑体"/>
              <w:color w:val="auto"/>
              <w:kern w:val="44"/>
              <w:u w:color="000000"/>
              <w:lang w:val="zh-TW"/>
            </w:rPr>
            <w:t>五</w:t>
          </w:r>
          <w:r>
            <w:rPr>
              <w:rStyle w:val="29"/>
              <w:rFonts w:hint="eastAsia" w:ascii="黑体" w:hAnsi="黑体" w:eastAsia="黑体" w:cs="黑体"/>
              <w:color w:val="auto"/>
              <w:kern w:val="44"/>
              <w:u w:color="000000"/>
              <w:lang w:val="zh-TW" w:eastAsia="zh-TW"/>
            </w:rPr>
            <w:t>章  评标方法与评标标准</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_Toc57875959 \h </w:instrText>
          </w:r>
          <w:r>
            <w:rPr>
              <w:rFonts w:hint="eastAsia" w:ascii="黑体" w:hAnsi="黑体" w:eastAsia="黑体" w:cs="黑体"/>
              <w:color w:val="auto"/>
            </w:rPr>
            <w:fldChar w:fldCharType="separate"/>
          </w:r>
          <w:r>
            <w:rPr>
              <w:rFonts w:hint="eastAsia" w:ascii="黑体" w:hAnsi="黑体" w:eastAsia="黑体" w:cs="黑体"/>
              <w:color w:val="auto"/>
            </w:rPr>
            <w:t>21</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9"/>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"_Toc57875960" </w:instrText>
          </w:r>
          <w:r>
            <w:rPr>
              <w:rFonts w:hint="eastAsia" w:ascii="黑体" w:hAnsi="黑体" w:eastAsia="黑体" w:cs="黑体"/>
              <w:color w:val="auto"/>
            </w:rPr>
            <w:fldChar w:fldCharType="separate"/>
          </w:r>
          <w:r>
            <w:rPr>
              <w:rStyle w:val="29"/>
              <w:rFonts w:hint="eastAsia" w:ascii="黑体" w:hAnsi="黑体" w:eastAsia="黑体" w:cs="黑体"/>
              <w:color w:val="auto"/>
              <w:kern w:val="44"/>
              <w:u w:color="000000"/>
              <w:lang w:val="zh-TW" w:eastAsia="zh-TW"/>
            </w:rPr>
            <w:t>第</w:t>
          </w:r>
          <w:r>
            <w:rPr>
              <w:rStyle w:val="29"/>
              <w:rFonts w:hint="eastAsia" w:ascii="黑体" w:hAnsi="黑体" w:eastAsia="黑体" w:cs="黑体"/>
              <w:color w:val="auto"/>
              <w:kern w:val="44"/>
              <w:u w:color="000000"/>
              <w:lang w:val="zh-TW"/>
            </w:rPr>
            <w:t>六</w:t>
          </w:r>
          <w:r>
            <w:rPr>
              <w:rStyle w:val="29"/>
              <w:rFonts w:hint="eastAsia" w:ascii="黑体" w:hAnsi="黑体" w:eastAsia="黑体" w:cs="黑体"/>
              <w:color w:val="auto"/>
              <w:kern w:val="44"/>
              <w:u w:color="000000"/>
              <w:lang w:val="zh-TW" w:eastAsia="zh-TW"/>
            </w:rPr>
            <w:t>章  投标文件格式</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_Toc57875960 \h </w:instrText>
          </w:r>
          <w:r>
            <w:rPr>
              <w:rFonts w:hint="eastAsia" w:ascii="黑体" w:hAnsi="黑体" w:eastAsia="黑体" w:cs="黑体"/>
              <w:color w:val="auto"/>
            </w:rPr>
            <w:fldChar w:fldCharType="separate"/>
          </w:r>
          <w:r>
            <w:rPr>
              <w:rFonts w:hint="eastAsia" w:ascii="黑体" w:hAnsi="黑体" w:eastAsia="黑体" w:cs="黑体"/>
              <w:color w:val="auto"/>
            </w:rPr>
            <w:t>24</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3"/>
            <w:tabs>
              <w:tab w:val="right" w:leader="dot" w:pos="8777"/>
            </w:tabs>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"_Toc57875961" </w:instrText>
          </w:r>
          <w:r>
            <w:rPr>
              <w:rFonts w:hint="eastAsia" w:ascii="黑体" w:hAnsi="黑体" w:eastAsia="黑体" w:cs="黑体"/>
              <w:color w:val="auto"/>
            </w:rPr>
            <w:fldChar w:fldCharType="separate"/>
          </w:r>
          <w:r>
            <w:rPr>
              <w:rStyle w:val="29"/>
              <w:rFonts w:hint="eastAsia" w:ascii="黑体" w:hAnsi="黑体" w:eastAsia="黑体" w:cs="黑体"/>
              <w:color w:val="auto"/>
              <w:u w:color="000000"/>
            </w:rPr>
            <w:t>6.1 投标函</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_Toc57875961 \h </w:instrText>
          </w:r>
          <w:r>
            <w:rPr>
              <w:rFonts w:hint="eastAsia" w:ascii="黑体" w:hAnsi="黑体" w:eastAsia="黑体" w:cs="黑体"/>
              <w:color w:val="auto"/>
            </w:rPr>
            <w:fldChar w:fldCharType="separate"/>
          </w:r>
          <w:r>
            <w:rPr>
              <w:rFonts w:hint="eastAsia" w:ascii="黑体" w:hAnsi="黑体" w:eastAsia="黑体" w:cs="黑体"/>
              <w:color w:val="auto"/>
            </w:rPr>
            <w:t>27</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3"/>
            <w:tabs>
              <w:tab w:val="right" w:leader="dot" w:pos="8777"/>
            </w:tabs>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"_Toc57875962" </w:instrText>
          </w:r>
          <w:r>
            <w:rPr>
              <w:rFonts w:hint="eastAsia" w:ascii="黑体" w:hAnsi="黑体" w:eastAsia="黑体" w:cs="黑体"/>
              <w:color w:val="auto"/>
            </w:rPr>
            <w:fldChar w:fldCharType="separate"/>
          </w:r>
          <w:r>
            <w:rPr>
              <w:rStyle w:val="29"/>
              <w:rFonts w:hint="eastAsia" w:ascii="黑体" w:hAnsi="黑体" w:eastAsia="黑体" w:cs="黑体"/>
              <w:color w:val="auto"/>
              <w:u w:color="000000"/>
            </w:rPr>
            <w:t>6.2 投标一览表</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_Toc57875962 \h </w:instrText>
          </w:r>
          <w:r>
            <w:rPr>
              <w:rFonts w:hint="eastAsia" w:ascii="黑体" w:hAnsi="黑体" w:eastAsia="黑体" w:cs="黑体"/>
              <w:color w:val="auto"/>
            </w:rPr>
            <w:fldChar w:fldCharType="separate"/>
          </w:r>
          <w:r>
            <w:rPr>
              <w:rFonts w:hint="eastAsia" w:ascii="黑体" w:hAnsi="黑体" w:eastAsia="黑体" w:cs="黑体"/>
              <w:color w:val="auto"/>
            </w:rPr>
            <w:t>28</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3"/>
            <w:tabs>
              <w:tab w:val="right" w:leader="dot" w:pos="8777"/>
            </w:tabs>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"_Toc57875963" </w:instrText>
          </w:r>
          <w:r>
            <w:rPr>
              <w:rFonts w:hint="eastAsia" w:ascii="黑体" w:hAnsi="黑体" w:eastAsia="黑体" w:cs="黑体"/>
              <w:color w:val="auto"/>
            </w:rPr>
            <w:fldChar w:fldCharType="separate"/>
          </w:r>
          <w:r>
            <w:rPr>
              <w:rStyle w:val="29"/>
              <w:rFonts w:hint="eastAsia" w:ascii="黑体" w:hAnsi="黑体" w:eastAsia="黑体" w:cs="黑体"/>
              <w:color w:val="auto"/>
              <w:u w:color="000000"/>
            </w:rPr>
            <w:t>6.3 法定代表人授权委托书</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_Toc57875963 \h </w:instrText>
          </w:r>
          <w:r>
            <w:rPr>
              <w:rFonts w:hint="eastAsia" w:ascii="黑体" w:hAnsi="黑体" w:eastAsia="黑体" w:cs="黑体"/>
              <w:color w:val="auto"/>
            </w:rPr>
            <w:fldChar w:fldCharType="separate"/>
          </w:r>
          <w:r>
            <w:rPr>
              <w:rFonts w:hint="eastAsia" w:ascii="黑体" w:hAnsi="黑体" w:eastAsia="黑体" w:cs="黑体"/>
              <w:color w:val="auto"/>
            </w:rPr>
            <w:t>30</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3"/>
            <w:tabs>
              <w:tab w:val="right" w:leader="dot" w:pos="8777"/>
            </w:tabs>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"_Toc57875964" </w:instrText>
          </w:r>
          <w:r>
            <w:rPr>
              <w:rFonts w:hint="eastAsia" w:ascii="黑体" w:hAnsi="黑体" w:eastAsia="黑体" w:cs="黑体"/>
              <w:color w:val="auto"/>
            </w:rPr>
            <w:fldChar w:fldCharType="separate"/>
          </w:r>
          <w:r>
            <w:rPr>
              <w:rStyle w:val="29"/>
              <w:rFonts w:hint="eastAsia" w:ascii="黑体" w:hAnsi="黑体" w:eastAsia="黑体" w:cs="黑体"/>
              <w:color w:val="auto"/>
              <w:u w:color="000000"/>
            </w:rPr>
            <w:t>6.4 资格证明文件</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_Toc57875964 \h </w:instrText>
          </w:r>
          <w:r>
            <w:rPr>
              <w:rFonts w:hint="eastAsia" w:ascii="黑体" w:hAnsi="黑体" w:eastAsia="黑体" w:cs="黑体"/>
              <w:color w:val="auto"/>
            </w:rPr>
            <w:fldChar w:fldCharType="separate"/>
          </w:r>
          <w:r>
            <w:rPr>
              <w:rFonts w:hint="eastAsia" w:ascii="黑体" w:hAnsi="黑体" w:eastAsia="黑体" w:cs="黑体"/>
              <w:color w:val="auto"/>
            </w:rPr>
            <w:t>32</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3"/>
            <w:tabs>
              <w:tab w:val="right" w:leader="dot" w:pos="8777"/>
            </w:tabs>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"_Toc57875965" </w:instrText>
          </w:r>
          <w:r>
            <w:rPr>
              <w:rFonts w:hint="eastAsia" w:ascii="黑体" w:hAnsi="黑体" w:eastAsia="黑体" w:cs="黑体"/>
              <w:color w:val="auto"/>
            </w:rPr>
            <w:fldChar w:fldCharType="separate"/>
          </w:r>
          <w:r>
            <w:rPr>
              <w:rStyle w:val="29"/>
              <w:rFonts w:hint="eastAsia" w:ascii="黑体" w:hAnsi="黑体" w:eastAsia="黑体" w:cs="黑体"/>
              <w:color w:val="auto"/>
              <w:u w:color="000000"/>
            </w:rPr>
            <w:t>6.5 商务条款响应及偏离表</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_Toc57875965 \h </w:instrText>
          </w:r>
          <w:r>
            <w:rPr>
              <w:rFonts w:hint="eastAsia" w:ascii="黑体" w:hAnsi="黑体" w:eastAsia="黑体" w:cs="黑体"/>
              <w:color w:val="auto"/>
            </w:rPr>
            <w:fldChar w:fldCharType="separate"/>
          </w:r>
          <w:r>
            <w:rPr>
              <w:rFonts w:hint="eastAsia" w:ascii="黑体" w:hAnsi="黑体" w:eastAsia="黑体" w:cs="黑体"/>
              <w:color w:val="auto"/>
            </w:rPr>
            <w:t>36</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3"/>
            <w:tabs>
              <w:tab w:val="right" w:leader="dot" w:pos="8777"/>
            </w:tabs>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"_Toc57875966" </w:instrText>
          </w:r>
          <w:r>
            <w:rPr>
              <w:rFonts w:hint="eastAsia" w:ascii="黑体" w:hAnsi="黑体" w:eastAsia="黑体" w:cs="黑体"/>
              <w:color w:val="auto"/>
            </w:rPr>
            <w:fldChar w:fldCharType="separate"/>
          </w:r>
          <w:r>
            <w:rPr>
              <w:rStyle w:val="29"/>
              <w:rFonts w:hint="eastAsia" w:ascii="黑体" w:hAnsi="黑体" w:eastAsia="黑体" w:cs="黑体"/>
              <w:color w:val="auto"/>
              <w:u w:color="000000"/>
            </w:rPr>
            <w:t>6.6 技术参数响应及偏离表</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_Toc57875966 \h </w:instrText>
          </w:r>
          <w:r>
            <w:rPr>
              <w:rFonts w:hint="eastAsia" w:ascii="黑体" w:hAnsi="黑体" w:eastAsia="黑体" w:cs="黑体"/>
              <w:color w:val="auto"/>
            </w:rPr>
            <w:fldChar w:fldCharType="separate"/>
          </w:r>
          <w:r>
            <w:rPr>
              <w:rFonts w:hint="eastAsia" w:ascii="黑体" w:hAnsi="黑体" w:eastAsia="黑体" w:cs="黑体"/>
              <w:color w:val="auto"/>
            </w:rPr>
            <w:t>37</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3"/>
            <w:tabs>
              <w:tab w:val="right" w:leader="dot" w:pos="8777"/>
            </w:tabs>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"_Toc57875967" </w:instrText>
          </w:r>
          <w:r>
            <w:rPr>
              <w:rFonts w:hint="eastAsia" w:ascii="黑体" w:hAnsi="黑体" w:eastAsia="黑体" w:cs="黑体"/>
              <w:color w:val="auto"/>
            </w:rPr>
            <w:fldChar w:fldCharType="separate"/>
          </w:r>
          <w:r>
            <w:rPr>
              <w:rStyle w:val="29"/>
              <w:rFonts w:hint="eastAsia" w:ascii="黑体" w:hAnsi="黑体" w:eastAsia="黑体" w:cs="黑体"/>
              <w:color w:val="auto"/>
              <w:u w:color="000000"/>
            </w:rPr>
            <w:t>6.7 技术规范点对点应答</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_Toc57875967 \h </w:instrText>
          </w:r>
          <w:r>
            <w:rPr>
              <w:rFonts w:hint="eastAsia" w:ascii="黑体" w:hAnsi="黑体" w:eastAsia="黑体" w:cs="黑体"/>
              <w:color w:val="auto"/>
            </w:rPr>
            <w:fldChar w:fldCharType="separate"/>
          </w:r>
          <w:r>
            <w:rPr>
              <w:rFonts w:hint="eastAsia" w:ascii="黑体" w:hAnsi="黑体" w:eastAsia="黑体" w:cs="黑体"/>
              <w:color w:val="auto"/>
            </w:rPr>
            <w:t>38</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3"/>
            <w:tabs>
              <w:tab w:val="right" w:leader="dot" w:pos="8777"/>
            </w:tabs>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"_Toc57875968" </w:instrText>
          </w:r>
          <w:r>
            <w:rPr>
              <w:rFonts w:hint="eastAsia" w:ascii="黑体" w:hAnsi="黑体" w:eastAsia="黑体" w:cs="黑体"/>
              <w:color w:val="auto"/>
            </w:rPr>
            <w:fldChar w:fldCharType="separate"/>
          </w:r>
          <w:r>
            <w:rPr>
              <w:rStyle w:val="29"/>
              <w:rFonts w:hint="eastAsia" w:ascii="黑体" w:hAnsi="黑体" w:eastAsia="黑体" w:cs="黑体"/>
              <w:color w:val="auto"/>
              <w:u w:color="000000"/>
            </w:rPr>
            <w:t>6.8 业绩情况表</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_Toc57875968 \h </w:instrText>
          </w:r>
          <w:r>
            <w:rPr>
              <w:rFonts w:hint="eastAsia" w:ascii="黑体" w:hAnsi="黑体" w:eastAsia="黑体" w:cs="黑体"/>
              <w:color w:val="auto"/>
            </w:rPr>
            <w:fldChar w:fldCharType="separate"/>
          </w:r>
          <w:r>
            <w:rPr>
              <w:rFonts w:hint="eastAsia" w:ascii="黑体" w:hAnsi="黑体" w:eastAsia="黑体" w:cs="黑体"/>
              <w:color w:val="auto"/>
            </w:rPr>
            <w:t>39</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3"/>
            <w:tabs>
              <w:tab w:val="right" w:leader="dot" w:pos="8777"/>
            </w:tabs>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"_Toc57875969" </w:instrText>
          </w:r>
          <w:r>
            <w:rPr>
              <w:rFonts w:hint="eastAsia" w:ascii="黑体" w:hAnsi="黑体" w:eastAsia="黑体" w:cs="黑体"/>
              <w:color w:val="auto"/>
            </w:rPr>
            <w:fldChar w:fldCharType="separate"/>
          </w:r>
          <w:r>
            <w:rPr>
              <w:rStyle w:val="29"/>
              <w:rFonts w:hint="eastAsia" w:ascii="黑体" w:hAnsi="黑体" w:eastAsia="黑体" w:cs="黑体"/>
              <w:color w:val="auto"/>
              <w:u w:color="000000"/>
            </w:rPr>
            <w:t>6.9 技术方案</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_Toc57875969 \h </w:instrText>
          </w:r>
          <w:r>
            <w:rPr>
              <w:rFonts w:hint="eastAsia" w:ascii="黑体" w:hAnsi="黑体" w:eastAsia="黑体" w:cs="黑体"/>
              <w:color w:val="auto"/>
            </w:rPr>
            <w:fldChar w:fldCharType="separate"/>
          </w:r>
          <w:r>
            <w:rPr>
              <w:rFonts w:hint="eastAsia" w:ascii="黑体" w:hAnsi="黑体" w:eastAsia="黑体" w:cs="黑体"/>
              <w:color w:val="auto"/>
            </w:rPr>
            <w:t>40</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3"/>
            <w:tabs>
              <w:tab w:val="right" w:leader="dot" w:pos="8777"/>
            </w:tabs>
            <w:rPr>
              <w:rFonts w:hint="eastAsia" w:ascii="黑体" w:hAnsi="黑体" w:eastAsia="黑体" w:cs="黑体"/>
              <w:color w:val="auto"/>
              <w:kern w:val="2"/>
              <w:sz w:val="21"/>
            </w:rPr>
          </w:pPr>
          <w:r>
            <w:rPr>
              <w:rFonts w:hint="eastAsia" w:ascii="黑体" w:hAnsi="黑体" w:eastAsia="黑体" w:cs="黑体"/>
              <w:color w:val="auto"/>
            </w:rPr>
            <w:fldChar w:fldCharType="begin"/>
          </w:r>
          <w:r>
            <w:rPr>
              <w:rFonts w:hint="eastAsia" w:ascii="黑体" w:hAnsi="黑体" w:eastAsia="黑体" w:cs="黑体"/>
              <w:color w:val="auto"/>
            </w:rPr>
            <w:instrText xml:space="preserve"> HYPERLINK \l "_Toc57875970" </w:instrText>
          </w:r>
          <w:r>
            <w:rPr>
              <w:rFonts w:hint="eastAsia" w:ascii="黑体" w:hAnsi="黑体" w:eastAsia="黑体" w:cs="黑体"/>
              <w:color w:val="auto"/>
            </w:rPr>
            <w:fldChar w:fldCharType="separate"/>
          </w:r>
          <w:r>
            <w:rPr>
              <w:rStyle w:val="29"/>
              <w:rFonts w:hint="eastAsia" w:ascii="黑体" w:hAnsi="黑体" w:eastAsia="黑体" w:cs="黑体"/>
              <w:color w:val="auto"/>
              <w:u w:color="000000"/>
            </w:rPr>
            <w:t>6.10 投标人其它声明及材料</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_Toc57875970 \h </w:instrText>
          </w:r>
          <w:r>
            <w:rPr>
              <w:rFonts w:hint="eastAsia" w:ascii="黑体" w:hAnsi="黑体" w:eastAsia="黑体" w:cs="黑体"/>
              <w:color w:val="auto"/>
            </w:rPr>
            <w:fldChar w:fldCharType="separate"/>
          </w:r>
          <w:r>
            <w:rPr>
              <w:rFonts w:hint="eastAsia" w:ascii="黑体" w:hAnsi="黑体" w:eastAsia="黑体" w:cs="黑体"/>
              <w:color w:val="auto"/>
            </w:rPr>
            <w:t>41</w:t>
          </w:r>
          <w:r>
            <w:rPr>
              <w:rFonts w:hint="eastAsia" w:ascii="黑体" w:hAnsi="黑体" w:eastAsia="黑体" w:cs="黑体"/>
              <w:color w:val="auto"/>
            </w:rPr>
            <w:fldChar w:fldCharType="end"/>
          </w:r>
          <w:r>
            <w:rPr>
              <w:rFonts w:hint="eastAsia" w:ascii="黑体" w:hAnsi="黑体" w:eastAsia="黑体" w:cs="黑体"/>
              <w:color w:val="auto"/>
            </w:rPr>
            <w:fldChar w:fldCharType="end"/>
          </w:r>
        </w:p>
        <w:p>
          <w:pPr>
            <w:pStyle w:val="19"/>
            <w:rPr>
              <w:rFonts w:hint="eastAsia" w:ascii="宋体" w:hAnsi="宋体" w:eastAsia="宋体" w:cs="宋体"/>
              <w:color w:val="auto"/>
            </w:rPr>
          </w:pPr>
          <w:r>
            <w:rPr>
              <w:rFonts w:hint="eastAsia" w:ascii="黑体" w:hAnsi="黑体" w:eastAsia="黑体" w:cs="黑体"/>
              <w:color w:val="auto"/>
            </w:rPr>
            <w:fldChar w:fldCharType="end"/>
          </w:r>
        </w:p>
      </w:sdtContent>
    </w:sdt>
    <w:p>
      <w:pPr>
        <w:widowControl/>
        <w:jc w:val="left"/>
        <w:rPr>
          <w:rFonts w:hint="eastAsia" w:ascii="宋体" w:hAnsi="宋体" w:eastAsia="宋体" w:cs="宋体"/>
          <w:color w:val="auto"/>
        </w:rPr>
        <w:sectPr>
          <w:headerReference r:id="rId3" w:type="default"/>
          <w:footerReference r:id="rId4" w:type="default"/>
          <w:pgSz w:w="11906" w:h="16838"/>
          <w:pgMar w:top="1418" w:right="1418" w:bottom="1418" w:left="1701" w:header="851" w:footer="992" w:gutter="0"/>
          <w:pgNumType w:fmt="upperRoman" w:start="1"/>
          <w:cols w:space="425" w:num="1"/>
          <w:docGrid w:type="lines" w:linePitch="312" w:charSpace="0"/>
        </w:sectPr>
      </w:pPr>
    </w:p>
    <w:p>
      <w:pPr>
        <w:keepNext/>
        <w:keepLines/>
        <w:spacing w:before="312" w:beforeLines="100" w:after="312" w:afterLines="100" w:line="360" w:lineRule="auto"/>
        <w:jc w:val="center"/>
        <w:outlineLvl w:val="0"/>
        <w:rPr>
          <w:rFonts w:hint="eastAsia" w:ascii="宋体" w:hAnsi="宋体" w:eastAsia="宋体" w:cs="宋体"/>
          <w:color w:val="auto"/>
          <w:kern w:val="44"/>
          <w:sz w:val="36"/>
          <w:szCs w:val="36"/>
          <w:u w:color="000000"/>
          <w:lang w:val="zh-TW" w:eastAsia="zh-TW"/>
        </w:rPr>
      </w:pPr>
      <w:bookmarkStart w:id="0" w:name="_Toc"/>
      <w:bookmarkStart w:id="1" w:name="_Toc57875955"/>
      <w:bookmarkStart w:id="2" w:name="_Toc415494523"/>
      <w:bookmarkStart w:id="3" w:name="_Toc448069940"/>
      <w:r>
        <w:rPr>
          <w:rFonts w:hint="eastAsia" w:ascii="宋体" w:hAnsi="宋体" w:eastAsia="宋体" w:cs="宋体"/>
          <w:color w:val="auto"/>
          <w:kern w:val="44"/>
          <w:sz w:val="36"/>
          <w:szCs w:val="36"/>
          <w:u w:color="000000"/>
          <w:lang w:val="zh-TW" w:eastAsia="zh-TW"/>
        </w:rPr>
        <w:t xml:space="preserve">第一章  </w:t>
      </w:r>
      <w:r>
        <w:rPr>
          <w:rFonts w:hint="eastAsia" w:ascii="宋体" w:hAnsi="宋体" w:eastAsia="宋体" w:cs="宋体"/>
          <w:color w:val="auto"/>
          <w:kern w:val="44"/>
          <w:sz w:val="36"/>
          <w:szCs w:val="36"/>
          <w:u w:color="000000"/>
          <w:lang w:val="zh-TW"/>
        </w:rPr>
        <w:t>招标</w:t>
      </w:r>
      <w:r>
        <w:rPr>
          <w:rFonts w:hint="eastAsia" w:ascii="宋体" w:hAnsi="宋体" w:eastAsia="宋体" w:cs="宋体"/>
          <w:color w:val="auto"/>
          <w:kern w:val="44"/>
          <w:sz w:val="36"/>
          <w:szCs w:val="36"/>
          <w:u w:color="000000"/>
          <w:lang w:val="zh-TW" w:eastAsia="zh-TW"/>
        </w:rPr>
        <w:t>公告</w:t>
      </w:r>
      <w:bookmarkEnd w:id="0"/>
      <w:bookmarkEnd w:id="1"/>
      <w:bookmarkEnd w:id="2"/>
      <w:bookmarkEnd w:id="3"/>
    </w:p>
    <w:p>
      <w:pPr>
        <w:spacing w:line="360" w:lineRule="auto"/>
        <w:ind w:firstLine="482" w:firstLineChars="200"/>
        <w:rPr>
          <w:rFonts w:hint="eastAsia" w:ascii="宋体" w:hAnsi="宋体" w:eastAsia="宋体" w:cs="宋体"/>
          <w:b/>
          <w:color w:val="auto"/>
          <w:sz w:val="24"/>
          <w:szCs w:val="24"/>
        </w:rPr>
      </w:pPr>
      <w:bookmarkStart w:id="4" w:name="_Toc448069941"/>
      <w:bookmarkStart w:id="5" w:name="_Toc1"/>
      <w:bookmarkStart w:id="6" w:name="_Toc415494524"/>
      <w:r>
        <w:rPr>
          <w:rFonts w:hint="eastAsia" w:ascii="宋体" w:hAnsi="宋体" w:eastAsia="宋体" w:cs="宋体"/>
          <w:b/>
          <w:color w:val="auto"/>
          <w:sz w:val="24"/>
          <w:szCs w:val="24"/>
        </w:rPr>
        <w:t>项目概况</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南京邮电大学通达学院通信原理虚实结合实验平台采购项目</w:t>
      </w:r>
      <w:r>
        <w:rPr>
          <w:rFonts w:hint="eastAsia" w:ascii="宋体" w:hAnsi="宋体" w:eastAsia="宋体" w:cs="宋体"/>
          <w:color w:val="auto"/>
          <w:sz w:val="24"/>
          <w:szCs w:val="24"/>
        </w:rPr>
        <w:t>招标项目的潜在投标人应在</w:t>
      </w:r>
      <w:r>
        <w:rPr>
          <w:rFonts w:hint="eastAsia" w:ascii="宋体" w:hAnsi="宋体" w:eastAsia="宋体" w:cs="宋体"/>
          <w:b/>
          <w:color w:val="auto"/>
          <w:sz w:val="24"/>
          <w:szCs w:val="24"/>
        </w:rPr>
        <w:t>中通服咨询设计研究院有限公司</w:t>
      </w:r>
      <w:r>
        <w:rPr>
          <w:rFonts w:hint="eastAsia" w:ascii="宋体" w:hAnsi="宋体" w:eastAsia="宋体" w:cs="宋体"/>
          <w:color w:val="auto"/>
          <w:sz w:val="24"/>
          <w:szCs w:val="24"/>
        </w:rPr>
        <w:t>获取招标文件，并于</w:t>
      </w:r>
      <w:r>
        <w:rPr>
          <w:rFonts w:hint="eastAsia" w:ascii="宋体" w:hAnsi="宋体" w:eastAsia="宋体" w:cs="宋体"/>
          <w:b/>
          <w:color w:val="auto"/>
          <w:sz w:val="24"/>
          <w:szCs w:val="24"/>
        </w:rPr>
        <w:t>202</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年</w:t>
      </w:r>
      <w:r>
        <w:rPr>
          <w:rFonts w:hint="eastAsia" w:ascii="宋体" w:hAnsi="宋体" w:eastAsia="宋体" w:cs="宋体"/>
          <w:b/>
          <w:color w:val="auto"/>
          <w:sz w:val="24"/>
          <w:szCs w:val="24"/>
          <w:lang w:val="en-US" w:eastAsia="zh-CN"/>
        </w:rPr>
        <w:t>10</w:t>
      </w:r>
      <w:r>
        <w:rPr>
          <w:rFonts w:hint="eastAsia" w:ascii="宋体" w:hAnsi="宋体" w:eastAsia="宋体" w:cs="宋体"/>
          <w:b/>
          <w:color w:val="auto"/>
          <w:sz w:val="24"/>
          <w:szCs w:val="24"/>
        </w:rPr>
        <w:t>月</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日</w:t>
      </w:r>
      <w:r>
        <w:rPr>
          <w:rFonts w:hint="eastAsia" w:ascii="宋体" w:hAnsi="宋体" w:eastAsia="宋体" w:cs="宋体"/>
          <w:b/>
          <w:color w:val="auto"/>
          <w:sz w:val="24"/>
          <w:szCs w:val="24"/>
          <w:lang w:val="en-US" w:eastAsia="zh-CN"/>
        </w:rPr>
        <w:t>14</w:t>
      </w:r>
      <w:r>
        <w:rPr>
          <w:rFonts w:hint="eastAsia" w:ascii="宋体" w:hAnsi="宋体" w:eastAsia="宋体" w:cs="宋体"/>
          <w:b/>
          <w:color w:val="auto"/>
          <w:sz w:val="24"/>
          <w:szCs w:val="24"/>
        </w:rPr>
        <w:t>时</w:t>
      </w:r>
      <w:r>
        <w:rPr>
          <w:rFonts w:hint="eastAsia" w:ascii="宋体" w:hAnsi="宋体" w:eastAsia="宋体" w:cs="宋体"/>
          <w:b/>
          <w:color w:val="auto"/>
          <w:sz w:val="24"/>
          <w:szCs w:val="24"/>
          <w:lang w:val="en-US" w:eastAsia="zh-CN"/>
        </w:rPr>
        <w:t>00</w:t>
      </w:r>
      <w:r>
        <w:rPr>
          <w:rFonts w:hint="eastAsia" w:ascii="宋体" w:hAnsi="宋体" w:eastAsia="宋体" w:cs="宋体"/>
          <w:b/>
          <w:color w:val="auto"/>
          <w:sz w:val="24"/>
          <w:szCs w:val="24"/>
        </w:rPr>
        <w:t>分</w:t>
      </w:r>
      <w:r>
        <w:rPr>
          <w:rFonts w:hint="eastAsia" w:ascii="宋体" w:hAnsi="宋体" w:eastAsia="宋体" w:cs="宋体"/>
          <w:color w:val="auto"/>
          <w:sz w:val="24"/>
          <w:szCs w:val="24"/>
        </w:rPr>
        <w:t>（北京时间）前递交投标文件。</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一、项目基本情况</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TDCG2022037</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南京邮电大学通达学院通信原理虚实结合实验平台采购项目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预算金额：人民币</w:t>
      </w: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rPr>
        <w:t>万元（含税）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最高限价：人民币</w:t>
      </w: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rPr>
        <w:t>万元（含税）</w:t>
      </w:r>
    </w:p>
    <w:p>
      <w:pPr>
        <w:spacing w:line="360" w:lineRule="auto"/>
        <w:ind w:firstLine="480" w:firstLineChars="200"/>
        <w:rPr>
          <w:rFonts w:hint="eastAsia"/>
          <w:color w:val="auto"/>
        </w:rPr>
      </w:pPr>
      <w:r>
        <w:rPr>
          <w:rFonts w:hint="eastAsia" w:ascii="宋体" w:hAnsi="宋体" w:eastAsia="宋体" w:cs="宋体"/>
          <w:color w:val="auto"/>
          <w:sz w:val="24"/>
          <w:szCs w:val="24"/>
        </w:rPr>
        <w:t>采购需求：</w:t>
      </w:r>
    </w:p>
    <w:tbl>
      <w:tblPr>
        <w:tblStyle w:val="24"/>
        <w:tblW w:w="3172" w:type="pct"/>
        <w:jc w:val="center"/>
        <w:tblLayout w:type="autofit"/>
        <w:tblCellMar>
          <w:top w:w="0" w:type="dxa"/>
          <w:left w:w="108" w:type="dxa"/>
          <w:bottom w:w="0" w:type="dxa"/>
          <w:right w:w="108" w:type="dxa"/>
        </w:tblCellMar>
      </w:tblPr>
      <w:tblGrid>
        <w:gridCol w:w="713"/>
        <w:gridCol w:w="2572"/>
        <w:gridCol w:w="1285"/>
        <w:gridCol w:w="1142"/>
      </w:tblGrid>
      <w:tr>
        <w:tblPrEx>
          <w:tblCellMar>
            <w:top w:w="0" w:type="dxa"/>
            <w:left w:w="108" w:type="dxa"/>
            <w:bottom w:w="0" w:type="dxa"/>
            <w:right w:w="108" w:type="dxa"/>
          </w:tblCellMar>
        </w:tblPrEx>
        <w:trPr>
          <w:trHeight w:val="428"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cs="宋体"/>
                <w:color w:val="auto"/>
                <w:kern w:val="0"/>
                <w:sz w:val="22"/>
              </w:rPr>
            </w:pPr>
            <w:r>
              <w:rPr>
                <w:rFonts w:hint="eastAsia" w:ascii="宋体" w:hAnsi="宋体" w:cs="宋体"/>
                <w:color w:val="auto"/>
                <w:kern w:val="0"/>
                <w:sz w:val="22"/>
              </w:rPr>
              <w:t>序号</w:t>
            </w:r>
          </w:p>
        </w:tc>
        <w:tc>
          <w:tcPr>
            <w:tcW w:w="225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cs="宋体"/>
                <w:color w:val="auto"/>
                <w:kern w:val="0"/>
                <w:sz w:val="22"/>
              </w:rPr>
            </w:pPr>
            <w:r>
              <w:rPr>
                <w:rFonts w:hint="eastAsia" w:ascii="宋体" w:hAnsi="宋体" w:cs="宋体"/>
                <w:color w:val="auto"/>
                <w:kern w:val="0"/>
                <w:sz w:val="22"/>
              </w:rPr>
              <w:t>设备名称</w:t>
            </w:r>
          </w:p>
        </w:tc>
        <w:tc>
          <w:tcPr>
            <w:tcW w:w="1125"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cs="宋体"/>
                <w:color w:val="auto"/>
                <w:kern w:val="0"/>
                <w:sz w:val="22"/>
              </w:rPr>
            </w:pPr>
            <w:r>
              <w:rPr>
                <w:rFonts w:hint="eastAsia" w:ascii="宋体" w:hAnsi="宋体" w:cs="宋体"/>
                <w:color w:val="auto"/>
                <w:kern w:val="0"/>
                <w:sz w:val="22"/>
              </w:rPr>
              <w:t>数量</w:t>
            </w:r>
          </w:p>
        </w:tc>
        <w:tc>
          <w:tcPr>
            <w:tcW w:w="9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cs="宋体"/>
                <w:color w:val="auto"/>
                <w:kern w:val="0"/>
                <w:sz w:val="22"/>
              </w:rPr>
            </w:pPr>
            <w:r>
              <w:rPr>
                <w:rFonts w:hint="eastAsia" w:ascii="宋体" w:hAnsi="宋体" w:cs="宋体"/>
                <w:color w:val="auto"/>
                <w:kern w:val="0"/>
                <w:sz w:val="22"/>
              </w:rPr>
              <w:t>单位</w:t>
            </w:r>
          </w:p>
        </w:tc>
      </w:tr>
      <w:tr>
        <w:tblPrEx>
          <w:tblCellMar>
            <w:top w:w="0" w:type="dxa"/>
            <w:left w:w="108" w:type="dxa"/>
            <w:bottom w:w="0" w:type="dxa"/>
            <w:right w:w="108" w:type="dxa"/>
          </w:tblCellMar>
        </w:tblPrEx>
        <w:trPr>
          <w:trHeight w:val="421"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2"/>
              </w:rPr>
            </w:pPr>
            <w:r>
              <w:rPr>
                <w:rFonts w:ascii="宋体" w:hAnsi="宋体" w:cs="宋体"/>
                <w:color w:val="auto"/>
                <w:kern w:val="0"/>
                <w:sz w:val="24"/>
                <w:szCs w:val="24"/>
              </w:rPr>
              <w:t>1</w:t>
            </w:r>
          </w:p>
        </w:tc>
        <w:tc>
          <w:tcPr>
            <w:tcW w:w="225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通信原理实验箱</w:t>
            </w:r>
          </w:p>
        </w:tc>
        <w:tc>
          <w:tcPr>
            <w:tcW w:w="1125"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3</w:t>
            </w:r>
            <w:r>
              <w:rPr>
                <w:rFonts w:ascii="宋体" w:hAnsi="宋体" w:cs="宋体"/>
                <w:color w:val="auto"/>
                <w:kern w:val="0"/>
                <w:sz w:val="22"/>
              </w:rPr>
              <w:t>5</w:t>
            </w:r>
          </w:p>
        </w:tc>
        <w:tc>
          <w:tcPr>
            <w:tcW w:w="9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2"/>
              </w:rPr>
            </w:pPr>
            <w:r>
              <w:rPr>
                <w:rFonts w:hint="eastAsia" w:ascii="宋体" w:hAnsi="宋体" w:cs="宋体"/>
                <w:color w:val="auto"/>
                <w:kern w:val="0"/>
                <w:sz w:val="24"/>
                <w:szCs w:val="24"/>
              </w:rPr>
              <w:t>台</w:t>
            </w:r>
          </w:p>
        </w:tc>
      </w:tr>
      <w:tr>
        <w:tblPrEx>
          <w:tblCellMar>
            <w:top w:w="0" w:type="dxa"/>
            <w:left w:w="108" w:type="dxa"/>
            <w:bottom w:w="0" w:type="dxa"/>
            <w:right w:w="108" w:type="dxa"/>
          </w:tblCellMar>
        </w:tblPrEx>
        <w:trPr>
          <w:trHeight w:val="413"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2"/>
              </w:rPr>
            </w:pPr>
            <w:r>
              <w:rPr>
                <w:rFonts w:ascii="宋体" w:hAnsi="宋体" w:cs="宋体"/>
                <w:color w:val="auto"/>
                <w:kern w:val="0"/>
                <w:sz w:val="24"/>
                <w:szCs w:val="24"/>
              </w:rPr>
              <w:t>2</w:t>
            </w:r>
          </w:p>
        </w:tc>
        <w:tc>
          <w:tcPr>
            <w:tcW w:w="225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通信原理线上实验平台</w:t>
            </w:r>
          </w:p>
        </w:tc>
        <w:tc>
          <w:tcPr>
            <w:tcW w:w="1125"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w:t>
            </w:r>
          </w:p>
        </w:tc>
        <w:tc>
          <w:tcPr>
            <w:tcW w:w="9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2"/>
              </w:rPr>
            </w:pPr>
            <w:r>
              <w:rPr>
                <w:rFonts w:hint="eastAsia" w:ascii="宋体" w:hAnsi="宋体" w:cs="宋体"/>
                <w:color w:val="auto"/>
                <w:kern w:val="0"/>
                <w:sz w:val="22"/>
              </w:rPr>
              <w:t>套</w:t>
            </w:r>
          </w:p>
        </w:tc>
      </w:tr>
      <w:tr>
        <w:tblPrEx>
          <w:tblCellMar>
            <w:top w:w="0" w:type="dxa"/>
            <w:left w:w="108" w:type="dxa"/>
            <w:bottom w:w="0" w:type="dxa"/>
            <w:right w:w="108" w:type="dxa"/>
          </w:tblCellMar>
        </w:tblPrEx>
        <w:trPr>
          <w:trHeight w:val="41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4"/>
                <w:szCs w:val="24"/>
              </w:rPr>
            </w:pPr>
            <w:r>
              <w:rPr>
                <w:rFonts w:ascii="宋体" w:hAnsi="宋体" w:cs="宋体"/>
                <w:color w:val="auto"/>
                <w:kern w:val="0"/>
                <w:sz w:val="24"/>
                <w:szCs w:val="24"/>
              </w:rPr>
              <w:t>3</w:t>
            </w:r>
          </w:p>
        </w:tc>
        <w:tc>
          <w:tcPr>
            <w:tcW w:w="225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通信原理演示系统</w:t>
            </w:r>
          </w:p>
        </w:tc>
        <w:tc>
          <w:tcPr>
            <w:tcW w:w="1125"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cs="宋体"/>
                <w:color w:val="auto"/>
                <w:kern w:val="0"/>
                <w:sz w:val="22"/>
              </w:rPr>
            </w:pPr>
            <w:r>
              <w:rPr>
                <w:rFonts w:hint="eastAsia" w:ascii="宋体" w:hAnsi="宋体" w:cs="宋体"/>
                <w:color w:val="auto"/>
                <w:kern w:val="0"/>
                <w:sz w:val="22"/>
              </w:rPr>
              <w:t>1</w:t>
            </w:r>
          </w:p>
        </w:tc>
        <w:tc>
          <w:tcPr>
            <w:tcW w:w="9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cs="宋体"/>
                <w:color w:val="auto"/>
                <w:kern w:val="0"/>
                <w:sz w:val="22"/>
              </w:rPr>
            </w:pPr>
            <w:r>
              <w:rPr>
                <w:rFonts w:hint="eastAsia" w:ascii="宋体" w:hAnsi="宋体" w:cs="宋体"/>
                <w:color w:val="auto"/>
                <w:kern w:val="0"/>
                <w:sz w:val="22"/>
              </w:rPr>
              <w:t>套</w:t>
            </w:r>
          </w:p>
        </w:tc>
      </w:tr>
    </w:tbl>
    <w:p>
      <w:pPr>
        <w:spacing w:line="360" w:lineRule="auto"/>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二、申请人的资格要求：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1、满足《中华人民共和国政府采购法》第二十二条规定，并提供下列材料：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1.1投标函（原件）；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1.2资格声明（原件）；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1.3若法定代表人参加投标的，须提供本人身份证复印件(加盖投标人公章)；若授权代表参加投标的，须提供《法人授权书》原件和授权代表身份证复印件(加盖投标人公章)；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1.4营业执照副本或民办非企业单位登记证书或事业单位法人证书等相关身份证明材料(复印件加盖投标人公章)；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1.5投标人依法缴纳职工社会保障资金的证明材料(复印件加盖投标人公章)(税务、银行或社会保险基金管理部门出具的近三个月内任意一个月（2022年6月-2022年8月）缴纳职工社会保障资金的缴款凭证或缴款证明)；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1.6投标人近三个月内任意一个月（2022年6月-2022年8月）依法纳税的缴款凭证(复印件加盖投标人公章)；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1.7与上一条相对应的纳税申报表或经会计师事务所审计的2021年度财务报告(复印件加盖投标人公章)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1.8投标人参加本次采购活动前3年内在经营活动中没有重大违法记录的书面声明（原件）；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1.9供应商信用承诺书（原件）。</w:t>
      </w:r>
    </w:p>
    <w:p>
      <w:pPr>
        <w:spacing w:line="360" w:lineRule="auto"/>
        <w:ind w:firstLine="480" w:firstLineChars="200"/>
        <w:rPr>
          <w:rFonts w:hint="eastAsia"/>
        </w:rPr>
      </w:pP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10供应商不存在被“信用中国”网站（www.creditchina.gov.cn）、“中国政府采购网”(www.ccgp.gov.cn)列入失信被执行人、重大税收违法案件当事人名单、政府采购严重违法失信行为记录名单的情形，需提供相应网站的查询界面截图并加盖投标人公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3.本项目的特定资格要求：无</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三、获取招标文件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日至20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日，每天上午8时30分到11时30分，下午14时00分到17时30分（北京时间，法定节假日除外）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报名需将下述资料盖章扫描件（1份）发邮件至15950560008@chinaccs.cn，进行线上报名：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（1）营业执照副本；</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（2）法人授权委托书和被授权人身份证；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（3）标书费付款凭证。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售价：</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元人民币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汇款账号信息如下：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收款单位：中通服咨询设计研究院有限公司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开户银行：招商银行南京分行城北支行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    号：1259 0209 5710 1030 0005</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转帐事由：</w:t>
      </w:r>
      <w:r>
        <w:rPr>
          <w:rFonts w:hint="eastAsia" w:ascii="宋体" w:hAnsi="宋体" w:eastAsia="宋体" w:cs="宋体"/>
          <w:color w:val="auto"/>
          <w:sz w:val="24"/>
          <w:szCs w:val="24"/>
          <w:lang w:val="en-US" w:eastAsia="zh-CN"/>
        </w:rPr>
        <w:t>本项目名（可简写）</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四、提交投标文件截止时间、开标时间和地点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提交投标文件截止时间及开标时间：202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分（北京时间）</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提交投标文件及开标地点：</w:t>
      </w:r>
      <w:r>
        <w:rPr>
          <w:rFonts w:hint="eastAsia" w:ascii="宋体" w:hAnsi="宋体" w:eastAsia="宋体" w:cs="宋体"/>
          <w:color w:val="auto"/>
          <w:sz w:val="24"/>
          <w:szCs w:val="24"/>
          <w:lang w:eastAsia="zh-CN"/>
        </w:rPr>
        <w:t>江苏省扬州市邗江区江阳中路万象汇利大厦6楼会议室</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五、公告期限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六、其他补充事宜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拒绝下述供应商参加本次采购活动：</w:t>
      </w:r>
    </w:p>
    <w:p>
      <w:pPr>
        <w:spacing w:line="360" w:lineRule="auto"/>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.1供应商单位负责人为同一人或者存在直接控股、管理关系的不同供应商，不得参加同一合同项下的政府采购活动。</w:t>
      </w:r>
    </w:p>
    <w:p>
      <w:pPr>
        <w:spacing w:line="360" w:lineRule="auto"/>
        <w:ind w:firstLine="480" w:firstLineChars="200"/>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.2凡为采购项目提供整体设计、规范编制或者项目管理、监理、检测等服务的供应商，不得再参加该项目的其他采购活动。</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七、对本次招标提出询问，请按以下方式联系。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 称：南京邮电大学</w:t>
      </w:r>
      <w:r>
        <w:rPr>
          <w:rFonts w:hint="eastAsia" w:ascii="宋体" w:hAnsi="宋体" w:eastAsia="宋体" w:cs="宋体"/>
          <w:color w:val="auto"/>
          <w:sz w:val="24"/>
          <w:szCs w:val="24"/>
          <w:lang w:val="en-US" w:eastAsia="zh-CN"/>
        </w:rPr>
        <w:t>通达学院</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w:t>
      </w:r>
      <w:r>
        <w:rPr>
          <w:rFonts w:hint="eastAsia" w:ascii="宋体" w:hAnsi="宋体" w:eastAsia="宋体" w:cs="宋体"/>
          <w:color w:val="auto"/>
          <w:sz w:val="24"/>
          <w:szCs w:val="24"/>
          <w:lang w:val="en-US" w:eastAsia="zh-CN"/>
        </w:rPr>
        <w:t>扬州市邗江区润扬南路33号</w:t>
      </w:r>
    </w:p>
    <w:p>
      <w:pPr>
        <w:pStyle w:val="19"/>
        <w:rPr>
          <w:rFonts w:hint="default"/>
          <w:color w:val="auto"/>
          <w:lang w:val="en-US"/>
        </w:rPr>
      </w:pPr>
      <w:r>
        <w:rPr>
          <w:rFonts w:hint="eastAsia" w:ascii="宋体" w:hAnsi="宋体" w:eastAsia="宋体" w:cs="宋体"/>
          <w:color w:val="auto"/>
          <w:sz w:val="24"/>
          <w:szCs w:val="24"/>
          <w:lang w:val="en-US" w:eastAsia="zh-CN"/>
        </w:rPr>
        <w:t xml:space="preserve">    联系方式：季老师（15195552829）</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称：中通服咨询设计研究院有限公司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址：南京市建邺区楠溪江东街58号</w:t>
      </w:r>
    </w:p>
    <w:p>
      <w:pPr>
        <w:spacing w:line="360" w:lineRule="auto"/>
        <w:ind w:left="1679" w:leftChars="228" w:hanging="1200" w:hanging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联系方式：朱闵远（15950560008，15950560008@chinaccs.cn）、王荣、</w:t>
      </w:r>
      <w:r>
        <w:rPr>
          <w:rFonts w:hint="eastAsia" w:ascii="宋体" w:hAnsi="宋体" w:eastAsia="宋体" w:cs="宋体"/>
          <w:color w:val="auto"/>
          <w:sz w:val="24"/>
          <w:szCs w:val="24"/>
          <w:lang w:val="en-US" w:eastAsia="zh-CN"/>
        </w:rPr>
        <w:t>胡洋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项目联系人：朱闵远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电话：15950560008</w:t>
      </w:r>
    </w:p>
    <w:p>
      <w:pPr>
        <w:snapToGrid w:val="0"/>
        <w:spacing w:line="360" w:lineRule="auto"/>
        <w:jc w:val="right"/>
        <w:rPr>
          <w:rFonts w:hint="eastAsia" w:ascii="宋体" w:hAnsi="宋体" w:eastAsia="宋体" w:cs="宋体"/>
          <w:color w:val="auto"/>
        </w:rPr>
      </w:pPr>
    </w:p>
    <w:p>
      <w:pPr>
        <w:widowControl/>
        <w:spacing w:line="360" w:lineRule="auto"/>
        <w:ind w:right="720"/>
        <w:rPr>
          <w:rFonts w:hint="eastAsia" w:ascii="宋体" w:hAnsi="宋体" w:eastAsia="宋体" w:cs="宋体"/>
          <w:color w:val="auto"/>
          <w:kern w:val="44"/>
          <w:sz w:val="36"/>
          <w:szCs w:val="36"/>
          <w:u w:color="000000"/>
          <w:lang w:val="zh-TW" w:eastAsia="zh-TW"/>
        </w:rPr>
      </w:pPr>
      <w:r>
        <w:rPr>
          <w:rFonts w:hint="eastAsia" w:ascii="宋体" w:hAnsi="宋体" w:eastAsia="宋体" w:cs="宋体"/>
          <w:color w:val="auto"/>
          <w:kern w:val="44"/>
          <w:sz w:val="36"/>
          <w:szCs w:val="36"/>
          <w:u w:color="000000"/>
          <w:lang w:val="zh-TW" w:eastAsia="zh-TW"/>
        </w:rPr>
        <w:br w:type="page"/>
      </w:r>
    </w:p>
    <w:p>
      <w:pPr>
        <w:keepNext/>
        <w:keepLines/>
        <w:spacing w:before="312" w:beforeLines="100" w:after="312" w:afterLines="100" w:line="360" w:lineRule="auto"/>
        <w:jc w:val="center"/>
        <w:outlineLvl w:val="0"/>
        <w:rPr>
          <w:rFonts w:hint="eastAsia" w:ascii="宋体" w:hAnsi="宋体" w:eastAsia="宋体" w:cs="宋体"/>
          <w:color w:val="auto"/>
          <w:kern w:val="44"/>
          <w:sz w:val="36"/>
          <w:szCs w:val="36"/>
          <w:u w:color="000000"/>
          <w:lang w:val="zh-TW" w:eastAsia="zh-TW"/>
        </w:rPr>
      </w:pPr>
      <w:bookmarkStart w:id="7" w:name="_Toc57875956"/>
      <w:r>
        <w:rPr>
          <w:rFonts w:hint="eastAsia" w:ascii="宋体" w:hAnsi="宋体" w:eastAsia="宋体" w:cs="宋体"/>
          <w:color w:val="auto"/>
          <w:kern w:val="44"/>
          <w:sz w:val="36"/>
          <w:szCs w:val="36"/>
          <w:u w:color="000000"/>
          <w:lang w:val="zh-TW" w:eastAsia="zh-TW"/>
        </w:rPr>
        <w:t xml:space="preserve">第二章  </w:t>
      </w:r>
      <w:r>
        <w:rPr>
          <w:rFonts w:hint="eastAsia" w:ascii="宋体" w:hAnsi="宋体" w:eastAsia="宋体" w:cs="宋体"/>
          <w:color w:val="auto"/>
          <w:kern w:val="44"/>
          <w:sz w:val="36"/>
          <w:szCs w:val="36"/>
          <w:u w:color="000000"/>
          <w:lang w:val="zh-TW"/>
        </w:rPr>
        <w:t>投标人</w:t>
      </w:r>
      <w:r>
        <w:rPr>
          <w:rFonts w:hint="eastAsia" w:ascii="宋体" w:hAnsi="宋体" w:eastAsia="宋体" w:cs="宋体"/>
          <w:color w:val="auto"/>
          <w:kern w:val="44"/>
          <w:sz w:val="36"/>
          <w:szCs w:val="36"/>
          <w:u w:color="000000"/>
          <w:lang w:val="zh-TW" w:eastAsia="zh-TW"/>
        </w:rPr>
        <w:t>须知</w:t>
      </w:r>
      <w:bookmarkEnd w:id="4"/>
      <w:bookmarkEnd w:id="5"/>
      <w:bookmarkEnd w:id="6"/>
      <w:bookmarkEnd w:id="7"/>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一、总则</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l、采购方式</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1.1本次采购采用公开招标方式，本招标文件仅适用于招标公告中所述项目。</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2、合格的投标人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2.1满足招标公告中投标人资质要求的规定。</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 满足本文件实质性条款的规定。</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3、适用法律</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3.1本次采购及由本次采购产生的合同受中华人民共和国有关法律法规制约和保护。</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4、投标费用</w:t>
      </w:r>
    </w:p>
    <w:p>
      <w:pPr>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4.1投标人应自行承担所有参与投标有关费用，无论投标过程中的做法和结果如何，采购人在任何情况下均无义务和责任承担这些费用。</w:t>
      </w:r>
    </w:p>
    <w:p>
      <w:pPr>
        <w:snapToGrid w:val="0"/>
        <w:spacing w:line="360" w:lineRule="auto"/>
        <w:ind w:firstLine="480" w:firstLineChars="20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4.2本项目收取投标人标书费见公告，招标代理服务费由中标人支付，按照国家发展和改革委员会下发的《关于降低部分建设项目收费标准规范收费行为等有关问题的通知》（发改价格[2011]534号）所列招标代理服务费收费标准</w:t>
      </w:r>
      <w:r>
        <w:rPr>
          <w:rFonts w:hint="eastAsia" w:ascii="宋体" w:hAnsi="宋体" w:eastAsia="宋体" w:cs="宋体"/>
          <w:color w:val="auto"/>
          <w:sz w:val="24"/>
          <w:szCs w:val="24"/>
          <w:u w:val="none"/>
          <w:lang w:val="en-US" w:eastAsia="zh-CN"/>
        </w:rPr>
        <w:t>的65</w:t>
      </w:r>
      <w:r>
        <w:rPr>
          <w:rFonts w:hint="eastAsia" w:ascii="宋体" w:hAnsi="宋体" w:eastAsia="宋体" w:cs="宋体"/>
          <w:color w:val="auto"/>
          <w:sz w:val="24"/>
          <w:szCs w:val="24"/>
          <w:u w:val="none"/>
        </w:rPr>
        <w:t>%收取</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最低收费金额为1000元</w:t>
      </w:r>
      <w:r>
        <w:rPr>
          <w:rFonts w:hint="eastAsia" w:ascii="宋体" w:hAnsi="宋体" w:eastAsia="宋体" w:cs="宋体"/>
          <w:color w:val="auto"/>
          <w:sz w:val="24"/>
          <w:szCs w:val="24"/>
          <w:u w:val="none"/>
        </w:rPr>
        <w:t>。</w:t>
      </w:r>
    </w:p>
    <w:p>
      <w:pPr>
        <w:snapToGrid w:val="0"/>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 4.3本项目的</w:t>
      </w:r>
      <w:r>
        <w:rPr>
          <w:rFonts w:hint="eastAsia" w:ascii="宋体" w:hAnsi="宋体" w:eastAsia="宋体" w:cs="宋体"/>
          <w:color w:val="auto"/>
          <w:sz w:val="24"/>
          <w:szCs w:val="24"/>
          <w:u w:val="none"/>
        </w:rPr>
        <w:t>专家论证费、专家评审费暂按5500元向中标人收取。具体按实际发生结算。</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5、招标文件的约束力</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5.1投标人一旦下载了本招标文件并参与投标，即被认为接受了本招标文件中的所有条件和规定。</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二、招标文件</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6、招标文件的构成</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6.1招标文件由以下部分组成：</w:t>
      </w:r>
    </w:p>
    <w:p>
      <w:pPr>
        <w:snapToGri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（1）招标公告</w:t>
      </w:r>
    </w:p>
    <w:p>
      <w:pPr>
        <w:snapToGri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（2）投标人须知</w:t>
      </w:r>
    </w:p>
    <w:p>
      <w:pPr>
        <w:snapToGri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（3）合同条款及格式</w:t>
      </w:r>
    </w:p>
    <w:p>
      <w:pPr>
        <w:snapToGri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（4）项目需求</w:t>
      </w:r>
    </w:p>
    <w:p>
      <w:pPr>
        <w:snapToGri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（5）评标方法与评标标准</w:t>
      </w:r>
    </w:p>
    <w:p>
      <w:pPr>
        <w:snapToGrid w:val="0"/>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（6）投标文件格式</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请仔细检查招标文件是否齐全，如有缺漏请立即与招标代理机构联系解决。</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7、招标文件的澄清</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任何要求对招标文件进行澄清的投标人，均应在投标截止期前十日前以书面形式通知采购人。</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8、招标文件的修改</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8.l在投标截止日期前，无论何种原因，采购人均可主动或在解答投标人提出的澄清问题时对招标文件进行修改。</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8.2招标文件的修改将在“南京邮电大学采购招标管理办公室网站及南京邮电大学通达学院采购招标信息网”网站上公布，并对所有投标人具有约束力。</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8.3为使投标人编写标书有充分时间对标书文件的修改部分进行分析、研究，采购人有权推迟投标截止日期和开标日期，并将此变更书面通知所有购买招标文件的投标人。</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三、投标文件的编制</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9、投标语言及度量衡单位</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9.1投标人提供的投标文件以及投标人与采购人就有关投标的所有来往通知、函件和文件均使用</w:t>
      </w:r>
      <w:r>
        <w:rPr>
          <w:rFonts w:hint="eastAsia" w:ascii="宋体" w:hAnsi="宋体" w:eastAsia="宋体" w:cs="宋体"/>
          <w:b/>
          <w:color w:val="auto"/>
          <w:sz w:val="24"/>
          <w:szCs w:val="24"/>
        </w:rPr>
        <w:t>简体中文</w:t>
      </w:r>
      <w:r>
        <w:rPr>
          <w:rFonts w:hint="eastAsia" w:ascii="宋体" w:hAnsi="宋体" w:eastAsia="宋体" w:cs="宋体"/>
          <w:color w:val="auto"/>
          <w:sz w:val="24"/>
          <w:szCs w:val="24"/>
        </w:rPr>
        <w:t>。</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9.2除技术性能另有规定外，投标文件所使用的度量衡单位，均采用国家法定计量单位。</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10、投标文件的构成</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投标人编写的投标文件应包括下列部分：</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10.1投标文件目录；</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10.2投标函：须含投标人的开户名称、开户银行、账号、电话、传真、E-mail等联系方式；</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10.3投标人资格证明材料；</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（1）法人或者其他组织的营业执照等证明文件（复印件）；</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（2）相关资质证明材料（复印件）；</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（3）法人授权委托书（复印件）；</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（4）法定代表人的身份证复印件；</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（5）授权代表的身份证复印件（开标现场查验原件）；</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（6）具有项目必须的技术条件或经营能力的书面声明；</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（7）无违法违规记录声明；</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（8）招标文件中的其他资格性要求（详见招标公告第二条投标人资格要求）。</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上述文件均应加盖公章。</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10.4开标一览表：</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（1）投标人应按照招标文件中提供的格式完整、正确地填写开标一览表。</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应采用分项报价最终汇总的方式进行，按照招标文件要求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（3）报价采取总承包方式，包括所投产品、安装调试、服务、运输、税金及其它有关的为完成本项目发生的所有费用，招标文件中另有规定的除外。国产设备以人民币报价。</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开标一览表中的价格应与投标文件中的报价表中价格一致，如不一致，评标时一律按开标一览表中价格为准。开标一览表必须盖章，加盖公章后的“开标一览表”除应装订在投标文件中，还必须单独（此份不放在投标文件内）装在小信封内于投标截止时间前与投标文件一起递交。</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（5）报价必须充分考虑所有可能影响到报价的价格因素，一旦投标结束最终成交，总价将包定，合同期内不予调整。如发生漏、缺、少项，都将被认为是中标人的报价让利行为。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10.5投标人参照投标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投标文件相一致的带有技术参数的产品说明书；</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10.6投标人按照投标文件中商务条款提供交货安装、工期保证等方案以及产品售后服务和质量承诺，并附《商务条款响应及偏离表》；</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10.7投标人的业绩情况；</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10.8投标人认为有必要提供的文件材料；</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10.9投标人应将投标文件按上述顺序分别装订成册。</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11、其它费用处理</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招标文件未列明，而投标单位认为必需的费用也需列入报价。</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12、投标保证金</w:t>
      </w:r>
    </w:p>
    <w:p>
      <w:pPr>
        <w:snapToGrid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本次招标不收取投标保证金。</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12.1在开标时，对于未按要求提交投标保证金的投标无效。</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12.2投标保证金是为了保护采购人免遭因投标人的不良行为而蒙受的损失，采购人在因投标人的行为遭受损失时，可根据第12.4条的规定没收投标人的投标保证金。</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12.3未中标的投标人的投标保证金，将在中标通知书发出之日起5个工作日内退还，但不计利息。</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12.4下列任何情况发生时，投标保证金将被没收：</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(1)投标人在投标有效期内撤回其投标；</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(2)投标人提供的有关资料、资格证明文件被确认是不真实的；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(3)投标人之间被证实有串通（统一哄抬价格）、欺诈行为；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(4)投标人被证明有妨碍其他人公平竞争、损害采购人或者其他投标人合法权益的；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(5)中标人在规定期限内未能按本规定签订合同；</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(6)中标人在规定期限内不同意交纳履约保证金。</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13、投标有效期</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投标有效期为采购人规定的开标之日后九十（90）天内有效。如果采购人在有效期之内，可向投标人提出延长投标有效期的要求。要求与答复均应采用书面形式。</w:t>
      </w:r>
      <w:r>
        <w:rPr>
          <w:rFonts w:hint="eastAsia" w:ascii="宋体" w:hAnsi="宋体" w:eastAsia="宋体" w:cs="宋体"/>
          <w:bCs/>
          <w:snapToGrid w:val="0"/>
          <w:color w:val="auto"/>
          <w:kern w:val="21"/>
          <w:sz w:val="24"/>
          <w:szCs w:val="24"/>
        </w:rPr>
        <w:t>投标人可以拒绝采购人的这一要求而放弃投标，</w:t>
      </w:r>
      <w:r>
        <w:rPr>
          <w:rFonts w:hint="eastAsia" w:ascii="宋体" w:hAnsi="宋体" w:eastAsia="宋体" w:cs="宋体"/>
          <w:snapToGrid w:val="0"/>
          <w:color w:val="auto"/>
          <w:kern w:val="21"/>
          <w:sz w:val="24"/>
          <w:szCs w:val="24"/>
        </w:rPr>
        <w:t>采购人在接到投标人书面答复后，将在原投标有效期满后五日内</w:t>
      </w:r>
      <w:r>
        <w:rPr>
          <w:rFonts w:hint="eastAsia" w:ascii="宋体" w:hAnsi="宋体" w:eastAsia="宋体" w:cs="宋体"/>
          <w:bCs/>
          <w:snapToGrid w:val="0"/>
          <w:color w:val="auto"/>
          <w:kern w:val="21"/>
          <w:sz w:val="24"/>
          <w:szCs w:val="24"/>
        </w:rPr>
        <w:t>无息退还其投标保证金</w:t>
      </w:r>
      <w:r>
        <w:rPr>
          <w:rFonts w:hint="eastAsia" w:ascii="宋体" w:hAnsi="宋体" w:eastAsia="宋体" w:cs="宋体"/>
          <w:snapToGrid w:val="0"/>
          <w:color w:val="auto"/>
          <w:kern w:val="21"/>
          <w:sz w:val="24"/>
          <w:szCs w:val="24"/>
        </w:rPr>
        <w:t>。</w:t>
      </w:r>
      <w:r>
        <w:rPr>
          <w:rFonts w:hint="eastAsia" w:ascii="宋体" w:hAnsi="宋体" w:eastAsia="宋体" w:cs="宋体"/>
          <w:bCs/>
          <w:snapToGrid w:val="0"/>
          <w:color w:val="auto"/>
          <w:kern w:val="21"/>
          <w:sz w:val="24"/>
          <w:szCs w:val="24"/>
        </w:rPr>
        <w:t>同意延</w:t>
      </w:r>
      <w:r>
        <w:rPr>
          <w:rFonts w:hint="eastAsia" w:ascii="宋体" w:hAnsi="宋体" w:eastAsia="宋体" w:cs="宋体"/>
          <w:color w:val="auto"/>
          <w:sz w:val="24"/>
          <w:szCs w:val="24"/>
        </w:rPr>
        <w:t>长投标有效期的投标人既不能要求也不允许修改其投标文件。第12条有关投标保证金的没收和退还的规定在延长期内继续有效，同时受投标有效期约束的所有权利与义务均延长至新的有效期。</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14、投标文件份数和签署</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l投标文件一式五份(正本一份，副本四份)。一旦正本和副本不符，以正本为准。另外提供投标文件电子版一份（PDF格式，可将完成盖章和签字的纸质版投标文件进行彩色扫描，拷贝到U盘中，跟投标文件一起密封提交）。</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14.2投标文件中法定代表人或其授权代表签字。授权代表须将法人代表人以书面形式出具法人代表授权书（原件）附在投标文件中。</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14.3除投标人对错处做必要修改时，投标文件不得行间插字、涂改或增删。如有修改错漏处，必须由投标文件签署人签字并加盖公章。</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四、投标文件的递交</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15、投标文件的密封和标记</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15.1</w:t>
      </w:r>
      <w:r>
        <w:rPr>
          <w:rFonts w:hint="eastAsia" w:ascii="宋体" w:hAnsi="宋体" w:eastAsia="宋体" w:cs="宋体"/>
          <w:b/>
          <w:color w:val="auto"/>
          <w:sz w:val="24"/>
          <w:szCs w:val="24"/>
        </w:rPr>
        <w:t>投标人应将投标文件密封，封口处要贴封签并加盖投标单位公章。</w:t>
      </w:r>
      <w:r>
        <w:rPr>
          <w:rFonts w:hint="eastAsia" w:ascii="宋体" w:hAnsi="宋体" w:eastAsia="宋体" w:cs="宋体"/>
          <w:color w:val="auto"/>
          <w:sz w:val="24"/>
          <w:szCs w:val="24"/>
        </w:rPr>
        <w:t>不论投标人中标与否，投标文件均不退回。</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15.2文件袋上应注明投标项目名称、正、副本、投标单位、授权代表姓名及联系方式。如因标注不清而产生的后果由投标人自负。</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bCs/>
          <w:color w:val="auto"/>
          <w:sz w:val="24"/>
          <w:szCs w:val="24"/>
        </w:rPr>
        <w:t>未按要求密封和加写标记，采购人对误投或过早启封概不负责。对由此造成提前开封的投标文件，采购人将予以拒绝，作无效投标处理。</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16、投标截止日期</w:t>
      </w:r>
    </w:p>
    <w:p>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16.1</w:t>
      </w:r>
      <w:r>
        <w:rPr>
          <w:rFonts w:hint="eastAsia" w:ascii="宋体" w:hAnsi="宋体" w:eastAsia="宋体" w:cs="宋体"/>
          <w:bCs/>
          <w:color w:val="auto"/>
          <w:sz w:val="24"/>
          <w:szCs w:val="24"/>
        </w:rPr>
        <w:t xml:space="preserve"> 采购人收到投标文件的时间不得迟于招标公告中规定的截止时间。</w:t>
      </w:r>
    </w:p>
    <w:p>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16.2</w:t>
      </w:r>
      <w:r>
        <w:rPr>
          <w:rFonts w:hint="eastAsia" w:ascii="宋体" w:hAnsi="宋体" w:eastAsia="宋体" w:cs="宋体"/>
          <w:bCs/>
          <w:color w:val="auto"/>
          <w:sz w:val="24"/>
          <w:szCs w:val="24"/>
        </w:rPr>
        <w:t xml:space="preserve"> 采购人可以按照规定，通过修改招标文件有权酌情延长投标截止日期，在此情况下，投标人的所有权利和义务以及投标人受制的截止日期均应以延长后新的截止日期为准。</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17、迟交的投标文件</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迟交的投标文件将被拒收并原封退回。</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18、投标文件的修改和撤回</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18.1投标人在递交投标书后，在规定的投标截止日期前可以修改或撤回其投标文件。修改文件必须在投标截止时间前送达。</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18.2投标截止日期后不可对其投标文件作任何修改或撤回，否则其投标保证金将被没收。</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五、开标与评标</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19、开标</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19.l采购人将在招标文件中规定的时间和地址组织公开开标。投标人法人代表或授权代表须携本人身份证原件参加，如有必要可以让投标人有一定时间的陈述，或接收评标工作组成员的提问后退场。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19.2开标时请投标人授权代表查验投标文件密封情况，确认无误后，采购人当众拆封宣读每份投标文件中“开标一览表”的各项内容，未列入开标一览表的内容一律不在开标时宣读。开标时未宣读的投标报价信息，不得在评标时采用。采购人将指定专人负责开标记录并存档备查，各投标人需仔细核对开标记录相关内容并签字确认。</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20、评标过程的保密与公正</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20.l公开开标后，直至通知投标人中标为止，凡是与审查、澄清、评价和比较投标的有关资料，均不得向投标人或与评标无关的人员透露。</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20.2投标人试图影响评标或授予合同方面的任何尝试，可能导致该投标人的标被废弃。</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21、投标的澄清</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21.1评标期间，为有助于对投标文件的审查、评价和比较，评标工作组有权要求投标人对其投标文件进行澄清，但并非对每个投标人都作澄清要求。</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21.3接到澄清要求的投标人如未按规定做出澄清，其风险由投标人自行承担。</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22、对投标文件的初审</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22.1投标文件初审分为资格性检查和符合性检查。</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资格性检查：依据法律法规和招标文件的规定，由采购人对投标文件中的资格证明文件进行审查。资格审查的结论，采购人以书面形式向评标工作组进行反馈。</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符合性检查：依据招标文件的规定，由评标工作组从投标文件的有效性、完整性和对招标文件的响应程度进行审查，以确定是否对招标文件的实质性要求作出响应。</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22.2在详细评标之前，评标工作组将首先审查每份投标文件是否实质性响应了招标文件的要求。实质性响应的投标应该是与招标文件要求的全部条款、条件和规格相符，没有重大偏离或保留的投标。</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标工作组三分二及以上成员的认定。评委决定投标文件的响应性只根据投标文件本身的内容，而不寻求外部的证据。</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22.3如果投标文件实质上没有响应招标文件的要求，评标工作组将予以拒绝，投标人不得通过修改或撤销不合要求的偏离或保留而使其投标成为实质性响应的投标。</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22.4评标工作组将对确定为实质性响应的投标进行进一步审核，看其是否有计算上或累加上的算术错误，修正错误的原则如下：</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（1）如果用数字表示的金额和用文字表示的金额不一致时，应以文字表示的金额为准进行修正；</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（2）当单价与数量的乘积和总价不一致时，以单价为准进行修正。只有在评标工作组认为单价有明显的小数点错误时，才能以标出的总价为准，并修改单价。</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22.5评标工作组将按上述修正错误的方法调整投标文件中的投标报价，调整后的价格应对投标人具有约束力。如果投标人不接受修正后的价格，则其投标将被拒绝，其投标保证金不予退还。</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22.6评标工作组将允许修正投标文件中不构成重大偏离的、微小的、非正规的、不一致的或不规则的地方，但这些修改不能影响任何投标人相应的名次排列。</w:t>
      </w:r>
    </w:p>
    <w:p>
      <w:pPr>
        <w:shd w:val="clear" w:color="auto" w:fill="FFFFFF"/>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23、无效投标条款和废标条款</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23.1无效投标条款：</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（1）未按要求交纳投标保证金的；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（2）未按照招标文件规定要求密封、签署、盖章的；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（3）投标人在报价时采用选择性报价的；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（4）投标人不具备招标文件中规定资格要求的；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（5）投标人的报价超过了采购预算或最高限价的；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（6）未通过符合性检查的；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（7）不符合招标文件中规定的其他实质性要求和条件的；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（8）投标文件含有采购人不能接受的附加条件的；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评标工作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工作组应当将其作为无效投标处理。</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bCs/>
          <w:color w:val="auto"/>
          <w:sz w:val="24"/>
          <w:szCs w:val="24"/>
        </w:rPr>
        <w:t>其他法律、法规及本招标文件规定的属无效投标的情形。</w:t>
      </w:r>
    </w:p>
    <w:p>
      <w:pPr>
        <w:snapToGrid w:val="0"/>
        <w:spacing w:line="360" w:lineRule="auto"/>
        <w:ind w:left="479" w:leftChars="228"/>
        <w:rPr>
          <w:rFonts w:hint="eastAsia" w:ascii="宋体" w:hAnsi="宋体" w:eastAsia="宋体" w:cs="宋体"/>
          <w:bCs/>
          <w:color w:val="auto"/>
          <w:sz w:val="24"/>
          <w:szCs w:val="24"/>
        </w:rPr>
      </w:pPr>
      <w:r>
        <w:rPr>
          <w:rFonts w:hint="eastAsia" w:ascii="宋体" w:hAnsi="宋体" w:eastAsia="宋体" w:cs="宋体"/>
          <w:color w:val="auto"/>
          <w:sz w:val="24"/>
          <w:szCs w:val="24"/>
        </w:rPr>
        <w:t>23.2</w:t>
      </w:r>
      <w:r>
        <w:rPr>
          <w:rFonts w:hint="eastAsia" w:ascii="宋体" w:hAnsi="宋体" w:eastAsia="宋体" w:cs="宋体"/>
          <w:bCs/>
          <w:color w:val="auto"/>
          <w:sz w:val="24"/>
          <w:szCs w:val="24"/>
        </w:rPr>
        <w:t>废标条款：</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（1）符合专业条件的供应商或者对招标文件作实质响应的投标人不足三家的；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（3）因重大变故，采购任务取消的；</w:t>
      </w:r>
    </w:p>
    <w:p>
      <w:pPr>
        <w:snapToGrid w:val="0"/>
        <w:spacing w:line="360" w:lineRule="auto"/>
        <w:ind w:left="479" w:leftChars="228"/>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color w:val="auto"/>
          <w:sz w:val="24"/>
          <w:szCs w:val="24"/>
        </w:rPr>
        <w:t>评标工作组</w:t>
      </w:r>
      <w:r>
        <w:rPr>
          <w:rFonts w:hint="eastAsia" w:ascii="宋体" w:hAnsi="宋体" w:eastAsia="宋体" w:cs="宋体"/>
          <w:bCs/>
          <w:color w:val="auto"/>
          <w:sz w:val="24"/>
          <w:szCs w:val="24"/>
        </w:rPr>
        <w:t>会认定招标文件存在歧义、重大缺陷导致评审工作无法进行。</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六、定标</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24、确定中标单位</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24.1评标工作组首先对所有合格投标人按评标办法进行打分，根据综合得分，由高到低排列，向采购人推荐中标候选人。</w:t>
      </w:r>
      <w:r>
        <w:rPr>
          <w:rFonts w:hint="eastAsia" w:ascii="宋体" w:hAnsi="宋体" w:eastAsia="宋体" w:cs="宋体"/>
          <w:bCs/>
          <w:snapToGrid w:val="0"/>
          <w:color w:val="auto"/>
          <w:kern w:val="21"/>
          <w:sz w:val="24"/>
          <w:szCs w:val="24"/>
        </w:rPr>
        <w:t>采购人应根据</w:t>
      </w:r>
      <w:r>
        <w:rPr>
          <w:rFonts w:hint="eastAsia" w:ascii="宋体" w:hAnsi="宋体" w:eastAsia="宋体" w:cs="宋体"/>
          <w:color w:val="auto"/>
          <w:sz w:val="24"/>
          <w:szCs w:val="24"/>
        </w:rPr>
        <w:t>评标工作组</w:t>
      </w:r>
      <w:r>
        <w:rPr>
          <w:rFonts w:hint="eastAsia" w:ascii="宋体" w:hAnsi="宋体" w:eastAsia="宋体" w:cs="宋体"/>
          <w:bCs/>
          <w:snapToGrid w:val="0"/>
          <w:color w:val="auto"/>
          <w:kern w:val="21"/>
          <w:sz w:val="24"/>
          <w:szCs w:val="24"/>
        </w:rPr>
        <w:t>推荐的中标候选人确定中标人</w:t>
      </w:r>
      <w:r>
        <w:rPr>
          <w:rFonts w:hint="eastAsia" w:ascii="宋体" w:hAnsi="宋体" w:eastAsia="宋体" w:cs="宋体"/>
          <w:color w:val="auto"/>
          <w:sz w:val="24"/>
          <w:szCs w:val="24"/>
        </w:rPr>
        <w:t>。</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24.2中标人名单将在“江苏政府采购网”上进行公示。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24.3若有充分证据证明，中标人出现下列情况之一的，一经查实，将被取消中标资格：</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（1）提供虚假材料谋取中标的；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（2）与评审专家、采购人或者其他供应商恶意串通的；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（3）向评审专家、采购人行贿或者提供其它不正当利益的；</w:t>
      </w:r>
    </w:p>
    <w:p>
      <w:pPr>
        <w:snapToGrid w:val="0"/>
        <w:spacing w:line="360" w:lineRule="auto"/>
        <w:ind w:left="480"/>
        <w:rPr>
          <w:rFonts w:hint="eastAsia" w:ascii="宋体" w:hAnsi="宋体" w:eastAsia="宋体" w:cs="宋体"/>
          <w:color w:val="auto"/>
          <w:sz w:val="24"/>
          <w:szCs w:val="24"/>
        </w:rPr>
      </w:pPr>
      <w:r>
        <w:rPr>
          <w:rFonts w:hint="eastAsia" w:ascii="宋体" w:hAnsi="宋体" w:eastAsia="宋体" w:cs="宋体"/>
          <w:color w:val="auto"/>
          <w:sz w:val="24"/>
          <w:szCs w:val="24"/>
        </w:rPr>
        <w:t>（4）恶意竞争，投标总报价明显低于其自身合理成本且又无法提供证明的；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（5）不满足本招标文件规定的实质性要求，但在评标过程中又未被评标工作组发现的；</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（6）不符合法律、法规的规定的其它情形。</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24.4有下列情形之一的，视为投标人串通投标，投标无效：</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（1）不同投标人的投标文件由同一单位或者个人编制。</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（2）不同投标人委托同一单位或者个人办理投标事宜。</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（3）不同投标人的投标文件载明的项目管理成员或者联系人员为同一人。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（4）不同投标人的投标文件异常一致或者投标报价呈规律性差异。</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（5）不同投标人的投标文件相互混装。</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（6）不同投标人的投标保证金从同一单位或者个人的账户转出。</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25、质疑处理</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25.1参加投标供应商认为招标文件、采购过程和采购结果使自己的权益受到损害的，可以在知道或应知其权益受到损害之日起7个工作日内，以书面形式向采购人提出质疑。</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（1）对可以质疑的招标文件提出质疑的，为收到招标文件之日或者招标文件公告期限届满之日；</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（2）对采购过程提出质疑的，为各采购程序环节结束之日；</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（3）对中标或者成交结果提出质疑的，为中标或者成交结果公告期限届满之日。</w:t>
      </w:r>
    </w:p>
    <w:p>
      <w:pPr>
        <w:snapToGrid w:val="0"/>
        <w:spacing w:line="360" w:lineRule="auto"/>
        <w:ind w:firstLine="472" w:firstLineChars="197"/>
        <w:rPr>
          <w:rFonts w:hint="eastAsia" w:ascii="宋体" w:hAnsi="宋体" w:eastAsia="宋体" w:cs="宋体"/>
          <w:color w:val="auto"/>
          <w:sz w:val="24"/>
          <w:szCs w:val="24"/>
        </w:rPr>
      </w:pPr>
      <w:r>
        <w:rPr>
          <w:rFonts w:hint="eastAsia" w:ascii="宋体" w:hAnsi="宋体" w:eastAsia="宋体" w:cs="宋体"/>
          <w:color w:val="auto"/>
          <w:sz w:val="24"/>
          <w:szCs w:val="24"/>
        </w:rPr>
        <w:t>25.2质疑必须以参加投标供应商法人代表或授权代表（投标文件中所确定的）送达的方式提交，未按上述要求提交的质疑函（含传真、电子邮件等）采购人有权不予受理。</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25.3未参加投标的供应商或在投标活动中本身权益未受到损害或从投标活动中受益的供应商所提出的质疑也不予受理。</w:t>
      </w:r>
    </w:p>
    <w:p>
      <w:pPr>
        <w:snapToGrid w:val="0"/>
        <w:spacing w:line="36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25.4投标人提出书面质疑必须有理、有据，不得恶意质疑或提交虚假质疑。否则，采购人将不予受理。</w:t>
      </w:r>
    </w:p>
    <w:p>
      <w:pPr>
        <w:snapToGrid w:val="0"/>
        <w:spacing w:line="36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25.5采购人将在收到投标供应商的书面质疑后在规定时间内作出答复，但答复的内容不得涉及商业秘密。</w:t>
      </w:r>
    </w:p>
    <w:p>
      <w:pPr>
        <w:snapToGrid w:val="0"/>
        <w:spacing w:line="360" w:lineRule="auto"/>
        <w:ind w:firstLine="470" w:firstLineChars="195"/>
        <w:rPr>
          <w:rFonts w:hint="eastAsia" w:ascii="宋体" w:hAnsi="宋体" w:eastAsia="宋体" w:cs="宋体"/>
          <w:color w:val="auto"/>
          <w:sz w:val="24"/>
          <w:szCs w:val="24"/>
        </w:rPr>
      </w:pPr>
      <w:r>
        <w:rPr>
          <w:rFonts w:hint="eastAsia" w:ascii="宋体" w:hAnsi="宋体" w:eastAsia="宋体" w:cs="宋体"/>
          <w:b/>
          <w:color w:val="auto"/>
          <w:sz w:val="24"/>
          <w:szCs w:val="24"/>
        </w:rPr>
        <w:t>26、中标通知书</w:t>
      </w:r>
    </w:p>
    <w:p>
      <w:pPr>
        <w:snapToGrid w:val="0"/>
        <w:spacing w:line="36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26.l中标结果质疑期满后，采购人将向中标供应商发出中标通知书。</w:t>
      </w:r>
    </w:p>
    <w:p>
      <w:pPr>
        <w:snapToGrid w:val="0"/>
        <w:spacing w:line="36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26.2中标人收到中标通知书后，须立即以书面形式回复采购人，确认中标通知书已收到。若无书面回复，则公告后视同中标人已经知悉并同意接受。</w:t>
      </w:r>
    </w:p>
    <w:p>
      <w:pPr>
        <w:snapToGrid w:val="0"/>
        <w:spacing w:line="36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26.3中标通知书将是合同的一个组成部分。对采购人和中标供应商均具有法律效力。中标通知书发出后，采购人改变中标结果的，或者中标供应商放弃中标项目的，应当依法承担法律责任。</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七、授予合同</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27、签订合同</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27.1中标人在</w:t>
      </w:r>
      <w:r>
        <w:rPr>
          <w:rFonts w:hint="eastAsia" w:ascii="宋体" w:hAnsi="宋体" w:eastAsia="宋体" w:cs="宋体"/>
          <w:snapToGrid w:val="0"/>
          <w:color w:val="auto"/>
          <w:kern w:val="21"/>
          <w:sz w:val="24"/>
          <w:szCs w:val="24"/>
        </w:rPr>
        <w:t>中标通知书发出之日</w:t>
      </w:r>
      <w:r>
        <w:rPr>
          <w:rFonts w:hint="eastAsia" w:ascii="宋体" w:hAnsi="宋体" w:eastAsia="宋体" w:cs="宋体"/>
          <w:color w:val="auto"/>
          <w:sz w:val="24"/>
          <w:szCs w:val="24"/>
        </w:rPr>
        <w:t>起30日内派代表前来与采购人具体商谈签订合同，若因中标人延误签订合同并由此给采购人造成损失的，中标人应承担赔偿责任。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27.2招标文件、中标人的投标文件及澄清文件等，均为签订合同的依据。</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27.3签订合同后，</w:t>
      </w:r>
      <w:r>
        <w:rPr>
          <w:rFonts w:hint="eastAsia" w:ascii="宋体" w:hAnsi="宋体" w:eastAsia="宋体" w:cs="宋体"/>
          <w:b/>
          <w:color w:val="auto"/>
          <w:sz w:val="24"/>
          <w:szCs w:val="24"/>
        </w:rPr>
        <w:t>中标人不得将相关服务进行全部或部分转包。</w:t>
      </w:r>
      <w:r>
        <w:rPr>
          <w:rFonts w:hint="eastAsia" w:ascii="宋体" w:hAnsi="宋体" w:eastAsia="宋体" w:cs="宋体"/>
          <w:color w:val="auto"/>
          <w:sz w:val="24"/>
          <w:szCs w:val="24"/>
        </w:rPr>
        <w:t>未经采购人同意，中标人也不得采用分包的形式履行合同，否则采购人有权终止合同，中标人的履约保证金将不予退还。转包或分包造成采购人损失的，中标人应承担相应赔偿责任。</w:t>
      </w:r>
    </w:p>
    <w:p>
      <w:pPr>
        <w:snapToGrid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28、服务的追加和减少</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28.1采购合同履行中，需追加与合同标的相同的服务的，在不改变价格水平、合同及其它条款的前提下，采购人可以与中标人协商签订补充合同，追加量不得超过合同总额的10%。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eastAsia="宋体" w:cs="宋体"/>
          <w:color w:val="auto"/>
        </w:rPr>
      </w:pPr>
      <w:r>
        <w:rPr>
          <w:rFonts w:hint="eastAsia" w:ascii="宋体" w:hAnsi="宋体" w:eastAsia="宋体" w:cs="宋体"/>
          <w:color w:val="auto"/>
          <w:sz w:val="24"/>
          <w:szCs w:val="24"/>
        </w:rPr>
        <w:t>28.2采购结束后，采购人若由于各种客观原因，必须对采购项目所牵涉的服务进行适当的减少时，在双方协商一致的前提下，可以按照中标时价格水平做相应的调减，并据此签订补充合同。</w:t>
      </w:r>
    </w:p>
    <w:p>
      <w:pPr>
        <w:snapToGrid w:val="0"/>
        <w:spacing w:line="360" w:lineRule="auto"/>
        <w:ind w:firstLine="482" w:firstLineChars="200"/>
        <w:rPr>
          <w:rFonts w:hint="eastAsia" w:ascii="宋体" w:hAnsi="宋体" w:eastAsia="宋体" w:cs="宋体"/>
          <w:b/>
          <w:color w:val="auto"/>
          <w:sz w:val="24"/>
          <w:szCs w:val="24"/>
          <w:lang w:val="en-US" w:eastAsia="zh-CN"/>
        </w:rPr>
      </w:pPr>
    </w:p>
    <w:p>
      <w:pPr>
        <w:snapToGrid w:val="0"/>
        <w:spacing w:line="360" w:lineRule="auto"/>
        <w:ind w:firstLine="482" w:firstLineChars="2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29、现场勘查</w:t>
      </w:r>
    </w:p>
    <w:p>
      <w:pPr>
        <w:spacing w:line="36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29.1供应商请在规定的时间进行勘查、答疑，其他时间采购人恕不接待。</w:t>
      </w:r>
    </w:p>
    <w:p>
      <w:pPr>
        <w:spacing w:line="36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29.2供应商请务必对项目现场和周围环境进行仔细认真地查勘，在随后的投标中，对现场资料和数据所作出的推论、解释和结论及由此造成的后果由供应商负责。</w:t>
      </w:r>
    </w:p>
    <w:p>
      <w:pPr>
        <w:spacing w:line="36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29.3未勘查现场或勘查工作不详细的供应商中标后，不得以不完全了解现场情况为理由而向采购人提出任何索赔或其他要求，对此采购人不承担任何责任并将不作任何答复。</w:t>
      </w:r>
    </w:p>
    <w:p>
      <w:pPr>
        <w:widowControl/>
        <w:spacing w:line="360" w:lineRule="auto"/>
        <w:jc w:val="left"/>
        <w:rPr>
          <w:rFonts w:hint="eastAsia" w:ascii="宋体" w:hAnsi="宋体" w:eastAsia="宋体" w:cs="宋体"/>
          <w:color w:val="auto"/>
        </w:rPr>
      </w:pPr>
    </w:p>
    <w:p>
      <w:pPr>
        <w:widowControl/>
        <w:jc w:val="left"/>
        <w:rPr>
          <w:rFonts w:hint="eastAsia" w:ascii="宋体" w:hAnsi="宋体" w:eastAsia="宋体" w:cs="宋体"/>
          <w:color w:val="auto"/>
          <w:kern w:val="44"/>
          <w:sz w:val="36"/>
          <w:szCs w:val="36"/>
          <w:u w:color="000000"/>
          <w:lang w:val="zh-TW" w:eastAsia="zh-TW"/>
        </w:rPr>
      </w:pPr>
      <w:r>
        <w:rPr>
          <w:rFonts w:hint="eastAsia" w:ascii="宋体" w:hAnsi="宋体" w:eastAsia="宋体" w:cs="宋体"/>
          <w:color w:val="auto"/>
          <w:kern w:val="44"/>
          <w:sz w:val="36"/>
          <w:szCs w:val="36"/>
          <w:u w:color="000000"/>
          <w:lang w:val="zh-TW" w:eastAsia="zh-TW"/>
        </w:rPr>
        <w:br w:type="page"/>
      </w:r>
    </w:p>
    <w:p>
      <w:pPr>
        <w:keepNext/>
        <w:keepLines/>
        <w:spacing w:before="312" w:beforeLines="100" w:after="312" w:afterLines="100" w:line="360" w:lineRule="auto"/>
        <w:jc w:val="center"/>
        <w:outlineLvl w:val="0"/>
        <w:rPr>
          <w:rFonts w:hint="eastAsia" w:ascii="宋体" w:hAnsi="宋体" w:eastAsia="宋体" w:cs="宋体"/>
          <w:color w:val="auto"/>
          <w:kern w:val="44"/>
          <w:sz w:val="36"/>
          <w:szCs w:val="36"/>
          <w:u w:color="000000"/>
          <w:lang w:val="zh-TW" w:eastAsia="zh-TW"/>
        </w:rPr>
      </w:pPr>
      <w:bookmarkStart w:id="8" w:name="_Toc57875957"/>
      <w:r>
        <w:rPr>
          <w:rFonts w:hint="eastAsia" w:ascii="宋体" w:hAnsi="宋体" w:eastAsia="宋体" w:cs="宋体"/>
          <w:color w:val="auto"/>
          <w:kern w:val="44"/>
          <w:sz w:val="36"/>
          <w:szCs w:val="36"/>
          <w:u w:color="000000"/>
          <w:lang w:val="zh-TW" w:eastAsia="zh-TW"/>
        </w:rPr>
        <w:t>第</w:t>
      </w:r>
      <w:r>
        <w:rPr>
          <w:rFonts w:hint="eastAsia" w:ascii="宋体" w:hAnsi="宋体" w:eastAsia="宋体" w:cs="宋体"/>
          <w:color w:val="auto"/>
          <w:kern w:val="44"/>
          <w:sz w:val="36"/>
          <w:szCs w:val="36"/>
          <w:u w:color="000000"/>
          <w:lang w:val="zh-TW"/>
        </w:rPr>
        <w:t>三</w:t>
      </w:r>
      <w:r>
        <w:rPr>
          <w:rFonts w:hint="eastAsia" w:ascii="宋体" w:hAnsi="宋体" w:eastAsia="宋体" w:cs="宋体"/>
          <w:color w:val="auto"/>
          <w:kern w:val="44"/>
          <w:sz w:val="36"/>
          <w:szCs w:val="36"/>
          <w:u w:color="000000"/>
          <w:lang w:val="zh-TW" w:eastAsia="zh-TW"/>
        </w:rPr>
        <w:t>章  合同条款及格式</w:t>
      </w:r>
      <w:bookmarkEnd w:id="8"/>
    </w:p>
    <w:p>
      <w:pPr>
        <w:spacing w:before="40" w:after="40"/>
        <w:ind w:firstLine="409" w:firstLineChars="195"/>
        <w:rPr>
          <w:rFonts w:hint="eastAsia" w:ascii="宋体" w:hAnsi="宋体" w:eastAsia="宋体" w:cs="宋体"/>
          <w:color w:val="auto"/>
          <w:szCs w:val="24"/>
        </w:rPr>
      </w:pPr>
      <w:bookmarkStart w:id="9" w:name="_Toc513029243"/>
      <w:bookmarkStart w:id="10" w:name="_Toc20823315"/>
      <w:bookmarkStart w:id="11" w:name="_Toc16938559"/>
      <w:r>
        <w:rPr>
          <w:rFonts w:hint="eastAsia" w:ascii="宋体" w:hAnsi="宋体" w:eastAsia="宋体" w:cs="宋体"/>
          <w:color w:val="auto"/>
          <w:szCs w:val="24"/>
        </w:rPr>
        <w:t>以下为中标后签定本项目合同的通用条款，中标人不得提出实质性的修改，关于专用条款将由项目使用单位与中标人结合本项目具体情况协商后签订。</w:t>
      </w:r>
      <w:bookmarkEnd w:id="9"/>
      <w:bookmarkEnd w:id="10"/>
      <w:bookmarkEnd w:id="11"/>
    </w:p>
    <w:p>
      <w:pPr>
        <w:pStyle w:val="31"/>
        <w:rPr>
          <w:rFonts w:hint="eastAsia" w:ascii="宋体" w:hAnsi="宋体" w:eastAsia="宋体" w:cs="宋体"/>
          <w:color w:val="auto"/>
        </w:rPr>
      </w:pPr>
    </w:p>
    <w:p>
      <w:pPr>
        <w:widowControl/>
        <w:snapToGrid w:val="0"/>
        <w:spacing w:before="19"/>
        <w:ind w:left="0" w:leftChars="0" w:right="-334" w:rightChars="-159" w:firstLine="0" w:firstLineChars="0"/>
        <w:jc w:val="center"/>
        <w:rPr>
          <w:rFonts w:hint="eastAsia" w:ascii="宋体" w:hAnsi="宋体"/>
          <w:b/>
          <w:color w:val="auto"/>
          <w:sz w:val="30"/>
          <w:szCs w:val="30"/>
          <w:u w:val="single"/>
        </w:rPr>
      </w:pPr>
      <w:bookmarkStart w:id="12" w:name="_Toc57875958"/>
      <w:r>
        <w:rPr>
          <w:rFonts w:hint="eastAsia" w:ascii="宋体" w:hAnsi="宋体"/>
          <w:b/>
          <w:color w:val="auto"/>
          <w:sz w:val="30"/>
          <w:szCs w:val="30"/>
          <w:u w:val="single"/>
        </w:rPr>
        <w:t>南京邮电大学通达学院采购合同</w:t>
      </w:r>
    </w:p>
    <w:p>
      <w:pPr>
        <w:spacing w:line="360" w:lineRule="exact"/>
        <w:rPr>
          <w:rFonts w:hint="eastAsia" w:ascii="宋体" w:hAnsi="宋体"/>
          <w:color w:val="auto"/>
        </w:rPr>
      </w:pPr>
      <w:r>
        <w:rPr>
          <w:rFonts w:hint="eastAsia" w:ascii="宋体" w:hAnsi="宋体"/>
          <w:color w:val="auto"/>
        </w:rPr>
        <w:t xml:space="preserve">甲方：南京邮电大学通达学院               </w:t>
      </w:r>
    </w:p>
    <w:p>
      <w:pPr>
        <w:widowControl/>
        <w:snapToGrid w:val="0"/>
        <w:spacing w:line="360" w:lineRule="exact"/>
        <w:rPr>
          <w:rFonts w:hint="eastAsia" w:ascii="宋体" w:hAnsi="宋体"/>
          <w:color w:val="auto"/>
        </w:rPr>
      </w:pPr>
      <w:r>
        <w:rPr>
          <w:rFonts w:hint="eastAsia" w:ascii="宋体" w:hAnsi="宋体"/>
          <w:color w:val="auto"/>
        </w:rPr>
        <w:t xml:space="preserve">乙方：                                   </w:t>
      </w:r>
    </w:p>
    <w:p>
      <w:pPr>
        <w:widowControl/>
        <w:snapToGrid w:val="0"/>
        <w:spacing w:line="360" w:lineRule="exact"/>
        <w:ind w:firstLine="480"/>
        <w:rPr>
          <w:rFonts w:hint="eastAsia" w:ascii="宋体" w:hAnsi="宋体"/>
          <w:color w:val="auto"/>
        </w:rPr>
      </w:pPr>
      <w:r>
        <w:rPr>
          <w:rFonts w:hint="eastAsia" w:ascii="宋体" w:hAnsi="宋体"/>
          <w:color w:val="auto"/>
        </w:rPr>
        <w:t>甲乙双方根据</w:t>
      </w:r>
      <w:r>
        <w:rPr>
          <w:rFonts w:hint="eastAsia" w:ascii="宋体" w:hAnsi="宋体"/>
          <w:color w:val="auto"/>
          <w:u w:val="single"/>
        </w:rPr>
        <w:t xml:space="preserve">                </w:t>
      </w:r>
      <w:r>
        <w:rPr>
          <w:rFonts w:hint="eastAsia" w:ascii="宋体" w:hAnsi="宋体"/>
          <w:color w:val="auto"/>
        </w:rPr>
        <w:t>项目采购（谈判、询价）采购结果,依据《中华人民共和国民法典》及相关法律规定，达成如下货物购销合同:</w:t>
      </w:r>
    </w:p>
    <w:p>
      <w:pPr>
        <w:widowControl/>
        <w:snapToGrid w:val="0"/>
        <w:spacing w:line="360" w:lineRule="exact"/>
        <w:rPr>
          <w:rFonts w:hint="eastAsia" w:ascii="宋体" w:hAnsi="宋体"/>
          <w:color w:val="auto"/>
        </w:rPr>
      </w:pPr>
      <w:r>
        <w:rPr>
          <w:rFonts w:hint="eastAsia" w:ascii="宋体" w:hAnsi="宋体"/>
          <w:color w:val="auto"/>
        </w:rPr>
        <w:t>一、货物及其数量、金额：</w:t>
      </w:r>
    </w:p>
    <w:tbl>
      <w:tblPr>
        <w:tblStyle w:val="24"/>
        <w:tblW w:w="4896" w:type="pct"/>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44"/>
        <w:gridCol w:w="1221"/>
        <w:gridCol w:w="3188"/>
        <w:gridCol w:w="1186"/>
        <w:gridCol w:w="1282"/>
        <w:gridCol w:w="119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421" w:type="pct"/>
            <w:shd w:val="pct10" w:color="auto" w:fill="FFFFFF"/>
            <w:noWrap/>
            <w:vAlign w:val="center"/>
          </w:tcPr>
          <w:p>
            <w:pPr>
              <w:snapToGrid w:val="0"/>
              <w:spacing w:line="240" w:lineRule="atLeast"/>
              <w:jc w:val="center"/>
              <w:rPr>
                <w:rFonts w:hint="eastAsia" w:ascii="宋体" w:hAnsi="宋体"/>
                <w:b/>
                <w:color w:val="auto"/>
                <w:kern w:val="0"/>
              </w:rPr>
            </w:pPr>
            <w:r>
              <w:rPr>
                <w:rFonts w:hint="eastAsia" w:ascii="宋体" w:hAnsi="宋体"/>
                <w:b/>
                <w:color w:val="auto"/>
                <w:kern w:val="0"/>
              </w:rPr>
              <w:t>编号</w:t>
            </w:r>
          </w:p>
        </w:tc>
        <w:tc>
          <w:tcPr>
            <w:tcW w:w="692" w:type="pct"/>
            <w:shd w:val="pct10" w:color="auto" w:fill="FFFFFF"/>
            <w:noWrap/>
            <w:vAlign w:val="center"/>
          </w:tcPr>
          <w:p>
            <w:pPr>
              <w:snapToGrid w:val="0"/>
              <w:spacing w:line="240" w:lineRule="atLeast"/>
              <w:jc w:val="center"/>
              <w:rPr>
                <w:rFonts w:hint="eastAsia" w:ascii="宋体" w:hAnsi="宋体"/>
                <w:b/>
                <w:color w:val="auto"/>
                <w:kern w:val="0"/>
              </w:rPr>
            </w:pPr>
            <w:r>
              <w:rPr>
                <w:rFonts w:hint="eastAsia" w:ascii="宋体" w:hAnsi="宋体"/>
                <w:b/>
                <w:color w:val="auto"/>
                <w:kern w:val="0"/>
              </w:rPr>
              <w:t>货物名称</w:t>
            </w:r>
          </w:p>
        </w:tc>
        <w:tc>
          <w:tcPr>
            <w:tcW w:w="1808" w:type="pct"/>
            <w:shd w:val="pct10" w:color="auto" w:fill="FFFFFF"/>
            <w:noWrap/>
            <w:vAlign w:val="center"/>
          </w:tcPr>
          <w:p>
            <w:pPr>
              <w:snapToGrid w:val="0"/>
              <w:spacing w:line="240" w:lineRule="atLeast"/>
              <w:jc w:val="center"/>
              <w:rPr>
                <w:rFonts w:hint="eastAsia" w:ascii="宋体" w:hAnsi="宋体"/>
                <w:b/>
                <w:color w:val="auto"/>
                <w:kern w:val="0"/>
              </w:rPr>
            </w:pPr>
            <w:r>
              <w:rPr>
                <w:rFonts w:hint="eastAsia" w:ascii="宋体" w:hAnsi="宋体"/>
                <w:b/>
                <w:color w:val="auto"/>
                <w:kern w:val="0"/>
              </w:rPr>
              <w:t>规 格 型 号（品牌）</w:t>
            </w:r>
          </w:p>
        </w:tc>
        <w:tc>
          <w:tcPr>
            <w:tcW w:w="672" w:type="pct"/>
            <w:shd w:val="pct10" w:color="auto" w:fill="FFFFFF"/>
            <w:noWrap/>
            <w:vAlign w:val="center"/>
          </w:tcPr>
          <w:p>
            <w:pPr>
              <w:snapToGrid w:val="0"/>
              <w:spacing w:line="240" w:lineRule="atLeast"/>
              <w:jc w:val="center"/>
              <w:rPr>
                <w:rFonts w:hint="eastAsia" w:ascii="宋体" w:hAnsi="宋体"/>
                <w:b/>
                <w:color w:val="auto"/>
                <w:kern w:val="0"/>
              </w:rPr>
            </w:pPr>
            <w:r>
              <w:rPr>
                <w:rFonts w:hint="eastAsia" w:ascii="宋体" w:hAnsi="宋体"/>
                <w:b/>
                <w:color w:val="auto"/>
                <w:kern w:val="0"/>
              </w:rPr>
              <w:t>数量</w:t>
            </w:r>
          </w:p>
        </w:tc>
        <w:tc>
          <w:tcPr>
            <w:tcW w:w="727" w:type="pct"/>
            <w:shd w:val="pct10" w:color="auto" w:fill="FFFFFF"/>
            <w:noWrap/>
            <w:vAlign w:val="center"/>
          </w:tcPr>
          <w:p>
            <w:pPr>
              <w:snapToGrid w:val="0"/>
              <w:spacing w:line="240" w:lineRule="atLeast"/>
              <w:jc w:val="center"/>
              <w:rPr>
                <w:rFonts w:hint="eastAsia" w:ascii="宋体" w:hAnsi="宋体"/>
                <w:b/>
                <w:color w:val="auto"/>
                <w:kern w:val="0"/>
              </w:rPr>
            </w:pPr>
            <w:r>
              <w:rPr>
                <w:rFonts w:hint="eastAsia" w:ascii="宋体" w:hAnsi="宋体"/>
                <w:b/>
                <w:color w:val="auto"/>
                <w:kern w:val="0"/>
              </w:rPr>
              <w:t>单价（元）</w:t>
            </w:r>
          </w:p>
        </w:tc>
        <w:tc>
          <w:tcPr>
            <w:tcW w:w="677" w:type="pct"/>
            <w:shd w:val="pct10" w:color="auto" w:fill="FFFFFF"/>
            <w:noWrap/>
            <w:vAlign w:val="center"/>
          </w:tcPr>
          <w:p>
            <w:pPr>
              <w:widowControl/>
              <w:jc w:val="left"/>
              <w:rPr>
                <w:rFonts w:hint="eastAsia" w:ascii="宋体" w:hAnsi="宋体"/>
                <w:b/>
                <w:color w:val="auto"/>
                <w:kern w:val="0"/>
              </w:rPr>
            </w:pPr>
            <w:r>
              <w:rPr>
                <w:rFonts w:hint="eastAsia" w:ascii="宋体" w:hAnsi="宋体"/>
                <w:b/>
                <w:color w:val="auto"/>
                <w:kern w:val="0"/>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421" w:type="pct"/>
            <w:noWrap/>
            <w:vAlign w:val="center"/>
          </w:tcPr>
          <w:p>
            <w:pPr>
              <w:snapToGrid w:val="0"/>
              <w:spacing w:line="600" w:lineRule="atLeast"/>
              <w:rPr>
                <w:rFonts w:hint="eastAsia" w:ascii="宋体" w:hAnsi="宋体"/>
                <w:b/>
                <w:color w:val="auto"/>
                <w:kern w:val="0"/>
              </w:rPr>
            </w:pPr>
            <w:r>
              <w:rPr>
                <w:rFonts w:hint="eastAsia" w:ascii="宋体" w:hAnsi="宋体"/>
                <w:b/>
                <w:color w:val="auto"/>
                <w:kern w:val="0"/>
              </w:rPr>
              <w:t>1</w:t>
            </w:r>
          </w:p>
        </w:tc>
        <w:tc>
          <w:tcPr>
            <w:tcW w:w="692" w:type="pct"/>
            <w:noWrap/>
            <w:vAlign w:val="center"/>
          </w:tcPr>
          <w:p>
            <w:pPr>
              <w:snapToGrid w:val="0"/>
              <w:spacing w:line="600" w:lineRule="atLeast"/>
              <w:jc w:val="center"/>
              <w:rPr>
                <w:rFonts w:hint="eastAsia" w:ascii="宋体" w:hAnsi="宋体"/>
                <w:color w:val="auto"/>
              </w:rPr>
            </w:pPr>
          </w:p>
        </w:tc>
        <w:tc>
          <w:tcPr>
            <w:tcW w:w="1808" w:type="pct"/>
            <w:noWrap/>
            <w:vAlign w:val="center"/>
          </w:tcPr>
          <w:p>
            <w:pPr>
              <w:spacing w:line="360" w:lineRule="auto"/>
              <w:rPr>
                <w:rFonts w:hint="eastAsia" w:ascii="宋体" w:hAnsi="宋体"/>
                <w:color w:val="auto"/>
              </w:rPr>
            </w:pPr>
          </w:p>
        </w:tc>
        <w:tc>
          <w:tcPr>
            <w:tcW w:w="672" w:type="pct"/>
            <w:noWrap/>
            <w:vAlign w:val="center"/>
          </w:tcPr>
          <w:p>
            <w:pPr>
              <w:snapToGrid w:val="0"/>
              <w:spacing w:line="600" w:lineRule="atLeast"/>
              <w:ind w:firstLine="103" w:firstLineChars="49"/>
              <w:rPr>
                <w:rFonts w:hint="eastAsia" w:ascii="宋体" w:hAnsi="宋体"/>
                <w:b/>
                <w:color w:val="auto"/>
                <w:kern w:val="0"/>
              </w:rPr>
            </w:pPr>
          </w:p>
        </w:tc>
        <w:tc>
          <w:tcPr>
            <w:tcW w:w="727" w:type="pct"/>
            <w:noWrap/>
            <w:vAlign w:val="center"/>
          </w:tcPr>
          <w:p>
            <w:pPr>
              <w:spacing w:line="240" w:lineRule="atLeast"/>
              <w:jc w:val="center"/>
              <w:rPr>
                <w:rFonts w:hint="eastAsia" w:ascii="宋体" w:hAnsi="宋体"/>
                <w:b/>
                <w:color w:val="auto"/>
              </w:rPr>
            </w:pPr>
          </w:p>
        </w:tc>
        <w:tc>
          <w:tcPr>
            <w:tcW w:w="677" w:type="pct"/>
            <w:noWrap/>
            <w:vAlign w:val="center"/>
          </w:tcPr>
          <w:p>
            <w:pPr>
              <w:spacing w:line="360" w:lineRule="auto"/>
              <w:rPr>
                <w:rFonts w:hint="eastAsia" w:ascii="宋体" w:hAnsi="宋体"/>
                <w:color w:val="auto"/>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421" w:type="pct"/>
            <w:noWrap/>
            <w:vAlign w:val="center"/>
          </w:tcPr>
          <w:p>
            <w:pPr>
              <w:snapToGrid w:val="0"/>
              <w:spacing w:line="600" w:lineRule="atLeast"/>
              <w:rPr>
                <w:rFonts w:hint="eastAsia" w:ascii="宋体" w:hAnsi="宋体"/>
                <w:b/>
                <w:color w:val="auto"/>
                <w:kern w:val="0"/>
              </w:rPr>
            </w:pPr>
            <w:r>
              <w:rPr>
                <w:rFonts w:hint="eastAsia" w:ascii="宋体" w:hAnsi="宋体"/>
                <w:b/>
                <w:color w:val="auto"/>
                <w:kern w:val="0"/>
              </w:rPr>
              <w:t>2</w:t>
            </w:r>
          </w:p>
        </w:tc>
        <w:tc>
          <w:tcPr>
            <w:tcW w:w="692" w:type="pct"/>
            <w:noWrap/>
            <w:vAlign w:val="center"/>
          </w:tcPr>
          <w:p>
            <w:pPr>
              <w:snapToGrid w:val="0"/>
              <w:spacing w:line="600" w:lineRule="atLeast"/>
              <w:jc w:val="center"/>
              <w:rPr>
                <w:rFonts w:hint="eastAsia" w:ascii="宋体" w:hAnsi="宋体"/>
                <w:color w:val="auto"/>
              </w:rPr>
            </w:pPr>
          </w:p>
        </w:tc>
        <w:tc>
          <w:tcPr>
            <w:tcW w:w="1808" w:type="pct"/>
            <w:noWrap/>
            <w:vAlign w:val="center"/>
          </w:tcPr>
          <w:p>
            <w:pPr>
              <w:spacing w:line="360" w:lineRule="auto"/>
              <w:rPr>
                <w:rFonts w:hint="eastAsia" w:ascii="宋体" w:hAnsi="宋体"/>
                <w:b/>
                <w:color w:val="auto"/>
              </w:rPr>
            </w:pPr>
          </w:p>
        </w:tc>
        <w:tc>
          <w:tcPr>
            <w:tcW w:w="672" w:type="pct"/>
            <w:noWrap/>
            <w:vAlign w:val="center"/>
          </w:tcPr>
          <w:p>
            <w:pPr>
              <w:snapToGrid w:val="0"/>
              <w:spacing w:line="600" w:lineRule="atLeast"/>
              <w:ind w:firstLine="103" w:firstLineChars="49"/>
              <w:rPr>
                <w:rFonts w:hint="eastAsia" w:ascii="宋体" w:hAnsi="宋体"/>
                <w:b/>
                <w:color w:val="auto"/>
                <w:kern w:val="0"/>
              </w:rPr>
            </w:pPr>
          </w:p>
        </w:tc>
        <w:tc>
          <w:tcPr>
            <w:tcW w:w="727" w:type="pct"/>
            <w:noWrap/>
            <w:vAlign w:val="center"/>
          </w:tcPr>
          <w:p>
            <w:pPr>
              <w:snapToGrid w:val="0"/>
              <w:spacing w:line="600" w:lineRule="atLeast"/>
              <w:ind w:firstLine="103" w:firstLineChars="49"/>
              <w:rPr>
                <w:rFonts w:hint="eastAsia" w:ascii="宋体" w:hAnsi="宋体"/>
                <w:b/>
                <w:color w:val="auto"/>
                <w:kern w:val="0"/>
              </w:rPr>
            </w:pPr>
          </w:p>
        </w:tc>
        <w:tc>
          <w:tcPr>
            <w:tcW w:w="677" w:type="pct"/>
            <w:noWrap/>
            <w:vAlign w:val="center"/>
          </w:tcPr>
          <w:p>
            <w:pPr>
              <w:spacing w:line="360" w:lineRule="auto"/>
              <w:rPr>
                <w:rFonts w:hint="eastAsia" w:ascii="宋体" w:hAnsi="宋体"/>
                <w:color w:val="auto"/>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421" w:type="pct"/>
            <w:noWrap/>
            <w:vAlign w:val="center"/>
          </w:tcPr>
          <w:p>
            <w:pPr>
              <w:snapToGrid w:val="0"/>
              <w:spacing w:line="600" w:lineRule="atLeast"/>
              <w:rPr>
                <w:rFonts w:hint="eastAsia" w:ascii="宋体" w:hAnsi="宋体"/>
                <w:b/>
                <w:color w:val="auto"/>
                <w:kern w:val="0"/>
              </w:rPr>
            </w:pPr>
            <w:r>
              <w:rPr>
                <w:rFonts w:hint="eastAsia" w:ascii="宋体" w:hAnsi="宋体"/>
                <w:b/>
                <w:color w:val="auto"/>
                <w:kern w:val="0"/>
              </w:rPr>
              <w:t>3</w:t>
            </w:r>
          </w:p>
        </w:tc>
        <w:tc>
          <w:tcPr>
            <w:tcW w:w="692" w:type="pct"/>
            <w:noWrap/>
            <w:vAlign w:val="center"/>
          </w:tcPr>
          <w:p>
            <w:pPr>
              <w:snapToGrid w:val="0"/>
              <w:spacing w:line="600" w:lineRule="atLeast"/>
              <w:jc w:val="center"/>
              <w:rPr>
                <w:rFonts w:hint="eastAsia" w:ascii="宋体" w:hAnsi="宋体"/>
                <w:color w:val="auto"/>
              </w:rPr>
            </w:pPr>
          </w:p>
        </w:tc>
        <w:tc>
          <w:tcPr>
            <w:tcW w:w="1808" w:type="pct"/>
            <w:noWrap/>
            <w:vAlign w:val="center"/>
          </w:tcPr>
          <w:p>
            <w:pPr>
              <w:spacing w:line="360" w:lineRule="auto"/>
              <w:rPr>
                <w:rFonts w:hint="eastAsia" w:ascii="宋体" w:hAnsi="宋体"/>
                <w:b/>
                <w:color w:val="auto"/>
              </w:rPr>
            </w:pPr>
          </w:p>
        </w:tc>
        <w:tc>
          <w:tcPr>
            <w:tcW w:w="672" w:type="pct"/>
            <w:noWrap/>
            <w:vAlign w:val="center"/>
          </w:tcPr>
          <w:p>
            <w:pPr>
              <w:snapToGrid w:val="0"/>
              <w:spacing w:line="600" w:lineRule="atLeast"/>
              <w:ind w:firstLine="103" w:firstLineChars="49"/>
              <w:rPr>
                <w:rFonts w:hint="eastAsia" w:ascii="宋体" w:hAnsi="宋体"/>
                <w:b/>
                <w:color w:val="auto"/>
                <w:kern w:val="0"/>
              </w:rPr>
            </w:pPr>
          </w:p>
        </w:tc>
        <w:tc>
          <w:tcPr>
            <w:tcW w:w="727" w:type="pct"/>
            <w:noWrap/>
            <w:vAlign w:val="center"/>
          </w:tcPr>
          <w:p>
            <w:pPr>
              <w:snapToGrid w:val="0"/>
              <w:spacing w:line="600" w:lineRule="atLeast"/>
              <w:ind w:firstLine="103" w:firstLineChars="49"/>
              <w:rPr>
                <w:rFonts w:hint="eastAsia" w:ascii="宋体" w:hAnsi="宋体"/>
                <w:b/>
                <w:color w:val="auto"/>
                <w:kern w:val="0"/>
              </w:rPr>
            </w:pPr>
          </w:p>
        </w:tc>
        <w:tc>
          <w:tcPr>
            <w:tcW w:w="677" w:type="pct"/>
            <w:noWrap/>
            <w:vAlign w:val="center"/>
          </w:tcPr>
          <w:p>
            <w:pPr>
              <w:spacing w:line="360" w:lineRule="auto"/>
              <w:rPr>
                <w:rFonts w:hint="eastAsia" w:ascii="宋体" w:hAnsi="宋体"/>
                <w:color w:val="auto"/>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5000" w:type="pct"/>
            <w:gridSpan w:val="6"/>
            <w:noWrap/>
            <w:vAlign w:val="center"/>
          </w:tcPr>
          <w:p>
            <w:pPr>
              <w:rPr>
                <w:rFonts w:hint="eastAsia" w:ascii="宋体" w:hAnsi="宋体"/>
                <w:color w:val="auto"/>
              </w:rPr>
            </w:pPr>
            <w:r>
              <w:rPr>
                <w:rFonts w:hint="eastAsia" w:ascii="宋体" w:hAnsi="宋体"/>
                <w:b/>
                <w:color w:val="auto"/>
              </w:rPr>
              <w:t xml:space="preserve">总价（人民币大写）：                                     </w:t>
            </w:r>
            <w:r>
              <w:rPr>
                <w:rFonts w:hint="eastAsia" w:ascii="宋体" w:hAnsi="宋体"/>
                <w:color w:val="auto"/>
              </w:rPr>
              <w:t>合计（小写）：        元</w:t>
            </w:r>
          </w:p>
          <w:p>
            <w:pPr>
              <w:rPr>
                <w:rFonts w:hint="eastAsia" w:ascii="宋体" w:hAnsi="宋体"/>
                <w:color w:val="auto"/>
              </w:rPr>
            </w:pPr>
            <w:r>
              <w:rPr>
                <w:rFonts w:hint="eastAsia" w:ascii="宋体" w:hAnsi="宋体"/>
                <w:color w:val="auto"/>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olor w:val="auto"/>
        </w:rPr>
      </w:pPr>
      <w:r>
        <w:rPr>
          <w:rFonts w:hint="eastAsia" w:ascii="宋体" w:hAnsi="宋体"/>
          <w:color w:val="auto"/>
        </w:rPr>
        <w:t>二、交货时间：在规定时间按照甲方要求安装完成摆放到位。</w:t>
      </w:r>
    </w:p>
    <w:p>
      <w:pPr>
        <w:widowControl/>
        <w:snapToGrid w:val="0"/>
        <w:spacing w:line="360" w:lineRule="exact"/>
        <w:rPr>
          <w:rFonts w:hint="eastAsia" w:ascii="宋体" w:hAnsi="宋体"/>
          <w:color w:val="auto"/>
        </w:rPr>
      </w:pPr>
      <w:r>
        <w:rPr>
          <w:rFonts w:hint="eastAsia" w:ascii="宋体" w:hAnsi="宋体"/>
          <w:color w:val="auto"/>
        </w:rPr>
        <w:t>三、交货地点：由乙方负责运输，送至甲方指定校区，并搬运到指定楼层的房间内。</w:t>
      </w:r>
    </w:p>
    <w:p>
      <w:pPr>
        <w:widowControl/>
        <w:snapToGrid w:val="0"/>
        <w:spacing w:line="340" w:lineRule="atLeast"/>
        <w:rPr>
          <w:rFonts w:hint="eastAsia" w:ascii="宋体" w:hAnsi="宋体"/>
          <w:color w:val="auto"/>
        </w:rPr>
      </w:pPr>
      <w:r>
        <w:rPr>
          <w:rFonts w:hint="eastAsia" w:ascii="宋体" w:hAnsi="宋体"/>
          <w:color w:val="auto"/>
        </w:rPr>
        <w:t>四、付款方式：本采购项目无预付款，安装结束，经甲乙双方共同验收合格后，付至合同总额的90%；壹年后无质量问题，余款无息结清。甲方付款前乙方需提供合法、有效、等额的增值税专用发票，否则，甲方有权拒付相应款项。</w:t>
      </w:r>
    </w:p>
    <w:p>
      <w:pPr>
        <w:widowControl/>
        <w:snapToGrid w:val="0"/>
        <w:spacing w:line="360" w:lineRule="exact"/>
        <w:rPr>
          <w:rFonts w:hint="eastAsia" w:ascii="宋体" w:hAnsi="宋体"/>
          <w:color w:val="auto"/>
        </w:rPr>
      </w:pPr>
      <w:r>
        <w:rPr>
          <w:rFonts w:hint="eastAsia" w:ascii="宋体" w:hAnsi="宋体"/>
          <w:color w:val="auto"/>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olor w:val="auto"/>
        </w:rPr>
      </w:pPr>
      <w:r>
        <w:rPr>
          <w:rFonts w:hint="eastAsia" w:ascii="宋体" w:hAnsi="宋体"/>
          <w:color w:val="auto"/>
        </w:rPr>
        <w:t>六、质量要求、技术标准、乙方对质量负责的条件和期限：</w:t>
      </w:r>
    </w:p>
    <w:p>
      <w:pPr>
        <w:widowControl/>
        <w:snapToGrid w:val="0"/>
        <w:spacing w:line="360" w:lineRule="exact"/>
        <w:ind w:firstLine="420" w:firstLineChars="200"/>
        <w:rPr>
          <w:rFonts w:hint="eastAsia" w:ascii="宋体" w:hAnsi="宋体"/>
          <w:color w:val="auto"/>
        </w:rPr>
      </w:pPr>
      <w:r>
        <w:rPr>
          <w:rFonts w:hint="eastAsia" w:ascii="宋体" w:hAnsi="宋体"/>
          <w:color w:val="auto"/>
        </w:rPr>
        <w:t>1、乙方所提供的货物，若技术性能无特殊说明，则按生产企业或国家有关部门最新颁布的标准及规范为准。</w:t>
      </w:r>
    </w:p>
    <w:p>
      <w:pPr>
        <w:widowControl/>
        <w:snapToGrid w:val="0"/>
        <w:spacing w:line="360" w:lineRule="exact"/>
        <w:ind w:firstLine="420" w:firstLineChars="200"/>
        <w:rPr>
          <w:rFonts w:hint="eastAsia" w:ascii="宋体" w:hAnsi="宋体"/>
          <w:color w:val="auto"/>
        </w:rPr>
      </w:pPr>
      <w:r>
        <w:rPr>
          <w:rFonts w:hint="eastAsia" w:ascii="宋体" w:hAnsi="宋体"/>
          <w:color w:val="auto"/>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olor w:val="auto"/>
        </w:rPr>
      </w:pPr>
      <w:r>
        <w:rPr>
          <w:rFonts w:hint="eastAsia" w:ascii="宋体" w:hAnsi="宋体"/>
          <w:color w:val="auto"/>
        </w:rPr>
        <w:t>七、验收标准：甲方应当在到货且安装调试完成后_</w:t>
      </w:r>
      <w:r>
        <w:rPr>
          <w:rFonts w:hint="eastAsia" w:ascii="宋体" w:hAnsi="宋体"/>
          <w:color w:val="auto"/>
          <w:u w:val="single"/>
        </w:rPr>
        <w:t>10</w:t>
      </w:r>
      <w:r>
        <w:rPr>
          <w:rFonts w:hint="eastAsia" w:ascii="宋体" w:hAnsi="宋体"/>
          <w:color w:val="auto"/>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olor w:val="auto"/>
        </w:rPr>
      </w:pPr>
      <w:r>
        <w:rPr>
          <w:rFonts w:hint="eastAsia" w:ascii="宋体" w:hAnsi="宋体"/>
          <w:color w:val="auto"/>
        </w:rPr>
        <w:t>八、 工程部分（两万元以上）需按南京邮电大学审计相关规定执行。</w:t>
      </w:r>
    </w:p>
    <w:p>
      <w:pPr>
        <w:widowControl/>
        <w:snapToGrid w:val="0"/>
        <w:spacing w:line="360" w:lineRule="exact"/>
        <w:rPr>
          <w:rFonts w:hint="eastAsia" w:ascii="宋体" w:hAnsi="宋体"/>
          <w:color w:val="auto"/>
        </w:rPr>
      </w:pPr>
      <w:r>
        <w:rPr>
          <w:rFonts w:hint="eastAsia" w:ascii="宋体" w:hAnsi="宋体"/>
          <w:color w:val="auto"/>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olor w:val="auto"/>
        </w:rPr>
      </w:pPr>
      <w:r>
        <w:rPr>
          <w:rFonts w:hint="eastAsia" w:ascii="宋体" w:hAnsi="宋体"/>
          <w:color w:val="auto"/>
        </w:rPr>
        <w:t>十、违约责任</w:t>
      </w:r>
    </w:p>
    <w:p>
      <w:pPr>
        <w:widowControl/>
        <w:snapToGrid w:val="0"/>
        <w:spacing w:line="360" w:lineRule="exact"/>
        <w:rPr>
          <w:rFonts w:hint="eastAsia" w:ascii="宋体" w:hAnsi="宋体"/>
          <w:color w:val="auto"/>
        </w:rPr>
      </w:pPr>
      <w:r>
        <w:rPr>
          <w:rFonts w:hint="eastAsia" w:ascii="宋体" w:hAnsi="宋体"/>
          <w:color w:val="auto"/>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olor w:val="auto"/>
        </w:rPr>
      </w:pPr>
      <w:r>
        <w:rPr>
          <w:rFonts w:hint="eastAsia" w:ascii="宋体" w:hAnsi="宋体"/>
          <w:color w:val="auto"/>
        </w:rPr>
        <w:t xml:space="preserve">2、乙方逾期交付货物的，乙方应按逾期交货总额每日千分之五向甲方支付违约金，由甲方从待付货款中扣除。逾期超过约定日期20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olor w:val="auto"/>
        </w:rPr>
      </w:pPr>
      <w:r>
        <w:rPr>
          <w:rFonts w:hint="eastAsia" w:ascii="宋体" w:hAnsi="宋体"/>
          <w:color w:val="auto"/>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olor w:val="auto"/>
        </w:rPr>
      </w:pPr>
      <w:r>
        <w:rPr>
          <w:rFonts w:hint="eastAsia" w:ascii="宋体" w:hAnsi="宋体"/>
          <w:color w:val="auto"/>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olor w:val="auto"/>
        </w:rPr>
      </w:pPr>
      <w:r>
        <w:rPr>
          <w:rFonts w:hint="eastAsia" w:ascii="宋体" w:hAnsi="宋体"/>
          <w:color w:val="auto"/>
        </w:rPr>
        <w:t>十一、 合同的变更和终止</w:t>
      </w:r>
    </w:p>
    <w:p>
      <w:pPr>
        <w:widowControl/>
        <w:snapToGrid w:val="0"/>
        <w:spacing w:line="360" w:lineRule="exact"/>
        <w:rPr>
          <w:rFonts w:hint="eastAsia" w:ascii="宋体" w:hAnsi="宋体"/>
          <w:color w:val="auto"/>
        </w:rPr>
      </w:pPr>
      <w:r>
        <w:rPr>
          <w:rFonts w:hint="eastAsia" w:ascii="宋体" w:hAnsi="宋体"/>
          <w:color w:val="auto"/>
        </w:rPr>
        <w:t>除《政府采购法》第49条、第50条第二款规定的情形外，本合同一经签订，甲乙双方不得擅自变更、中止或终止合同。</w:t>
      </w:r>
    </w:p>
    <w:p>
      <w:pPr>
        <w:widowControl/>
        <w:snapToGrid w:val="0"/>
        <w:spacing w:line="360" w:lineRule="exact"/>
        <w:rPr>
          <w:rFonts w:hint="eastAsia" w:ascii="宋体" w:hAnsi="宋体"/>
          <w:color w:val="auto"/>
        </w:rPr>
      </w:pPr>
      <w:r>
        <w:rPr>
          <w:rFonts w:hint="eastAsia" w:ascii="宋体" w:hAnsi="宋体"/>
          <w:color w:val="auto"/>
        </w:rPr>
        <w:t>十二、合同的转让</w:t>
      </w:r>
    </w:p>
    <w:p>
      <w:pPr>
        <w:widowControl/>
        <w:snapToGrid w:val="0"/>
        <w:spacing w:line="360" w:lineRule="exact"/>
        <w:rPr>
          <w:rFonts w:hint="eastAsia" w:ascii="宋体" w:hAnsi="宋体"/>
          <w:color w:val="auto"/>
        </w:rPr>
      </w:pPr>
      <w:r>
        <w:rPr>
          <w:rFonts w:hint="eastAsia" w:ascii="宋体" w:hAnsi="宋体"/>
          <w:color w:val="auto"/>
        </w:rPr>
        <w:t>乙方不得擅自部分或全部转让其应履行的合同义务。</w:t>
      </w:r>
    </w:p>
    <w:p>
      <w:pPr>
        <w:widowControl/>
        <w:snapToGrid w:val="0"/>
        <w:spacing w:line="360" w:lineRule="exact"/>
        <w:rPr>
          <w:rFonts w:hint="eastAsia" w:ascii="宋体" w:hAnsi="宋体"/>
          <w:color w:val="auto"/>
        </w:rPr>
      </w:pPr>
      <w:r>
        <w:rPr>
          <w:rFonts w:hint="eastAsia" w:ascii="宋体" w:hAnsi="宋体"/>
          <w:color w:val="auto"/>
        </w:rPr>
        <w:t>十三、 争议的解决</w:t>
      </w:r>
    </w:p>
    <w:p>
      <w:pPr>
        <w:widowControl/>
        <w:snapToGrid w:val="0"/>
        <w:spacing w:line="360" w:lineRule="exact"/>
        <w:rPr>
          <w:rFonts w:hint="eastAsia" w:ascii="宋体" w:hAnsi="宋体"/>
          <w:color w:val="auto"/>
        </w:rPr>
      </w:pPr>
      <w:r>
        <w:rPr>
          <w:rFonts w:hint="eastAsia" w:ascii="宋体" w:hAnsi="宋体"/>
          <w:color w:val="auto"/>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olor w:val="auto"/>
        </w:rPr>
      </w:pPr>
      <w:r>
        <w:rPr>
          <w:rFonts w:hint="eastAsia" w:ascii="宋体" w:hAnsi="宋体"/>
          <w:color w:val="auto"/>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olor w:val="auto"/>
        </w:rPr>
      </w:pPr>
      <w:r>
        <w:rPr>
          <w:rFonts w:hint="eastAsia" w:ascii="宋体" w:hAnsi="宋体"/>
          <w:color w:val="auto"/>
        </w:rPr>
        <w:t>十四、本合同由甲、乙双方共同签订，合同一式陆份，甲方伍份、乙方壹份。自双方签字、盖章之日起生效。</w:t>
      </w:r>
    </w:p>
    <w:p>
      <w:pPr>
        <w:rPr>
          <w:rFonts w:hint="eastAsia" w:ascii="宋体" w:hAnsi="宋体"/>
          <w:color w:val="auto"/>
        </w:rPr>
      </w:pPr>
    </w:p>
    <w:p>
      <w:pPr>
        <w:rPr>
          <w:rFonts w:hint="eastAsia" w:ascii="宋体" w:hAnsi="宋体"/>
          <w:color w:val="auto"/>
        </w:rPr>
      </w:pPr>
    </w:p>
    <w:p>
      <w:pPr>
        <w:snapToGrid w:val="0"/>
        <w:spacing w:line="280" w:lineRule="exact"/>
        <w:rPr>
          <w:rFonts w:hint="eastAsia" w:ascii="宋体" w:hAnsi="宋体"/>
          <w:color w:val="auto"/>
        </w:rPr>
      </w:pPr>
      <w:r>
        <w:rPr>
          <w:rFonts w:hint="eastAsia" w:ascii="宋体" w:hAnsi="宋体"/>
          <w:color w:val="auto"/>
        </w:rPr>
        <w:t>甲方                                               乙方</w:t>
      </w:r>
    </w:p>
    <w:p>
      <w:pPr>
        <w:snapToGrid w:val="0"/>
        <w:spacing w:line="280" w:lineRule="exact"/>
        <w:rPr>
          <w:rFonts w:hint="eastAsia" w:ascii="宋体" w:hAnsi="宋体"/>
          <w:color w:val="auto"/>
        </w:rPr>
      </w:pPr>
      <w:r>
        <w:rPr>
          <w:rFonts w:hint="eastAsia" w:ascii="宋体" w:hAnsi="宋体"/>
          <w:color w:val="auto"/>
        </w:rPr>
        <w:t>单位名称：南京邮电大学通达学院                     单位名称：</w:t>
      </w:r>
    </w:p>
    <w:p>
      <w:pPr>
        <w:snapToGrid w:val="0"/>
        <w:spacing w:line="280" w:lineRule="exact"/>
        <w:rPr>
          <w:rFonts w:hint="eastAsia" w:ascii="宋体" w:hAnsi="宋体"/>
          <w:color w:val="auto"/>
        </w:rPr>
      </w:pPr>
      <w:r>
        <w:rPr>
          <w:rFonts w:hint="eastAsia" w:ascii="宋体" w:hAnsi="宋体"/>
          <w:color w:val="auto"/>
        </w:rPr>
        <w:t>单位地址：扬州市润扬南路33号                      单位地址：</w:t>
      </w:r>
    </w:p>
    <w:p>
      <w:pPr>
        <w:snapToGrid w:val="0"/>
        <w:spacing w:line="280" w:lineRule="exact"/>
        <w:rPr>
          <w:rFonts w:hint="eastAsia" w:ascii="宋体" w:hAnsi="宋体"/>
          <w:color w:val="auto"/>
        </w:rPr>
      </w:pPr>
      <w:r>
        <w:rPr>
          <w:rFonts w:hint="eastAsia" w:ascii="宋体" w:hAnsi="宋体"/>
          <w:color w:val="auto"/>
        </w:rPr>
        <w:t>法定代表人：                                       法定代表人：</w:t>
      </w:r>
    </w:p>
    <w:p>
      <w:pPr>
        <w:snapToGrid w:val="0"/>
        <w:spacing w:line="280" w:lineRule="exact"/>
        <w:rPr>
          <w:rFonts w:hint="eastAsia" w:ascii="宋体" w:hAnsi="宋体"/>
          <w:color w:val="auto"/>
        </w:rPr>
      </w:pPr>
      <w:r>
        <w:rPr>
          <w:rFonts w:hint="eastAsia" w:ascii="宋体" w:hAnsi="宋体"/>
          <w:color w:val="auto"/>
        </w:rPr>
        <w:t>委托代理人（签字）：                                委托代理人（签字）：</w:t>
      </w:r>
    </w:p>
    <w:p>
      <w:pPr>
        <w:snapToGrid w:val="0"/>
        <w:spacing w:line="280" w:lineRule="exact"/>
        <w:rPr>
          <w:rFonts w:hint="eastAsia" w:ascii="宋体" w:hAnsi="宋体"/>
          <w:color w:val="auto"/>
        </w:rPr>
      </w:pPr>
      <w:r>
        <w:rPr>
          <w:rFonts w:hint="eastAsia" w:ascii="宋体" w:hAnsi="宋体"/>
          <w:color w:val="auto"/>
        </w:rPr>
        <w:t xml:space="preserve">联系电话：                                         联系电话：                                            </w:t>
      </w:r>
    </w:p>
    <w:p>
      <w:pPr>
        <w:snapToGrid w:val="0"/>
        <w:spacing w:line="280" w:lineRule="exact"/>
        <w:rPr>
          <w:rFonts w:hint="eastAsia" w:ascii="宋体" w:hAnsi="宋体"/>
          <w:color w:val="auto"/>
        </w:rPr>
      </w:pPr>
      <w:r>
        <w:rPr>
          <w:rFonts w:hint="eastAsia" w:ascii="宋体" w:hAnsi="宋体"/>
          <w:color w:val="auto"/>
        </w:rPr>
        <w:t>开户银行：</w:t>
      </w:r>
      <w:r>
        <w:rPr>
          <w:rFonts w:hint="eastAsia" w:ascii="宋体" w:hAnsi="宋体"/>
          <w:bCs/>
          <w:color w:val="auto"/>
        </w:rPr>
        <w:t>中国银行扬州分行开发区支行营业部</w:t>
      </w:r>
      <w:r>
        <w:rPr>
          <w:rFonts w:hint="eastAsia" w:ascii="宋体" w:hAnsi="宋体"/>
          <w:color w:val="auto"/>
        </w:rPr>
        <w:t xml:space="preserve">         开户银行： </w:t>
      </w:r>
    </w:p>
    <w:p>
      <w:pPr>
        <w:snapToGrid w:val="0"/>
        <w:spacing w:line="280" w:lineRule="exact"/>
        <w:rPr>
          <w:rFonts w:hint="eastAsia" w:ascii="宋体" w:hAnsi="宋体"/>
          <w:color w:val="auto"/>
        </w:rPr>
      </w:pPr>
      <w:r>
        <w:rPr>
          <w:rFonts w:hint="eastAsia" w:ascii="宋体" w:hAnsi="宋体"/>
          <w:color w:val="auto"/>
        </w:rPr>
        <w:t xml:space="preserve">户名：南京邮电大学通达学院                         户名： </w:t>
      </w:r>
    </w:p>
    <w:p>
      <w:pPr>
        <w:snapToGrid w:val="0"/>
        <w:spacing w:line="280" w:lineRule="exact"/>
        <w:rPr>
          <w:rFonts w:hint="eastAsia" w:ascii="宋体" w:hAnsi="宋体"/>
          <w:color w:val="auto"/>
        </w:rPr>
      </w:pPr>
      <w:r>
        <w:rPr>
          <w:rFonts w:hint="eastAsia" w:ascii="宋体" w:hAnsi="宋体"/>
          <w:color w:val="auto"/>
        </w:rPr>
        <w:t>账号：</w:t>
      </w:r>
      <w:r>
        <w:rPr>
          <w:rFonts w:hint="eastAsia" w:ascii="宋体" w:hAnsi="宋体"/>
          <w:bCs/>
          <w:color w:val="auto"/>
        </w:rPr>
        <w:t>489773587772</w:t>
      </w:r>
      <w:r>
        <w:rPr>
          <w:rFonts w:hint="eastAsia" w:ascii="宋体" w:hAnsi="宋体"/>
          <w:color w:val="auto"/>
        </w:rPr>
        <w:t xml:space="preserve">                                 账号： </w:t>
      </w:r>
    </w:p>
    <w:p>
      <w:pPr>
        <w:snapToGrid w:val="0"/>
        <w:spacing w:line="280" w:lineRule="exact"/>
        <w:rPr>
          <w:rFonts w:hint="eastAsia" w:ascii="宋体" w:hAnsi="宋体"/>
          <w:color w:val="auto"/>
        </w:rPr>
      </w:pPr>
      <w:r>
        <w:rPr>
          <w:rFonts w:hint="eastAsia" w:ascii="宋体" w:hAnsi="宋体"/>
          <w:color w:val="auto"/>
        </w:rPr>
        <w:t>税号：</w:t>
      </w:r>
      <w:r>
        <w:rPr>
          <w:rFonts w:hint="eastAsia" w:ascii="宋体" w:hAnsi="宋体"/>
          <w:bCs/>
          <w:color w:val="auto"/>
        </w:rPr>
        <w:t>52320000509200179F</w:t>
      </w:r>
      <w:r>
        <w:rPr>
          <w:rFonts w:hint="eastAsia" w:ascii="宋体" w:hAnsi="宋体"/>
          <w:color w:val="auto"/>
        </w:rPr>
        <w:t xml:space="preserve">                           行号：  </w:t>
      </w:r>
    </w:p>
    <w:p>
      <w:pPr>
        <w:snapToGrid w:val="0"/>
        <w:spacing w:line="280" w:lineRule="exact"/>
        <w:rPr>
          <w:rFonts w:hint="eastAsia" w:ascii="宋体" w:hAnsi="宋体"/>
          <w:color w:val="auto"/>
        </w:rPr>
      </w:pPr>
      <w:r>
        <w:rPr>
          <w:rFonts w:hint="eastAsia" w:ascii="宋体" w:hAnsi="宋体"/>
          <w:color w:val="auto"/>
        </w:rPr>
        <w:t>电话：0514-89716081                                项目联系人：</w:t>
      </w:r>
    </w:p>
    <w:p>
      <w:pPr>
        <w:snapToGrid w:val="0"/>
        <w:spacing w:line="280" w:lineRule="exact"/>
        <w:rPr>
          <w:rFonts w:hint="eastAsia" w:ascii="宋体" w:hAnsi="宋体"/>
          <w:color w:val="auto"/>
        </w:rPr>
      </w:pPr>
      <w:r>
        <w:rPr>
          <w:rFonts w:hint="eastAsia" w:ascii="宋体" w:hAnsi="宋体"/>
          <w:color w:val="auto"/>
        </w:rPr>
        <w:t>签约日期（即合同生效日期）：    年   月    日       联系电话：</w:t>
      </w:r>
    </w:p>
    <w:p>
      <w:pPr>
        <w:rPr>
          <w:rFonts w:hint="eastAsia" w:ascii="宋体" w:hAnsi="宋体" w:eastAsia="宋体" w:cs="宋体"/>
          <w:color w:val="auto"/>
          <w:kern w:val="44"/>
          <w:sz w:val="36"/>
          <w:szCs w:val="36"/>
          <w:u w:color="000000"/>
          <w:lang w:val="zh-TW" w:eastAsia="zh-TW"/>
        </w:rPr>
      </w:pPr>
    </w:p>
    <w:p>
      <w:pPr>
        <w:keepNext w:val="0"/>
        <w:keepLines w:val="0"/>
        <w:spacing w:before="0" w:beforeLines="-2147483648" w:after="0" w:afterLines="-2147483648" w:line="240" w:lineRule="auto"/>
        <w:jc w:val="left"/>
        <w:outlineLvl w:val="9"/>
        <w:rPr>
          <w:rFonts w:hint="eastAsia" w:ascii="宋体" w:hAnsi="宋体" w:eastAsia="宋体" w:cs="宋体"/>
          <w:color w:val="auto"/>
          <w:kern w:val="44"/>
          <w:sz w:val="36"/>
          <w:szCs w:val="36"/>
          <w:u w:color="000000"/>
          <w:lang w:val="zh-TW" w:eastAsia="zh-TW"/>
        </w:rPr>
      </w:pPr>
      <w:r>
        <w:rPr>
          <w:rFonts w:hint="eastAsia" w:ascii="宋体" w:hAnsi="宋体" w:eastAsia="宋体" w:cs="宋体"/>
          <w:color w:val="auto"/>
          <w:kern w:val="44"/>
          <w:sz w:val="36"/>
          <w:szCs w:val="36"/>
          <w:u w:color="000000"/>
          <w:lang w:val="zh-TW" w:eastAsia="zh-TW"/>
        </w:rPr>
        <w:br w:type="page"/>
      </w:r>
    </w:p>
    <w:p>
      <w:pPr>
        <w:keepNext/>
        <w:keepLines/>
        <w:spacing w:before="312" w:beforeLines="100" w:after="312" w:afterLines="100" w:line="360" w:lineRule="auto"/>
        <w:jc w:val="center"/>
        <w:outlineLvl w:val="0"/>
        <w:rPr>
          <w:rFonts w:hint="eastAsia" w:ascii="宋体" w:hAnsi="宋体" w:eastAsia="宋体" w:cs="宋体"/>
          <w:color w:val="auto"/>
          <w:kern w:val="44"/>
          <w:sz w:val="36"/>
          <w:szCs w:val="36"/>
          <w:u w:color="000000"/>
          <w:lang w:val="zh-TW"/>
        </w:rPr>
      </w:pPr>
      <w:r>
        <w:rPr>
          <w:rFonts w:hint="eastAsia" w:ascii="宋体" w:hAnsi="宋体" w:eastAsia="宋体" w:cs="宋体"/>
          <w:color w:val="auto"/>
          <w:kern w:val="44"/>
          <w:sz w:val="36"/>
          <w:szCs w:val="36"/>
          <w:u w:color="000000"/>
          <w:lang w:val="zh-TW" w:eastAsia="zh-TW"/>
        </w:rPr>
        <w:t>第</w:t>
      </w:r>
      <w:r>
        <w:rPr>
          <w:rFonts w:hint="eastAsia" w:ascii="宋体" w:hAnsi="宋体" w:eastAsia="宋体" w:cs="宋体"/>
          <w:color w:val="auto"/>
          <w:kern w:val="44"/>
          <w:sz w:val="36"/>
          <w:szCs w:val="36"/>
          <w:u w:color="000000"/>
          <w:lang w:val="zh-TW"/>
        </w:rPr>
        <w:t>四</w:t>
      </w:r>
      <w:r>
        <w:rPr>
          <w:rFonts w:hint="eastAsia" w:ascii="宋体" w:hAnsi="宋体" w:eastAsia="宋体" w:cs="宋体"/>
          <w:color w:val="auto"/>
          <w:kern w:val="44"/>
          <w:sz w:val="36"/>
          <w:szCs w:val="36"/>
          <w:u w:color="000000"/>
          <w:lang w:val="zh-TW" w:eastAsia="zh-TW"/>
        </w:rPr>
        <w:t xml:space="preserve">章  </w:t>
      </w:r>
      <w:r>
        <w:rPr>
          <w:rFonts w:hint="eastAsia" w:ascii="宋体" w:hAnsi="宋体" w:eastAsia="宋体" w:cs="宋体"/>
          <w:color w:val="auto"/>
          <w:kern w:val="44"/>
          <w:sz w:val="36"/>
          <w:szCs w:val="36"/>
          <w:u w:color="000000"/>
          <w:lang w:val="zh-TW"/>
        </w:rPr>
        <w:t>项目需求</w:t>
      </w:r>
      <w:bookmarkEnd w:id="12"/>
      <w:bookmarkStart w:id="13" w:name="_Toc54684264"/>
    </w:p>
    <w:bookmarkEnd w:id="13"/>
    <w:p>
      <w:pPr>
        <w:pStyle w:val="19"/>
        <w:keepNext w:val="0"/>
        <w:keepLines w:val="0"/>
        <w:pageBreakBefore w:val="0"/>
        <w:numPr>
          <w:ilvl w:val="0"/>
          <w:numId w:val="0"/>
        </w:numPr>
        <w:kinsoku/>
        <w:wordWrap/>
        <w:overflowPunct/>
        <w:topLinePunct w:val="0"/>
        <w:autoSpaceDE/>
        <w:autoSpaceDN/>
        <w:bidi w:val="0"/>
        <w:spacing w:line="360" w:lineRule="exact"/>
        <w:ind w:leftChars="0" w:firstLine="480" w:firstLineChars="200"/>
        <w:jc w:val="both"/>
        <w:textAlignment w:val="auto"/>
        <w:rPr>
          <w:rFonts w:hint="eastAsia" w:ascii="宋体" w:hAnsi="宋体" w:eastAsia="宋体" w:cs="宋体"/>
          <w:color w:val="auto"/>
        </w:rPr>
      </w:pPr>
      <w:r>
        <w:rPr>
          <w:rFonts w:hint="eastAsia" w:ascii="宋体" w:hAnsi="宋体" w:eastAsia="宋体" w:cs="宋体"/>
          <w:color w:val="auto"/>
          <w:lang w:val="en-US" w:eastAsia="zh-CN"/>
        </w:rPr>
        <w:t>一、</w:t>
      </w:r>
      <w:r>
        <w:rPr>
          <w:rFonts w:hint="eastAsia" w:ascii="宋体" w:hAnsi="宋体" w:eastAsia="宋体" w:cs="宋体"/>
          <w:color w:val="auto"/>
        </w:rPr>
        <w:t>技术要求</w:t>
      </w:r>
    </w:p>
    <w:p>
      <w:pPr>
        <w:pStyle w:val="19"/>
        <w:keepNext w:val="0"/>
        <w:keepLines w:val="0"/>
        <w:pageBreakBefore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auto"/>
        </w:rPr>
      </w:pPr>
      <w:r>
        <w:rPr>
          <w:rFonts w:hint="eastAsia" w:ascii="宋体" w:hAnsi="宋体" w:eastAsia="宋体" w:cs="宋体"/>
          <w:b/>
          <w:bCs/>
          <w:color w:val="auto"/>
        </w:rPr>
        <w:t>（一）通信原理实验箱</w:t>
      </w:r>
    </w:p>
    <w:p>
      <w:pPr>
        <w:keepNext w:val="0"/>
        <w:keepLines w:val="0"/>
        <w:pageBreakBefore w:val="0"/>
        <w:kinsoku/>
        <w:wordWrap/>
        <w:overflowPunct/>
        <w:topLinePunct w:val="0"/>
        <w:autoSpaceDE/>
        <w:autoSpaceDN/>
        <w:bidi w:val="0"/>
        <w:spacing w:line="36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1、实验箱模块化设计，各个模块带有机玻璃保护壳，可单独实验也可连成系统做系统实验；</w:t>
      </w:r>
    </w:p>
    <w:p>
      <w:pPr>
        <w:keepNext w:val="0"/>
        <w:keepLines w:val="0"/>
        <w:pageBreakBefore w:val="0"/>
        <w:kinsoku/>
        <w:wordWrap/>
        <w:overflowPunct/>
        <w:topLinePunct w:val="0"/>
        <w:autoSpaceDE/>
        <w:autoSpaceDN/>
        <w:bidi w:val="0"/>
        <w:spacing w:line="360" w:lineRule="exact"/>
        <w:ind w:left="42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szCs w:val="24"/>
        </w:rPr>
        <w:t>★</w:t>
      </w:r>
      <w:r>
        <w:rPr>
          <w:rFonts w:hint="eastAsia" w:ascii="宋体" w:hAnsi="宋体" w:eastAsia="宋体" w:cs="宋体"/>
          <w:color w:val="auto"/>
          <w:sz w:val="24"/>
        </w:rPr>
        <w:t>2、实验箱能提供至少以下几个功能模块：基带数据产生与码型变换、信源编码与时分复用、信道编码与频带调制、纠错译码与频带解调、信源译码与时分解复用等；</w:t>
      </w:r>
    </w:p>
    <w:p>
      <w:pPr>
        <w:keepNext w:val="0"/>
        <w:keepLines w:val="0"/>
        <w:pageBreakBefore w:val="0"/>
        <w:kinsoku/>
        <w:wordWrap/>
        <w:overflowPunct/>
        <w:topLinePunct w:val="0"/>
        <w:autoSpaceDE/>
        <w:autoSpaceDN/>
        <w:bidi w:val="0"/>
        <w:spacing w:line="36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3、实验箱配备信号源输出接口，至少能产生各个实验所需要的正弦波、三角波、占空比可变的抽样脉冲信号、扫频信号等；</w:t>
      </w:r>
    </w:p>
    <w:p>
      <w:pPr>
        <w:keepNext w:val="0"/>
        <w:keepLines w:val="0"/>
        <w:pageBreakBefore w:val="0"/>
        <w:kinsoku/>
        <w:wordWrap/>
        <w:overflowPunct/>
        <w:topLinePunct w:val="0"/>
        <w:autoSpaceDE/>
        <w:autoSpaceDN/>
        <w:bidi w:val="0"/>
        <w:spacing w:line="360" w:lineRule="exact"/>
        <w:ind w:left="42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szCs w:val="24"/>
        </w:rPr>
        <w:t>★</w:t>
      </w:r>
      <w:r>
        <w:rPr>
          <w:rFonts w:hint="eastAsia" w:ascii="宋体" w:hAnsi="宋体" w:eastAsia="宋体" w:cs="宋体"/>
          <w:color w:val="auto"/>
          <w:sz w:val="24"/>
        </w:rPr>
        <w:t>4、实验箱内自带友好的人机交互界面，可实时显示实验原理框图、参数等，并且学生能在交互界面设置、调整实验参数；实验参数的改变、信号的切换等功能实现需采用数字器件例如数字电位器、编码开关、可编程放大器等器件；以上需现场演示；</w:t>
      </w:r>
    </w:p>
    <w:p>
      <w:pPr>
        <w:keepNext w:val="0"/>
        <w:keepLines w:val="0"/>
        <w:pageBreakBefore w:val="0"/>
        <w:kinsoku/>
        <w:wordWrap/>
        <w:overflowPunct/>
        <w:topLinePunct w:val="0"/>
        <w:autoSpaceDE/>
        <w:autoSpaceDN/>
        <w:bidi w:val="0"/>
        <w:spacing w:line="36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5、实验箱提供学生预习功能，通过实验框图，文字说明，理论波形等内容，结合配套的实验教材，可让学生提前进行实验理论的预习；</w:t>
      </w:r>
    </w:p>
    <w:p>
      <w:pPr>
        <w:keepNext w:val="0"/>
        <w:keepLines w:val="0"/>
        <w:pageBreakBefore w:val="0"/>
        <w:kinsoku/>
        <w:wordWrap/>
        <w:overflowPunct/>
        <w:topLinePunct w:val="0"/>
        <w:autoSpaceDE/>
        <w:autoSpaceDN/>
        <w:bidi w:val="0"/>
        <w:spacing w:line="36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6、实验箱内嵌有全功能误码仪，至少满足如下功能：误码时钟8K到1024K可设置，码型15位到256位可设置，插入误码个数可调，误码数和误码率自动统计；</w:t>
      </w:r>
    </w:p>
    <w:p>
      <w:pPr>
        <w:keepNext w:val="0"/>
        <w:keepLines w:val="0"/>
        <w:pageBreakBefore w:val="0"/>
        <w:kinsoku/>
        <w:wordWrap/>
        <w:overflowPunct/>
        <w:topLinePunct w:val="0"/>
        <w:autoSpaceDE/>
        <w:autoSpaceDN/>
        <w:bidi w:val="0"/>
        <w:spacing w:line="36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7、实验箱硬件资源能全开放，所有实验均能二次开发，可以采用网络在线加载；同时具备自动恢复功能，确保二次开发不会对原实验系统造成影响，具有稳定可靠性；以上需现场演示；</w:t>
      </w:r>
    </w:p>
    <w:p>
      <w:pPr>
        <w:keepNext w:val="0"/>
        <w:keepLines w:val="0"/>
        <w:pageBreakBefore w:val="0"/>
        <w:kinsoku/>
        <w:wordWrap/>
        <w:overflowPunct/>
        <w:topLinePunct w:val="0"/>
        <w:autoSpaceDE/>
        <w:autoSpaceDN/>
        <w:bidi w:val="0"/>
        <w:spacing w:line="36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8、实验箱具备可扩展性，可实现网络远程固件升级功能，同时实验箱要与线上实验平台所呈现的实验界面相对应；</w:t>
      </w:r>
    </w:p>
    <w:p>
      <w:pPr>
        <w:keepNext w:val="0"/>
        <w:keepLines w:val="0"/>
        <w:pageBreakBefore w:val="0"/>
        <w:kinsoku/>
        <w:wordWrap/>
        <w:overflowPunct/>
        <w:topLinePunct w:val="0"/>
        <w:autoSpaceDE/>
        <w:autoSpaceDN/>
        <w:bidi w:val="0"/>
        <w:spacing w:line="36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9、至少能满足如下教学实验：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rPr>
        <w:tab/>
      </w:r>
      <w:r>
        <w:rPr>
          <w:rFonts w:hint="eastAsia" w:ascii="宋体" w:hAnsi="宋体" w:eastAsia="宋体" w:cs="宋体"/>
          <w:color w:val="auto"/>
          <w:kern w:val="0"/>
          <w:sz w:val="24"/>
        </w:rPr>
        <w:t>PAM调制与抽样定理及其应用实验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rPr>
        <w:tab/>
      </w:r>
      <w:r>
        <w:rPr>
          <w:rFonts w:hint="eastAsia" w:ascii="宋体" w:hAnsi="宋体" w:eastAsia="宋体" w:cs="宋体"/>
          <w:color w:val="auto"/>
          <w:kern w:val="0"/>
          <w:sz w:val="24"/>
        </w:rPr>
        <w:t>PCM编译码系统实验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rPr>
        <w:tab/>
      </w:r>
      <w:r>
        <w:rPr>
          <w:rFonts w:hint="eastAsia" w:ascii="宋体" w:hAnsi="宋体" w:eastAsia="宋体" w:cs="宋体"/>
          <w:color w:val="auto"/>
          <w:kern w:val="0"/>
          <w:sz w:val="24"/>
        </w:rPr>
        <w:t>ADPCM编译码系统实验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eastAsia="宋体" w:cs="宋体"/>
          <w:color w:val="auto"/>
          <w:kern w:val="0"/>
          <w:sz w:val="24"/>
        </w:rPr>
        <w:tab/>
      </w:r>
      <w:r>
        <w:rPr>
          <w:rFonts w:hint="eastAsia" w:ascii="宋体" w:hAnsi="宋体" w:eastAsia="宋体" w:cs="宋体"/>
          <w:color w:val="auto"/>
          <w:kern w:val="0"/>
          <w:sz w:val="24"/>
        </w:rPr>
        <w:t>CVSD编译码系统实验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w:t>
      </w:r>
      <w:r>
        <w:rPr>
          <w:rFonts w:hint="eastAsia" w:ascii="宋体" w:hAnsi="宋体" w:eastAsia="宋体" w:cs="宋体"/>
          <w:color w:val="auto"/>
          <w:kern w:val="0"/>
          <w:sz w:val="24"/>
        </w:rPr>
        <w:tab/>
      </w:r>
      <w:r>
        <w:rPr>
          <w:rFonts w:hint="eastAsia" w:ascii="宋体" w:hAnsi="宋体" w:eastAsia="宋体" w:cs="宋体"/>
          <w:color w:val="auto"/>
          <w:kern w:val="0"/>
          <w:sz w:val="24"/>
        </w:rPr>
        <w:t>FSK调制解调实验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w:t>
      </w:r>
      <w:r>
        <w:rPr>
          <w:rFonts w:hint="eastAsia" w:ascii="宋体" w:hAnsi="宋体" w:eastAsia="宋体" w:cs="宋体"/>
          <w:color w:val="auto"/>
          <w:kern w:val="0"/>
          <w:sz w:val="24"/>
        </w:rPr>
        <w:tab/>
      </w:r>
      <w:r>
        <w:rPr>
          <w:rFonts w:hint="eastAsia" w:ascii="宋体" w:hAnsi="宋体" w:eastAsia="宋体" w:cs="宋体"/>
          <w:color w:val="auto"/>
          <w:kern w:val="0"/>
          <w:sz w:val="24"/>
        </w:rPr>
        <w:t>PSK BPSK QPSK调制解调实验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w:t>
      </w:r>
      <w:r>
        <w:rPr>
          <w:rFonts w:hint="eastAsia" w:ascii="宋体" w:hAnsi="宋体" w:eastAsia="宋体" w:cs="宋体"/>
          <w:color w:val="auto"/>
          <w:kern w:val="0"/>
          <w:sz w:val="24"/>
        </w:rPr>
        <w:tab/>
      </w:r>
      <w:r>
        <w:rPr>
          <w:rFonts w:hint="eastAsia" w:ascii="宋体" w:hAnsi="宋体" w:eastAsia="宋体" w:cs="宋体"/>
          <w:color w:val="auto"/>
          <w:kern w:val="0"/>
          <w:sz w:val="24"/>
        </w:rPr>
        <w:t>眼图观察测量实验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（8）</w:t>
      </w:r>
      <w:r>
        <w:rPr>
          <w:rFonts w:hint="eastAsia" w:ascii="宋体" w:hAnsi="宋体" w:eastAsia="宋体" w:cs="宋体"/>
          <w:color w:val="auto"/>
          <w:kern w:val="0"/>
          <w:sz w:val="24"/>
        </w:rPr>
        <w:tab/>
      </w:r>
      <w:r>
        <w:rPr>
          <w:rFonts w:hint="eastAsia" w:ascii="宋体" w:hAnsi="宋体" w:eastAsia="宋体" w:cs="宋体"/>
          <w:color w:val="auto"/>
          <w:kern w:val="0"/>
          <w:sz w:val="24"/>
        </w:rPr>
        <w:t>卷积编译码及纠错能力验证实验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（9）</w:t>
      </w:r>
      <w:r>
        <w:rPr>
          <w:rFonts w:hint="eastAsia" w:ascii="宋体" w:hAnsi="宋体" w:eastAsia="宋体" w:cs="宋体"/>
          <w:color w:val="auto"/>
          <w:kern w:val="0"/>
          <w:sz w:val="24"/>
        </w:rPr>
        <w:tab/>
      </w:r>
      <w:r>
        <w:rPr>
          <w:rFonts w:hint="eastAsia" w:ascii="宋体" w:hAnsi="宋体" w:eastAsia="宋体" w:cs="宋体"/>
          <w:color w:val="auto"/>
          <w:kern w:val="0"/>
          <w:sz w:val="24"/>
        </w:rPr>
        <w:t>循环码编译码及纠错能力验证实验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（10）</w:t>
      </w:r>
      <w:r>
        <w:rPr>
          <w:rFonts w:hint="eastAsia" w:ascii="宋体" w:hAnsi="宋体" w:eastAsia="宋体" w:cs="宋体"/>
          <w:color w:val="auto"/>
          <w:kern w:val="0"/>
          <w:sz w:val="24"/>
        </w:rPr>
        <w:tab/>
      </w:r>
      <w:r>
        <w:rPr>
          <w:rFonts w:hint="eastAsia" w:ascii="宋体" w:hAnsi="宋体" w:eastAsia="宋体" w:cs="宋体"/>
          <w:color w:val="auto"/>
          <w:kern w:val="0"/>
          <w:sz w:val="24"/>
        </w:rPr>
        <w:t>交织编译码及纠错能力验证实验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（11）</w:t>
      </w:r>
      <w:r>
        <w:rPr>
          <w:rFonts w:hint="eastAsia" w:ascii="宋体" w:hAnsi="宋体" w:eastAsia="宋体" w:cs="宋体"/>
          <w:color w:val="auto"/>
          <w:kern w:val="0"/>
          <w:sz w:val="24"/>
        </w:rPr>
        <w:tab/>
      </w:r>
      <w:r>
        <w:rPr>
          <w:rFonts w:hint="eastAsia" w:ascii="宋体" w:hAnsi="宋体" w:eastAsia="宋体" w:cs="宋体"/>
          <w:color w:val="auto"/>
          <w:kern w:val="0"/>
          <w:sz w:val="24"/>
        </w:rPr>
        <w:t>基带信号的常见码型变换实验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（12）</w:t>
      </w:r>
      <w:r>
        <w:rPr>
          <w:rFonts w:hint="eastAsia" w:ascii="宋体" w:hAnsi="宋体" w:eastAsia="宋体" w:cs="宋体"/>
          <w:color w:val="auto"/>
          <w:kern w:val="0"/>
          <w:sz w:val="24"/>
        </w:rPr>
        <w:tab/>
      </w:r>
      <w:r>
        <w:rPr>
          <w:rFonts w:hint="eastAsia" w:ascii="宋体" w:hAnsi="宋体" w:eastAsia="宋体" w:cs="宋体"/>
          <w:color w:val="auto"/>
          <w:kern w:val="0"/>
          <w:sz w:val="24"/>
        </w:rPr>
        <w:t>AMI/HDB3码型变换实验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（13）</w:t>
      </w:r>
      <w:r>
        <w:rPr>
          <w:rFonts w:hint="eastAsia" w:ascii="宋体" w:hAnsi="宋体" w:eastAsia="宋体" w:cs="宋体"/>
          <w:color w:val="auto"/>
          <w:kern w:val="0"/>
          <w:sz w:val="24"/>
        </w:rPr>
        <w:tab/>
      </w:r>
      <w:r>
        <w:rPr>
          <w:rFonts w:hint="eastAsia" w:ascii="宋体" w:hAnsi="宋体" w:eastAsia="宋体" w:cs="宋体"/>
          <w:color w:val="auto"/>
          <w:kern w:val="0"/>
          <w:sz w:val="24"/>
        </w:rPr>
        <w:t>时分复用/解复用实验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（14）</w:t>
      </w:r>
      <w:r>
        <w:rPr>
          <w:rFonts w:hint="eastAsia" w:ascii="宋体" w:hAnsi="宋体" w:eastAsia="宋体" w:cs="宋体"/>
          <w:color w:val="auto"/>
          <w:kern w:val="0"/>
          <w:sz w:val="24"/>
        </w:rPr>
        <w:tab/>
      </w:r>
      <w:r>
        <w:rPr>
          <w:rFonts w:hint="eastAsia" w:ascii="宋体" w:hAnsi="宋体" w:eastAsia="宋体" w:cs="宋体"/>
          <w:color w:val="auto"/>
          <w:kern w:val="0"/>
          <w:sz w:val="24"/>
        </w:rPr>
        <w:t>码分复用/解复用实验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（15）</w:t>
      </w:r>
      <w:r>
        <w:rPr>
          <w:rFonts w:hint="eastAsia" w:ascii="宋体" w:hAnsi="宋体" w:eastAsia="宋体" w:cs="宋体"/>
          <w:color w:val="auto"/>
          <w:kern w:val="0"/>
          <w:sz w:val="24"/>
        </w:rPr>
        <w:tab/>
      </w:r>
      <w:r>
        <w:rPr>
          <w:rFonts w:hint="eastAsia" w:ascii="宋体" w:hAnsi="宋体" w:eastAsia="宋体" w:cs="宋体"/>
          <w:color w:val="auto"/>
          <w:kern w:val="0"/>
          <w:sz w:val="24"/>
        </w:rPr>
        <w:t>位同步与帧同步实验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（16）</w:t>
      </w:r>
      <w:r>
        <w:rPr>
          <w:rFonts w:hint="eastAsia" w:ascii="宋体" w:hAnsi="宋体" w:eastAsia="宋体" w:cs="宋体"/>
          <w:color w:val="auto"/>
          <w:kern w:val="0"/>
          <w:sz w:val="24"/>
        </w:rPr>
        <w:tab/>
      </w:r>
      <w:r>
        <w:rPr>
          <w:rFonts w:hint="eastAsia" w:ascii="宋体" w:hAnsi="宋体" w:eastAsia="宋体" w:cs="宋体"/>
          <w:color w:val="auto"/>
          <w:kern w:val="0"/>
          <w:sz w:val="24"/>
        </w:rPr>
        <w:t>PCM（CVSD）、HDB3传输系统实验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（17）  PCM（CVSD）、汉明、交织信道编译码频带调制解调传输系统实</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（18）</w:t>
      </w:r>
      <w:r>
        <w:rPr>
          <w:rFonts w:hint="eastAsia" w:ascii="宋体" w:hAnsi="宋体" w:eastAsia="宋体" w:cs="宋体"/>
          <w:color w:val="auto"/>
          <w:kern w:val="0"/>
          <w:sz w:val="24"/>
        </w:rPr>
        <w:tab/>
      </w:r>
      <w:r>
        <w:rPr>
          <w:rFonts w:hint="eastAsia" w:ascii="宋体" w:hAnsi="宋体" w:eastAsia="宋体" w:cs="宋体"/>
          <w:color w:val="auto"/>
          <w:kern w:val="0"/>
          <w:sz w:val="24"/>
        </w:rPr>
        <w:t>基带系统与频带系统误码性能测试实验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rPr>
        <w:tab/>
      </w:r>
      <w:r>
        <w:rPr>
          <w:rFonts w:hint="eastAsia" w:ascii="宋体" w:hAnsi="宋体" w:eastAsia="宋体" w:cs="宋体"/>
          <w:color w:val="auto"/>
          <w:kern w:val="0"/>
          <w:sz w:val="24"/>
        </w:rPr>
        <w:t>PCM编译码模块接口设计实验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（20）</w:t>
      </w:r>
      <w:r>
        <w:rPr>
          <w:rFonts w:hint="eastAsia" w:ascii="宋体" w:hAnsi="宋体" w:eastAsia="宋体" w:cs="宋体"/>
          <w:color w:val="auto"/>
          <w:kern w:val="0"/>
          <w:sz w:val="24"/>
        </w:rPr>
        <w:tab/>
      </w:r>
      <w:r>
        <w:rPr>
          <w:rFonts w:hint="eastAsia" w:ascii="宋体" w:hAnsi="宋体" w:eastAsia="宋体" w:cs="宋体"/>
          <w:color w:val="auto"/>
          <w:kern w:val="0"/>
          <w:sz w:val="24"/>
        </w:rPr>
        <w:t>各种信道纠错编译码开发实验</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（21）</w:t>
      </w:r>
      <w:r>
        <w:rPr>
          <w:rFonts w:hint="eastAsia" w:ascii="宋体" w:hAnsi="宋体" w:eastAsia="宋体" w:cs="宋体"/>
          <w:color w:val="auto"/>
          <w:kern w:val="0"/>
          <w:sz w:val="24"/>
        </w:rPr>
        <w:tab/>
      </w:r>
      <w:r>
        <w:rPr>
          <w:rFonts w:hint="eastAsia" w:ascii="宋体" w:hAnsi="宋体" w:eastAsia="宋体" w:cs="宋体"/>
          <w:color w:val="auto"/>
          <w:kern w:val="0"/>
          <w:sz w:val="24"/>
        </w:rPr>
        <w:t>通信综合系统开发实验（信源—PCM编码—复接—HDB3编译码—</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调制—传输—解调—同步、解复—PCM译码—终端）</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p>
    <w:p>
      <w:pPr>
        <w:pStyle w:val="19"/>
        <w:keepNext w:val="0"/>
        <w:keepLines w:val="0"/>
        <w:pageBreakBefore w:val="0"/>
        <w:kinsoku/>
        <w:wordWrap/>
        <w:overflowPunct/>
        <w:topLinePunct w:val="0"/>
        <w:autoSpaceDE/>
        <w:autoSpaceDN/>
        <w:bidi w:val="0"/>
        <w:spacing w:line="360" w:lineRule="exact"/>
        <w:ind w:right="1470" w:firstLine="482" w:firstLineChars="200"/>
        <w:textAlignment w:val="auto"/>
        <w:rPr>
          <w:rFonts w:hint="eastAsia" w:ascii="宋体" w:hAnsi="宋体" w:eastAsia="宋体" w:cs="宋体"/>
          <w:b/>
          <w:bCs/>
          <w:color w:val="auto"/>
        </w:rPr>
      </w:pPr>
      <w:r>
        <w:rPr>
          <w:rFonts w:hint="eastAsia" w:ascii="宋体" w:hAnsi="宋体" w:eastAsia="宋体" w:cs="宋体"/>
          <w:b/>
          <w:bCs/>
          <w:color w:val="auto"/>
        </w:rPr>
        <w:t>（二）通信原理线上实验平台</w:t>
      </w:r>
    </w:p>
    <w:p>
      <w:pPr>
        <w:keepNext w:val="0"/>
        <w:keepLines w:val="0"/>
        <w:pageBreakBefore w:val="0"/>
        <w:kinsoku/>
        <w:wordWrap/>
        <w:overflowPunct/>
        <w:topLinePunct w:val="0"/>
        <w:autoSpaceDE/>
        <w:autoSpaceDN/>
        <w:bidi w:val="0"/>
        <w:spacing w:line="360" w:lineRule="exact"/>
        <w:ind w:left="42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szCs w:val="24"/>
        </w:rPr>
        <w:t>★</w:t>
      </w:r>
      <w:r>
        <w:rPr>
          <w:rFonts w:hint="eastAsia" w:ascii="宋体" w:hAnsi="宋体" w:eastAsia="宋体" w:cs="宋体"/>
          <w:color w:val="auto"/>
          <w:sz w:val="24"/>
        </w:rPr>
        <w:t>1、整个线上实验平台包括两部分：硬件部分和软件部分。硬件部分包括了实验板卡、机箱、服务器、网络交换机等。硬件部分至少能满足支持10人同时上线使用，并预留后期增加数量的余地。服务器配置最低要求：配置1颗不低于英特尔至强银牌4210处理器，64G内存，2T</w:t>
      </w:r>
      <w:r>
        <w:rPr>
          <w:rFonts w:hint="eastAsia" w:ascii="宋体" w:hAnsi="宋体" w:eastAsia="宋体" w:cs="宋体"/>
          <w:color w:val="auto"/>
        </w:rPr>
        <w:t xml:space="preserve"> </w:t>
      </w:r>
      <w:r>
        <w:rPr>
          <w:rFonts w:hint="eastAsia" w:ascii="宋体" w:hAnsi="宋体" w:eastAsia="宋体" w:cs="宋体"/>
          <w:color w:val="auto"/>
          <w:sz w:val="24"/>
        </w:rPr>
        <w:t>10K RPM SAS 12Gbps 2.5英寸热插拔硬盘，2个千兆以太网口，1+1冗余电源。软件部分包含：线上实验网管平台和线上实验操作平台。软件部分能支持分配给师生的账号数至少达到800个，并能实现随时后台更新账号数据；</w:t>
      </w:r>
    </w:p>
    <w:p>
      <w:pPr>
        <w:keepNext w:val="0"/>
        <w:keepLines w:val="0"/>
        <w:pageBreakBefore w:val="0"/>
        <w:kinsoku/>
        <w:wordWrap/>
        <w:overflowPunct/>
        <w:topLinePunct w:val="0"/>
        <w:autoSpaceDE/>
        <w:autoSpaceDN/>
        <w:bidi w:val="0"/>
        <w:spacing w:line="36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线上学生实验均有实际硬件电路相对应，硬件资源动态分配，多个平台可级联；硬件板卡支持校内外IP访问、硬件资源全开放、支持所有实验的二次开发、远程固件升级、远程开发算法动态加载等；二次开发实验至少包括：各种编码、数字调制解调、各种同步、复用解复用等，同时需提供开发例程；以上需现场演示；</w:t>
      </w:r>
    </w:p>
    <w:p>
      <w:pPr>
        <w:keepNext w:val="0"/>
        <w:keepLines w:val="0"/>
        <w:pageBreakBefore w:val="0"/>
        <w:kinsoku/>
        <w:wordWrap/>
        <w:overflowPunct/>
        <w:topLinePunct w:val="0"/>
        <w:autoSpaceDE/>
        <w:autoSpaceDN/>
        <w:bidi w:val="0"/>
        <w:spacing w:line="36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线上实验网管平台需要完成硬件资源管理、实验管理、设备管理等功能，主要包括：动态分配资源、建立硬件模块的数据链接，教师实验课件上传、学生实验权限设置、实验报告批改、学生实验预习、成绩查询、问题提交，建立实验设备性能档案和故障上报等；</w:t>
      </w:r>
    </w:p>
    <w:p>
      <w:pPr>
        <w:keepNext w:val="0"/>
        <w:keepLines w:val="0"/>
        <w:pageBreakBefore w:val="0"/>
        <w:kinsoku/>
        <w:wordWrap/>
        <w:overflowPunct/>
        <w:topLinePunct w:val="0"/>
        <w:autoSpaceDE/>
        <w:autoSpaceDN/>
        <w:bidi w:val="0"/>
        <w:spacing w:line="360" w:lineRule="exact"/>
        <w:ind w:left="420" w:firstLine="482" w:firstLineChars="200"/>
        <w:textAlignment w:val="auto"/>
        <w:rPr>
          <w:rFonts w:hint="eastAsia" w:ascii="宋体" w:hAnsi="宋体" w:eastAsia="宋体" w:cs="宋体"/>
          <w:color w:val="auto"/>
          <w:sz w:val="24"/>
        </w:rPr>
      </w:pPr>
      <w:r>
        <w:rPr>
          <w:rFonts w:hint="eastAsia" w:ascii="宋体" w:hAnsi="宋体" w:eastAsia="宋体" w:cs="宋体"/>
          <w:b/>
          <w:color w:val="auto"/>
          <w:sz w:val="24"/>
          <w:szCs w:val="24"/>
        </w:rPr>
        <w:t>★</w:t>
      </w:r>
      <w:r>
        <w:rPr>
          <w:rFonts w:hint="eastAsia" w:ascii="宋体" w:hAnsi="宋体" w:eastAsia="宋体" w:cs="宋体"/>
          <w:color w:val="auto"/>
          <w:sz w:val="24"/>
        </w:rPr>
        <w:t>4、线上实验操作平台需要完成以下内容：能覆盖前者通信原理实验箱的主要实验内容，且与实验箱的操作界面相对应；WEB浏览器可在校内和校外登录在线实验平台；可调阅实验目的、实验原理、实验内容等；学生可在线实验，搭建实验电路、设置实验参数、虚拟仪器实时测试；内嵌各类实验所需的虚拟仪器，比如：基带数据源、函数信号源、示波器、逻辑分析仪、全功能误码仪等；可观测信号：时域信号、频域信号、眼图星座图、误码率、逻辑波形等；二次开发算法远程加载与算法性能测试，实验电路、实验数据存取，实验报告设计与上传等；以上需现场演示；</w:t>
      </w:r>
    </w:p>
    <w:p>
      <w:pPr>
        <w:pStyle w:val="19"/>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color w:val="auto"/>
        </w:rPr>
      </w:pPr>
    </w:p>
    <w:p>
      <w:pPr>
        <w:pStyle w:val="19"/>
        <w:keepNext w:val="0"/>
        <w:keepLines w:val="0"/>
        <w:pageBreakBefore w:val="0"/>
        <w:kinsoku/>
        <w:wordWrap/>
        <w:overflowPunct/>
        <w:topLinePunct w:val="0"/>
        <w:autoSpaceDE/>
        <w:autoSpaceDN/>
        <w:bidi w:val="0"/>
        <w:spacing w:line="360" w:lineRule="exact"/>
        <w:ind w:right="1470" w:firstLine="482" w:firstLineChars="200"/>
        <w:textAlignment w:val="auto"/>
        <w:rPr>
          <w:rFonts w:hint="eastAsia" w:ascii="宋体" w:hAnsi="宋体" w:eastAsia="宋体" w:cs="宋体"/>
          <w:b/>
          <w:bCs/>
          <w:color w:val="auto"/>
        </w:rPr>
      </w:pPr>
      <w:r>
        <w:rPr>
          <w:rFonts w:hint="eastAsia" w:ascii="宋体" w:hAnsi="宋体" w:eastAsia="宋体" w:cs="宋体"/>
          <w:b/>
          <w:bCs/>
          <w:color w:val="auto"/>
        </w:rPr>
        <w:t>（三）通信原理演示系统</w:t>
      </w:r>
    </w:p>
    <w:p>
      <w:pPr>
        <w:keepNext w:val="0"/>
        <w:keepLines w:val="0"/>
        <w:pageBreakBefore w:val="0"/>
        <w:kinsoku/>
        <w:wordWrap/>
        <w:overflowPunct/>
        <w:topLinePunct w:val="0"/>
        <w:autoSpaceDE/>
        <w:autoSpaceDN/>
        <w:bidi w:val="0"/>
        <w:spacing w:line="36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1、演示系统需要将完整的数字通信系统各节点的时频域波形以屏幕展板形式在多个液晶屏上同时呈现出来，要求形象生动真实，可用于原理演示、实验课讲解、实训课开发、校园文化展示等；</w:t>
      </w:r>
    </w:p>
    <w:p>
      <w:pPr>
        <w:keepNext w:val="0"/>
        <w:keepLines w:val="0"/>
        <w:pageBreakBefore w:val="0"/>
        <w:kinsoku/>
        <w:wordWrap/>
        <w:overflowPunct/>
        <w:topLinePunct w:val="0"/>
        <w:autoSpaceDE/>
        <w:autoSpaceDN/>
        <w:bidi w:val="0"/>
        <w:spacing w:line="36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2、演示系统中软硬件结合使用，演示方式采用多个液晶屏呈现，至少配备4个液晶屏，每个尺寸至少达到50寸，悬挂在教室墙壁上，并搭配背景墙设计；</w:t>
      </w:r>
    </w:p>
    <w:p>
      <w:pPr>
        <w:keepNext w:val="0"/>
        <w:keepLines w:val="0"/>
        <w:pageBreakBefore w:val="0"/>
        <w:kinsoku/>
        <w:wordWrap/>
        <w:overflowPunct/>
        <w:topLinePunct w:val="0"/>
        <w:autoSpaceDE/>
        <w:autoSpaceDN/>
        <w:bidi w:val="0"/>
        <w:spacing w:line="36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系统中信号处理方式可控：信源编码可选：CVSD或PCM，CVSD速率、量化值可设置；信道编码可选：汉明、交织、循环、卷积；复用帧头、数据时隙可选；数字调制方式可选：FSK、PSK、QPSK、OQPSK，载波频率可设置；传输数据速率不低于2Mbps，能进行音视频实时传输；</w:t>
      </w:r>
    </w:p>
    <w:p>
      <w:pPr>
        <w:keepNext w:val="0"/>
        <w:keepLines w:val="0"/>
        <w:pageBreakBefore w:val="0"/>
        <w:kinsoku/>
        <w:wordWrap/>
        <w:overflowPunct/>
        <w:topLinePunct w:val="0"/>
        <w:autoSpaceDE/>
        <w:autoSpaceDN/>
        <w:bidi w:val="0"/>
        <w:spacing w:line="360" w:lineRule="exact"/>
        <w:ind w:left="42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演示系统能和后台PC机（教师终端）构成局域网，教师终端能控制系统开关机、系统暂停、切换编码方式调制方式同步方式等。系统支持无线方式加载二次开发软件，教师能随时改变系统信号处理算法，通过显示波形解析通信原理中各种信号处理方法的特性和性能；</w:t>
      </w:r>
    </w:p>
    <w:p>
      <w:pPr>
        <w:keepNext w:val="0"/>
        <w:keepLines w:val="0"/>
        <w:pageBreakBefore w:val="0"/>
        <w:kinsoku/>
        <w:wordWrap/>
        <w:overflowPunct/>
        <w:topLinePunct w:val="0"/>
        <w:autoSpaceDE/>
        <w:autoSpaceDN/>
        <w:bidi w:val="0"/>
        <w:spacing w:line="360" w:lineRule="exact"/>
        <w:ind w:left="420" w:firstLine="482" w:firstLineChars="200"/>
        <w:textAlignment w:val="auto"/>
        <w:rPr>
          <w:rFonts w:hint="eastAsia" w:ascii="宋体" w:hAnsi="宋体" w:eastAsia="宋体" w:cs="宋体"/>
          <w:color w:val="auto"/>
        </w:rPr>
        <w:sectPr>
          <w:headerReference r:id="rId5" w:type="default"/>
          <w:footerReference r:id="rId6" w:type="default"/>
          <w:pgSz w:w="11906" w:h="16838"/>
          <w:pgMar w:top="1418" w:right="1418" w:bottom="1418" w:left="1701" w:header="851" w:footer="992" w:gutter="0"/>
          <w:pgNumType w:fmt="decimal" w:start="1"/>
          <w:cols w:space="425" w:num="1"/>
          <w:docGrid w:type="lines" w:linePitch="312" w:charSpace="0"/>
        </w:sectPr>
      </w:pPr>
      <w:r>
        <w:rPr>
          <w:rFonts w:hint="eastAsia" w:ascii="宋体" w:hAnsi="宋体" w:eastAsia="宋体" w:cs="宋体"/>
          <w:b/>
          <w:color w:val="auto"/>
          <w:sz w:val="24"/>
          <w:szCs w:val="24"/>
        </w:rPr>
        <w:t>★</w:t>
      </w:r>
      <w:r>
        <w:rPr>
          <w:rFonts w:hint="eastAsia" w:ascii="宋体" w:hAnsi="宋体" w:eastAsia="宋体" w:cs="宋体"/>
          <w:color w:val="auto"/>
          <w:sz w:val="24"/>
        </w:rPr>
        <w:t>5、演示系统的功能需包括：实时动态展示通信系统各节点波形；通信系统各种参数调整可实现远程控制；各个演示信号波形映射（教师机）与实时投影；系统能展示的波形至少包括：信源编码与时分复用、信道编码与频带调制、频带解调与信道译码、时分解复与信源译码等；</w:t>
      </w:r>
    </w:p>
    <w:p>
      <w:pPr>
        <w:pStyle w:val="19"/>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rPr>
      </w:pPr>
    </w:p>
    <w:p>
      <w:pPr>
        <w:pStyle w:val="19"/>
        <w:keepNext w:val="0"/>
        <w:keepLines w:val="0"/>
        <w:pageBreakBefore w:val="0"/>
        <w:numPr>
          <w:ilvl w:val="0"/>
          <w:numId w:val="0"/>
        </w:numPr>
        <w:kinsoku/>
        <w:wordWrap/>
        <w:overflowPunct/>
        <w:topLinePunct w:val="0"/>
        <w:autoSpaceDE/>
        <w:autoSpaceDN/>
        <w:bidi w:val="0"/>
        <w:spacing w:line="360" w:lineRule="exact"/>
        <w:ind w:leftChars="0"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二、</w:t>
      </w:r>
      <w:r>
        <w:rPr>
          <w:rFonts w:hint="eastAsia" w:ascii="宋体" w:hAnsi="宋体" w:eastAsia="宋体" w:cs="宋体"/>
          <w:color w:val="auto"/>
        </w:rPr>
        <w:t>其他要求</w:t>
      </w:r>
    </w:p>
    <w:p>
      <w:pPr>
        <w:pStyle w:val="36"/>
        <w:keepNext w:val="0"/>
        <w:keepLines w:val="0"/>
        <w:pageBreakBefore w:val="0"/>
        <w:numPr>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实验平台需自带详细的实验指导书、实验教材和视频资源。</w:t>
      </w:r>
    </w:p>
    <w:p>
      <w:pPr>
        <w:pStyle w:val="36"/>
        <w:keepNext w:val="0"/>
        <w:keepLines w:val="0"/>
        <w:pageBreakBefore w:val="0"/>
        <w:numPr>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每台实验箱需提供易损件的备用件各2套（包含连接线缆、有机玻璃壳等）。</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实验平台验收合格后，应向我院相关部门移交所有设备的备件、图纸、设备随机说明书及设备出厂合格证资料；提供设备清单。</w:t>
      </w:r>
    </w:p>
    <w:p>
      <w:pPr>
        <w:pStyle w:val="19"/>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color w:val="auto"/>
        </w:rPr>
      </w:pPr>
    </w:p>
    <w:p>
      <w:pPr>
        <w:pStyle w:val="19"/>
        <w:keepNext w:val="0"/>
        <w:keepLines w:val="0"/>
        <w:pageBreakBefore w:val="0"/>
        <w:numPr>
          <w:ilvl w:val="0"/>
          <w:numId w:val="0"/>
        </w:numPr>
        <w:kinsoku/>
        <w:wordWrap/>
        <w:overflowPunct/>
        <w:topLinePunct w:val="0"/>
        <w:autoSpaceDE/>
        <w:autoSpaceDN/>
        <w:bidi w:val="0"/>
        <w:spacing w:line="360" w:lineRule="exact"/>
        <w:ind w:leftChars="0"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三、</w:t>
      </w:r>
      <w:r>
        <w:rPr>
          <w:rFonts w:hint="eastAsia" w:ascii="宋体" w:hAnsi="宋体" w:eastAsia="宋体" w:cs="宋体"/>
          <w:color w:val="auto"/>
        </w:rPr>
        <w:t>采购清单：</w:t>
      </w:r>
    </w:p>
    <w:tbl>
      <w:tblPr>
        <w:tblStyle w:val="24"/>
        <w:tblW w:w="8931" w:type="dxa"/>
        <w:tblInd w:w="0" w:type="dxa"/>
        <w:tblLayout w:type="autofit"/>
        <w:tblCellMar>
          <w:top w:w="0" w:type="dxa"/>
          <w:left w:w="108" w:type="dxa"/>
          <w:bottom w:w="0" w:type="dxa"/>
          <w:right w:w="108" w:type="dxa"/>
        </w:tblCellMar>
      </w:tblPr>
      <w:tblGrid>
        <w:gridCol w:w="709"/>
        <w:gridCol w:w="2552"/>
        <w:gridCol w:w="3260"/>
        <w:gridCol w:w="1276"/>
        <w:gridCol w:w="1134"/>
      </w:tblGrid>
      <w:tr>
        <w:tblPrEx>
          <w:tblCellMar>
            <w:top w:w="0" w:type="dxa"/>
            <w:left w:w="108" w:type="dxa"/>
            <w:bottom w:w="0" w:type="dxa"/>
            <w:right w:w="108" w:type="dxa"/>
          </w:tblCellMar>
        </w:tblPrEx>
        <w:trPr>
          <w:trHeight w:val="428" w:hRule="atLeast"/>
        </w:trPr>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序号</w:t>
            </w:r>
          </w:p>
        </w:tc>
        <w:tc>
          <w:tcPr>
            <w:tcW w:w="255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设备名称</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技术参数</w:t>
            </w:r>
          </w:p>
        </w:tc>
        <w:tc>
          <w:tcPr>
            <w:tcW w:w="127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数量</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单位</w:t>
            </w:r>
          </w:p>
        </w:tc>
      </w:tr>
      <w:tr>
        <w:tblPrEx>
          <w:tblCellMar>
            <w:top w:w="0" w:type="dxa"/>
            <w:left w:w="108" w:type="dxa"/>
            <w:bottom w:w="0" w:type="dxa"/>
            <w:right w:w="108" w:type="dxa"/>
          </w:tblCellMar>
        </w:tblPrEx>
        <w:trPr>
          <w:trHeight w:val="421" w:hRule="atLeast"/>
        </w:trPr>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4"/>
                <w:szCs w:val="24"/>
              </w:rPr>
              <w:t>1</w:t>
            </w:r>
          </w:p>
        </w:tc>
        <w:tc>
          <w:tcPr>
            <w:tcW w:w="255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通信原理实验箱</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4"/>
                <w:szCs w:val="24"/>
              </w:rPr>
              <w:t>见本需求“一、技术要求”</w:t>
            </w:r>
          </w:p>
        </w:tc>
        <w:tc>
          <w:tcPr>
            <w:tcW w:w="127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35</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4"/>
                <w:szCs w:val="24"/>
              </w:rPr>
              <w:t>台</w:t>
            </w:r>
          </w:p>
        </w:tc>
      </w:tr>
      <w:tr>
        <w:tblPrEx>
          <w:tblCellMar>
            <w:top w:w="0" w:type="dxa"/>
            <w:left w:w="108" w:type="dxa"/>
            <w:bottom w:w="0" w:type="dxa"/>
            <w:right w:w="108" w:type="dxa"/>
          </w:tblCellMar>
        </w:tblPrEx>
        <w:trPr>
          <w:trHeight w:val="413" w:hRule="atLeast"/>
        </w:trPr>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4"/>
                <w:szCs w:val="24"/>
              </w:rPr>
              <w:t>2</w:t>
            </w:r>
          </w:p>
        </w:tc>
        <w:tc>
          <w:tcPr>
            <w:tcW w:w="255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通信原理线上实验平台</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4"/>
                <w:szCs w:val="24"/>
              </w:rPr>
              <w:t>见本需求“一、技术要求”</w:t>
            </w:r>
          </w:p>
        </w:tc>
        <w:tc>
          <w:tcPr>
            <w:tcW w:w="127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套</w:t>
            </w:r>
          </w:p>
        </w:tc>
      </w:tr>
      <w:tr>
        <w:tblPrEx>
          <w:tblCellMar>
            <w:top w:w="0" w:type="dxa"/>
            <w:left w:w="108" w:type="dxa"/>
            <w:bottom w:w="0" w:type="dxa"/>
            <w:right w:w="108" w:type="dxa"/>
          </w:tblCellMar>
        </w:tblPrEx>
        <w:trPr>
          <w:trHeight w:val="410" w:hRule="atLeast"/>
        </w:trPr>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2552"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通信原理演示系统</w:t>
            </w:r>
          </w:p>
        </w:tc>
        <w:tc>
          <w:tcPr>
            <w:tcW w:w="32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4"/>
                <w:szCs w:val="24"/>
              </w:rPr>
              <w:t>见本需求“一、技术要求”</w:t>
            </w:r>
          </w:p>
        </w:tc>
        <w:tc>
          <w:tcPr>
            <w:tcW w:w="1276"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0"/>
                <w:sz w:val="22"/>
              </w:rPr>
            </w:pPr>
            <w:r>
              <w:rPr>
                <w:rFonts w:hint="eastAsia" w:ascii="宋体" w:hAnsi="宋体" w:eastAsia="宋体" w:cs="宋体"/>
                <w:color w:val="auto"/>
                <w:kern w:val="0"/>
                <w:sz w:val="22"/>
              </w:rPr>
              <w:t>套</w:t>
            </w:r>
          </w:p>
        </w:tc>
      </w:tr>
    </w:tbl>
    <w:p>
      <w:pPr>
        <w:pStyle w:val="19"/>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color w:val="auto"/>
        </w:rPr>
      </w:pPr>
    </w:p>
    <w:p>
      <w:pPr>
        <w:pStyle w:val="19"/>
        <w:keepNext w:val="0"/>
        <w:keepLines w:val="0"/>
        <w:pageBreakBefore w:val="0"/>
        <w:numPr>
          <w:ilvl w:val="0"/>
          <w:numId w:val="0"/>
        </w:numPr>
        <w:kinsoku/>
        <w:wordWrap/>
        <w:overflowPunct/>
        <w:topLinePunct w:val="0"/>
        <w:autoSpaceDE/>
        <w:autoSpaceDN/>
        <w:bidi w:val="0"/>
        <w:spacing w:line="360" w:lineRule="exact"/>
        <w:ind w:lef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四、商务要求</w:t>
      </w:r>
    </w:p>
    <w:p>
      <w:pPr>
        <w:keepNext w:val="0"/>
        <w:keepLines w:val="0"/>
        <w:pageBreakBefore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rPr>
        <w:t>1.</w:t>
      </w:r>
      <w:r>
        <w:rPr>
          <w:rFonts w:hint="eastAsia" w:ascii="宋体" w:hAnsi="宋体" w:eastAsia="宋体" w:cs="宋体"/>
          <w:color w:val="auto"/>
          <w:sz w:val="24"/>
          <w:szCs w:val="24"/>
        </w:rPr>
        <w:t>本项目所采购设备，中标方必须承诺免费运送至南京邮电大学通达学院扬州校区(扬州市邗江区润扬南路33号)指定</w:t>
      </w:r>
      <w:r>
        <w:rPr>
          <w:rFonts w:hint="eastAsia" w:ascii="宋体" w:hAnsi="宋体" w:eastAsia="宋体" w:cs="宋体"/>
          <w:color w:val="auto"/>
          <w:kern w:val="0"/>
          <w:sz w:val="24"/>
          <w:szCs w:val="24"/>
        </w:rPr>
        <w:t>实验室中</w:t>
      </w:r>
      <w:r>
        <w:rPr>
          <w:rFonts w:hint="eastAsia" w:ascii="宋体" w:hAnsi="宋体" w:eastAsia="宋体" w:cs="宋体"/>
          <w:color w:val="auto"/>
          <w:sz w:val="24"/>
          <w:szCs w:val="24"/>
        </w:rPr>
        <w:t>并按要求安装调试到位，免全部安装调测费用（含材料）。</w:t>
      </w:r>
    </w:p>
    <w:p>
      <w:pPr>
        <w:keepNext w:val="0"/>
        <w:keepLines w:val="0"/>
        <w:pageBreakBefore w:val="0"/>
        <w:tabs>
          <w:tab w:val="left" w:pos="360"/>
        </w:tabs>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中标公示后三天内，用户方有权要求中标方根椐采购文件要求提供样机搭建演示实验环境，对性能进行演示，一经发现测试结果与所投产品不符，将取消中标人资格，并依法追究相关责任。</w:t>
      </w:r>
    </w:p>
    <w:p>
      <w:pPr>
        <w:keepNext w:val="0"/>
        <w:keepLines w:val="0"/>
        <w:pageBreakBefore w:val="0"/>
        <w:tabs>
          <w:tab w:val="left" w:pos="360"/>
        </w:tabs>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sz w:val="24"/>
          <w:szCs w:val="24"/>
        </w:rPr>
        <w:t>3.供货时限：合同签订后40日内送至项目指定地点并完成全部设备安装调试。</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rPr>
        <w:t>4.</w:t>
      </w:r>
      <w:r>
        <w:rPr>
          <w:rFonts w:hint="eastAsia" w:ascii="宋体" w:hAnsi="宋体" w:eastAsia="宋体" w:cs="宋体"/>
          <w:color w:val="auto"/>
          <w:sz w:val="24"/>
          <w:szCs w:val="24"/>
        </w:rPr>
        <w:t>质保期要求:</w:t>
      </w:r>
      <w:r>
        <w:rPr>
          <w:rFonts w:hint="eastAsia" w:ascii="宋体" w:hAnsi="宋体" w:eastAsia="宋体" w:cs="宋体"/>
          <w:b/>
          <w:color w:val="auto"/>
          <w:sz w:val="24"/>
          <w:szCs w:val="24"/>
          <w:highlight w:val="none"/>
        </w:rPr>
        <w:t>原厂免费</w:t>
      </w:r>
      <w:r>
        <w:rPr>
          <w:rFonts w:hint="eastAsia" w:ascii="宋体" w:hAnsi="宋体" w:eastAsia="宋体" w:cs="宋体"/>
          <w:b/>
          <w:color w:val="auto"/>
          <w:sz w:val="24"/>
          <w:highlight w:val="none"/>
        </w:rPr>
        <w:t>质保期至少</w:t>
      </w:r>
      <w:r>
        <w:rPr>
          <w:rFonts w:hint="eastAsia" w:ascii="宋体" w:hAnsi="宋体" w:eastAsia="宋体" w:cs="宋体"/>
          <w:b/>
          <w:color w:val="auto"/>
          <w:kern w:val="0"/>
          <w:sz w:val="24"/>
          <w:szCs w:val="24"/>
          <w:highlight w:val="none"/>
        </w:rPr>
        <w:t>3年</w:t>
      </w:r>
      <w:r>
        <w:rPr>
          <w:rFonts w:hint="eastAsia" w:ascii="宋体" w:hAnsi="宋体" w:eastAsia="宋体" w:cs="宋体"/>
          <w:color w:val="auto"/>
          <w:sz w:val="24"/>
          <w:highlight w:val="none"/>
        </w:rPr>
        <w:t>；</w:t>
      </w:r>
      <w:r>
        <w:rPr>
          <w:rFonts w:hint="eastAsia" w:ascii="宋体" w:hAnsi="宋体" w:eastAsia="宋体" w:cs="宋体"/>
          <w:color w:val="auto"/>
          <w:sz w:val="24"/>
        </w:rPr>
        <w:t>所有软件终身免费安装升级维护（自交货并验收合格之日起计算），</w:t>
      </w:r>
      <w:r>
        <w:rPr>
          <w:rFonts w:hint="eastAsia" w:ascii="宋体" w:hAnsi="宋体" w:eastAsia="宋体" w:cs="宋体"/>
          <w:color w:val="auto"/>
          <w:sz w:val="24"/>
          <w:szCs w:val="24"/>
        </w:rPr>
        <w:t>质保期内因维修产生的一切费用均由中标人承担。</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5.售后服务要求：</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1）成交供应商应具备完善的售后服务体系，在项目实施及质保期间应具有固定的维修人员并有能力及时处理所有可能发生的故障；</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2）成交供应商应当全天24小时为采购人提供技术支持线上援助；若线上解决不了，技术人员应于接到故障报修后的12小时内到达现场，给出解决方案，并于48小时内修复；</w:t>
      </w:r>
    </w:p>
    <w:p>
      <w:pPr>
        <w:keepNext w:val="0"/>
        <w:keepLines w:val="0"/>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rPr>
        <w:t>3）</w:t>
      </w:r>
      <w:r>
        <w:rPr>
          <w:rFonts w:hint="eastAsia" w:ascii="宋体" w:hAnsi="宋体" w:eastAsia="宋体" w:cs="宋体"/>
          <w:color w:val="auto"/>
          <w:kern w:val="0"/>
          <w:sz w:val="24"/>
        </w:rPr>
        <w:t>供货</w:t>
      </w:r>
      <w:r>
        <w:rPr>
          <w:rFonts w:hint="eastAsia" w:ascii="宋体" w:hAnsi="宋体" w:eastAsia="宋体" w:cs="宋体"/>
          <w:color w:val="auto"/>
          <w:sz w:val="24"/>
          <w:szCs w:val="24"/>
        </w:rPr>
        <w:t>后3年内至少安排我院教师免费参加3批次每次不少于18小时的师资培训，包括但不限于针对实验平台的使用维护、二次开发、技术能力提升等；</w:t>
      </w:r>
    </w:p>
    <w:p>
      <w:pPr>
        <w:pStyle w:val="2"/>
        <w:ind w:left="0" w:leftChars="0" w:firstLine="480" w:firstLineChars="200"/>
        <w:rPr>
          <w:rFonts w:hint="default" w:eastAsia="宋体"/>
          <w:color w:val="auto"/>
          <w:lang w:val="en-US" w:eastAsia="zh-CN"/>
        </w:rPr>
      </w:pPr>
      <w:r>
        <w:rPr>
          <w:rFonts w:hint="eastAsia" w:ascii="宋体" w:hAnsi="宋体" w:eastAsia="宋体" w:cs="宋体"/>
          <w:color w:val="auto"/>
          <w:sz w:val="24"/>
          <w:szCs w:val="24"/>
          <w:lang w:val="en-US" w:eastAsia="zh-CN"/>
        </w:rPr>
        <w:t>6.付款方式：本采购项目无预付款，安装结束，经甲乙双方共同验收合格后，付至合同总额的90%；壹年后无质量问题，余款无息结清。甲方付款前乙方需提供合法、有效、等额的增值税专用发票，否则，甲方有权拒付相应款项。</w:t>
      </w:r>
    </w:p>
    <w:p>
      <w:pPr>
        <w:widowControl/>
        <w:jc w:val="left"/>
        <w:rPr>
          <w:rFonts w:hint="eastAsia" w:ascii="宋体" w:hAnsi="宋体" w:eastAsia="宋体" w:cs="宋体"/>
          <w:color w:val="auto"/>
        </w:rPr>
      </w:pPr>
      <w:r>
        <w:rPr>
          <w:rFonts w:hint="eastAsia" w:ascii="宋体" w:hAnsi="宋体" w:eastAsia="宋体" w:cs="宋体"/>
          <w:color w:val="auto"/>
        </w:rPr>
        <w:br w:type="page"/>
      </w:r>
    </w:p>
    <w:p>
      <w:pPr>
        <w:keepNext/>
        <w:keepLines/>
        <w:spacing w:before="312" w:beforeLines="100" w:after="312" w:afterLines="100" w:line="360" w:lineRule="auto"/>
        <w:jc w:val="center"/>
        <w:outlineLvl w:val="0"/>
        <w:rPr>
          <w:rFonts w:hint="eastAsia" w:ascii="宋体" w:hAnsi="宋体" w:eastAsia="宋体" w:cs="宋体"/>
          <w:color w:val="auto"/>
          <w:kern w:val="44"/>
          <w:sz w:val="36"/>
          <w:szCs w:val="36"/>
          <w:u w:color="000000"/>
          <w:lang w:val="zh-TW" w:eastAsia="zh-TW"/>
        </w:rPr>
      </w:pPr>
      <w:bookmarkStart w:id="14" w:name="_Toc57875959"/>
      <w:r>
        <w:rPr>
          <w:rFonts w:hint="eastAsia" w:ascii="宋体" w:hAnsi="宋体" w:eastAsia="宋体" w:cs="宋体"/>
          <w:color w:val="auto"/>
          <w:kern w:val="44"/>
          <w:sz w:val="36"/>
          <w:szCs w:val="36"/>
          <w:u w:color="000000"/>
          <w:lang w:val="zh-TW" w:eastAsia="zh-TW"/>
        </w:rPr>
        <w:t>第</w:t>
      </w:r>
      <w:r>
        <w:rPr>
          <w:rFonts w:hint="eastAsia" w:ascii="宋体" w:hAnsi="宋体" w:eastAsia="宋体" w:cs="宋体"/>
          <w:color w:val="auto"/>
          <w:kern w:val="44"/>
          <w:sz w:val="36"/>
          <w:szCs w:val="36"/>
          <w:u w:color="000000"/>
          <w:lang w:val="zh-TW"/>
        </w:rPr>
        <w:t>五</w:t>
      </w:r>
      <w:r>
        <w:rPr>
          <w:rFonts w:hint="eastAsia" w:ascii="宋体" w:hAnsi="宋体" w:eastAsia="宋体" w:cs="宋体"/>
          <w:color w:val="auto"/>
          <w:kern w:val="44"/>
          <w:sz w:val="36"/>
          <w:szCs w:val="36"/>
          <w:u w:color="000000"/>
          <w:lang w:val="zh-TW" w:eastAsia="zh-TW"/>
        </w:rPr>
        <w:t>章  评标方法与评标标准</w:t>
      </w:r>
      <w:bookmarkEnd w:id="14"/>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一、评标方法与定标原则</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评标委员会将对确定为实质性响应招标文件要求的投标文件进行评价和比较，评标采用综合评分法。对未中标人，将不作任何解释。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采用综合评分法的，按评审后综合得分由高到低顺序排列。综合得分相同的，按投标报价由低到高顺序排列。综合得分且投标报价相同的，按技术指标优劣顺序排列。</w:t>
      </w:r>
    </w:p>
    <w:p>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二、评标标准</w:t>
      </w:r>
    </w:p>
    <w:tbl>
      <w:tblPr>
        <w:tblStyle w:val="24"/>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7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 w:hRule="atLeast"/>
          <w:jc w:val="center"/>
        </w:trPr>
        <w:tc>
          <w:tcPr>
            <w:tcW w:w="1527"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项  目</w:t>
            </w:r>
          </w:p>
        </w:tc>
        <w:tc>
          <w:tcPr>
            <w:tcW w:w="7521"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 w:hRule="atLeast"/>
          <w:jc w:val="center"/>
        </w:trPr>
        <w:tc>
          <w:tcPr>
            <w:tcW w:w="1527"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价 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0</w:t>
            </w:r>
            <w:r>
              <w:rPr>
                <w:rFonts w:hint="eastAsia" w:ascii="宋体" w:hAnsi="宋体"/>
                <w:color w:val="auto"/>
                <w:sz w:val="24"/>
                <w:szCs w:val="24"/>
                <w:highlight w:val="none"/>
              </w:rPr>
              <w:t>分）</w:t>
            </w:r>
          </w:p>
        </w:tc>
        <w:tc>
          <w:tcPr>
            <w:tcW w:w="7521"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满足招标文件要求且投标价格最低的投标报价为评标基准价，其价格分为满分。其他投标单位的价格分统一按下列公式计算：投标报价得分=（评标基准价/投标报价）×3</w:t>
            </w:r>
            <w:r>
              <w:rPr>
                <w:rFonts w:ascii="宋体" w:hAnsi="宋体"/>
                <w:color w:val="auto"/>
                <w:sz w:val="24"/>
                <w:szCs w:val="24"/>
                <w:highlight w:val="none"/>
              </w:rPr>
              <w:t>0</w:t>
            </w:r>
            <w:r>
              <w:rPr>
                <w:rFonts w:hint="eastAsia" w:ascii="宋体" w:hAnsi="宋体"/>
                <w:color w:val="auto"/>
                <w:sz w:val="24"/>
                <w:szCs w:val="24"/>
                <w:highlight w:val="none"/>
              </w:rPr>
              <w:t>。分值保留小数点后2位。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9" w:hRule="atLeast"/>
          <w:jc w:val="center"/>
        </w:trPr>
        <w:tc>
          <w:tcPr>
            <w:tcW w:w="1527"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技术性能及其他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33</w:t>
            </w:r>
            <w:r>
              <w:rPr>
                <w:rFonts w:hint="eastAsia" w:ascii="宋体" w:hAnsi="宋体"/>
                <w:color w:val="auto"/>
                <w:sz w:val="24"/>
                <w:szCs w:val="24"/>
                <w:highlight w:val="none"/>
              </w:rPr>
              <w:t>分）</w:t>
            </w:r>
          </w:p>
        </w:tc>
        <w:tc>
          <w:tcPr>
            <w:tcW w:w="7521" w:type="dxa"/>
            <w:tcMar>
              <w:top w:w="0" w:type="dxa"/>
              <w:left w:w="108" w:type="dxa"/>
              <w:bottom w:w="0" w:type="dxa"/>
              <w:right w:w="108" w:type="dxa"/>
            </w:tcMar>
            <w:vAlign w:val="center"/>
          </w:tcPr>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olor w:val="auto"/>
                <w:sz w:val="24"/>
                <w:szCs w:val="24"/>
                <w:highlight w:val="none"/>
              </w:rPr>
            </w:pPr>
            <w:r>
              <w:rPr>
                <w:rFonts w:hint="eastAsia" w:ascii="宋体" w:hAnsi="宋体" w:eastAsia="宋体"/>
                <w:color w:val="auto"/>
                <w:kern w:val="2"/>
                <w:sz w:val="24"/>
                <w:szCs w:val="24"/>
                <w:highlight w:val="none"/>
              </w:rPr>
              <w:t>投标产品对招标文件具体需求的响应程度：全部响应即满足招标文件的技术和服务等要求的得33分；其中标注★项有负偏离的每项减3分（</w:t>
            </w:r>
            <w:r>
              <w:rPr>
                <w:rFonts w:hint="eastAsia" w:ascii="宋体" w:hAnsi="宋体" w:eastAsia="宋体"/>
                <w:b/>
                <w:color w:val="auto"/>
                <w:kern w:val="2"/>
                <w:sz w:val="24"/>
                <w:szCs w:val="24"/>
                <w:highlight w:val="none"/>
              </w:rPr>
              <w:t>标★项需提供产品方案、宣传册、白皮书、检测报告等其中一种技术支撑材料</w:t>
            </w:r>
            <w:r>
              <w:rPr>
                <w:rFonts w:hint="eastAsia" w:ascii="宋体" w:hAnsi="宋体" w:eastAsia="宋体"/>
                <w:color w:val="auto"/>
                <w:kern w:val="2"/>
                <w:sz w:val="24"/>
                <w:szCs w:val="24"/>
                <w:highlight w:val="none"/>
              </w:rPr>
              <w:t>），其他有负偏离的每项减1分，扣完为止。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1527"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功能演示（1</w:t>
            </w:r>
            <w:r>
              <w:rPr>
                <w:rFonts w:ascii="宋体" w:hAnsi="宋体" w:cs="宋体"/>
                <w:color w:val="auto"/>
                <w:sz w:val="24"/>
                <w:szCs w:val="24"/>
                <w:highlight w:val="none"/>
              </w:rPr>
              <w:t>5分）</w:t>
            </w:r>
          </w:p>
        </w:tc>
        <w:tc>
          <w:tcPr>
            <w:tcW w:w="7521" w:type="dxa"/>
            <w:tcMar>
              <w:top w:w="0" w:type="dxa"/>
              <w:left w:w="108" w:type="dxa"/>
              <w:bottom w:w="0" w:type="dxa"/>
              <w:right w:w="108"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要求投标人投标现场自行搭建线上或线下演示环境，所有相关配套设备由供应商自行提供，不演示不得分，供应商搭设环境及演示时间合计不超过15分钟，主要包括以下内容：</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）实验箱系统参数设置功能演示：需提供通信原理实验箱演示通过自带的人机交互液晶屏设置基带数据产生模块基带数据、基带时钟参数等功能，并能实时显示实验原理框图。完全满足演示要求得</w:t>
            </w:r>
            <w:r>
              <w:rPr>
                <w:rFonts w:ascii="宋体" w:hAnsi="宋体"/>
                <w:color w:val="auto"/>
                <w:sz w:val="24"/>
                <w:szCs w:val="24"/>
                <w:highlight w:val="none"/>
              </w:rPr>
              <w:t>3</w:t>
            </w:r>
            <w:r>
              <w:rPr>
                <w:rFonts w:hint="eastAsia" w:ascii="宋体" w:hAnsi="宋体"/>
                <w:color w:val="auto"/>
                <w:sz w:val="24"/>
                <w:szCs w:val="24"/>
                <w:highlight w:val="none"/>
              </w:rPr>
              <w:t>分，一般满足要求得</w:t>
            </w:r>
            <w:r>
              <w:rPr>
                <w:rFonts w:ascii="宋体" w:hAnsi="宋体"/>
                <w:color w:val="auto"/>
                <w:sz w:val="24"/>
                <w:szCs w:val="24"/>
                <w:highlight w:val="none"/>
              </w:rPr>
              <w:t>1</w:t>
            </w:r>
            <w:r>
              <w:rPr>
                <w:rFonts w:hint="eastAsia" w:ascii="宋体" w:hAnsi="宋体"/>
                <w:color w:val="auto"/>
                <w:sz w:val="24"/>
                <w:szCs w:val="24"/>
                <w:highlight w:val="none"/>
              </w:rPr>
              <w:t>分，不满足要求不得分。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实验箱PCM编码实验演示及二次开发接口展示：需提供通信原理实验箱演示PCM编码解析功能，通过彩色液晶屏显示PCM编码的整个过程（包括抽样、量化、编码）；还需展示将二次开发算法通过网络接口加载到实验模块进行验证。完全满足演示要求得</w:t>
            </w:r>
            <w:r>
              <w:rPr>
                <w:rFonts w:ascii="宋体" w:hAnsi="宋体"/>
                <w:color w:val="auto"/>
                <w:sz w:val="24"/>
                <w:szCs w:val="24"/>
                <w:highlight w:val="none"/>
              </w:rPr>
              <w:t>5</w:t>
            </w:r>
            <w:r>
              <w:rPr>
                <w:rFonts w:hint="eastAsia" w:ascii="宋体" w:hAnsi="宋体"/>
                <w:color w:val="auto"/>
                <w:sz w:val="24"/>
                <w:szCs w:val="24"/>
                <w:highlight w:val="none"/>
              </w:rPr>
              <w:t>分，一般满足要求得2分，不满足要求不得分。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）线上实验平台硬件配套设备实物展示：要求提供线上实验平台硬件配套设备样机，整体采用3U机箱收纳，内置有硬件实验板卡。满足演示要求得2分，否则不得分。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线上实验平台PSK调制实验演示及二次开发接口展示：需线上演示PSK调制解调实验，要求与实验箱的操作界面相对应，能在WEB浏览器完成实验预习、参数调整、实验结果测试，用网络摄像头可观测到实体示波器在实验平台现场的测试波形且与虚拟仪器一致；还需展示远程将二次开发算法加载到线上平台进行验证。完全满足演示要求得</w:t>
            </w:r>
            <w:r>
              <w:rPr>
                <w:rFonts w:ascii="宋体" w:hAnsi="宋体"/>
                <w:color w:val="auto"/>
                <w:sz w:val="24"/>
                <w:szCs w:val="24"/>
                <w:highlight w:val="none"/>
              </w:rPr>
              <w:t>5</w:t>
            </w:r>
            <w:r>
              <w:rPr>
                <w:rFonts w:hint="eastAsia" w:ascii="宋体" w:hAnsi="宋体"/>
                <w:color w:val="auto"/>
                <w:sz w:val="24"/>
                <w:szCs w:val="24"/>
                <w:highlight w:val="none"/>
              </w:rPr>
              <w:t>分，一般满足要求得2分，不满足要求不得分。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jc w:val="center"/>
        </w:trPr>
        <w:tc>
          <w:tcPr>
            <w:tcW w:w="1527"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rPr>
            </w:pPr>
            <w:r>
              <w:rPr>
                <w:rFonts w:hint="eastAsia" w:ascii="宋体" w:hAnsi="宋体" w:cs="宋体"/>
                <w:color w:val="auto"/>
                <w:sz w:val="24"/>
                <w:szCs w:val="24"/>
                <w:highlight w:val="none"/>
              </w:rPr>
              <w:t>产品质量保证（</w:t>
            </w:r>
            <w:r>
              <w:rPr>
                <w:rFonts w:ascii="宋体" w:hAnsi="宋体" w:cs="宋体"/>
                <w:color w:val="auto"/>
                <w:sz w:val="24"/>
                <w:szCs w:val="24"/>
                <w:highlight w:val="none"/>
              </w:rPr>
              <w:t>5</w:t>
            </w:r>
            <w:r>
              <w:rPr>
                <w:rFonts w:hint="eastAsia" w:ascii="宋体" w:hAnsi="宋体" w:cs="宋体"/>
                <w:color w:val="auto"/>
                <w:sz w:val="24"/>
                <w:szCs w:val="24"/>
                <w:highlight w:val="none"/>
              </w:rPr>
              <w:t>分）</w:t>
            </w:r>
          </w:p>
        </w:tc>
        <w:tc>
          <w:tcPr>
            <w:tcW w:w="7521" w:type="dxa"/>
            <w:tcMar>
              <w:top w:w="0" w:type="dxa"/>
              <w:left w:w="108" w:type="dxa"/>
              <w:bottom w:w="0" w:type="dxa"/>
              <w:right w:w="108"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所投产品制造商通过ISO9001质量管理体系、ISO14001环境管理体系认证、ISO45001职业健康安全管理体系认证并获得相关证书（有效期内）的，凭相关证书复印件每项得1分，本项最高得3分。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投标产品属于财政部、国家发改委公布的“节能产品品目清单”范围内的，投标人提供国家确定的认证机构出具的、处于有效期之内的该节能产品认证证书复印件的，有1个得0.5分，最多得1分。如投标产品均属于政府强制采购节能产品品目清单范围内，本项不得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color w:val="auto"/>
                <w:highlight w:val="none"/>
              </w:rPr>
            </w:pPr>
            <w:r>
              <w:rPr>
                <w:rFonts w:ascii="宋体" w:hAnsi="宋体"/>
                <w:color w:val="auto"/>
                <w:sz w:val="24"/>
                <w:szCs w:val="24"/>
                <w:highlight w:val="none"/>
              </w:rPr>
              <w:t>3.</w:t>
            </w:r>
            <w:r>
              <w:rPr>
                <w:rFonts w:hint="eastAsia" w:ascii="宋体" w:hAnsi="宋体"/>
                <w:color w:val="auto"/>
                <w:sz w:val="24"/>
                <w:szCs w:val="24"/>
                <w:highlight w:val="none"/>
              </w:rPr>
              <w:t>投标产品属于财政部、生态环境部公布的“环境标志产品品目清单”范围内的，投标人提供国家确定的认证机构出具的、处于有效期内的该环保产品认证证书复印件的，有1个得0.5分，最多得1分</w:t>
            </w:r>
            <w:r>
              <w:rPr>
                <w:rFonts w:hint="eastAsia"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8" w:hRule="atLeast"/>
          <w:jc w:val="center"/>
        </w:trPr>
        <w:tc>
          <w:tcPr>
            <w:tcW w:w="1527"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项目实施能力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9</w:t>
            </w:r>
            <w:r>
              <w:rPr>
                <w:rFonts w:hint="eastAsia" w:ascii="宋体" w:hAnsi="宋体"/>
                <w:color w:val="auto"/>
                <w:sz w:val="24"/>
                <w:szCs w:val="24"/>
                <w:highlight w:val="none"/>
              </w:rPr>
              <w:t>分）</w:t>
            </w:r>
          </w:p>
        </w:tc>
        <w:tc>
          <w:tcPr>
            <w:tcW w:w="7521" w:type="dxa"/>
            <w:tcMar>
              <w:top w:w="0" w:type="dxa"/>
              <w:left w:w="108" w:type="dxa"/>
              <w:bottom w:w="0" w:type="dxa"/>
              <w:right w:w="108"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Theme="minorEastAsia" w:cstheme="minorBidi"/>
                <w:color w:val="auto"/>
                <w:kern w:val="2"/>
                <w:sz w:val="24"/>
                <w:szCs w:val="24"/>
                <w:highlight w:val="none"/>
              </w:rPr>
            </w:pPr>
            <w:r>
              <w:rPr>
                <w:rFonts w:hint="eastAsia" w:ascii="宋体" w:hAnsi="宋体" w:cstheme="minorBidi"/>
                <w:color w:val="auto"/>
                <w:kern w:val="2"/>
                <w:sz w:val="24"/>
                <w:szCs w:val="24"/>
                <w:highlight w:val="none"/>
                <w:lang w:val="en-US" w:eastAsia="zh-CN"/>
              </w:rPr>
              <w:t>1.</w:t>
            </w:r>
            <w:r>
              <w:rPr>
                <w:rFonts w:hint="eastAsia" w:ascii="宋体" w:hAnsi="宋体" w:eastAsiaTheme="minorEastAsia" w:cstheme="minorBidi"/>
                <w:color w:val="auto"/>
                <w:kern w:val="2"/>
                <w:sz w:val="24"/>
                <w:szCs w:val="24"/>
                <w:highlight w:val="none"/>
              </w:rPr>
              <w:t>结合本项目需求，提供详细完整的总体实施服务方案。方案内容应包括总体概述、技术服务、人员配备、进度安排等。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Theme="minorEastAsia" w:cstheme="minorBidi"/>
                <w:color w:val="auto"/>
                <w:kern w:val="2"/>
                <w:sz w:val="24"/>
                <w:szCs w:val="24"/>
                <w:highlight w:val="none"/>
                <w:lang w:val="en-US" w:eastAsia="zh-CN"/>
              </w:rPr>
            </w:pPr>
            <w:r>
              <w:rPr>
                <w:rFonts w:hint="eastAsia" w:ascii="宋体" w:hAnsi="宋体" w:eastAsiaTheme="minorEastAsia" w:cstheme="minorBidi"/>
                <w:color w:val="auto"/>
                <w:kern w:val="2"/>
                <w:sz w:val="24"/>
                <w:szCs w:val="24"/>
                <w:highlight w:val="none"/>
                <w:lang w:val="en-US" w:eastAsia="zh-CN"/>
              </w:rPr>
              <w:t>服务方案具有较好科学性、专业性、合理性、操作性的，得</w:t>
            </w:r>
            <w:r>
              <w:rPr>
                <w:rFonts w:hint="eastAsia" w:ascii="宋体" w:hAnsi="宋体" w:cstheme="minorBidi"/>
                <w:color w:val="auto"/>
                <w:kern w:val="2"/>
                <w:sz w:val="24"/>
                <w:szCs w:val="24"/>
                <w:highlight w:val="none"/>
                <w:lang w:val="en-US" w:eastAsia="zh-CN"/>
              </w:rPr>
              <w:t>3</w:t>
            </w:r>
            <w:r>
              <w:rPr>
                <w:rFonts w:hint="eastAsia" w:ascii="宋体" w:hAnsi="宋体" w:eastAsiaTheme="minorEastAsia" w:cstheme="minorBidi"/>
                <w:color w:val="auto"/>
                <w:kern w:val="2"/>
                <w:sz w:val="24"/>
                <w:szCs w:val="24"/>
                <w:highlight w:val="none"/>
                <w:lang w:val="en-US"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Theme="minorEastAsia" w:cstheme="minorBidi"/>
                <w:color w:val="auto"/>
                <w:kern w:val="2"/>
                <w:sz w:val="24"/>
                <w:szCs w:val="24"/>
                <w:highlight w:val="none"/>
                <w:lang w:val="en-US" w:eastAsia="zh-CN"/>
              </w:rPr>
            </w:pPr>
            <w:r>
              <w:rPr>
                <w:rFonts w:hint="eastAsia" w:ascii="宋体" w:hAnsi="宋体" w:eastAsiaTheme="minorEastAsia" w:cstheme="minorBidi"/>
                <w:color w:val="auto"/>
                <w:kern w:val="2"/>
                <w:sz w:val="24"/>
                <w:szCs w:val="24"/>
                <w:highlight w:val="none"/>
                <w:lang w:val="en-US" w:eastAsia="zh-CN"/>
              </w:rPr>
              <w:t>服务方案基本科学、专业性、合理、可操作的，得</w:t>
            </w:r>
            <w:r>
              <w:rPr>
                <w:rFonts w:hint="eastAsia" w:ascii="宋体" w:hAnsi="宋体" w:cstheme="minorBidi"/>
                <w:color w:val="auto"/>
                <w:kern w:val="2"/>
                <w:sz w:val="24"/>
                <w:szCs w:val="24"/>
                <w:highlight w:val="none"/>
                <w:lang w:val="en-US" w:eastAsia="zh-CN"/>
              </w:rPr>
              <w:t>2</w:t>
            </w:r>
            <w:r>
              <w:rPr>
                <w:rFonts w:hint="eastAsia" w:ascii="宋体" w:hAnsi="宋体" w:eastAsiaTheme="minorEastAsia" w:cstheme="minorBidi"/>
                <w:color w:val="auto"/>
                <w:kern w:val="2"/>
                <w:sz w:val="24"/>
                <w:szCs w:val="24"/>
                <w:highlight w:val="none"/>
                <w:lang w:val="en-US"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Theme="minorEastAsia" w:cstheme="minorBidi"/>
                <w:color w:val="auto"/>
                <w:kern w:val="2"/>
                <w:sz w:val="24"/>
                <w:szCs w:val="24"/>
                <w:highlight w:val="none"/>
                <w:lang w:val="en-US" w:eastAsia="zh-CN"/>
              </w:rPr>
            </w:pPr>
            <w:r>
              <w:rPr>
                <w:rFonts w:hint="eastAsia" w:ascii="宋体" w:hAnsi="宋体" w:eastAsiaTheme="minorEastAsia" w:cstheme="minorBidi"/>
                <w:color w:val="auto"/>
                <w:kern w:val="2"/>
                <w:sz w:val="24"/>
                <w:szCs w:val="24"/>
                <w:highlight w:val="none"/>
                <w:lang w:val="en-US" w:eastAsia="zh-CN"/>
              </w:rPr>
              <w:t>服务方案不科学、操作性不强的，得</w:t>
            </w:r>
            <w:r>
              <w:rPr>
                <w:rFonts w:hint="eastAsia" w:ascii="宋体" w:hAnsi="宋体" w:cstheme="minorBidi"/>
                <w:color w:val="auto"/>
                <w:kern w:val="2"/>
                <w:sz w:val="24"/>
                <w:szCs w:val="24"/>
                <w:highlight w:val="none"/>
                <w:lang w:val="en-US" w:eastAsia="zh-CN"/>
              </w:rPr>
              <w:t>1</w:t>
            </w:r>
            <w:r>
              <w:rPr>
                <w:rFonts w:hint="eastAsia" w:ascii="宋体" w:hAnsi="宋体" w:eastAsiaTheme="minorEastAsia" w:cstheme="minorBidi"/>
                <w:color w:val="auto"/>
                <w:kern w:val="2"/>
                <w:sz w:val="24"/>
                <w:szCs w:val="24"/>
                <w:highlight w:val="none"/>
                <w:lang w:val="en-US"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hint="eastAsia" w:ascii="宋体" w:hAnsi="宋体" w:eastAsiaTheme="minorEastAsia" w:cstheme="minorBidi"/>
                <w:color w:val="auto"/>
                <w:kern w:val="2"/>
                <w:sz w:val="24"/>
                <w:szCs w:val="24"/>
                <w:highlight w:val="none"/>
              </w:rPr>
            </w:pPr>
            <w:r>
              <w:rPr>
                <w:rFonts w:hint="eastAsia" w:ascii="宋体" w:hAnsi="宋体" w:eastAsiaTheme="minorEastAsia" w:cstheme="minorBidi"/>
                <w:color w:val="auto"/>
                <w:kern w:val="2"/>
                <w:sz w:val="24"/>
                <w:szCs w:val="24"/>
                <w:highlight w:val="none"/>
              </w:rPr>
              <w:t>未提供的不得分。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textAlignment w:val="auto"/>
              <w:rPr>
                <w:rFonts w:ascii="宋体" w:hAnsi="宋体" w:eastAsia="宋体"/>
                <w:color w:val="auto"/>
                <w:sz w:val="24"/>
                <w:szCs w:val="24"/>
                <w:highlight w:val="none"/>
              </w:rPr>
            </w:pPr>
            <w:r>
              <w:rPr>
                <w:rFonts w:hint="eastAsia" w:ascii="宋体" w:hAnsi="宋体" w:eastAsiaTheme="minorEastAsia"/>
                <w:color w:val="auto"/>
                <w:kern w:val="2"/>
                <w:sz w:val="24"/>
                <w:szCs w:val="24"/>
                <w:highlight w:val="none"/>
              </w:rPr>
              <w:t>2.产品供应商提供2019年1月1日至今已完成具备线上线下结合的实验功能类型实验室建设案例，并附相关合同复印件资料并加盖供应商公章，否则不予认定加分。1个业绩2分，最高6分。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6" w:hRule="atLeast"/>
          <w:jc w:val="center"/>
        </w:trPr>
        <w:tc>
          <w:tcPr>
            <w:tcW w:w="1527"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售后服务及培训方案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8</w:t>
            </w:r>
            <w:r>
              <w:rPr>
                <w:rFonts w:hint="eastAsia" w:ascii="宋体" w:hAnsi="宋体"/>
                <w:color w:val="auto"/>
                <w:sz w:val="24"/>
                <w:szCs w:val="24"/>
                <w:highlight w:val="none"/>
              </w:rPr>
              <w:t>分）</w:t>
            </w:r>
          </w:p>
        </w:tc>
        <w:tc>
          <w:tcPr>
            <w:tcW w:w="7521"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提供</w:t>
            </w:r>
            <w:r>
              <w:rPr>
                <w:rFonts w:ascii="宋体" w:hAnsi="宋体"/>
                <w:color w:val="auto"/>
                <w:sz w:val="24"/>
                <w:szCs w:val="24"/>
                <w:highlight w:val="none"/>
              </w:rPr>
              <w:t>3</w:t>
            </w:r>
            <w:r>
              <w:rPr>
                <w:rFonts w:hint="eastAsia" w:ascii="宋体" w:hAnsi="宋体"/>
                <w:color w:val="auto"/>
                <w:sz w:val="24"/>
                <w:szCs w:val="24"/>
                <w:highlight w:val="none"/>
              </w:rPr>
              <w:t>年原厂质保，每增加一年原厂质保加</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分，最多加</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highlight w:val="none"/>
              </w:rPr>
            </w:pPr>
            <w:r>
              <w:rPr>
                <w:rFonts w:ascii="宋体" w:hAnsi="宋体"/>
                <w:color w:val="auto"/>
                <w:sz w:val="24"/>
                <w:szCs w:val="24"/>
                <w:highlight w:val="none"/>
              </w:rPr>
              <w:t>2.售后服务方案</w:t>
            </w:r>
            <w:r>
              <w:rPr>
                <w:rFonts w:hint="eastAsia" w:ascii="宋体" w:hAnsi="宋体"/>
                <w:color w:val="auto"/>
                <w:sz w:val="24"/>
                <w:szCs w:val="24"/>
                <w:highlight w:val="none"/>
              </w:rPr>
              <w:t>应包含售后服务承诺、免费保修期时间、服务响应时间、服务机构管理能力，售后服务人员资质要求、备品备件供应方案等。</w:t>
            </w:r>
            <w:r>
              <w:rPr>
                <w:rFonts w:ascii="宋体" w:hAnsi="宋体"/>
                <w:color w:val="auto"/>
                <w:sz w:val="24"/>
                <w:szCs w:val="24"/>
                <w:highlight w:val="none"/>
              </w:rPr>
              <w:t>售后服务方案</w:t>
            </w:r>
            <w:r>
              <w:rPr>
                <w:rFonts w:hint="eastAsia" w:ascii="宋体" w:hAnsi="宋体"/>
                <w:color w:val="auto"/>
                <w:sz w:val="24"/>
                <w:szCs w:val="24"/>
                <w:highlight w:val="none"/>
                <w:lang w:val="en-US" w:eastAsia="zh-CN"/>
              </w:rPr>
              <w:t>完整详细，可操作性强</w:t>
            </w:r>
            <w:r>
              <w:rPr>
                <w:rFonts w:hint="eastAsia" w:ascii="宋体" w:hAnsi="宋体"/>
                <w:color w:val="auto"/>
                <w:sz w:val="24"/>
                <w:szCs w:val="24"/>
                <w:highlight w:val="none"/>
              </w:rPr>
              <w:t>的得</w:t>
            </w:r>
            <w:r>
              <w:rPr>
                <w:rFonts w:ascii="宋体" w:hAnsi="宋体"/>
                <w:color w:val="auto"/>
                <w:sz w:val="24"/>
                <w:szCs w:val="24"/>
                <w:highlight w:val="none"/>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ascii="宋体" w:hAnsi="宋体"/>
                <w:color w:val="auto"/>
                <w:sz w:val="24"/>
                <w:szCs w:val="24"/>
                <w:highlight w:val="none"/>
              </w:rPr>
              <w:t>售后服务方案</w:t>
            </w:r>
            <w:r>
              <w:rPr>
                <w:rFonts w:hint="eastAsia" w:ascii="宋体" w:hAnsi="宋体"/>
                <w:color w:val="auto"/>
                <w:sz w:val="24"/>
                <w:szCs w:val="24"/>
                <w:highlight w:val="none"/>
                <w:lang w:val="en-US" w:eastAsia="zh-CN"/>
              </w:rPr>
              <w:t>较完整，可操作性较好</w:t>
            </w:r>
            <w:r>
              <w:rPr>
                <w:rFonts w:hint="eastAsia" w:ascii="宋体" w:hAnsi="宋体"/>
                <w:color w:val="auto"/>
                <w:sz w:val="24"/>
                <w:szCs w:val="24"/>
                <w:highlight w:val="none"/>
              </w:rPr>
              <w:t>的得</w:t>
            </w:r>
            <w:r>
              <w:rPr>
                <w:rFonts w:ascii="宋体" w:hAnsi="宋体"/>
                <w:color w:val="auto"/>
                <w:sz w:val="24"/>
                <w:szCs w:val="24"/>
                <w:highlight w:val="none"/>
              </w:rPr>
              <w:t>2</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r>
              <w:rPr>
                <w:rFonts w:ascii="宋体" w:hAnsi="宋体"/>
                <w:color w:val="auto"/>
                <w:sz w:val="24"/>
                <w:szCs w:val="24"/>
                <w:highlight w:val="none"/>
              </w:rPr>
              <w:t>售后服务方案</w:t>
            </w:r>
            <w:r>
              <w:rPr>
                <w:rFonts w:hint="eastAsia" w:ascii="宋体" w:hAnsi="宋体"/>
                <w:color w:val="auto"/>
                <w:sz w:val="24"/>
                <w:szCs w:val="24"/>
                <w:highlight w:val="none"/>
                <w:lang w:val="en-US" w:eastAsia="zh-CN"/>
              </w:rPr>
              <w:t>较差，可操作性差</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rPr>
              <w:t>未提供的不得分。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szCs w:val="24"/>
                <w:highlight w:val="none"/>
              </w:rPr>
            </w:pPr>
            <w:r>
              <w:rPr>
                <w:rFonts w:ascii="宋体" w:hAnsi="宋体" w:cs="宋体"/>
                <w:color w:val="auto"/>
                <w:sz w:val="24"/>
                <w:szCs w:val="24"/>
                <w:highlight w:val="none"/>
                <w:lang w:bidi="zh-CN"/>
              </w:rPr>
              <w:t>3</w:t>
            </w:r>
            <w:r>
              <w:rPr>
                <w:rFonts w:hint="eastAsia" w:ascii="宋体" w:hAnsi="宋体" w:cs="宋体"/>
                <w:color w:val="auto"/>
                <w:sz w:val="24"/>
                <w:szCs w:val="24"/>
                <w:highlight w:val="none"/>
                <w:lang w:val="zh-CN" w:bidi="zh-CN"/>
              </w:rPr>
              <w:t>.</w:t>
            </w:r>
            <w:r>
              <w:rPr>
                <w:rFonts w:hint="eastAsia" w:ascii="宋体" w:hAnsi="宋体"/>
                <w:color w:val="auto"/>
                <w:sz w:val="24"/>
                <w:szCs w:val="24"/>
                <w:highlight w:val="none"/>
              </w:rPr>
              <w:t>对产品进行培训，产品到货安装调试完毕后，根据采购人要求组织人员分批培训，制定培训计划。方案中应包含以下内容但不限于此：①培训计划安排、②培训教员资质证明、③培训内容清单等方面进行阐述。</w:t>
            </w:r>
            <w:r>
              <w:rPr>
                <w:rFonts w:hint="eastAsia" w:ascii="宋体" w:hAnsi="宋体"/>
                <w:color w:val="auto"/>
                <w:sz w:val="24"/>
                <w:szCs w:val="24"/>
                <w:highlight w:val="none"/>
                <w:lang w:val="en-US" w:eastAsia="zh-CN"/>
              </w:rPr>
              <w:t>培训方案优秀，教员资质齐全，内容清单完备</w:t>
            </w:r>
            <w:r>
              <w:rPr>
                <w:rFonts w:hint="eastAsia" w:ascii="宋体" w:hAnsi="宋体"/>
                <w:color w:val="auto"/>
                <w:sz w:val="24"/>
                <w:szCs w:val="24"/>
                <w:highlight w:val="none"/>
              </w:rPr>
              <w:t>的得</w:t>
            </w:r>
            <w:r>
              <w:rPr>
                <w:rFonts w:ascii="宋体" w:hAnsi="宋体"/>
                <w:color w:val="auto"/>
                <w:sz w:val="24"/>
                <w:szCs w:val="24"/>
                <w:highlight w:val="none"/>
              </w:rPr>
              <w:t>3</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培训方案良好，教员资质良好，内容清单基本具备</w:t>
            </w:r>
            <w:r>
              <w:rPr>
                <w:rFonts w:hint="eastAsia" w:ascii="宋体" w:hAnsi="宋体"/>
                <w:color w:val="auto"/>
                <w:sz w:val="24"/>
                <w:szCs w:val="24"/>
                <w:highlight w:val="none"/>
              </w:rPr>
              <w:t>的得</w:t>
            </w:r>
            <w:r>
              <w:rPr>
                <w:rFonts w:ascii="宋体" w:hAnsi="宋体"/>
                <w:color w:val="auto"/>
                <w:sz w:val="24"/>
                <w:szCs w:val="24"/>
                <w:highlight w:val="none"/>
              </w:rPr>
              <w:t>2</w:t>
            </w:r>
            <w:r>
              <w:rPr>
                <w:rFonts w:hint="eastAsia" w:ascii="宋体" w:hAnsi="宋体"/>
                <w:color w:val="auto"/>
                <w:sz w:val="24"/>
                <w:szCs w:val="24"/>
                <w:highlight w:val="none"/>
              </w:rPr>
              <w:t>分，</w:t>
            </w:r>
            <w:r>
              <w:rPr>
                <w:rFonts w:hint="eastAsia" w:ascii="宋体" w:hAnsi="宋体"/>
                <w:color w:val="auto"/>
                <w:sz w:val="24"/>
                <w:szCs w:val="24"/>
                <w:highlight w:val="none"/>
                <w:lang w:val="en-US" w:eastAsia="zh-CN"/>
              </w:rPr>
              <w:t>培训方案较差、教员不具备资质、清单不完整</w:t>
            </w:r>
            <w:r>
              <w:rPr>
                <w:rFonts w:hint="eastAsia" w:ascii="宋体" w:hAnsi="宋体"/>
                <w:color w:val="auto"/>
                <w:sz w:val="24"/>
                <w:szCs w:val="24"/>
                <w:highlight w:val="none"/>
              </w:rPr>
              <w:t>的，</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rPr>
              <w:t>未提供的不得分。</w:t>
            </w:r>
          </w:p>
        </w:tc>
      </w:tr>
    </w:tbl>
    <w:p>
      <w:pPr>
        <w:snapToGrid w:val="0"/>
        <w:spacing w:line="360" w:lineRule="auto"/>
        <w:ind w:firstLine="422" w:firstLineChars="200"/>
        <w:jc w:val="left"/>
        <w:rPr>
          <w:rFonts w:hint="eastAsia" w:hAnsi="仿宋"/>
          <w:b/>
          <w:color w:val="auto"/>
        </w:rPr>
      </w:pPr>
    </w:p>
    <w:p>
      <w:pPr>
        <w:spacing w:line="360" w:lineRule="auto"/>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注： 投标文件必须对上述评分标准逐条具体应答，并注明在投标文件中相应页码。</w:t>
      </w:r>
    </w:p>
    <w:p>
      <w:pPr>
        <w:rPr>
          <w:rFonts w:hint="eastAsia" w:ascii="宋体" w:hAnsi="宋体" w:eastAsia="宋体" w:cs="宋体"/>
          <w:color w:val="auto"/>
          <w:kern w:val="44"/>
          <w:sz w:val="36"/>
          <w:szCs w:val="36"/>
          <w:u w:color="000000"/>
          <w:lang w:val="zh-TW" w:eastAsia="zh-TW"/>
        </w:rPr>
      </w:pPr>
      <w:bookmarkStart w:id="15" w:name="_Toc57875960"/>
      <w:r>
        <w:rPr>
          <w:rFonts w:hint="eastAsia" w:ascii="宋体" w:hAnsi="宋体" w:eastAsia="宋体" w:cs="宋体"/>
          <w:color w:val="auto"/>
          <w:kern w:val="44"/>
          <w:sz w:val="36"/>
          <w:szCs w:val="36"/>
          <w:u w:color="000000"/>
          <w:lang w:val="zh-TW" w:eastAsia="zh-TW"/>
        </w:rPr>
        <w:br w:type="page"/>
      </w:r>
    </w:p>
    <w:p>
      <w:pPr>
        <w:keepNext/>
        <w:keepLines/>
        <w:spacing w:before="312" w:beforeLines="100" w:after="312" w:afterLines="100" w:line="360" w:lineRule="auto"/>
        <w:jc w:val="center"/>
        <w:outlineLvl w:val="0"/>
        <w:rPr>
          <w:rFonts w:hint="eastAsia" w:ascii="宋体" w:hAnsi="宋体" w:eastAsia="宋体" w:cs="宋体"/>
          <w:color w:val="auto"/>
          <w:kern w:val="44"/>
          <w:sz w:val="36"/>
          <w:szCs w:val="36"/>
          <w:u w:color="000000"/>
          <w:lang w:val="zh-TW" w:eastAsia="zh-TW"/>
        </w:rPr>
      </w:pPr>
      <w:r>
        <w:rPr>
          <w:rFonts w:hint="eastAsia" w:ascii="宋体" w:hAnsi="宋体" w:eastAsia="宋体" w:cs="宋体"/>
          <w:color w:val="auto"/>
          <w:kern w:val="44"/>
          <w:sz w:val="36"/>
          <w:szCs w:val="36"/>
          <w:u w:color="000000"/>
          <w:lang w:val="zh-TW" w:eastAsia="zh-TW"/>
        </w:rPr>
        <w:t>第</w:t>
      </w:r>
      <w:r>
        <w:rPr>
          <w:rFonts w:hint="eastAsia" w:ascii="宋体" w:hAnsi="宋体" w:eastAsia="宋体" w:cs="宋体"/>
          <w:color w:val="auto"/>
          <w:kern w:val="44"/>
          <w:sz w:val="36"/>
          <w:szCs w:val="36"/>
          <w:u w:color="000000"/>
          <w:lang w:val="zh-TW"/>
        </w:rPr>
        <w:t>六</w:t>
      </w:r>
      <w:r>
        <w:rPr>
          <w:rFonts w:hint="eastAsia" w:ascii="宋体" w:hAnsi="宋体" w:eastAsia="宋体" w:cs="宋体"/>
          <w:color w:val="auto"/>
          <w:kern w:val="44"/>
          <w:sz w:val="36"/>
          <w:szCs w:val="36"/>
          <w:u w:color="000000"/>
          <w:lang w:val="zh-TW" w:eastAsia="zh-TW"/>
        </w:rPr>
        <w:t>章  投标文件格式</w:t>
      </w:r>
      <w:bookmarkEnd w:id="15"/>
    </w:p>
    <w:p>
      <w:pPr>
        <w:spacing w:line="360" w:lineRule="auto"/>
        <w:jc w:val="right"/>
        <w:rPr>
          <w:rFonts w:hint="eastAsia" w:ascii="宋体" w:hAnsi="宋体" w:eastAsia="宋体" w:cs="宋体"/>
          <w:color w:val="auto"/>
          <w:sz w:val="36"/>
          <w:szCs w:val="36"/>
          <w:lang w:val="zh-TW" w:eastAsia="zh-TW"/>
        </w:rPr>
      </w:pPr>
      <w:r>
        <w:rPr>
          <w:rFonts w:hint="eastAsia" w:ascii="宋体" w:hAnsi="宋体" w:eastAsia="宋体" w:cs="宋体"/>
          <w:color w:val="auto"/>
          <w:sz w:val="36"/>
          <w:szCs w:val="36"/>
          <w:lang w:val="zh-TW"/>
        </w:rPr>
        <w:t>正本/副本</w:t>
      </w:r>
    </w:p>
    <w:p>
      <w:pPr>
        <w:spacing w:line="360" w:lineRule="auto"/>
        <w:rPr>
          <w:rFonts w:hint="eastAsia" w:ascii="宋体" w:hAnsi="宋体" w:eastAsia="宋体" w:cs="宋体"/>
          <w:color w:val="auto"/>
          <w:sz w:val="36"/>
          <w:szCs w:val="36"/>
          <w:u w:val="single" w:color="000000"/>
          <w:lang w:val="zh-TW" w:eastAsia="zh-TW"/>
        </w:rPr>
      </w:pPr>
    </w:p>
    <w:p>
      <w:pPr>
        <w:spacing w:line="360" w:lineRule="auto"/>
        <w:rPr>
          <w:rFonts w:hint="eastAsia" w:ascii="宋体" w:hAnsi="宋体" w:eastAsia="宋体" w:cs="宋体"/>
          <w:color w:val="auto"/>
          <w:sz w:val="36"/>
          <w:szCs w:val="36"/>
          <w:u w:val="single" w:color="000000"/>
          <w:lang w:val="zh-TW" w:eastAsia="zh-TW"/>
        </w:rPr>
      </w:pPr>
    </w:p>
    <w:p>
      <w:pPr>
        <w:spacing w:line="360" w:lineRule="auto"/>
        <w:rPr>
          <w:rFonts w:hint="eastAsia" w:ascii="宋体" w:hAnsi="宋体" w:eastAsia="宋体" w:cs="宋体"/>
          <w:color w:val="auto"/>
          <w:sz w:val="36"/>
          <w:szCs w:val="36"/>
          <w:u w:val="single" w:color="000000"/>
          <w:lang w:val="zh-TW" w:eastAsia="zh-TW"/>
        </w:rPr>
      </w:pPr>
    </w:p>
    <w:p>
      <w:pPr>
        <w:spacing w:line="360" w:lineRule="auto"/>
        <w:jc w:val="center"/>
        <w:rPr>
          <w:rFonts w:hint="eastAsia" w:ascii="宋体" w:hAnsi="宋体" w:eastAsia="宋体" w:cs="宋体"/>
          <w:color w:val="auto"/>
          <w:sz w:val="36"/>
          <w:szCs w:val="36"/>
          <w:lang w:val="zh-TW" w:eastAsia="zh-CN"/>
        </w:rPr>
      </w:pPr>
      <w:r>
        <w:rPr>
          <w:rFonts w:hint="eastAsia" w:ascii="宋体" w:hAnsi="宋体" w:eastAsia="宋体" w:cs="宋体"/>
          <w:color w:val="auto"/>
          <w:sz w:val="36"/>
          <w:szCs w:val="36"/>
          <w:lang w:val="zh-TW" w:eastAsia="zh-CN"/>
        </w:rPr>
        <w:t>南京邮电大学通达学院</w:t>
      </w:r>
    </w:p>
    <w:p>
      <w:pPr>
        <w:spacing w:line="360" w:lineRule="auto"/>
        <w:jc w:val="center"/>
        <w:rPr>
          <w:rFonts w:hint="eastAsia" w:ascii="宋体" w:hAnsi="宋体" w:eastAsia="宋体" w:cs="宋体"/>
          <w:color w:val="auto"/>
          <w:sz w:val="36"/>
          <w:szCs w:val="36"/>
          <w:lang w:val="zh-TW" w:eastAsia="zh-CN"/>
        </w:rPr>
      </w:pPr>
      <w:r>
        <w:rPr>
          <w:rFonts w:hint="eastAsia" w:ascii="宋体" w:hAnsi="宋体" w:eastAsia="宋体" w:cs="宋体"/>
          <w:color w:val="auto"/>
          <w:sz w:val="36"/>
          <w:szCs w:val="36"/>
          <w:lang w:val="zh-TW" w:eastAsia="zh-CN"/>
        </w:rPr>
        <w:t>通信原理虚实结合实验平台采购项目</w:t>
      </w:r>
    </w:p>
    <w:p>
      <w:pPr>
        <w:spacing w:line="360" w:lineRule="auto"/>
        <w:jc w:val="center"/>
        <w:rPr>
          <w:rFonts w:hint="eastAsia" w:ascii="宋体" w:hAnsi="宋体" w:eastAsia="宋体" w:cs="宋体"/>
          <w:color w:val="auto"/>
          <w:sz w:val="36"/>
          <w:szCs w:val="36"/>
          <w:u w:color="000000"/>
          <w:lang w:eastAsia="zh-CN"/>
        </w:rPr>
      </w:pPr>
      <w:r>
        <w:rPr>
          <w:rFonts w:hint="eastAsia" w:ascii="宋体" w:hAnsi="宋体" w:eastAsia="宋体" w:cs="宋体"/>
          <w:color w:val="auto"/>
          <w:sz w:val="36"/>
          <w:szCs w:val="36"/>
          <w:u w:color="000000"/>
        </w:rPr>
        <w:t>项目编号：</w:t>
      </w:r>
      <w:r>
        <w:rPr>
          <w:rFonts w:hint="eastAsia" w:ascii="宋体" w:hAnsi="宋体" w:eastAsia="宋体" w:cs="宋体"/>
          <w:color w:val="auto"/>
          <w:sz w:val="36"/>
          <w:szCs w:val="36"/>
          <w:u w:color="000000"/>
          <w:lang w:eastAsia="zh-CN"/>
        </w:rPr>
        <w:t>TDCG2022037</w:t>
      </w:r>
    </w:p>
    <w:p>
      <w:pPr>
        <w:spacing w:line="360" w:lineRule="auto"/>
        <w:rPr>
          <w:rFonts w:hint="eastAsia" w:ascii="宋体" w:hAnsi="宋体" w:eastAsia="宋体" w:cs="宋体"/>
          <w:color w:val="auto"/>
          <w:sz w:val="36"/>
          <w:szCs w:val="36"/>
          <w:u w:color="000000"/>
        </w:rPr>
      </w:pPr>
    </w:p>
    <w:p>
      <w:pPr>
        <w:spacing w:line="360" w:lineRule="auto"/>
        <w:jc w:val="center"/>
        <w:rPr>
          <w:rFonts w:hint="eastAsia" w:ascii="宋体" w:hAnsi="宋体" w:eastAsia="宋体" w:cs="宋体"/>
          <w:color w:val="auto"/>
          <w:sz w:val="36"/>
          <w:szCs w:val="36"/>
          <w:u w:color="000000"/>
        </w:rPr>
      </w:pPr>
    </w:p>
    <w:p>
      <w:pPr>
        <w:spacing w:after="120"/>
        <w:jc w:val="center"/>
        <w:rPr>
          <w:rFonts w:hint="eastAsia" w:ascii="宋体" w:hAnsi="宋体" w:eastAsia="宋体" w:cs="宋体"/>
          <w:color w:val="auto"/>
          <w:sz w:val="52"/>
          <w:szCs w:val="52"/>
          <w:u w:color="000000"/>
        </w:rPr>
      </w:pPr>
      <w:r>
        <w:rPr>
          <w:rFonts w:hint="eastAsia" w:ascii="宋体" w:hAnsi="宋体" w:eastAsia="宋体" w:cs="宋体"/>
          <w:color w:val="auto"/>
          <w:sz w:val="52"/>
          <w:szCs w:val="52"/>
          <w:u w:color="000000"/>
          <w:lang w:val="zh-TW"/>
        </w:rPr>
        <w:t>投标</w:t>
      </w:r>
      <w:r>
        <w:rPr>
          <w:rFonts w:hint="eastAsia" w:ascii="宋体" w:hAnsi="宋体" w:eastAsia="宋体" w:cs="宋体"/>
          <w:color w:val="auto"/>
          <w:sz w:val="52"/>
          <w:szCs w:val="52"/>
          <w:u w:color="000000"/>
          <w:lang w:val="zh-TW" w:eastAsia="zh-TW"/>
        </w:rPr>
        <w:t>文件</w:t>
      </w:r>
    </w:p>
    <w:p>
      <w:pPr>
        <w:spacing w:line="360" w:lineRule="auto"/>
        <w:jc w:val="center"/>
        <w:rPr>
          <w:rFonts w:hint="eastAsia" w:ascii="宋体" w:hAnsi="宋体" w:eastAsia="宋体" w:cs="宋体"/>
          <w:b/>
          <w:bCs/>
          <w:color w:val="auto"/>
          <w:sz w:val="28"/>
          <w:szCs w:val="28"/>
          <w:u w:color="000000"/>
        </w:rPr>
      </w:pPr>
    </w:p>
    <w:p>
      <w:pPr>
        <w:spacing w:line="360" w:lineRule="auto"/>
        <w:jc w:val="center"/>
        <w:rPr>
          <w:rFonts w:hint="eastAsia" w:ascii="宋体" w:hAnsi="宋体" w:eastAsia="宋体" w:cs="宋体"/>
          <w:b/>
          <w:bCs/>
          <w:color w:val="auto"/>
          <w:sz w:val="28"/>
          <w:szCs w:val="28"/>
          <w:u w:color="000000"/>
        </w:rPr>
      </w:pPr>
    </w:p>
    <w:p>
      <w:pPr>
        <w:spacing w:line="360" w:lineRule="auto"/>
        <w:jc w:val="center"/>
        <w:rPr>
          <w:rFonts w:hint="eastAsia" w:ascii="宋体" w:hAnsi="宋体" w:eastAsia="宋体" w:cs="宋体"/>
          <w:b/>
          <w:bCs/>
          <w:color w:val="auto"/>
          <w:sz w:val="28"/>
          <w:szCs w:val="28"/>
          <w:u w:color="000000"/>
        </w:rPr>
      </w:pPr>
    </w:p>
    <w:p>
      <w:pPr>
        <w:spacing w:line="360" w:lineRule="auto"/>
        <w:jc w:val="center"/>
        <w:rPr>
          <w:rFonts w:hint="eastAsia" w:ascii="宋体" w:hAnsi="宋体" w:eastAsia="宋体" w:cs="宋体"/>
          <w:b/>
          <w:bCs/>
          <w:color w:val="auto"/>
          <w:sz w:val="28"/>
          <w:szCs w:val="28"/>
          <w:u w:color="000000"/>
        </w:rPr>
      </w:pPr>
    </w:p>
    <w:p>
      <w:pPr>
        <w:spacing w:line="360" w:lineRule="auto"/>
        <w:jc w:val="center"/>
        <w:rPr>
          <w:rFonts w:hint="eastAsia" w:ascii="宋体" w:hAnsi="宋体" w:eastAsia="宋体" w:cs="宋体"/>
          <w:b/>
          <w:bCs/>
          <w:color w:val="auto"/>
          <w:sz w:val="28"/>
          <w:szCs w:val="28"/>
          <w:u w:color="000000"/>
        </w:rPr>
      </w:pPr>
    </w:p>
    <w:p>
      <w:pPr>
        <w:spacing w:line="360" w:lineRule="auto"/>
        <w:jc w:val="center"/>
        <w:rPr>
          <w:rFonts w:hint="eastAsia" w:ascii="宋体" w:hAnsi="宋体" w:eastAsia="宋体" w:cs="宋体"/>
          <w:color w:val="auto"/>
          <w:sz w:val="28"/>
          <w:szCs w:val="28"/>
          <w:u w:color="000000"/>
        </w:rPr>
      </w:pPr>
      <w:r>
        <w:rPr>
          <w:rFonts w:hint="eastAsia" w:ascii="宋体" w:hAnsi="宋体" w:eastAsia="宋体" w:cs="宋体"/>
          <w:color w:val="auto"/>
          <w:sz w:val="28"/>
          <w:szCs w:val="28"/>
          <w:u w:color="000000"/>
          <w:lang w:val="zh-TW"/>
        </w:rPr>
        <w:t>投标人</w:t>
      </w:r>
      <w:r>
        <w:rPr>
          <w:rFonts w:hint="eastAsia" w:ascii="宋体" w:hAnsi="宋体" w:eastAsia="宋体" w:cs="宋体"/>
          <w:color w:val="auto"/>
          <w:sz w:val="28"/>
          <w:szCs w:val="28"/>
          <w:u w:color="000000"/>
          <w:lang w:val="zh-TW" w:eastAsia="zh-TW"/>
        </w:rPr>
        <w:t>：</w:t>
      </w:r>
      <w:r>
        <w:rPr>
          <w:rFonts w:hint="eastAsia" w:ascii="宋体" w:hAnsi="宋体" w:eastAsia="宋体" w:cs="宋体"/>
          <w:color w:val="auto"/>
          <w:sz w:val="28"/>
          <w:szCs w:val="28"/>
          <w:u w:val="single"/>
          <w:lang w:val="zh-TW"/>
        </w:rPr>
        <w:t xml:space="preserve">     </w:t>
      </w:r>
      <w:r>
        <w:rPr>
          <w:rFonts w:hint="eastAsia" w:ascii="宋体" w:hAnsi="宋体" w:eastAsia="宋体" w:cs="宋体"/>
          <w:color w:val="auto"/>
          <w:sz w:val="28"/>
          <w:szCs w:val="28"/>
          <w:u w:val="single"/>
          <w:lang w:val="zh-TW" w:eastAsia="zh-TW"/>
        </w:rPr>
        <w:t xml:space="preserve">   </w:t>
      </w:r>
      <w:r>
        <w:rPr>
          <w:rFonts w:hint="eastAsia" w:ascii="宋体" w:hAnsi="宋体" w:eastAsia="宋体" w:cs="宋体"/>
          <w:color w:val="auto"/>
          <w:sz w:val="28"/>
          <w:szCs w:val="28"/>
          <w:u w:val="single"/>
          <w:lang w:val="zh-TW"/>
        </w:rPr>
        <w:t xml:space="preserve">               </w:t>
      </w:r>
      <w:r>
        <w:rPr>
          <w:rFonts w:hint="eastAsia" w:ascii="宋体" w:hAnsi="宋体" w:eastAsia="宋体" w:cs="宋体"/>
          <w:color w:val="auto"/>
          <w:sz w:val="28"/>
          <w:szCs w:val="28"/>
          <w:u w:color="000000"/>
          <w:lang w:val="zh-TW" w:eastAsia="zh-TW"/>
        </w:rPr>
        <w:t>（盖单位章）</w:t>
      </w:r>
    </w:p>
    <w:p>
      <w:pPr>
        <w:spacing w:line="360" w:lineRule="auto"/>
        <w:jc w:val="center"/>
        <w:rPr>
          <w:rFonts w:hint="eastAsia" w:ascii="宋体" w:hAnsi="宋体" w:eastAsia="宋体" w:cs="宋体"/>
          <w:color w:val="auto"/>
          <w:sz w:val="28"/>
          <w:szCs w:val="28"/>
          <w:u w:val="single" w:color="000000"/>
        </w:rPr>
      </w:pPr>
      <w:r>
        <w:rPr>
          <w:rFonts w:hint="eastAsia" w:ascii="宋体" w:hAnsi="宋体" w:eastAsia="宋体" w:cs="宋体"/>
          <w:color w:val="auto"/>
          <w:sz w:val="28"/>
          <w:szCs w:val="28"/>
          <w:u w:color="000000"/>
          <w:lang w:val="zh-TW" w:eastAsia="zh-TW"/>
        </w:rPr>
        <w:t>法定代表人或其委托代理人：</w:t>
      </w:r>
      <w:r>
        <w:rPr>
          <w:rFonts w:hint="eastAsia" w:ascii="宋体" w:hAnsi="宋体" w:eastAsia="宋体" w:cs="宋体"/>
          <w:color w:val="auto"/>
          <w:sz w:val="28"/>
          <w:szCs w:val="28"/>
          <w:u w:val="single"/>
          <w:lang w:val="zh-TW"/>
        </w:rPr>
        <w:t xml:space="preserve">         </w:t>
      </w:r>
      <w:r>
        <w:rPr>
          <w:rFonts w:hint="eastAsia" w:ascii="宋体" w:hAnsi="宋体" w:eastAsia="宋体" w:cs="宋体"/>
          <w:color w:val="auto"/>
          <w:sz w:val="28"/>
          <w:szCs w:val="28"/>
          <w:u w:color="000000"/>
          <w:lang w:val="zh-TW" w:eastAsia="zh-TW"/>
        </w:rPr>
        <w:t>（签字）</w:t>
      </w:r>
    </w:p>
    <w:p>
      <w:pPr>
        <w:spacing w:line="360" w:lineRule="auto"/>
        <w:jc w:val="center"/>
        <w:rPr>
          <w:rFonts w:hint="eastAsia" w:ascii="宋体" w:hAnsi="宋体" w:eastAsia="宋体" w:cs="宋体"/>
          <w:color w:val="auto"/>
          <w:sz w:val="28"/>
          <w:szCs w:val="28"/>
          <w:u w:val="single" w:color="000000"/>
        </w:rPr>
      </w:pPr>
      <w:r>
        <w:rPr>
          <w:rFonts w:hint="eastAsia" w:ascii="宋体" w:hAnsi="宋体" w:eastAsia="宋体" w:cs="宋体"/>
          <w:color w:val="auto"/>
          <w:sz w:val="28"/>
          <w:szCs w:val="28"/>
          <w:u w:val="single" w:color="000000"/>
        </w:rPr>
        <w:t xml:space="preserve">       </w:t>
      </w:r>
      <w:r>
        <w:rPr>
          <w:rFonts w:hint="eastAsia" w:ascii="宋体" w:hAnsi="宋体" w:eastAsia="宋体" w:cs="宋体"/>
          <w:color w:val="auto"/>
          <w:sz w:val="28"/>
          <w:szCs w:val="28"/>
          <w:u w:color="000000"/>
          <w:lang w:val="zh-TW" w:eastAsia="zh-TW"/>
        </w:rPr>
        <w:t>年</w:t>
      </w:r>
      <w:r>
        <w:rPr>
          <w:rFonts w:hint="eastAsia" w:ascii="宋体" w:hAnsi="宋体" w:eastAsia="宋体" w:cs="宋体"/>
          <w:color w:val="auto"/>
          <w:sz w:val="28"/>
          <w:szCs w:val="28"/>
          <w:u w:val="single"/>
          <w:lang w:val="zh-TW"/>
        </w:rPr>
        <w:t xml:space="preserve">    </w:t>
      </w:r>
      <w:r>
        <w:rPr>
          <w:rFonts w:hint="eastAsia" w:ascii="宋体" w:hAnsi="宋体" w:eastAsia="宋体" w:cs="宋体"/>
          <w:color w:val="auto"/>
          <w:sz w:val="28"/>
          <w:szCs w:val="28"/>
          <w:u w:color="000000"/>
          <w:lang w:val="zh-TW" w:eastAsia="zh-TW"/>
        </w:rPr>
        <w:t>月</w:t>
      </w:r>
      <w:r>
        <w:rPr>
          <w:rFonts w:hint="eastAsia" w:ascii="宋体" w:hAnsi="宋体" w:eastAsia="宋体" w:cs="宋体"/>
          <w:color w:val="auto"/>
          <w:sz w:val="28"/>
          <w:szCs w:val="28"/>
          <w:u w:val="single"/>
          <w:lang w:val="zh-TW"/>
        </w:rPr>
        <w:t xml:space="preserve">     </w:t>
      </w:r>
      <w:r>
        <w:rPr>
          <w:rFonts w:hint="eastAsia" w:ascii="宋体" w:hAnsi="宋体" w:eastAsia="宋体" w:cs="宋体"/>
          <w:color w:val="auto"/>
          <w:sz w:val="28"/>
          <w:szCs w:val="28"/>
          <w:u w:color="000000"/>
          <w:lang w:val="zh-TW" w:eastAsia="zh-TW"/>
        </w:rPr>
        <w:t>日</w:t>
      </w:r>
    </w:p>
    <w:p>
      <w:pPr>
        <w:widowControl/>
        <w:jc w:val="left"/>
        <w:rPr>
          <w:rFonts w:hint="eastAsia" w:ascii="宋体" w:hAnsi="宋体" w:eastAsia="宋体" w:cs="宋体"/>
          <w:color w:val="auto"/>
        </w:rPr>
      </w:pPr>
      <w:r>
        <w:rPr>
          <w:rFonts w:hint="eastAsia" w:ascii="宋体" w:hAnsi="宋体" w:eastAsia="宋体" w:cs="宋体"/>
          <w:color w:val="auto"/>
        </w:rPr>
        <w:br w:type="page"/>
      </w: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资格性和符合性检查响应对照及评分索引表</w:t>
      </w:r>
    </w:p>
    <w:p>
      <w:pPr>
        <w:spacing w:before="156" w:beforeLines="50" w:after="156" w:afterLines="5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投标人全称（加盖公章）：</w:t>
      </w:r>
      <w:r>
        <w:rPr>
          <w:rFonts w:hint="eastAsia" w:ascii="宋体" w:hAnsi="宋体" w:eastAsia="宋体" w:cs="宋体"/>
          <w:color w:val="auto"/>
          <w:sz w:val="24"/>
          <w:szCs w:val="24"/>
          <w:u w:val="single"/>
        </w:rPr>
        <w:t xml:space="preserve">                            </w:t>
      </w:r>
    </w:p>
    <w:tbl>
      <w:tblPr>
        <w:tblStyle w:val="24"/>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838"/>
        <w:gridCol w:w="1756"/>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1" w:type="dxa"/>
            <w:vAlign w:val="center"/>
          </w:tcPr>
          <w:p>
            <w:pPr>
              <w:snapToGrid w:val="0"/>
              <w:spacing w:line="240" w:lineRule="atLeast"/>
              <w:jc w:val="center"/>
              <w:rPr>
                <w:rFonts w:hint="eastAsia" w:ascii="宋体" w:hAnsi="宋体" w:eastAsia="宋体" w:cs="宋体"/>
                <w:b/>
                <w:color w:val="auto"/>
              </w:rPr>
            </w:pPr>
            <w:r>
              <w:rPr>
                <w:rFonts w:hint="eastAsia" w:ascii="宋体" w:hAnsi="宋体" w:eastAsia="宋体" w:cs="宋体"/>
                <w:b/>
                <w:color w:val="auto"/>
              </w:rPr>
              <w:t>序号</w:t>
            </w:r>
          </w:p>
        </w:tc>
        <w:tc>
          <w:tcPr>
            <w:tcW w:w="4838" w:type="dxa"/>
            <w:vAlign w:val="center"/>
          </w:tcPr>
          <w:p>
            <w:pPr>
              <w:snapToGrid w:val="0"/>
              <w:spacing w:line="240" w:lineRule="atLeast"/>
              <w:jc w:val="center"/>
              <w:rPr>
                <w:rFonts w:hint="eastAsia" w:ascii="宋体" w:hAnsi="宋体" w:eastAsia="宋体" w:cs="宋体"/>
                <w:b/>
                <w:color w:val="auto"/>
              </w:rPr>
            </w:pPr>
            <w:r>
              <w:rPr>
                <w:rFonts w:hint="eastAsia" w:ascii="宋体" w:hAnsi="宋体" w:eastAsia="宋体" w:cs="宋体"/>
                <w:b/>
                <w:color w:val="auto"/>
              </w:rPr>
              <w:t>资格性和符合性检查响应内容</w:t>
            </w:r>
          </w:p>
        </w:tc>
        <w:tc>
          <w:tcPr>
            <w:tcW w:w="1756" w:type="dxa"/>
            <w:vAlign w:val="center"/>
          </w:tcPr>
          <w:p>
            <w:pPr>
              <w:snapToGrid w:val="0"/>
              <w:spacing w:line="240" w:lineRule="atLeast"/>
              <w:jc w:val="center"/>
              <w:rPr>
                <w:rFonts w:hint="eastAsia" w:ascii="宋体" w:hAnsi="宋体" w:eastAsia="宋体" w:cs="宋体"/>
                <w:b/>
                <w:color w:val="auto"/>
              </w:rPr>
            </w:pPr>
            <w:r>
              <w:rPr>
                <w:rFonts w:hint="eastAsia" w:ascii="宋体" w:hAnsi="宋体" w:eastAsia="宋体" w:cs="宋体"/>
                <w:b/>
                <w:color w:val="auto"/>
              </w:rPr>
              <w:t>是否响应</w:t>
            </w:r>
          </w:p>
          <w:p>
            <w:pPr>
              <w:snapToGrid w:val="0"/>
              <w:spacing w:line="240" w:lineRule="atLeast"/>
              <w:jc w:val="center"/>
              <w:rPr>
                <w:rFonts w:hint="eastAsia" w:ascii="宋体" w:hAnsi="宋体" w:eastAsia="宋体" w:cs="宋体"/>
                <w:b/>
                <w:color w:val="auto"/>
              </w:rPr>
            </w:pPr>
            <w:r>
              <w:rPr>
                <w:rFonts w:hint="eastAsia" w:ascii="宋体" w:hAnsi="宋体" w:eastAsia="宋体" w:cs="宋体"/>
                <w:b/>
                <w:color w:val="auto"/>
              </w:rPr>
              <w:t>（填是或者否）</w:t>
            </w:r>
          </w:p>
        </w:tc>
        <w:tc>
          <w:tcPr>
            <w:tcW w:w="1738" w:type="dxa"/>
            <w:vAlign w:val="center"/>
          </w:tcPr>
          <w:p>
            <w:pPr>
              <w:snapToGrid w:val="0"/>
              <w:spacing w:line="240" w:lineRule="atLeast"/>
              <w:jc w:val="center"/>
              <w:rPr>
                <w:rFonts w:hint="eastAsia" w:ascii="宋体" w:hAnsi="宋体" w:eastAsia="宋体" w:cs="宋体"/>
                <w:b/>
                <w:color w:val="auto"/>
              </w:rPr>
            </w:pPr>
            <w:r>
              <w:rPr>
                <w:rFonts w:hint="eastAsia" w:ascii="宋体" w:hAnsi="宋体" w:eastAsia="宋体" w:cs="宋体"/>
                <w:b/>
                <w:color w:val="auto"/>
              </w:rPr>
              <w:t>投标文件中的</w:t>
            </w:r>
          </w:p>
          <w:p>
            <w:pPr>
              <w:snapToGrid w:val="0"/>
              <w:spacing w:line="240" w:lineRule="atLeast"/>
              <w:jc w:val="center"/>
              <w:rPr>
                <w:rFonts w:hint="eastAsia" w:ascii="宋体" w:hAnsi="宋体" w:eastAsia="宋体" w:cs="宋体"/>
                <w:b/>
                <w:color w:val="auto"/>
              </w:rPr>
            </w:pPr>
            <w:r>
              <w:rPr>
                <w:rFonts w:hint="eastAsia" w:ascii="宋体" w:hAnsi="宋体" w:eastAsia="宋体" w:cs="宋体"/>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hint="eastAsia" w:ascii="宋体" w:hAnsi="宋体" w:eastAsia="宋体" w:cs="宋体"/>
                <w:color w:val="auto"/>
              </w:rPr>
            </w:pPr>
            <w:r>
              <w:rPr>
                <w:rFonts w:hint="eastAsia" w:ascii="宋体" w:hAnsi="宋体" w:eastAsia="宋体" w:cs="宋体"/>
                <w:color w:val="auto"/>
              </w:rPr>
              <w:t>1</w:t>
            </w:r>
          </w:p>
        </w:tc>
        <w:tc>
          <w:tcPr>
            <w:tcW w:w="4838" w:type="dxa"/>
            <w:vAlign w:val="center"/>
          </w:tcPr>
          <w:p>
            <w:pPr>
              <w:spacing w:line="480" w:lineRule="exact"/>
              <w:rPr>
                <w:rFonts w:hint="eastAsia" w:ascii="宋体" w:hAnsi="宋体" w:eastAsia="宋体" w:cs="宋体"/>
                <w:iCs/>
                <w:color w:val="auto"/>
              </w:rPr>
            </w:pPr>
          </w:p>
        </w:tc>
        <w:tc>
          <w:tcPr>
            <w:tcW w:w="1756" w:type="dxa"/>
            <w:vAlign w:val="center"/>
          </w:tcPr>
          <w:p>
            <w:pPr>
              <w:rPr>
                <w:rFonts w:hint="eastAsia" w:ascii="宋体" w:hAnsi="宋体" w:eastAsia="宋体" w:cs="宋体"/>
                <w:b/>
                <w:color w:val="auto"/>
              </w:rPr>
            </w:pPr>
          </w:p>
        </w:tc>
        <w:tc>
          <w:tcPr>
            <w:tcW w:w="1738" w:type="dxa"/>
            <w:vAlign w:val="center"/>
          </w:tcPr>
          <w:p>
            <w:pPr>
              <w:rPr>
                <w:rFonts w:hint="eastAsia" w:ascii="宋体" w:hAnsi="宋体" w:eastAsia="宋体" w:cs="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hint="eastAsia" w:ascii="宋体" w:hAnsi="宋体" w:eastAsia="宋体" w:cs="宋体"/>
                <w:color w:val="auto"/>
              </w:rPr>
            </w:pPr>
            <w:r>
              <w:rPr>
                <w:rFonts w:hint="eastAsia" w:ascii="宋体" w:hAnsi="宋体" w:eastAsia="宋体" w:cs="宋体"/>
                <w:color w:val="auto"/>
              </w:rPr>
              <w:t>2</w:t>
            </w:r>
          </w:p>
        </w:tc>
        <w:tc>
          <w:tcPr>
            <w:tcW w:w="4838" w:type="dxa"/>
            <w:vAlign w:val="center"/>
          </w:tcPr>
          <w:p>
            <w:pPr>
              <w:snapToGrid w:val="0"/>
              <w:spacing w:before="50" w:after="156" w:afterLines="50"/>
              <w:rPr>
                <w:rFonts w:hint="eastAsia" w:ascii="宋体" w:hAnsi="宋体" w:eastAsia="宋体" w:cs="宋体"/>
                <w:b/>
                <w:color w:val="auto"/>
                <w:sz w:val="28"/>
                <w:szCs w:val="28"/>
              </w:rPr>
            </w:pPr>
          </w:p>
        </w:tc>
        <w:tc>
          <w:tcPr>
            <w:tcW w:w="1756" w:type="dxa"/>
            <w:vAlign w:val="center"/>
          </w:tcPr>
          <w:p>
            <w:pPr>
              <w:rPr>
                <w:rFonts w:hint="eastAsia" w:ascii="宋体" w:hAnsi="宋体" w:eastAsia="宋体" w:cs="宋体"/>
                <w:color w:val="auto"/>
              </w:rPr>
            </w:pPr>
          </w:p>
        </w:tc>
        <w:tc>
          <w:tcPr>
            <w:tcW w:w="1738" w:type="dxa"/>
            <w:vAlign w:val="center"/>
          </w:tcPr>
          <w:p>
            <w:pP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hint="eastAsia" w:ascii="宋体" w:hAnsi="宋体" w:eastAsia="宋体" w:cs="宋体"/>
                <w:color w:val="auto"/>
              </w:rPr>
            </w:pPr>
            <w:r>
              <w:rPr>
                <w:rFonts w:hint="eastAsia" w:ascii="宋体" w:hAnsi="宋体" w:eastAsia="宋体" w:cs="宋体"/>
                <w:color w:val="auto"/>
              </w:rPr>
              <w:t>3</w:t>
            </w:r>
          </w:p>
        </w:tc>
        <w:tc>
          <w:tcPr>
            <w:tcW w:w="4838" w:type="dxa"/>
            <w:vAlign w:val="center"/>
          </w:tcPr>
          <w:p>
            <w:pPr>
              <w:spacing w:line="480" w:lineRule="exact"/>
              <w:rPr>
                <w:rFonts w:hint="eastAsia" w:ascii="宋体" w:hAnsi="宋体" w:eastAsia="宋体" w:cs="宋体"/>
                <w:iCs/>
                <w:color w:val="auto"/>
              </w:rPr>
            </w:pPr>
          </w:p>
        </w:tc>
        <w:tc>
          <w:tcPr>
            <w:tcW w:w="1756" w:type="dxa"/>
            <w:vAlign w:val="center"/>
          </w:tcPr>
          <w:p>
            <w:pPr>
              <w:rPr>
                <w:rFonts w:hint="eastAsia" w:ascii="宋体" w:hAnsi="宋体" w:eastAsia="宋体" w:cs="宋体"/>
                <w:color w:val="auto"/>
              </w:rPr>
            </w:pPr>
          </w:p>
        </w:tc>
        <w:tc>
          <w:tcPr>
            <w:tcW w:w="1738" w:type="dxa"/>
            <w:vAlign w:val="center"/>
          </w:tcPr>
          <w:p>
            <w:pP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hint="eastAsia" w:ascii="宋体" w:hAnsi="宋体" w:eastAsia="宋体" w:cs="宋体"/>
                <w:color w:val="auto"/>
              </w:rPr>
            </w:pPr>
            <w:r>
              <w:rPr>
                <w:rFonts w:hint="eastAsia" w:ascii="宋体" w:hAnsi="宋体" w:eastAsia="宋体" w:cs="宋体"/>
                <w:color w:val="auto"/>
              </w:rPr>
              <w:t>4</w:t>
            </w:r>
          </w:p>
        </w:tc>
        <w:tc>
          <w:tcPr>
            <w:tcW w:w="4838" w:type="dxa"/>
            <w:vAlign w:val="center"/>
          </w:tcPr>
          <w:p>
            <w:pPr>
              <w:spacing w:line="360" w:lineRule="auto"/>
              <w:rPr>
                <w:rFonts w:hint="eastAsia" w:ascii="宋体" w:hAnsi="宋体" w:eastAsia="宋体" w:cs="宋体"/>
                <w:iCs/>
                <w:color w:val="auto"/>
              </w:rPr>
            </w:pPr>
          </w:p>
        </w:tc>
        <w:tc>
          <w:tcPr>
            <w:tcW w:w="1756" w:type="dxa"/>
            <w:vAlign w:val="center"/>
          </w:tcPr>
          <w:p>
            <w:pPr>
              <w:rPr>
                <w:rFonts w:hint="eastAsia" w:ascii="宋体" w:hAnsi="宋体" w:eastAsia="宋体" w:cs="宋体"/>
                <w:color w:val="auto"/>
              </w:rPr>
            </w:pPr>
          </w:p>
        </w:tc>
        <w:tc>
          <w:tcPr>
            <w:tcW w:w="1738" w:type="dxa"/>
            <w:vAlign w:val="center"/>
          </w:tcPr>
          <w:p>
            <w:pP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hint="eastAsia" w:ascii="宋体" w:hAnsi="宋体" w:eastAsia="宋体" w:cs="宋体"/>
                <w:color w:val="auto"/>
              </w:rPr>
            </w:pPr>
            <w:r>
              <w:rPr>
                <w:rFonts w:hint="eastAsia" w:ascii="宋体" w:hAnsi="宋体" w:eastAsia="宋体" w:cs="宋体"/>
                <w:color w:val="auto"/>
              </w:rPr>
              <w:t>5</w:t>
            </w:r>
          </w:p>
        </w:tc>
        <w:tc>
          <w:tcPr>
            <w:tcW w:w="4838" w:type="dxa"/>
            <w:vAlign w:val="center"/>
          </w:tcPr>
          <w:p>
            <w:pPr>
              <w:snapToGrid w:val="0"/>
              <w:spacing w:line="590" w:lineRule="atLeast"/>
              <w:rPr>
                <w:rFonts w:hint="eastAsia" w:ascii="宋体" w:hAnsi="宋体" w:eastAsia="宋体" w:cs="宋体"/>
                <w:iCs/>
                <w:color w:val="auto"/>
              </w:rPr>
            </w:pPr>
          </w:p>
        </w:tc>
        <w:tc>
          <w:tcPr>
            <w:tcW w:w="1756" w:type="dxa"/>
            <w:vAlign w:val="center"/>
          </w:tcPr>
          <w:p>
            <w:pPr>
              <w:rPr>
                <w:rFonts w:hint="eastAsia" w:ascii="宋体" w:hAnsi="宋体" w:eastAsia="宋体" w:cs="宋体"/>
                <w:color w:val="auto"/>
              </w:rPr>
            </w:pPr>
          </w:p>
        </w:tc>
        <w:tc>
          <w:tcPr>
            <w:tcW w:w="1738" w:type="dxa"/>
            <w:vAlign w:val="center"/>
          </w:tcPr>
          <w:p>
            <w:pPr>
              <w:rPr>
                <w:rFonts w:hint="eastAsia" w:ascii="宋体" w:hAnsi="宋体" w:eastAsia="宋体" w:cs="宋体"/>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bCs/>
                <w:color w:val="auto"/>
              </w:rPr>
            </w:pPr>
            <w:r>
              <w:rPr>
                <w:rFonts w:hint="eastAsia" w:ascii="宋体" w:hAnsi="宋体" w:eastAsia="宋体" w:cs="宋体"/>
                <w:b/>
                <w:bCs/>
                <w:color w:val="auto"/>
              </w:rPr>
              <w:t>评分项</w:t>
            </w: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eastAsia="宋体" w:cs="宋体"/>
                <w:b/>
                <w:bCs/>
                <w:color w:val="auto"/>
              </w:rPr>
            </w:pPr>
            <w:r>
              <w:rPr>
                <w:rFonts w:hint="eastAsia" w:ascii="宋体" w:hAnsi="宋体" w:eastAsia="宋体" w:cs="宋体"/>
                <w:b/>
                <w:bCs/>
                <w:color w:val="auto"/>
              </w:rPr>
              <w:t>在投标文件中的页码位置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auto"/>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bCs/>
                <w:color w:val="auto"/>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color w:val="auto"/>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b/>
                <w:bCs/>
                <w:color w:val="auto"/>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color w:val="auto"/>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b/>
                <w:bCs/>
                <w:color w:val="auto"/>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color w:val="auto"/>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b/>
                <w:bCs/>
                <w:color w:val="auto"/>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color w:val="auto"/>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b/>
                <w:bCs/>
                <w:color w:val="auto"/>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color w:val="auto"/>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b/>
                <w:bCs/>
                <w:color w:val="auto"/>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hint="eastAsia" w:ascii="宋体" w:hAnsi="宋体" w:eastAsia="宋体" w:cs="宋体"/>
                <w:color w:val="auto"/>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hint="eastAsia" w:ascii="宋体" w:hAnsi="宋体" w:eastAsia="宋体" w:cs="宋体"/>
                <w:b/>
                <w:bCs/>
                <w:color w:val="auto"/>
              </w:rPr>
            </w:pPr>
          </w:p>
        </w:tc>
      </w:tr>
    </w:tbl>
    <w:p>
      <w:pPr>
        <w:spacing w:line="360" w:lineRule="auto"/>
        <w:jc w:val="left"/>
        <w:rPr>
          <w:rFonts w:hint="eastAsia" w:ascii="宋体" w:hAnsi="宋体" w:eastAsia="宋体" w:cs="宋体"/>
          <w:color w:val="auto"/>
        </w:rPr>
      </w:pPr>
    </w:p>
    <w:p>
      <w:pPr>
        <w:spacing w:line="360" w:lineRule="auto"/>
        <w:jc w:val="left"/>
        <w:rPr>
          <w:rFonts w:hint="eastAsia" w:ascii="宋体" w:hAnsi="宋体" w:eastAsia="宋体" w:cs="宋体"/>
          <w:color w:val="auto"/>
        </w:rPr>
      </w:pPr>
    </w:p>
    <w:p>
      <w:pPr>
        <w:jc w:val="left"/>
        <w:rPr>
          <w:rFonts w:hint="eastAsia" w:ascii="宋体" w:hAnsi="宋体" w:eastAsia="宋体" w:cs="宋体"/>
          <w:color w:val="auto"/>
        </w:rPr>
      </w:pPr>
      <w:r>
        <w:rPr>
          <w:rFonts w:hint="eastAsia" w:ascii="宋体" w:hAnsi="宋体" w:eastAsia="宋体" w:cs="宋体"/>
          <w:color w:val="auto"/>
        </w:rPr>
        <w:br w:type="page"/>
      </w:r>
    </w:p>
    <w:p>
      <w:pPr>
        <w:spacing w:before="312" w:beforeLines="100" w:after="312" w:afterLines="100" w:line="360" w:lineRule="auto"/>
        <w:jc w:val="center"/>
        <w:rPr>
          <w:rFonts w:hint="eastAsia" w:ascii="宋体" w:hAnsi="宋体" w:eastAsia="宋体" w:cs="宋体"/>
          <w:color w:val="auto"/>
          <w:sz w:val="36"/>
          <w:szCs w:val="36"/>
          <w:u w:color="000000"/>
        </w:rPr>
      </w:pPr>
      <w:r>
        <w:rPr>
          <w:rFonts w:hint="eastAsia" w:ascii="宋体" w:hAnsi="宋体" w:eastAsia="宋体" w:cs="宋体"/>
          <w:color w:val="auto"/>
          <w:sz w:val="36"/>
          <w:szCs w:val="36"/>
          <w:u w:color="000000"/>
          <w:lang w:val="zh-TW" w:eastAsia="zh-TW"/>
        </w:rPr>
        <w:t>目</w:t>
      </w:r>
      <w:r>
        <w:rPr>
          <w:rFonts w:hint="eastAsia" w:ascii="宋体" w:hAnsi="宋体" w:eastAsia="宋体" w:cs="宋体"/>
          <w:color w:val="auto"/>
          <w:sz w:val="36"/>
          <w:szCs w:val="36"/>
          <w:u w:color="000000"/>
          <w:lang w:val="zh-TW"/>
        </w:rPr>
        <w:t xml:space="preserve">  </w:t>
      </w:r>
      <w:r>
        <w:rPr>
          <w:rFonts w:hint="eastAsia" w:ascii="宋体" w:hAnsi="宋体" w:eastAsia="宋体" w:cs="宋体"/>
          <w:color w:val="auto"/>
          <w:sz w:val="36"/>
          <w:szCs w:val="36"/>
          <w:u w:color="000000"/>
          <w:lang w:val="zh-TW" w:eastAsia="zh-TW"/>
        </w:rPr>
        <w:t>录</w:t>
      </w:r>
    </w:p>
    <w:p>
      <w:pPr>
        <w:spacing w:line="360" w:lineRule="auto"/>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t>一、投标函</w:t>
      </w:r>
    </w:p>
    <w:p>
      <w:pPr>
        <w:spacing w:line="360" w:lineRule="auto"/>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t>二、投标一览表</w:t>
      </w:r>
    </w:p>
    <w:p>
      <w:pPr>
        <w:spacing w:line="360" w:lineRule="auto"/>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t>三、法人授权书</w:t>
      </w:r>
    </w:p>
    <w:p>
      <w:pPr>
        <w:spacing w:line="360" w:lineRule="auto"/>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t>四、资格证明文件</w:t>
      </w:r>
    </w:p>
    <w:p>
      <w:pPr>
        <w:spacing w:line="360" w:lineRule="auto"/>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t>五、商务条款响应及偏离表</w:t>
      </w:r>
    </w:p>
    <w:p>
      <w:pPr>
        <w:spacing w:line="360" w:lineRule="auto"/>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t>六、技术参数响应及偏离表</w:t>
      </w:r>
    </w:p>
    <w:p>
      <w:pPr>
        <w:spacing w:line="360" w:lineRule="auto"/>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t>七、技术规范点对点应答</w:t>
      </w:r>
    </w:p>
    <w:p>
      <w:pPr>
        <w:spacing w:line="360" w:lineRule="auto"/>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t>八、综合实力证明</w:t>
      </w:r>
    </w:p>
    <w:p>
      <w:pPr>
        <w:spacing w:line="360" w:lineRule="auto"/>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t>九、技术方案</w:t>
      </w:r>
    </w:p>
    <w:p>
      <w:pPr>
        <w:spacing w:line="360" w:lineRule="auto"/>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t>十、投标人其它声明及材料</w:t>
      </w:r>
    </w:p>
    <w:p>
      <w:pPr>
        <w:spacing w:line="360" w:lineRule="auto"/>
        <w:rPr>
          <w:rFonts w:hint="eastAsia" w:ascii="宋体" w:hAnsi="宋体" w:eastAsia="宋体" w:cs="宋体"/>
          <w:color w:val="auto"/>
          <w:sz w:val="28"/>
          <w:szCs w:val="28"/>
          <w:u w:color="000000"/>
        </w:rPr>
      </w:pPr>
    </w:p>
    <w:p>
      <w:pPr>
        <w:jc w:val="left"/>
        <w:rPr>
          <w:rFonts w:hint="eastAsia" w:ascii="宋体" w:hAnsi="宋体" w:eastAsia="宋体" w:cs="宋体"/>
          <w:color w:val="auto"/>
        </w:rPr>
      </w:pPr>
      <w:r>
        <w:rPr>
          <w:rFonts w:hint="eastAsia" w:ascii="宋体" w:hAnsi="宋体" w:eastAsia="宋体" w:cs="宋体"/>
          <w:color w:val="auto"/>
        </w:rPr>
        <w:br w:type="page"/>
      </w:r>
    </w:p>
    <w:p>
      <w:pPr>
        <w:tabs>
          <w:tab w:val="left" w:pos="576"/>
        </w:tabs>
        <w:spacing w:before="156" w:beforeLines="50" w:after="156" w:afterLines="50" w:line="360" w:lineRule="auto"/>
        <w:outlineLvl w:val="2"/>
        <w:rPr>
          <w:rFonts w:hint="eastAsia" w:ascii="宋体" w:hAnsi="宋体" w:eastAsia="宋体" w:cs="宋体"/>
          <w:color w:val="auto"/>
          <w:sz w:val="24"/>
          <w:szCs w:val="24"/>
          <w:u w:color="000000"/>
        </w:rPr>
      </w:pPr>
      <w:bookmarkStart w:id="16" w:name="_Toc50"/>
      <w:bookmarkStart w:id="17" w:name="_Toc415494574"/>
      <w:bookmarkStart w:id="18" w:name="_Toc448069988"/>
      <w:bookmarkStart w:id="19" w:name="_Toc57875961"/>
      <w:bookmarkStart w:id="20" w:name="_Toc11859491"/>
      <w:r>
        <w:rPr>
          <w:rFonts w:hint="eastAsia" w:ascii="宋体" w:hAnsi="宋体" w:eastAsia="宋体" w:cs="宋体"/>
          <w:color w:val="auto"/>
          <w:sz w:val="24"/>
          <w:szCs w:val="24"/>
          <w:u w:color="000000"/>
        </w:rPr>
        <w:t xml:space="preserve">6.1 </w:t>
      </w:r>
      <w:bookmarkEnd w:id="16"/>
      <w:bookmarkEnd w:id="17"/>
      <w:bookmarkEnd w:id="18"/>
      <w:r>
        <w:rPr>
          <w:rFonts w:hint="eastAsia" w:ascii="宋体" w:hAnsi="宋体" w:eastAsia="宋体" w:cs="宋体"/>
          <w:color w:val="auto"/>
          <w:sz w:val="24"/>
          <w:szCs w:val="24"/>
          <w:u w:color="000000"/>
        </w:rPr>
        <w:t>投标函</w:t>
      </w:r>
      <w:bookmarkEnd w:id="19"/>
      <w:bookmarkEnd w:id="20"/>
    </w:p>
    <w:p>
      <w:pPr>
        <w:snapToGrid w:val="0"/>
        <w:spacing w:line="360" w:lineRule="auto"/>
        <w:jc w:val="center"/>
        <w:rPr>
          <w:rFonts w:hint="eastAsia" w:ascii="宋体" w:hAnsi="宋体" w:eastAsia="宋体" w:cs="宋体"/>
          <w:color w:val="auto"/>
          <w:sz w:val="28"/>
          <w:szCs w:val="24"/>
          <w:u w:color="000000"/>
          <w:lang w:val="zh-TW" w:eastAsia="zh-TW"/>
        </w:rPr>
      </w:pPr>
      <w:r>
        <w:rPr>
          <w:rFonts w:hint="eastAsia" w:ascii="宋体" w:hAnsi="宋体" w:eastAsia="宋体" w:cs="宋体"/>
          <w:color w:val="auto"/>
          <w:sz w:val="28"/>
          <w:szCs w:val="24"/>
          <w:u w:color="000000"/>
          <w:lang w:val="zh-TW" w:eastAsia="zh-TW"/>
        </w:rPr>
        <w:t>投标函</w:t>
      </w:r>
    </w:p>
    <w:p>
      <w:pPr>
        <w:pStyle w:val="46"/>
        <w:spacing w:before="0" w:after="0" w:line="300" w:lineRule="auto"/>
        <w:ind w:firstLine="0"/>
        <w:rPr>
          <w:rFonts w:hint="eastAsia" w:ascii="宋体" w:hAnsi="宋体" w:eastAsia="宋体" w:cs="宋体"/>
          <w:color w:val="auto"/>
          <w:kern w:val="2"/>
          <w:szCs w:val="21"/>
          <w:lang w:val="en-US" w:eastAsia="zh-CN"/>
        </w:rPr>
      </w:pPr>
      <w:r>
        <w:rPr>
          <w:rFonts w:hint="eastAsia" w:ascii="宋体" w:hAnsi="宋体" w:eastAsia="宋体" w:cs="宋体"/>
          <w:color w:val="auto"/>
          <w:kern w:val="2"/>
          <w:szCs w:val="21"/>
        </w:rPr>
        <w:t>致：南京邮电大学</w:t>
      </w:r>
      <w:r>
        <w:rPr>
          <w:rFonts w:hint="eastAsia" w:ascii="宋体" w:hAnsi="宋体" w:cs="宋体"/>
          <w:color w:val="auto"/>
          <w:kern w:val="2"/>
          <w:szCs w:val="21"/>
          <w:lang w:val="en-US" w:eastAsia="zh-CN"/>
        </w:rPr>
        <w:t>通达学院</w:t>
      </w:r>
    </w:p>
    <w:p>
      <w:pPr>
        <w:pStyle w:val="46"/>
        <w:spacing w:before="0" w:after="0" w:line="300" w:lineRule="auto"/>
        <w:ind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根据贵方</w:t>
      </w:r>
      <w:r>
        <w:rPr>
          <w:rFonts w:hint="eastAsia" w:ascii="宋体" w:hAnsi="宋体" w:cs="宋体"/>
          <w:color w:val="auto"/>
          <w:kern w:val="2"/>
          <w:szCs w:val="21"/>
          <w:u w:val="single"/>
          <w:lang w:eastAsia="zh-CN"/>
        </w:rPr>
        <w:t>南京邮电大学通达学院通信原理虚实结合实验平台采购项目</w:t>
      </w:r>
      <w:r>
        <w:rPr>
          <w:rFonts w:hint="eastAsia" w:ascii="宋体" w:hAnsi="宋体" w:eastAsia="宋体" w:cs="宋体"/>
          <w:color w:val="auto"/>
          <w:kern w:val="2"/>
          <w:szCs w:val="21"/>
          <w:u w:val="single"/>
        </w:rPr>
        <w:t>（项目编号：</w:t>
      </w:r>
      <w:r>
        <w:rPr>
          <w:rFonts w:hint="eastAsia" w:ascii="宋体" w:hAnsi="宋体" w:cs="宋体"/>
          <w:color w:val="auto"/>
          <w:kern w:val="2"/>
          <w:szCs w:val="21"/>
          <w:u w:val="single"/>
          <w:lang w:eastAsia="zh-CN"/>
        </w:rPr>
        <w:t>TDCG2022037</w:t>
      </w:r>
      <w:r>
        <w:rPr>
          <w:rFonts w:hint="eastAsia" w:ascii="宋体" w:hAnsi="宋体" w:eastAsia="宋体" w:cs="宋体"/>
          <w:color w:val="auto"/>
          <w:kern w:val="2"/>
          <w:szCs w:val="21"/>
          <w:u w:val="single"/>
        </w:rPr>
        <w:t>）</w:t>
      </w:r>
      <w:r>
        <w:rPr>
          <w:rFonts w:hint="eastAsia" w:ascii="宋体" w:hAnsi="宋体" w:eastAsia="宋体" w:cs="宋体"/>
          <w:color w:val="auto"/>
          <w:kern w:val="2"/>
          <w:szCs w:val="21"/>
        </w:rPr>
        <w:t>的招标文件，正式授权下述签字人____________（姓名和职务）代表我方____________（投标人的名称），全权处理本次项目投标的有关事宜。</w:t>
      </w:r>
    </w:p>
    <w:p>
      <w:pPr>
        <w:pStyle w:val="46"/>
        <w:spacing w:before="0" w:after="0" w:line="300" w:lineRule="auto"/>
        <w:ind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据此函，投标人宣布同意如下：</w:t>
      </w:r>
    </w:p>
    <w:p>
      <w:pPr>
        <w:pStyle w:val="46"/>
        <w:spacing w:before="0" w:after="0" w:line="300" w:lineRule="auto"/>
        <w:rPr>
          <w:rFonts w:hint="eastAsia" w:ascii="宋体" w:hAnsi="宋体" w:eastAsia="宋体" w:cs="宋体"/>
          <w:color w:val="auto"/>
          <w:kern w:val="2"/>
          <w:szCs w:val="21"/>
        </w:rPr>
      </w:pPr>
      <w:r>
        <w:rPr>
          <w:rFonts w:hint="eastAsia" w:ascii="宋体" w:hAnsi="宋体" w:eastAsia="宋体" w:cs="宋体"/>
          <w:color w:val="auto"/>
          <w:kern w:val="2"/>
          <w:szCs w:val="21"/>
        </w:rPr>
        <w:t>1.按招标文件规定的各项要求，向买方提供所需货物与服务。</w:t>
      </w:r>
    </w:p>
    <w:p>
      <w:pPr>
        <w:pStyle w:val="46"/>
        <w:spacing w:before="0" w:after="0" w:line="300" w:lineRule="auto"/>
        <w:ind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2.我们完全理解贵方不一定将合同授予最低报价的投标人。</w:t>
      </w:r>
    </w:p>
    <w:p>
      <w:pPr>
        <w:pStyle w:val="46"/>
        <w:spacing w:before="0" w:after="0" w:line="300" w:lineRule="auto"/>
        <w:ind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3.我们已详细审核全部招标文件及其有效补充文件，我们知道必须放弃提出含糊不清或误解问题的权利。</w:t>
      </w:r>
    </w:p>
    <w:p>
      <w:pPr>
        <w:pStyle w:val="46"/>
        <w:spacing w:before="0" w:after="0" w:line="300" w:lineRule="auto"/>
        <w:rPr>
          <w:rFonts w:hint="eastAsia" w:ascii="宋体" w:hAnsi="宋体" w:eastAsia="宋体" w:cs="宋体"/>
          <w:color w:val="auto"/>
          <w:kern w:val="2"/>
          <w:szCs w:val="21"/>
        </w:rPr>
      </w:pPr>
      <w:r>
        <w:rPr>
          <w:rFonts w:hint="eastAsia" w:ascii="宋体" w:hAnsi="宋体" w:eastAsia="宋体" w:cs="宋体"/>
          <w:color w:val="auto"/>
          <w:kern w:val="2"/>
          <w:szCs w:val="21"/>
        </w:rPr>
        <w:t>4.我们同意从规定的开标日期起遵循本投标文件，并在规定的投标有效期期满之前均具有约束力。</w:t>
      </w:r>
    </w:p>
    <w:p>
      <w:pPr>
        <w:pStyle w:val="46"/>
        <w:spacing w:before="0" w:after="0" w:line="300" w:lineRule="auto"/>
        <w:rPr>
          <w:rFonts w:hint="eastAsia" w:ascii="宋体" w:hAnsi="宋体" w:eastAsia="宋体" w:cs="宋体"/>
          <w:color w:val="auto"/>
          <w:kern w:val="2"/>
          <w:szCs w:val="21"/>
        </w:rPr>
      </w:pPr>
      <w:r>
        <w:rPr>
          <w:rFonts w:hint="eastAsia" w:ascii="宋体" w:hAnsi="宋体" w:eastAsia="宋体" w:cs="宋体"/>
          <w:color w:val="auto"/>
          <w:kern w:val="2"/>
          <w:szCs w:val="21"/>
        </w:rPr>
        <w:t>5.如果在开标后规定的投标有效期内撤回投标或中标后拒绝签订合同，我们的投标保证金可被贵方没收。</w:t>
      </w:r>
    </w:p>
    <w:p>
      <w:pPr>
        <w:pStyle w:val="46"/>
        <w:spacing w:before="0" w:after="0" w:line="300" w:lineRule="auto"/>
        <w:rPr>
          <w:rFonts w:hint="eastAsia" w:ascii="宋体" w:hAnsi="宋体" w:eastAsia="宋体" w:cs="宋体"/>
          <w:color w:val="auto"/>
          <w:kern w:val="2"/>
          <w:szCs w:val="21"/>
        </w:rPr>
      </w:pPr>
      <w:r>
        <w:rPr>
          <w:rFonts w:hint="eastAsia" w:ascii="宋体" w:hAnsi="宋体" w:eastAsia="宋体" w:cs="宋体"/>
          <w:color w:val="auto"/>
          <w:kern w:val="2"/>
          <w:szCs w:val="21"/>
        </w:rPr>
        <w:t>6.同意向贵方提供贵方可能另外要求的与投标有关的任何证据或资料，并保证我方已提供和将要提供的文件是真实的、准确的。</w:t>
      </w:r>
    </w:p>
    <w:p>
      <w:pPr>
        <w:pStyle w:val="46"/>
        <w:spacing w:before="0" w:after="0" w:line="300" w:lineRule="auto"/>
        <w:rPr>
          <w:rFonts w:hint="eastAsia" w:ascii="宋体" w:hAnsi="宋体" w:eastAsia="宋体" w:cs="宋体"/>
          <w:color w:val="auto"/>
          <w:kern w:val="2"/>
          <w:szCs w:val="21"/>
        </w:rPr>
      </w:pPr>
      <w:r>
        <w:rPr>
          <w:rFonts w:hint="eastAsia" w:ascii="宋体" w:hAnsi="宋体" w:eastAsia="宋体" w:cs="宋体"/>
          <w:color w:val="auto"/>
          <w:kern w:val="2"/>
          <w:szCs w:val="21"/>
        </w:rPr>
        <w:t>7.一旦我方中标,我方将根据招标文件的规定，严格履行合同的责任和义务,并保证在招标文件规定的时间完成项目，交付买方验收、使用。</w:t>
      </w:r>
    </w:p>
    <w:p>
      <w:pPr>
        <w:pStyle w:val="46"/>
        <w:spacing w:before="0" w:after="0" w:line="300" w:lineRule="auto"/>
        <w:ind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8.遵守招标文件中要求的收费项目和标准。</w:t>
      </w:r>
    </w:p>
    <w:p>
      <w:pPr>
        <w:pStyle w:val="46"/>
        <w:spacing w:before="0" w:after="0" w:line="300" w:lineRule="auto"/>
        <w:ind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9.与本投标有关的正式通讯地址为：</w:t>
      </w:r>
    </w:p>
    <w:p>
      <w:pPr>
        <w:pStyle w:val="46"/>
        <w:spacing w:before="0" w:after="0" w:line="300" w:lineRule="auto"/>
        <w:ind w:left="420" w:leftChars="20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地        址：</w:t>
      </w:r>
    </w:p>
    <w:p>
      <w:pPr>
        <w:pStyle w:val="46"/>
        <w:spacing w:before="0" w:after="0" w:line="300" w:lineRule="auto"/>
        <w:ind w:left="420" w:leftChars="20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邮        编：</w:t>
      </w:r>
    </w:p>
    <w:p>
      <w:pPr>
        <w:pStyle w:val="46"/>
        <w:spacing w:before="0" w:after="0" w:line="300" w:lineRule="auto"/>
        <w:ind w:left="420" w:leftChars="20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电        话：</w:t>
      </w:r>
    </w:p>
    <w:p>
      <w:pPr>
        <w:pStyle w:val="46"/>
        <w:spacing w:before="0" w:after="0" w:line="300" w:lineRule="auto"/>
        <w:ind w:left="420" w:leftChars="20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传        真：</w:t>
      </w:r>
    </w:p>
    <w:p>
      <w:pPr>
        <w:pStyle w:val="46"/>
        <w:spacing w:before="0" w:after="0" w:line="300" w:lineRule="auto"/>
        <w:ind w:left="420" w:leftChars="20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投标人开户行：</w:t>
      </w:r>
    </w:p>
    <w:p>
      <w:pPr>
        <w:pStyle w:val="46"/>
        <w:spacing w:before="0" w:after="0" w:line="300" w:lineRule="auto"/>
        <w:ind w:left="420" w:leftChars="20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 xml:space="preserve">账        户： </w:t>
      </w:r>
    </w:p>
    <w:p>
      <w:pPr>
        <w:pStyle w:val="46"/>
        <w:spacing w:before="0" w:after="0" w:line="300" w:lineRule="auto"/>
        <w:ind w:left="420" w:leftChars="20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 xml:space="preserve">投标人授权代表姓名（签字）： </w:t>
      </w:r>
    </w:p>
    <w:p>
      <w:pPr>
        <w:pStyle w:val="46"/>
        <w:spacing w:before="0" w:after="0" w:line="300" w:lineRule="auto"/>
        <w:ind w:left="420" w:leftChars="20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 xml:space="preserve">投标人名称（公章）： </w:t>
      </w:r>
    </w:p>
    <w:p>
      <w:pPr>
        <w:pStyle w:val="46"/>
        <w:spacing w:before="0" w:after="0" w:line="300" w:lineRule="auto"/>
        <w:ind w:left="420" w:leftChars="200" w:firstLineChars="200"/>
        <w:rPr>
          <w:rFonts w:hint="eastAsia" w:ascii="宋体" w:hAnsi="宋体" w:eastAsia="宋体" w:cs="宋体"/>
          <w:color w:val="auto"/>
          <w:kern w:val="2"/>
          <w:szCs w:val="21"/>
        </w:rPr>
      </w:pPr>
      <w:r>
        <w:rPr>
          <w:rFonts w:hint="eastAsia" w:ascii="宋体" w:hAnsi="宋体" w:eastAsia="宋体" w:cs="宋体"/>
          <w:color w:val="auto"/>
          <w:kern w:val="2"/>
          <w:szCs w:val="21"/>
        </w:rPr>
        <w:t>日        期：________年____月____日</w:t>
      </w:r>
    </w:p>
    <w:p>
      <w:pPr>
        <w:snapToGrid w:val="0"/>
        <w:spacing w:line="360" w:lineRule="auto"/>
        <w:jc w:val="right"/>
        <w:rPr>
          <w:rFonts w:hint="eastAsia" w:ascii="宋体" w:hAnsi="宋体" w:eastAsia="宋体" w:cs="宋体"/>
          <w:color w:val="auto"/>
          <w:szCs w:val="21"/>
          <w:u w:color="000000"/>
        </w:rPr>
      </w:pPr>
    </w:p>
    <w:p>
      <w:pPr>
        <w:spacing w:line="360" w:lineRule="auto"/>
        <w:jc w:val="right"/>
        <w:rPr>
          <w:rFonts w:hint="eastAsia" w:ascii="宋体" w:hAnsi="宋体" w:eastAsia="宋体" w:cs="宋体"/>
          <w:color w:val="auto"/>
          <w:szCs w:val="21"/>
          <w:u w:color="000000"/>
        </w:rPr>
      </w:pPr>
    </w:p>
    <w:p>
      <w:pPr>
        <w:jc w:val="left"/>
        <w:rPr>
          <w:rFonts w:hint="eastAsia" w:ascii="宋体" w:hAnsi="宋体" w:eastAsia="宋体" w:cs="宋体"/>
          <w:color w:val="auto"/>
        </w:rPr>
      </w:pPr>
      <w:r>
        <w:rPr>
          <w:rFonts w:hint="eastAsia" w:ascii="宋体" w:hAnsi="宋体" w:eastAsia="宋体" w:cs="宋体"/>
          <w:color w:val="auto"/>
        </w:rPr>
        <w:br w:type="page"/>
      </w:r>
    </w:p>
    <w:p>
      <w:pPr>
        <w:tabs>
          <w:tab w:val="left" w:pos="576"/>
        </w:tabs>
        <w:spacing w:before="156" w:beforeLines="50" w:after="156" w:afterLines="50" w:line="360" w:lineRule="auto"/>
        <w:outlineLvl w:val="2"/>
        <w:rPr>
          <w:rFonts w:hint="eastAsia" w:ascii="宋体" w:hAnsi="宋体" w:eastAsia="宋体" w:cs="宋体"/>
          <w:color w:val="auto"/>
          <w:sz w:val="24"/>
          <w:szCs w:val="24"/>
          <w:u w:color="000000"/>
        </w:rPr>
      </w:pPr>
      <w:bookmarkStart w:id="21" w:name="_Toc415494579"/>
      <w:bookmarkStart w:id="22" w:name="_Toc57875962"/>
      <w:bookmarkStart w:id="23" w:name="_Toc11859492"/>
      <w:bookmarkStart w:id="24" w:name="_Toc448069992"/>
      <w:bookmarkStart w:id="25" w:name="_Toc452541709"/>
      <w:bookmarkStart w:id="26" w:name="_Toc448069989"/>
      <w:bookmarkStart w:id="27" w:name="_Toc51"/>
      <w:bookmarkStart w:id="28" w:name="_Toc415494575"/>
      <w:r>
        <w:rPr>
          <w:rFonts w:hint="eastAsia" w:ascii="宋体" w:hAnsi="宋体" w:eastAsia="宋体" w:cs="宋体"/>
          <w:color w:val="auto"/>
          <w:sz w:val="24"/>
          <w:szCs w:val="24"/>
          <w:u w:color="000000"/>
        </w:rPr>
        <w:t>6.2 投标一览表</w:t>
      </w:r>
      <w:bookmarkEnd w:id="21"/>
      <w:bookmarkEnd w:id="22"/>
      <w:bookmarkEnd w:id="23"/>
      <w:bookmarkEnd w:id="24"/>
    </w:p>
    <w:p>
      <w:pPr>
        <w:snapToGrid w:val="0"/>
        <w:spacing w:line="360" w:lineRule="auto"/>
        <w:jc w:val="center"/>
        <w:rPr>
          <w:rFonts w:hint="eastAsia" w:ascii="宋体" w:hAnsi="宋体" w:eastAsia="宋体" w:cs="宋体"/>
          <w:color w:val="auto"/>
          <w:sz w:val="28"/>
          <w:szCs w:val="24"/>
          <w:u w:color="000000"/>
          <w:lang w:val="zh-TW" w:eastAsia="zh-TW"/>
        </w:rPr>
      </w:pPr>
      <w:r>
        <w:rPr>
          <w:rFonts w:hint="eastAsia" w:ascii="宋体" w:hAnsi="宋体" w:eastAsia="宋体" w:cs="宋体"/>
          <w:color w:val="auto"/>
          <w:sz w:val="28"/>
          <w:szCs w:val="24"/>
          <w:u w:color="000000"/>
          <w:lang w:val="zh-TW" w:eastAsia="zh-TW"/>
        </w:rPr>
        <w:t>投标一览表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投标人全称（加盖公章）：</w:t>
      </w:r>
    </w:p>
    <w:p>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南京邮电大学通达学院通信原理虚实结合实验平台采购项目</w:t>
      </w:r>
    </w:p>
    <w:p>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TDCG2022037</w:t>
      </w:r>
    </w:p>
    <w:tbl>
      <w:tblPr>
        <w:tblStyle w:val="24"/>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2960"/>
        <w:gridCol w:w="5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6" w:hRule="atLeast"/>
          <w:jc w:val="center"/>
        </w:trPr>
        <w:tc>
          <w:tcPr>
            <w:tcW w:w="165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pPr>
              <w:widowControl/>
              <w:adjustRightInd w:val="0"/>
              <w:snapToGrid w:val="0"/>
              <w:jc w:val="center"/>
              <w:rPr>
                <w:rFonts w:hint="eastAsia" w:ascii="宋体" w:hAnsi="宋体" w:eastAsia="宋体" w:cs="宋体"/>
                <w:b/>
                <w:color w:val="auto"/>
                <w:sz w:val="24"/>
                <w:szCs w:val="24"/>
                <w:u w:color="000000"/>
                <w:lang w:val="zh-TW"/>
              </w:rPr>
            </w:pPr>
            <w:r>
              <w:rPr>
                <w:rFonts w:hint="eastAsia" w:ascii="宋体" w:hAnsi="宋体" w:eastAsia="宋体" w:cs="宋体"/>
                <w:b/>
                <w:color w:val="auto"/>
                <w:sz w:val="24"/>
                <w:szCs w:val="24"/>
                <w:u w:color="000000"/>
                <w:lang w:val="zh-TW"/>
              </w:rPr>
              <w:t>投标总报价</w:t>
            </w:r>
          </w:p>
          <w:p>
            <w:pPr>
              <w:widowControl/>
              <w:jc w:val="center"/>
              <w:rPr>
                <w:rFonts w:hint="eastAsia" w:ascii="宋体" w:hAnsi="宋体" w:eastAsia="宋体" w:cs="宋体"/>
                <w:b/>
                <w:color w:val="auto"/>
                <w:sz w:val="24"/>
                <w:szCs w:val="24"/>
                <w:u w:color="000000"/>
                <w:lang w:val="zh-TW"/>
              </w:rPr>
            </w:pPr>
            <w:r>
              <w:rPr>
                <w:rFonts w:hint="eastAsia" w:ascii="宋体" w:hAnsi="宋体" w:eastAsia="宋体" w:cs="宋体"/>
                <w:b/>
                <w:color w:val="auto"/>
                <w:sz w:val="24"/>
                <w:szCs w:val="24"/>
              </w:rPr>
              <w:t>（元，含税）</w:t>
            </w:r>
          </w:p>
        </w:tc>
        <w:tc>
          <w:tcPr>
            <w:tcW w:w="3345" w:type="pct"/>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jc w:val="left"/>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大写：</w:t>
            </w:r>
          </w:p>
          <w:p>
            <w:pPr>
              <w:widowControl/>
              <w:rPr>
                <w:rFonts w:hint="eastAsia" w:ascii="宋体" w:hAnsi="宋体" w:eastAsia="宋体" w:cs="宋体"/>
                <w:color w:val="auto"/>
                <w:kern w:val="0"/>
                <w:sz w:val="24"/>
                <w:szCs w:val="24"/>
                <w:u w:color="000000"/>
              </w:rPr>
            </w:pPr>
            <w:r>
              <w:rPr>
                <w:rFonts w:hint="eastAsia" w:ascii="宋体" w:hAnsi="宋体" w:eastAsia="宋体" w:cs="宋体"/>
                <w:color w:val="auto"/>
                <w:kern w:val="0"/>
                <w:sz w:val="24"/>
                <w:szCs w:val="24"/>
                <w:u w:color="000000"/>
              </w:rPr>
              <w:t>小写：</w:t>
            </w:r>
          </w:p>
        </w:tc>
      </w:tr>
    </w:tbl>
    <w:p>
      <w:pPr>
        <w:adjustRightInd w:val="0"/>
        <w:snapToGrid w:val="0"/>
        <w:spacing w:line="360" w:lineRule="auto"/>
        <w:ind w:firstLine="480" w:firstLineChars="200"/>
        <w:rPr>
          <w:rFonts w:hint="eastAsia" w:ascii="宋体" w:hAnsi="宋体" w:eastAsia="宋体" w:cs="宋体"/>
          <w:color w:val="auto"/>
          <w:sz w:val="24"/>
          <w:szCs w:val="24"/>
        </w:rPr>
      </w:pPr>
    </w:p>
    <w:p>
      <w:pPr>
        <w:adjustRightInd w:val="0"/>
        <w:snapToGrid w:val="0"/>
        <w:jc w:val="right"/>
        <w:rPr>
          <w:rFonts w:hint="eastAsia" w:ascii="宋体" w:hAnsi="宋体" w:eastAsia="宋体" w:cs="宋体"/>
          <w:color w:val="auto"/>
          <w:sz w:val="24"/>
          <w:szCs w:val="24"/>
        </w:rPr>
      </w:pPr>
    </w:p>
    <w:p>
      <w:pPr>
        <w:adjustRightInd w:val="0"/>
        <w:snapToGrid w:val="0"/>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法定代表人（授权代表）签字：</w:t>
      </w:r>
      <w:r>
        <w:rPr>
          <w:rFonts w:hint="eastAsia" w:ascii="宋体" w:hAnsi="宋体" w:eastAsia="宋体" w:cs="宋体"/>
          <w:color w:val="auto"/>
          <w:sz w:val="24"/>
          <w:szCs w:val="24"/>
          <w:u w:val="single"/>
        </w:rPr>
        <w:t xml:space="preserve"> </w:t>
      </w:r>
    </w:p>
    <w:p>
      <w:pPr>
        <w:adjustRightInd w:val="0"/>
        <w:snapToGrid w:val="0"/>
        <w:spacing w:line="360" w:lineRule="auto"/>
        <w:ind w:firstLine="5880" w:firstLineChars="2450"/>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填写说明：</w:t>
      </w:r>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1、投标一览表必须加盖投标单位公章，并单独装在小信封内于投标截止时间前与投标文件一起递交。</w:t>
      </w:r>
    </w:p>
    <w:p>
      <w:pPr>
        <w:adjustRightInd w:val="0"/>
        <w:snapToGrid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、投标报价不得高于最高限价，超过最高限价将否决投标。报价保留小数点后两位。</w:t>
      </w:r>
    </w:p>
    <w:p>
      <w:pPr>
        <w:widowControl/>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snapToGrid w:val="0"/>
        <w:spacing w:line="360" w:lineRule="auto"/>
        <w:jc w:val="center"/>
        <w:rPr>
          <w:rFonts w:hint="eastAsia" w:ascii="宋体" w:hAnsi="宋体" w:eastAsia="宋体" w:cs="宋体"/>
          <w:color w:val="auto"/>
          <w:sz w:val="28"/>
          <w:szCs w:val="24"/>
          <w:u w:color="000000"/>
          <w:lang w:val="en-US" w:eastAsia="zh-CN"/>
        </w:rPr>
      </w:pPr>
      <w:r>
        <w:rPr>
          <w:rFonts w:hint="eastAsia" w:ascii="宋体" w:hAnsi="宋体" w:eastAsia="宋体" w:cs="宋体"/>
          <w:color w:val="auto"/>
          <w:sz w:val="28"/>
          <w:szCs w:val="24"/>
          <w:u w:color="000000"/>
          <w:lang w:val="en-US" w:eastAsia="zh-CN"/>
        </w:rPr>
        <w:t>分项报价表</w:t>
      </w:r>
    </w:p>
    <w:p>
      <w:pPr>
        <w:snapToGrid w:val="0"/>
        <w:spacing w:line="360" w:lineRule="auto"/>
        <w:jc w:val="center"/>
        <w:rPr>
          <w:rFonts w:hint="eastAsia" w:ascii="宋体" w:hAnsi="宋体" w:eastAsia="宋体" w:cs="宋体"/>
          <w:color w:val="auto"/>
          <w:sz w:val="28"/>
          <w:szCs w:val="24"/>
          <w:u w:color="000000"/>
          <w:lang w:val="zh-TW" w:eastAsia="zh-TW"/>
        </w:rPr>
      </w:pPr>
      <w:r>
        <w:rPr>
          <w:rFonts w:hint="eastAsia" w:ascii="宋体" w:hAnsi="宋体" w:eastAsia="宋体" w:cs="宋体"/>
          <w:color w:val="auto"/>
          <w:sz w:val="28"/>
          <w:szCs w:val="24"/>
          <w:u w:color="000000"/>
          <w:lang w:val="zh-TW" w:eastAsia="zh-CN"/>
        </w:rPr>
        <w:t>（</w:t>
      </w:r>
      <w:r>
        <w:rPr>
          <w:rFonts w:hint="eastAsia" w:ascii="宋体" w:hAnsi="宋体" w:eastAsia="宋体" w:cs="宋体"/>
          <w:color w:val="auto"/>
          <w:sz w:val="28"/>
          <w:szCs w:val="24"/>
          <w:u w:color="000000"/>
          <w:lang w:val="zh-TW" w:eastAsia="zh-TW"/>
        </w:rPr>
        <w:t>按需提供，格式自拟）</w:t>
      </w:r>
    </w:p>
    <w:p>
      <w:pPr>
        <w:adjustRightInd w:val="0"/>
        <w:snapToGrid w:val="0"/>
        <w:spacing w:line="360" w:lineRule="auto"/>
        <w:ind w:firstLine="480" w:firstLineChars="200"/>
        <w:rPr>
          <w:rFonts w:hint="eastAsia" w:ascii="宋体" w:hAnsi="宋体" w:eastAsia="宋体" w:cs="宋体"/>
          <w:color w:val="auto"/>
          <w:sz w:val="24"/>
          <w:szCs w:val="24"/>
        </w:rPr>
      </w:pP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投标人全称（加盖公章）：</w:t>
      </w:r>
    </w:p>
    <w:p>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南京邮电大学通达学院通信原理虚实结合实验平台采购项目</w:t>
      </w:r>
    </w:p>
    <w:p>
      <w:pPr>
        <w:adjustRightInd w:val="0"/>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TDCG2022037</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adjustRightInd w:val="0"/>
        <w:snapToGrid w:val="0"/>
        <w:spacing w:line="360" w:lineRule="auto"/>
        <w:ind w:firstLine="480" w:firstLineChars="200"/>
        <w:rPr>
          <w:rFonts w:hint="eastAsia" w:ascii="宋体" w:hAnsi="宋体" w:eastAsia="宋体" w:cs="宋体"/>
          <w:color w:val="auto"/>
          <w:sz w:val="24"/>
          <w:szCs w:val="24"/>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pPr>
              <w:adjustRightInd w:val="0"/>
              <w:snapToGrid w:val="0"/>
              <w:spacing w:line="360" w:lineRule="auto"/>
              <w:ind w:firstLine="480" w:firstLineChars="200"/>
              <w:rPr>
                <w:rFonts w:hint="eastAsia" w:ascii="宋体" w:hAnsi="宋体" w:eastAsia="宋体" w:cs="宋体"/>
                <w:color w:val="auto"/>
                <w:sz w:val="24"/>
                <w:szCs w:val="24"/>
              </w:rPr>
            </w:pPr>
          </w:p>
        </w:tc>
        <w:tc>
          <w:tcPr>
            <w:tcW w:w="1834" w:type="dxa"/>
          </w:tcPr>
          <w:p>
            <w:pPr>
              <w:adjustRightInd w:val="0"/>
              <w:snapToGrid w:val="0"/>
              <w:spacing w:line="360" w:lineRule="auto"/>
              <w:ind w:firstLine="480" w:firstLineChars="200"/>
              <w:rPr>
                <w:rFonts w:hint="eastAsia" w:ascii="宋体" w:hAnsi="宋体" w:eastAsia="宋体" w:cs="宋体"/>
                <w:color w:val="auto"/>
                <w:sz w:val="24"/>
                <w:szCs w:val="24"/>
              </w:rPr>
            </w:pPr>
          </w:p>
        </w:tc>
        <w:tc>
          <w:tcPr>
            <w:tcW w:w="1834" w:type="dxa"/>
          </w:tcPr>
          <w:p>
            <w:pPr>
              <w:adjustRightInd w:val="0"/>
              <w:snapToGrid w:val="0"/>
              <w:spacing w:line="360" w:lineRule="auto"/>
              <w:ind w:firstLine="480" w:firstLineChars="200"/>
              <w:rPr>
                <w:rFonts w:hint="eastAsia" w:ascii="宋体" w:hAnsi="宋体" w:eastAsia="宋体" w:cs="宋体"/>
                <w:color w:val="auto"/>
                <w:sz w:val="24"/>
                <w:szCs w:val="24"/>
              </w:rPr>
            </w:pPr>
          </w:p>
        </w:tc>
        <w:tc>
          <w:tcPr>
            <w:tcW w:w="1834" w:type="dxa"/>
          </w:tcPr>
          <w:p>
            <w:pPr>
              <w:adjustRightInd w:val="0"/>
              <w:snapToGrid w:val="0"/>
              <w:spacing w:line="360" w:lineRule="auto"/>
              <w:ind w:firstLine="480" w:firstLineChars="200"/>
              <w:rPr>
                <w:rFonts w:hint="eastAsia" w:ascii="宋体" w:hAnsi="宋体" w:eastAsia="宋体" w:cs="宋体"/>
                <w:color w:val="auto"/>
                <w:sz w:val="24"/>
                <w:szCs w:val="24"/>
              </w:rPr>
            </w:pPr>
          </w:p>
        </w:tc>
        <w:tc>
          <w:tcPr>
            <w:tcW w:w="1834" w:type="dxa"/>
          </w:tcPr>
          <w:p>
            <w:pPr>
              <w:adjustRightInd w:val="0"/>
              <w:snapToGrid w:val="0"/>
              <w:spacing w:line="360" w:lineRule="auto"/>
              <w:ind w:firstLine="480" w:firstLineChars="20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Pr>
          <w:p>
            <w:pPr>
              <w:adjustRightInd w:val="0"/>
              <w:snapToGrid w:val="0"/>
              <w:spacing w:line="360" w:lineRule="auto"/>
              <w:ind w:firstLine="480" w:firstLineChars="200"/>
              <w:rPr>
                <w:rFonts w:hint="eastAsia" w:ascii="宋体" w:hAnsi="宋体" w:eastAsia="宋体" w:cs="宋体"/>
                <w:color w:val="auto"/>
                <w:sz w:val="24"/>
                <w:szCs w:val="24"/>
              </w:rPr>
            </w:pPr>
          </w:p>
        </w:tc>
        <w:tc>
          <w:tcPr>
            <w:tcW w:w="1834" w:type="dxa"/>
          </w:tcPr>
          <w:p>
            <w:pPr>
              <w:adjustRightInd w:val="0"/>
              <w:snapToGrid w:val="0"/>
              <w:spacing w:line="360" w:lineRule="auto"/>
              <w:ind w:firstLine="480" w:firstLineChars="200"/>
              <w:rPr>
                <w:rFonts w:hint="eastAsia" w:ascii="宋体" w:hAnsi="宋体" w:eastAsia="宋体" w:cs="宋体"/>
                <w:color w:val="auto"/>
                <w:sz w:val="24"/>
                <w:szCs w:val="24"/>
              </w:rPr>
            </w:pPr>
          </w:p>
        </w:tc>
        <w:tc>
          <w:tcPr>
            <w:tcW w:w="1834" w:type="dxa"/>
          </w:tcPr>
          <w:p>
            <w:pPr>
              <w:adjustRightInd w:val="0"/>
              <w:snapToGrid w:val="0"/>
              <w:spacing w:line="360" w:lineRule="auto"/>
              <w:ind w:firstLine="480" w:firstLineChars="200"/>
              <w:rPr>
                <w:rFonts w:hint="eastAsia" w:ascii="宋体" w:hAnsi="宋体" w:eastAsia="宋体" w:cs="宋体"/>
                <w:color w:val="auto"/>
                <w:sz w:val="24"/>
                <w:szCs w:val="24"/>
              </w:rPr>
            </w:pPr>
          </w:p>
        </w:tc>
        <w:tc>
          <w:tcPr>
            <w:tcW w:w="1834" w:type="dxa"/>
          </w:tcPr>
          <w:p>
            <w:pPr>
              <w:adjustRightInd w:val="0"/>
              <w:snapToGrid w:val="0"/>
              <w:spacing w:line="360" w:lineRule="auto"/>
              <w:ind w:firstLine="480" w:firstLineChars="200"/>
              <w:rPr>
                <w:rFonts w:hint="eastAsia" w:ascii="宋体" w:hAnsi="宋体" w:eastAsia="宋体" w:cs="宋体"/>
                <w:color w:val="auto"/>
                <w:sz w:val="24"/>
                <w:szCs w:val="24"/>
              </w:rPr>
            </w:pPr>
          </w:p>
        </w:tc>
        <w:tc>
          <w:tcPr>
            <w:tcW w:w="1834" w:type="dxa"/>
          </w:tcPr>
          <w:p>
            <w:pPr>
              <w:adjustRightInd w:val="0"/>
              <w:snapToGrid w:val="0"/>
              <w:spacing w:line="360" w:lineRule="auto"/>
              <w:ind w:firstLine="480" w:firstLineChars="200"/>
              <w:rPr>
                <w:rFonts w:hint="eastAsia" w:ascii="宋体" w:hAnsi="宋体" w:eastAsia="宋体" w:cs="宋体"/>
                <w:color w:val="auto"/>
                <w:sz w:val="24"/>
                <w:szCs w:val="24"/>
              </w:rPr>
            </w:pPr>
          </w:p>
        </w:tc>
      </w:tr>
    </w:tbl>
    <w:p>
      <w:pPr>
        <w:adjustRightInd w:val="0"/>
        <w:snapToGrid w:val="0"/>
        <w:spacing w:line="360" w:lineRule="auto"/>
        <w:ind w:firstLine="480" w:firstLineChars="200"/>
        <w:rPr>
          <w:rFonts w:hint="eastAsia" w:ascii="宋体" w:hAnsi="宋体" w:eastAsia="宋体" w:cs="宋体"/>
          <w:color w:val="auto"/>
          <w:sz w:val="24"/>
          <w:szCs w:val="24"/>
        </w:rPr>
      </w:pP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法定代表人/授权代表签字：          </w:t>
      </w:r>
    </w:p>
    <w:p>
      <w:pPr>
        <w:adjustRightInd w:val="0"/>
        <w:snapToGrid w:val="0"/>
        <w:spacing w:line="360" w:lineRule="auto"/>
        <w:ind w:firstLine="480" w:firstLineChars="200"/>
        <w:rPr>
          <w:rFonts w:hint="eastAsia" w:ascii="宋体" w:hAnsi="宋体" w:eastAsia="宋体" w:cs="宋体"/>
          <w:color w:val="auto"/>
          <w:sz w:val="24"/>
          <w:szCs w:val="24"/>
        </w:rPr>
      </w:pP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1、以上为</w:t>
      </w:r>
      <w:r>
        <w:rPr>
          <w:rFonts w:hint="eastAsia" w:ascii="宋体" w:hAnsi="宋体" w:eastAsia="宋体" w:cs="宋体"/>
          <w:color w:val="auto"/>
          <w:sz w:val="24"/>
          <w:szCs w:val="24"/>
          <w:lang w:val="en-US" w:eastAsia="zh-CN"/>
        </w:rPr>
        <w:t>样表</w:t>
      </w:r>
      <w:r>
        <w:rPr>
          <w:rFonts w:hint="eastAsia" w:ascii="宋体" w:hAnsi="宋体" w:eastAsia="宋体" w:cs="宋体"/>
          <w:color w:val="auto"/>
          <w:sz w:val="24"/>
          <w:szCs w:val="24"/>
        </w:rPr>
        <w:t>，分项报价表应包含所有清单，格式可以按需修改；</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2、相关其他所有费用由投标人自行计算填列；</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3、上表中的“投标报价总计”数应当等于“投标一栏表”中的“投标总报价”数；</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4、此表的总价中已包含供应商完成本招标项目的一切费用。</w:t>
      </w:r>
    </w:p>
    <w:p>
      <w:pPr>
        <w:adjustRightInd w:val="0"/>
        <w:snapToGrid w:val="0"/>
        <w:spacing w:line="440" w:lineRule="exact"/>
        <w:ind w:firstLine="480" w:firstLineChars="200"/>
        <w:rPr>
          <w:rFonts w:hint="eastAsia" w:ascii="宋体" w:hAnsi="宋体" w:eastAsia="宋体" w:cs="宋体"/>
          <w:color w:val="auto"/>
          <w:sz w:val="24"/>
          <w:szCs w:val="24"/>
        </w:rPr>
      </w:pPr>
    </w:p>
    <w:p>
      <w:pPr>
        <w:adjustRightInd w:val="0"/>
        <w:snapToGrid w:val="0"/>
        <w:spacing w:line="440" w:lineRule="exact"/>
        <w:ind w:firstLine="480" w:firstLineChars="200"/>
        <w:rPr>
          <w:rFonts w:hint="eastAsia" w:ascii="宋体" w:hAnsi="宋体" w:eastAsia="宋体" w:cs="宋体"/>
          <w:color w:val="auto"/>
          <w:sz w:val="24"/>
          <w:szCs w:val="24"/>
        </w:rPr>
      </w:pP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tabs>
          <w:tab w:val="left" w:pos="576"/>
        </w:tabs>
        <w:spacing w:before="156" w:beforeLines="50" w:after="156" w:afterLines="50" w:line="360" w:lineRule="auto"/>
        <w:outlineLvl w:val="2"/>
        <w:rPr>
          <w:rFonts w:hint="eastAsia" w:ascii="宋体" w:hAnsi="宋体" w:eastAsia="宋体" w:cs="宋体"/>
          <w:color w:val="auto"/>
          <w:sz w:val="24"/>
          <w:szCs w:val="24"/>
          <w:u w:color="000000"/>
        </w:rPr>
      </w:pPr>
      <w:bookmarkStart w:id="29" w:name="_Toc11859493"/>
      <w:bookmarkStart w:id="30" w:name="_Toc57875963"/>
      <w:bookmarkStart w:id="31" w:name="_Toc415494580"/>
      <w:bookmarkStart w:id="32" w:name="_Toc448069993"/>
      <w:bookmarkStart w:id="33" w:name="_Toc55"/>
      <w:r>
        <w:rPr>
          <w:rFonts w:hint="eastAsia" w:ascii="宋体" w:hAnsi="宋体" w:eastAsia="宋体" w:cs="宋体"/>
          <w:color w:val="auto"/>
          <w:sz w:val="24"/>
          <w:szCs w:val="24"/>
          <w:u w:color="000000"/>
        </w:rPr>
        <w:t>6.3 法定代表人授权委托书</w:t>
      </w:r>
      <w:bookmarkEnd w:id="29"/>
      <w:bookmarkEnd w:id="30"/>
      <w:bookmarkEnd w:id="31"/>
      <w:bookmarkEnd w:id="32"/>
      <w:bookmarkEnd w:id="33"/>
    </w:p>
    <w:p>
      <w:pPr>
        <w:spacing w:before="312" w:beforeLines="100" w:after="312" w:afterLines="100" w:line="360" w:lineRule="auto"/>
        <w:jc w:val="center"/>
        <w:rPr>
          <w:rFonts w:hint="eastAsia" w:ascii="宋体" w:hAnsi="宋体" w:eastAsia="宋体" w:cs="宋体"/>
          <w:color w:val="auto"/>
          <w:sz w:val="28"/>
          <w:szCs w:val="28"/>
          <w:u w:color="000000"/>
        </w:rPr>
      </w:pPr>
      <w:r>
        <w:rPr>
          <w:rFonts w:hint="eastAsia" w:ascii="宋体" w:hAnsi="宋体" w:eastAsia="宋体" w:cs="宋体"/>
          <w:bCs/>
          <w:color w:val="auto"/>
          <w:sz w:val="28"/>
          <w:szCs w:val="28"/>
          <w:u w:color="000000"/>
          <w:lang w:val="zh-TW"/>
        </w:rPr>
        <w:t>法定代表人</w:t>
      </w:r>
      <w:r>
        <w:rPr>
          <w:rFonts w:hint="eastAsia" w:ascii="宋体" w:hAnsi="宋体" w:eastAsia="宋体" w:cs="宋体"/>
          <w:bCs/>
          <w:color w:val="auto"/>
          <w:sz w:val="28"/>
          <w:szCs w:val="28"/>
          <w:u w:color="000000"/>
          <w:lang w:val="zh-TW" w:eastAsia="zh-TW"/>
        </w:rPr>
        <w:t>授权</w:t>
      </w:r>
      <w:r>
        <w:rPr>
          <w:rFonts w:hint="eastAsia" w:ascii="宋体" w:hAnsi="宋体" w:eastAsia="宋体" w:cs="宋体"/>
          <w:bCs/>
          <w:color w:val="auto"/>
          <w:sz w:val="28"/>
          <w:szCs w:val="28"/>
          <w:u w:color="000000"/>
          <w:lang w:val="zh-TW"/>
        </w:rPr>
        <w:t>委托</w:t>
      </w:r>
      <w:r>
        <w:rPr>
          <w:rFonts w:hint="eastAsia" w:ascii="宋体" w:hAnsi="宋体" w:eastAsia="宋体" w:cs="宋体"/>
          <w:bCs/>
          <w:color w:val="auto"/>
          <w:sz w:val="28"/>
          <w:szCs w:val="28"/>
          <w:u w:color="000000"/>
          <w:lang w:val="zh-TW" w:eastAsia="zh-TW"/>
        </w:rPr>
        <w:t>书</w:t>
      </w:r>
    </w:p>
    <w:p>
      <w:pPr>
        <w:shd w:val="clear" w:color="auto" w:fill="FFFFFF"/>
        <w:snapToGrid w:val="0"/>
        <w:spacing w:line="360" w:lineRule="auto"/>
        <w:ind w:firstLine="482"/>
        <w:rPr>
          <w:rFonts w:hint="eastAsia" w:ascii="宋体" w:hAnsi="宋体" w:eastAsia="宋体" w:cs="宋体"/>
          <w:bCs/>
          <w:color w:val="auto"/>
          <w:sz w:val="24"/>
          <w:szCs w:val="24"/>
        </w:rPr>
      </w:pPr>
      <w:r>
        <w:rPr>
          <w:rFonts w:hint="eastAsia" w:ascii="宋体" w:hAnsi="宋体" w:eastAsia="宋体" w:cs="宋体"/>
          <w:bCs/>
          <w:color w:val="auto"/>
          <w:sz w:val="24"/>
          <w:szCs w:val="24"/>
        </w:rPr>
        <w:t>本授权书声明：____________（投标人名称）授权________________（被授权人的姓名、职务）为我方就</w:t>
      </w:r>
      <w:r>
        <w:rPr>
          <w:rFonts w:hint="eastAsia" w:ascii="宋体" w:hAnsi="宋体" w:eastAsia="宋体" w:cs="宋体"/>
          <w:bCs/>
          <w:color w:val="auto"/>
          <w:sz w:val="24"/>
          <w:szCs w:val="24"/>
          <w:u w:val="single"/>
          <w:lang w:eastAsia="zh-CN"/>
        </w:rPr>
        <w:t>南京邮电大学通达学院通信原理虚实结合实验平台采购项目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）采购活动的合法代理人，以本单位名义全权处理一切与该项目采购有关的事务。</w:t>
      </w:r>
    </w:p>
    <w:p>
      <w:pPr>
        <w:shd w:val="clear" w:color="auto" w:fill="FFFFFF"/>
        <w:snapToGrid w:val="0"/>
        <w:spacing w:line="360" w:lineRule="auto"/>
        <w:ind w:firstLine="482"/>
        <w:rPr>
          <w:rFonts w:hint="eastAsia" w:ascii="宋体" w:hAnsi="宋体" w:eastAsia="宋体" w:cs="宋体"/>
          <w:bCs/>
          <w:color w:val="auto"/>
          <w:sz w:val="24"/>
          <w:szCs w:val="24"/>
        </w:rPr>
      </w:pPr>
      <w:r>
        <w:rPr>
          <w:rFonts w:hint="eastAsia" w:ascii="宋体" w:hAnsi="宋体" w:eastAsia="宋体" w:cs="宋体"/>
          <w:bCs/>
          <w:color w:val="auto"/>
          <w:sz w:val="24"/>
          <w:szCs w:val="24"/>
        </w:rPr>
        <w:t>本授权书于______年____月____日起生效，特此声明。</w:t>
      </w:r>
    </w:p>
    <w:p>
      <w:pPr>
        <w:shd w:val="clear" w:color="auto" w:fill="FFFFFF"/>
        <w:snapToGrid w:val="0"/>
        <w:spacing w:line="360" w:lineRule="auto"/>
        <w:ind w:firstLine="480"/>
        <w:rPr>
          <w:rFonts w:hint="eastAsia" w:ascii="宋体" w:hAnsi="宋体" w:eastAsia="宋体" w:cs="宋体"/>
          <w:bCs/>
          <w:color w:val="auto"/>
        </w:rPr>
      </w:pPr>
    </w:p>
    <w:p>
      <w:pPr>
        <w:shd w:val="clear" w:color="auto" w:fill="FFFFFF"/>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授权单位盖章：_________________________________</w:t>
      </w:r>
    </w:p>
    <w:p>
      <w:pPr>
        <w:shd w:val="clear" w:color="auto" w:fill="FFFFFF"/>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单位名称：_____________________________________</w:t>
      </w:r>
    </w:p>
    <w:p>
      <w:pPr>
        <w:shd w:val="clear" w:color="auto" w:fill="FFFFFF"/>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法人签字：_____________________________________</w:t>
      </w:r>
    </w:p>
    <w:p>
      <w:pPr>
        <w:shd w:val="clear" w:color="auto" w:fill="FFFFFF"/>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代理人（被授权人）签字：_______________________</w:t>
      </w:r>
    </w:p>
    <w:p>
      <w:pPr>
        <w:shd w:val="clear" w:color="auto" w:fill="FFFFFF"/>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职    务：_____________________________________</w:t>
      </w:r>
    </w:p>
    <w:p>
      <w:pPr>
        <w:shd w:val="clear" w:color="auto" w:fill="FFFFFF"/>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地址：</w:t>
      </w:r>
      <w:r>
        <w:rPr>
          <w:rFonts w:hint="eastAsia" w:ascii="宋体" w:hAnsi="宋体" w:eastAsia="宋体" w:cs="宋体"/>
          <w:bCs/>
          <w:color w:val="auto"/>
          <w:sz w:val="24"/>
          <w:szCs w:val="24"/>
          <w:u w:val="single"/>
        </w:rPr>
        <w:t xml:space="preserve">                                         </w:t>
      </w:r>
    </w:p>
    <w:p>
      <w:pPr>
        <w:shd w:val="clear" w:color="auto" w:fill="FFFFFF"/>
        <w:snapToGrid w:val="0"/>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         日期：______年____月____日</w:t>
      </w:r>
    </w:p>
    <w:p>
      <w:pPr>
        <w:spacing w:line="360" w:lineRule="auto"/>
        <w:rPr>
          <w:rFonts w:hint="eastAsia" w:ascii="宋体" w:hAnsi="宋体" w:eastAsia="宋体" w:cs="宋体"/>
          <w:b/>
          <w:bCs/>
          <w:color w:val="auto"/>
          <w:kern w:val="11"/>
          <w:szCs w:val="21"/>
          <w:u w:val="single" w:color="000000"/>
          <w:lang w:val="zh-TW"/>
        </w:rPr>
      </w:pPr>
    </w:p>
    <w:p>
      <w:pPr>
        <w:spacing w:line="360" w:lineRule="auto"/>
        <w:ind w:right="420"/>
        <w:rPr>
          <w:rFonts w:hint="eastAsia" w:ascii="宋体" w:hAnsi="宋体" w:eastAsia="宋体" w:cs="宋体"/>
          <w:color w:val="auto"/>
          <w:szCs w:val="21"/>
          <w:u w:color="000000"/>
          <w:lang w:val="zh-TW" w:eastAsia="zh-TW"/>
        </w:rPr>
      </w:pPr>
    </w:p>
    <w:p>
      <w:pPr>
        <w:spacing w:line="360" w:lineRule="auto"/>
        <w:ind w:right="420"/>
        <w:rPr>
          <w:rFonts w:hint="eastAsia" w:ascii="宋体" w:hAnsi="宋体" w:eastAsia="宋体" w:cs="宋体"/>
          <w:b/>
          <w:color w:val="auto"/>
          <w:szCs w:val="21"/>
          <w:u w:color="000000"/>
          <w:lang w:val="zh-TW"/>
        </w:rPr>
      </w:pPr>
      <w:r>
        <w:rPr>
          <w:rFonts w:hint="eastAsia" w:ascii="宋体" w:hAnsi="宋体" w:eastAsia="宋体" w:cs="宋体"/>
          <w:b/>
          <w:color w:val="auto"/>
          <w:szCs w:val="21"/>
          <w:u w:color="000000"/>
          <w:lang w:val="zh-TW" w:eastAsia="zh-TW"/>
        </w:rPr>
        <w:t>注：</w:t>
      </w:r>
      <w:r>
        <w:rPr>
          <w:rFonts w:hint="eastAsia" w:ascii="宋体" w:hAnsi="宋体" w:eastAsia="宋体" w:cs="宋体"/>
          <w:b/>
          <w:color w:val="auto"/>
          <w:szCs w:val="21"/>
          <w:u w:color="000000"/>
          <w:lang w:val="zh-TW"/>
        </w:rPr>
        <w:t>代理</w:t>
      </w:r>
      <w:r>
        <w:rPr>
          <w:rFonts w:hint="eastAsia" w:ascii="宋体" w:hAnsi="宋体" w:eastAsia="宋体" w:cs="宋体"/>
          <w:b/>
          <w:color w:val="auto"/>
          <w:szCs w:val="21"/>
          <w:u w:color="000000"/>
          <w:lang w:val="zh-TW" w:eastAsia="zh-TW"/>
        </w:rPr>
        <w:t>人应持本</w:t>
      </w:r>
      <w:r>
        <w:rPr>
          <w:rFonts w:hint="eastAsia" w:ascii="宋体" w:hAnsi="宋体" w:eastAsia="宋体" w:cs="宋体"/>
          <w:b/>
          <w:color w:val="auto"/>
          <w:szCs w:val="21"/>
          <w:u w:color="000000"/>
          <w:lang w:val="zh-TW"/>
        </w:rPr>
        <w:t>授权书</w:t>
      </w:r>
      <w:r>
        <w:rPr>
          <w:rFonts w:hint="eastAsia" w:ascii="宋体" w:hAnsi="宋体" w:eastAsia="宋体" w:cs="宋体"/>
          <w:b/>
          <w:color w:val="auto"/>
          <w:szCs w:val="21"/>
          <w:u w:color="000000"/>
          <w:lang w:val="zh-TW" w:eastAsia="zh-TW"/>
        </w:rPr>
        <w:t>参加</w:t>
      </w:r>
      <w:r>
        <w:rPr>
          <w:rFonts w:hint="eastAsia" w:ascii="宋体" w:hAnsi="宋体" w:eastAsia="宋体" w:cs="宋体"/>
          <w:b/>
          <w:color w:val="auto"/>
          <w:szCs w:val="21"/>
          <w:u w:color="000000"/>
          <w:lang w:val="zh-TW"/>
        </w:rPr>
        <w:t>投标</w:t>
      </w:r>
      <w:r>
        <w:rPr>
          <w:rFonts w:hint="eastAsia" w:ascii="宋体" w:hAnsi="宋体" w:eastAsia="宋体" w:cs="宋体"/>
          <w:b/>
          <w:color w:val="auto"/>
          <w:szCs w:val="21"/>
          <w:u w:color="000000"/>
          <w:lang w:val="zh-TW" w:eastAsia="zh-TW"/>
        </w:rPr>
        <w:t>，并提供一份原件在</w:t>
      </w:r>
      <w:r>
        <w:rPr>
          <w:rFonts w:hint="eastAsia" w:ascii="宋体" w:hAnsi="宋体" w:eastAsia="宋体" w:cs="宋体"/>
          <w:b/>
          <w:color w:val="auto"/>
          <w:szCs w:val="21"/>
          <w:u w:color="000000"/>
          <w:lang w:val="zh-TW"/>
        </w:rPr>
        <w:t>投标</w:t>
      </w:r>
      <w:r>
        <w:rPr>
          <w:rFonts w:hint="eastAsia" w:ascii="宋体" w:hAnsi="宋体" w:eastAsia="宋体" w:cs="宋体"/>
          <w:b/>
          <w:color w:val="auto"/>
          <w:szCs w:val="21"/>
          <w:u w:color="000000"/>
          <w:lang w:val="zh-TW" w:eastAsia="zh-TW"/>
        </w:rPr>
        <w:t>文件中</w:t>
      </w:r>
      <w:r>
        <w:rPr>
          <w:rFonts w:hint="eastAsia" w:ascii="宋体" w:hAnsi="宋体" w:eastAsia="宋体" w:cs="宋体"/>
          <w:b/>
          <w:color w:val="auto"/>
          <w:szCs w:val="21"/>
          <w:u w:color="000000"/>
          <w:lang w:val="zh-TW"/>
        </w:rPr>
        <w:t>。</w:t>
      </w:r>
    </w:p>
    <w:p>
      <w:pPr>
        <w:spacing w:line="360" w:lineRule="auto"/>
        <w:ind w:right="420"/>
        <w:rPr>
          <w:rFonts w:hint="eastAsia" w:ascii="宋体" w:hAnsi="宋体" w:eastAsia="宋体" w:cs="宋体"/>
          <w:color w:val="auto"/>
          <w:szCs w:val="21"/>
          <w:u w:color="000000"/>
        </w:rPr>
      </w:pPr>
    </w:p>
    <w:p>
      <w:pPr>
        <w:jc w:val="left"/>
        <w:rPr>
          <w:rFonts w:hint="eastAsia" w:ascii="宋体" w:hAnsi="宋体" w:eastAsia="宋体" w:cs="宋体"/>
          <w:color w:val="auto"/>
          <w:szCs w:val="21"/>
          <w:u w:color="000000"/>
        </w:rPr>
      </w:pPr>
      <w:r>
        <w:rPr>
          <w:rFonts w:hint="eastAsia" w:ascii="宋体" w:hAnsi="宋体" w:eastAsia="宋体" w:cs="宋体"/>
          <w:color w:val="auto"/>
          <w:szCs w:val="21"/>
          <w:u w:color="000000"/>
        </w:rPr>
        <w:br w:type="page"/>
      </w:r>
    </w:p>
    <w:p>
      <w:pPr>
        <w:snapToGrid w:val="0"/>
        <w:spacing w:line="360" w:lineRule="auto"/>
        <w:ind w:firstLine="482"/>
        <w:rPr>
          <w:rFonts w:hint="eastAsia" w:ascii="宋体" w:hAnsi="宋体" w:eastAsia="宋体" w:cs="宋体"/>
          <w:color w:val="auto"/>
          <w:sz w:val="24"/>
          <w:szCs w:val="24"/>
          <w:u w:color="000000"/>
          <w:lang w:val="zh-TW"/>
        </w:rPr>
      </w:pPr>
      <w:r>
        <w:rPr>
          <w:rFonts w:hint="eastAsia" w:ascii="宋体" w:hAnsi="宋体" w:eastAsia="宋体" w:cs="宋体"/>
          <w:color w:val="auto"/>
          <w:sz w:val="24"/>
          <w:szCs w:val="24"/>
          <w:u w:color="000000"/>
          <w:lang w:val="zh-TW" w:eastAsia="zh-TW"/>
        </w:rPr>
        <w:t>附：</w:t>
      </w:r>
      <w:r>
        <w:rPr>
          <w:rFonts w:hint="eastAsia" w:ascii="宋体" w:hAnsi="宋体" w:eastAsia="宋体" w:cs="宋体"/>
          <w:bCs/>
          <w:color w:val="auto"/>
          <w:sz w:val="24"/>
          <w:szCs w:val="24"/>
        </w:rPr>
        <w:t>法人</w:t>
      </w:r>
      <w:r>
        <w:rPr>
          <w:rFonts w:hint="eastAsia" w:ascii="宋体" w:hAnsi="宋体" w:eastAsia="宋体" w:cs="宋体"/>
          <w:color w:val="auto"/>
          <w:sz w:val="24"/>
          <w:szCs w:val="24"/>
          <w:u w:color="000000"/>
          <w:lang w:val="zh-TW" w:eastAsia="zh-TW"/>
        </w:rPr>
        <w:t>身份证复印件</w:t>
      </w:r>
      <w:r>
        <w:rPr>
          <w:rFonts w:hint="eastAsia" w:ascii="宋体" w:hAnsi="宋体" w:eastAsia="宋体" w:cs="宋体"/>
          <w:color w:val="auto"/>
          <w:sz w:val="24"/>
          <w:szCs w:val="24"/>
          <w:u w:color="000000"/>
          <w:lang w:val="zh-TW"/>
        </w:rPr>
        <w:t>（</w:t>
      </w:r>
      <w:r>
        <w:rPr>
          <w:rFonts w:hint="eastAsia" w:ascii="宋体" w:hAnsi="宋体" w:eastAsia="宋体" w:cs="宋体"/>
          <w:color w:val="auto"/>
          <w:sz w:val="24"/>
          <w:szCs w:val="24"/>
          <w:u w:color="000000"/>
          <w:lang w:val="zh-TW" w:eastAsia="zh-TW"/>
        </w:rPr>
        <w:t>需同时提供正面及背面</w:t>
      </w:r>
      <w:r>
        <w:rPr>
          <w:rFonts w:hint="eastAsia" w:ascii="宋体" w:hAnsi="宋体" w:eastAsia="宋体" w:cs="宋体"/>
          <w:color w:val="auto"/>
          <w:sz w:val="24"/>
          <w:szCs w:val="24"/>
          <w:u w:color="000000"/>
          <w:lang w:val="zh-TW"/>
        </w:rPr>
        <w:t>）</w:t>
      </w:r>
    </w:p>
    <w:tbl>
      <w:tblPr>
        <w:tblStyle w:val="24"/>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vAlign w:val="center"/>
          </w:tcPr>
          <w:p>
            <w:pPr>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法人</w:t>
            </w:r>
            <w:r>
              <w:rPr>
                <w:rFonts w:hint="eastAsia" w:ascii="宋体" w:hAnsi="宋体" w:eastAsia="宋体" w:cs="宋体"/>
                <w:color w:val="auto"/>
                <w:sz w:val="24"/>
                <w:szCs w:val="24"/>
              </w:rPr>
              <w:t>身份证复印件正面</w:t>
            </w:r>
          </w:p>
        </w:tc>
        <w:tc>
          <w:tcPr>
            <w:tcW w:w="4001" w:type="dxa"/>
            <w:vAlign w:val="center"/>
          </w:tcPr>
          <w:p>
            <w:pPr>
              <w:jc w:val="center"/>
              <w:rPr>
                <w:rFonts w:hint="eastAsia" w:ascii="宋体" w:hAnsi="宋体" w:eastAsia="宋体" w:cs="宋体"/>
                <w:color w:val="auto"/>
                <w:sz w:val="24"/>
                <w:szCs w:val="24"/>
              </w:rPr>
            </w:pPr>
            <w:r>
              <w:rPr>
                <w:rFonts w:hint="eastAsia" w:ascii="宋体" w:hAnsi="宋体" w:eastAsia="宋体" w:cs="宋体"/>
                <w:bCs/>
                <w:color w:val="auto"/>
                <w:sz w:val="24"/>
                <w:szCs w:val="24"/>
              </w:rPr>
              <w:t>法人</w:t>
            </w:r>
            <w:r>
              <w:rPr>
                <w:rFonts w:hint="eastAsia" w:ascii="宋体" w:hAnsi="宋体" w:eastAsia="宋体" w:cs="宋体"/>
                <w:color w:val="auto"/>
                <w:sz w:val="24"/>
                <w:szCs w:val="24"/>
              </w:rPr>
              <w:t>身份证复印件背面</w:t>
            </w:r>
          </w:p>
        </w:tc>
      </w:tr>
    </w:tbl>
    <w:p>
      <w:pPr>
        <w:snapToGrid w:val="0"/>
        <w:spacing w:line="360" w:lineRule="auto"/>
        <w:ind w:firstLine="482"/>
        <w:rPr>
          <w:rFonts w:hint="eastAsia" w:ascii="宋体" w:hAnsi="宋体" w:eastAsia="宋体" w:cs="宋体"/>
          <w:color w:val="auto"/>
          <w:sz w:val="24"/>
          <w:szCs w:val="24"/>
          <w:u w:color="000000"/>
          <w:lang w:eastAsia="zh-TW"/>
        </w:rPr>
      </w:pPr>
    </w:p>
    <w:p>
      <w:pPr>
        <w:snapToGrid w:val="0"/>
        <w:spacing w:line="360" w:lineRule="auto"/>
        <w:ind w:firstLine="482"/>
        <w:rPr>
          <w:rFonts w:hint="eastAsia" w:ascii="宋体" w:hAnsi="宋体" w:eastAsia="宋体" w:cs="宋体"/>
          <w:color w:val="auto"/>
          <w:sz w:val="24"/>
          <w:szCs w:val="24"/>
          <w:u w:color="000000"/>
          <w:lang w:eastAsia="zh-TW"/>
        </w:rPr>
      </w:pPr>
    </w:p>
    <w:p>
      <w:pPr>
        <w:snapToGrid w:val="0"/>
        <w:spacing w:line="360" w:lineRule="auto"/>
        <w:ind w:firstLine="482"/>
        <w:rPr>
          <w:rFonts w:hint="eastAsia" w:ascii="宋体" w:hAnsi="宋体" w:eastAsia="宋体" w:cs="宋体"/>
          <w:color w:val="auto"/>
          <w:sz w:val="24"/>
          <w:szCs w:val="24"/>
          <w:u w:color="000000"/>
          <w:lang w:val="zh-TW"/>
        </w:rPr>
      </w:pPr>
      <w:r>
        <w:rPr>
          <w:rFonts w:hint="eastAsia" w:ascii="宋体" w:hAnsi="宋体" w:eastAsia="宋体" w:cs="宋体"/>
          <w:color w:val="auto"/>
          <w:sz w:val="24"/>
          <w:szCs w:val="24"/>
          <w:u w:color="000000"/>
          <w:lang w:val="zh-TW" w:eastAsia="zh-TW"/>
        </w:rPr>
        <w:t>附：委托代理人身份证复印件</w:t>
      </w:r>
      <w:r>
        <w:rPr>
          <w:rFonts w:hint="eastAsia" w:ascii="宋体" w:hAnsi="宋体" w:eastAsia="宋体" w:cs="宋体"/>
          <w:color w:val="auto"/>
          <w:sz w:val="24"/>
          <w:szCs w:val="24"/>
          <w:u w:color="000000"/>
          <w:lang w:val="zh-TW"/>
        </w:rPr>
        <w:t>（</w:t>
      </w:r>
      <w:r>
        <w:rPr>
          <w:rFonts w:hint="eastAsia" w:ascii="宋体" w:hAnsi="宋体" w:eastAsia="宋体" w:cs="宋体"/>
          <w:color w:val="auto"/>
          <w:sz w:val="24"/>
          <w:szCs w:val="24"/>
          <w:u w:color="000000"/>
          <w:lang w:val="zh-TW" w:eastAsia="zh-TW"/>
        </w:rPr>
        <w:t>需同时提供正面及背面</w:t>
      </w:r>
      <w:r>
        <w:rPr>
          <w:rFonts w:hint="eastAsia" w:ascii="宋体" w:hAnsi="宋体" w:eastAsia="宋体" w:cs="宋体"/>
          <w:color w:val="auto"/>
          <w:sz w:val="24"/>
          <w:szCs w:val="24"/>
          <w:u w:color="000000"/>
          <w:lang w:val="zh-TW"/>
        </w:rPr>
        <w:t>）</w:t>
      </w:r>
    </w:p>
    <w:tbl>
      <w:tblPr>
        <w:tblStyle w:val="24"/>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u w:color="000000"/>
                <w:lang w:val="zh-TW" w:eastAsia="zh-TW"/>
              </w:rPr>
              <w:t>代理人</w:t>
            </w:r>
            <w:r>
              <w:rPr>
                <w:rFonts w:hint="eastAsia" w:ascii="宋体" w:hAnsi="宋体" w:eastAsia="宋体" w:cs="宋体"/>
                <w:color w:val="auto"/>
                <w:sz w:val="24"/>
                <w:szCs w:val="24"/>
              </w:rPr>
              <w:t>身份证复印件正面</w:t>
            </w:r>
          </w:p>
        </w:tc>
        <w:tc>
          <w:tcPr>
            <w:tcW w:w="400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u w:color="000000"/>
                <w:lang w:val="zh-TW" w:eastAsia="zh-TW"/>
              </w:rPr>
              <w:t>代理人</w:t>
            </w:r>
            <w:r>
              <w:rPr>
                <w:rFonts w:hint="eastAsia" w:ascii="宋体" w:hAnsi="宋体" w:eastAsia="宋体" w:cs="宋体"/>
                <w:color w:val="auto"/>
                <w:sz w:val="24"/>
                <w:szCs w:val="24"/>
              </w:rPr>
              <w:t>身份证复印件背面</w:t>
            </w:r>
          </w:p>
        </w:tc>
      </w:tr>
    </w:tbl>
    <w:p>
      <w:pPr>
        <w:spacing w:line="360" w:lineRule="auto"/>
        <w:ind w:right="420"/>
        <w:rPr>
          <w:rFonts w:hint="eastAsia" w:ascii="宋体" w:hAnsi="宋体" w:eastAsia="宋体" w:cs="宋体"/>
          <w:color w:val="auto"/>
          <w:szCs w:val="21"/>
          <w:u w:color="000000"/>
        </w:rPr>
      </w:pPr>
    </w:p>
    <w:p>
      <w:pPr>
        <w:spacing w:line="360" w:lineRule="auto"/>
        <w:ind w:right="420"/>
        <w:rPr>
          <w:rFonts w:hint="eastAsia" w:ascii="宋体" w:hAnsi="宋体" w:eastAsia="宋体" w:cs="宋体"/>
          <w:color w:val="auto"/>
          <w:szCs w:val="21"/>
          <w:u w:color="000000"/>
        </w:rPr>
      </w:pPr>
    </w:p>
    <w:p>
      <w:pPr>
        <w:jc w:val="left"/>
        <w:rPr>
          <w:rFonts w:hint="eastAsia" w:ascii="宋体" w:hAnsi="宋体" w:eastAsia="宋体" w:cs="宋体"/>
          <w:color w:val="auto"/>
        </w:rPr>
      </w:pPr>
      <w:r>
        <w:rPr>
          <w:rFonts w:hint="eastAsia" w:ascii="宋体" w:hAnsi="宋体" w:eastAsia="宋体" w:cs="宋体"/>
          <w:color w:val="auto"/>
        </w:rPr>
        <w:br w:type="page"/>
      </w:r>
    </w:p>
    <w:p>
      <w:pPr>
        <w:tabs>
          <w:tab w:val="left" w:pos="576"/>
        </w:tabs>
        <w:spacing w:before="156" w:beforeLines="50" w:after="156" w:afterLines="50" w:line="360" w:lineRule="auto"/>
        <w:outlineLvl w:val="2"/>
        <w:rPr>
          <w:rFonts w:hint="eastAsia" w:ascii="宋体" w:hAnsi="宋体" w:eastAsia="宋体" w:cs="宋体"/>
          <w:color w:val="auto"/>
          <w:sz w:val="24"/>
          <w:szCs w:val="24"/>
          <w:u w:color="000000"/>
        </w:rPr>
      </w:pPr>
      <w:bookmarkStart w:id="34" w:name="_Toc448069994"/>
      <w:bookmarkStart w:id="35" w:name="_Toc415494581"/>
      <w:bookmarkStart w:id="36" w:name="_Toc11859494"/>
      <w:bookmarkStart w:id="37" w:name="_Toc57875964"/>
      <w:bookmarkStart w:id="38" w:name="_Toc56"/>
      <w:r>
        <w:rPr>
          <w:rFonts w:hint="eastAsia" w:ascii="宋体" w:hAnsi="宋体" w:eastAsia="宋体" w:cs="宋体"/>
          <w:color w:val="auto"/>
          <w:sz w:val="24"/>
          <w:szCs w:val="24"/>
          <w:u w:color="000000"/>
        </w:rPr>
        <w:t>6.4 资格证明文件</w:t>
      </w:r>
      <w:bookmarkEnd w:id="34"/>
      <w:bookmarkEnd w:id="35"/>
      <w:bookmarkEnd w:id="36"/>
      <w:bookmarkEnd w:id="37"/>
      <w:bookmarkEnd w:id="38"/>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1.1投标函（原件）；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1.2资格声明（原件）；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1.3若法定代表人参加投标的，须提供本人身份证复印件(加盖投标人公章)；若授权代表参加投标的，须提供《法人授权书》原件和授权代表身份证复印件(加盖投标人公章)；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1.4营业执照副本或民办非企业单位登记证书或事业单位法人证书等相关身份证明材料(复印件加盖投标人公章)；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1.5投标人依法缴纳职工社会保障资金的证明材料(复印件加盖投标人公章)(税务、银行或社会保险基金管理部门出具的近三个月内任意一个月（2022年6月-2022年8月）缴纳职工社会保障资金的缴款凭证或缴款证明)；</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1.6投标人近三个月内任意一个月（2022年6月-2022年8月）依法纳税的缴款凭证(复印件加盖投标人公章)；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1.7与上一条相对应的纳税申报表或经会计师事务所审计的2021年度财务报告(复印件加盖投标人公章)</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1.8投标人参加本次采购活动前3年内在经营活动中没有重大违法记录的书面声明（原件）；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1.9供应商信用承诺书（原件）。</w:t>
      </w:r>
    </w:p>
    <w:p>
      <w:pPr>
        <w:spacing w:line="360" w:lineRule="auto"/>
        <w:ind w:firstLine="420" w:firstLineChars="200"/>
        <w:rPr>
          <w:rFonts w:hint="eastAsia" w:ascii="宋体" w:hAnsi="宋体" w:eastAsia="宋体" w:cs="宋体"/>
          <w:color w:val="auto"/>
          <w:szCs w:val="21"/>
          <w:u w:color="FF0000"/>
        </w:rPr>
      </w:pPr>
    </w:p>
    <w:p>
      <w:pPr>
        <w:spacing w:line="360" w:lineRule="auto"/>
        <w:ind w:firstLine="420" w:firstLineChars="200"/>
        <w:rPr>
          <w:rFonts w:hint="eastAsia" w:ascii="宋体" w:hAnsi="宋体" w:eastAsia="宋体" w:cs="宋体"/>
          <w:color w:val="auto"/>
          <w:szCs w:val="21"/>
          <w:u w:color="FF0000"/>
        </w:rPr>
      </w:pPr>
    </w:p>
    <w:p>
      <w:pPr>
        <w:jc w:val="left"/>
        <w:rPr>
          <w:rFonts w:hint="eastAsia" w:ascii="宋体" w:hAnsi="宋体" w:eastAsia="宋体" w:cs="宋体"/>
          <w:color w:val="auto"/>
          <w:szCs w:val="21"/>
          <w:u w:color="FF0000"/>
        </w:rPr>
      </w:pPr>
      <w:r>
        <w:rPr>
          <w:rFonts w:hint="eastAsia" w:ascii="宋体" w:hAnsi="宋体" w:eastAsia="宋体" w:cs="宋体"/>
          <w:color w:val="auto"/>
          <w:szCs w:val="21"/>
          <w:u w:color="FF0000"/>
        </w:rPr>
        <w:br w:type="page"/>
      </w:r>
    </w:p>
    <w:p>
      <w:pPr>
        <w:spacing w:before="156" w:beforeLines="50" w:after="156" w:afterLines="50" w:line="360" w:lineRule="auto"/>
        <w:jc w:val="center"/>
        <w:rPr>
          <w:rFonts w:hint="eastAsia" w:ascii="宋体" w:hAnsi="宋体" w:eastAsia="宋体" w:cs="宋体"/>
          <w:color w:val="auto"/>
          <w:sz w:val="28"/>
          <w:szCs w:val="21"/>
          <w:u w:color="FF0000"/>
        </w:rPr>
      </w:pPr>
      <w:r>
        <w:rPr>
          <w:rFonts w:hint="eastAsia" w:ascii="宋体" w:hAnsi="宋体" w:eastAsia="宋体" w:cs="宋体"/>
          <w:color w:val="auto"/>
          <w:sz w:val="28"/>
          <w:szCs w:val="21"/>
          <w:u w:color="FF0000"/>
        </w:rPr>
        <w:t>具备履行合同所必需的设备和专业技术能力的书面声明</w:t>
      </w:r>
    </w:p>
    <w:p>
      <w:pPr>
        <w:spacing w:line="460" w:lineRule="exact"/>
        <w:ind w:firstLine="492"/>
        <w:rPr>
          <w:rFonts w:hint="eastAsia" w:ascii="宋体" w:hAnsi="宋体" w:eastAsia="宋体" w:cs="宋体"/>
          <w:bCs/>
          <w:color w:val="auto"/>
          <w:sz w:val="24"/>
          <w:szCs w:val="24"/>
        </w:rPr>
      </w:pPr>
      <w:r>
        <w:rPr>
          <w:rFonts w:hint="eastAsia" w:ascii="宋体" w:hAnsi="宋体" w:eastAsia="宋体" w:cs="宋体"/>
          <w:bCs/>
          <w:color w:val="auto"/>
          <w:sz w:val="24"/>
          <w:szCs w:val="24"/>
        </w:rPr>
        <w:t>我公司郑重声明：我公司具备履行本项采购合同所必需的设备和专业技术能力，为履行本项采购合同我公司具备如下主要设备和主要专业技术能力：</w:t>
      </w:r>
    </w:p>
    <w:p>
      <w:pPr>
        <w:spacing w:line="460" w:lineRule="exact"/>
        <w:ind w:firstLine="492"/>
        <w:rPr>
          <w:rFonts w:hint="eastAsia" w:ascii="宋体" w:hAnsi="宋体" w:eastAsia="宋体" w:cs="宋体"/>
          <w:bCs/>
          <w:color w:val="auto"/>
          <w:sz w:val="24"/>
          <w:szCs w:val="24"/>
        </w:rPr>
      </w:pPr>
      <w:r>
        <w:rPr>
          <w:rFonts w:hint="eastAsia" w:ascii="宋体" w:hAnsi="宋体" w:eastAsia="宋体" w:cs="宋体"/>
          <w:bCs/>
          <w:color w:val="auto"/>
          <w:sz w:val="24"/>
          <w:szCs w:val="24"/>
        </w:rPr>
        <w:t>主要设备有：  。</w:t>
      </w:r>
    </w:p>
    <w:p>
      <w:pPr>
        <w:spacing w:line="460" w:lineRule="exact"/>
        <w:ind w:firstLine="492"/>
        <w:rPr>
          <w:rFonts w:hint="eastAsia" w:ascii="宋体" w:hAnsi="宋体" w:eastAsia="宋体" w:cs="宋体"/>
          <w:bCs/>
          <w:color w:val="auto"/>
          <w:sz w:val="24"/>
          <w:szCs w:val="24"/>
        </w:rPr>
      </w:pPr>
      <w:r>
        <w:rPr>
          <w:rFonts w:hint="eastAsia" w:ascii="宋体" w:hAnsi="宋体" w:eastAsia="宋体" w:cs="宋体"/>
          <w:bCs/>
          <w:color w:val="auto"/>
          <w:sz w:val="24"/>
          <w:szCs w:val="24"/>
        </w:rPr>
        <w:t>主要专业技术能力有：   。</w:t>
      </w:r>
    </w:p>
    <w:p>
      <w:pPr>
        <w:spacing w:line="460" w:lineRule="exact"/>
        <w:ind w:firstLine="492"/>
        <w:rPr>
          <w:rFonts w:hint="eastAsia" w:ascii="宋体" w:hAnsi="宋体" w:eastAsia="宋体" w:cs="宋体"/>
          <w:bCs/>
          <w:color w:val="auto"/>
          <w:sz w:val="24"/>
          <w:szCs w:val="24"/>
        </w:rPr>
      </w:pP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rPr>
        <w:t>声明人：</w:t>
      </w:r>
      <w:r>
        <w:rPr>
          <w:rFonts w:hint="eastAsia" w:ascii="宋体" w:hAnsi="宋体" w:eastAsia="宋体" w:cs="宋体"/>
          <w:color w:val="auto"/>
          <w:sz w:val="24"/>
          <w:szCs w:val="24"/>
          <w:u w:val="single"/>
        </w:rPr>
        <w:t xml:space="preserve">                            </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w:t>
      </w:r>
      <w:r>
        <w:rPr>
          <w:rFonts w:hint="eastAsia" w:ascii="宋体" w:hAnsi="宋体" w:eastAsia="宋体" w:cs="宋体"/>
          <w:bCs/>
          <w:color w:val="auto"/>
          <w:sz w:val="24"/>
          <w:szCs w:val="24"/>
        </w:rPr>
        <w:t>（被授权人）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 xml:space="preserve">             </w:t>
      </w:r>
    </w:p>
    <w:p>
      <w:pPr>
        <w:spacing w:line="460" w:lineRule="exact"/>
        <w:ind w:firstLine="3960" w:firstLineChars="1650"/>
        <w:rPr>
          <w:rFonts w:hint="eastAsia" w:ascii="宋体" w:hAnsi="宋体" w:eastAsia="宋体" w:cs="宋体"/>
          <w:bCs/>
          <w:color w:val="auto"/>
          <w:sz w:val="24"/>
          <w:szCs w:val="24"/>
        </w:rPr>
      </w:pPr>
      <w:r>
        <w:rPr>
          <w:rFonts w:hint="eastAsia" w:ascii="宋体" w:hAnsi="宋体" w:eastAsia="宋体" w:cs="宋体"/>
          <w:bCs/>
          <w:color w:val="auto"/>
          <w:sz w:val="24"/>
          <w:szCs w:val="24"/>
        </w:rPr>
        <w:t>日期：</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w:t>
      </w:r>
    </w:p>
    <w:p>
      <w:pPr>
        <w:spacing w:line="460" w:lineRule="exact"/>
        <w:rPr>
          <w:rFonts w:hint="eastAsia" w:ascii="宋体" w:hAnsi="宋体" w:eastAsia="宋体" w:cs="宋体"/>
          <w:bCs/>
          <w:color w:val="auto"/>
          <w:sz w:val="24"/>
          <w:szCs w:val="24"/>
        </w:rPr>
      </w:pPr>
    </w:p>
    <w:p>
      <w:pPr>
        <w:spacing w:line="360" w:lineRule="auto"/>
        <w:ind w:firstLine="480" w:firstLineChars="200"/>
        <w:rPr>
          <w:rFonts w:hint="eastAsia" w:ascii="宋体" w:hAnsi="宋体" w:eastAsia="宋体" w:cs="宋体"/>
          <w:color w:val="auto"/>
          <w:sz w:val="24"/>
          <w:szCs w:val="24"/>
          <w:u w:color="FF0000"/>
        </w:rPr>
      </w:pPr>
    </w:p>
    <w:p>
      <w:pPr>
        <w:spacing w:line="360" w:lineRule="auto"/>
        <w:ind w:firstLine="420" w:firstLineChars="200"/>
        <w:rPr>
          <w:rFonts w:hint="eastAsia" w:ascii="宋体" w:hAnsi="宋体" w:eastAsia="宋体" w:cs="宋体"/>
          <w:color w:val="auto"/>
          <w:szCs w:val="21"/>
          <w:u w:color="FF0000"/>
        </w:rPr>
      </w:pPr>
    </w:p>
    <w:p>
      <w:pPr>
        <w:jc w:val="left"/>
        <w:rPr>
          <w:rFonts w:hint="eastAsia" w:ascii="宋体" w:hAnsi="宋体" w:eastAsia="宋体" w:cs="宋体"/>
          <w:color w:val="auto"/>
          <w:szCs w:val="21"/>
          <w:u w:color="FF0000"/>
        </w:rPr>
      </w:pPr>
      <w:r>
        <w:rPr>
          <w:rFonts w:hint="eastAsia" w:ascii="宋体" w:hAnsi="宋体" w:eastAsia="宋体" w:cs="宋体"/>
          <w:color w:val="auto"/>
          <w:szCs w:val="21"/>
          <w:u w:color="FF0000"/>
        </w:rPr>
        <w:br w:type="page"/>
      </w:r>
    </w:p>
    <w:p>
      <w:pPr>
        <w:adjustRightInd w:val="0"/>
        <w:snapToGrid w:val="0"/>
        <w:spacing w:before="156" w:beforeLines="50" w:after="156" w:afterLines="5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无违法违规记录声明</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本单位在经营活动中没有违法违规记录，近三年内没有被司法部门或行业主管部门处罚，无被政府职能部门认定有行贿和欺诈行为。</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pPr>
        <w:adjustRightInd w:val="0"/>
        <w:snapToGrid w:val="0"/>
        <w:spacing w:line="420" w:lineRule="exact"/>
        <w:ind w:firstLine="480" w:firstLineChars="200"/>
        <w:rPr>
          <w:rFonts w:hint="eastAsia" w:ascii="宋体" w:hAnsi="宋体" w:eastAsia="宋体" w:cs="宋体"/>
          <w:color w:val="auto"/>
          <w:sz w:val="24"/>
          <w:szCs w:val="24"/>
        </w:rPr>
      </w:pP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rPr>
        <w:t>声明人：</w:t>
      </w:r>
      <w:r>
        <w:rPr>
          <w:rFonts w:hint="eastAsia" w:ascii="宋体" w:hAnsi="宋体" w:eastAsia="宋体" w:cs="宋体"/>
          <w:color w:val="auto"/>
          <w:sz w:val="24"/>
          <w:szCs w:val="24"/>
          <w:u w:val="single"/>
        </w:rPr>
        <w:t xml:space="preserve">                            </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w:t>
      </w:r>
      <w:r>
        <w:rPr>
          <w:rFonts w:hint="eastAsia" w:ascii="宋体" w:hAnsi="宋体" w:eastAsia="宋体" w:cs="宋体"/>
          <w:bCs/>
          <w:color w:val="auto"/>
          <w:sz w:val="24"/>
          <w:szCs w:val="24"/>
        </w:rPr>
        <w:t>（被授权人）</w:t>
      </w:r>
      <w:r>
        <w:rPr>
          <w:rFonts w:hint="eastAsia" w:ascii="宋体" w:hAnsi="宋体" w:eastAsia="宋体" w:cs="宋体"/>
          <w:color w:val="auto"/>
          <w:sz w:val="24"/>
          <w:szCs w:val="24"/>
        </w:rPr>
        <w:t>签字：</w:t>
      </w:r>
      <w:r>
        <w:rPr>
          <w:rFonts w:hint="eastAsia" w:ascii="宋体" w:hAnsi="宋体" w:eastAsia="宋体" w:cs="宋体"/>
          <w:color w:val="auto"/>
          <w:sz w:val="24"/>
          <w:szCs w:val="24"/>
          <w:u w:val="single"/>
        </w:rPr>
        <w:t xml:space="preserve">             </w:t>
      </w:r>
    </w:p>
    <w:p>
      <w:pPr>
        <w:spacing w:line="460" w:lineRule="exact"/>
        <w:ind w:firstLine="3960" w:firstLineChars="1650"/>
        <w:rPr>
          <w:rFonts w:hint="eastAsia" w:ascii="宋体" w:hAnsi="宋体" w:eastAsia="宋体" w:cs="宋体"/>
          <w:bCs/>
          <w:color w:val="auto"/>
          <w:sz w:val="24"/>
          <w:szCs w:val="24"/>
        </w:rPr>
      </w:pPr>
      <w:r>
        <w:rPr>
          <w:rFonts w:hint="eastAsia" w:ascii="宋体" w:hAnsi="宋体" w:eastAsia="宋体" w:cs="宋体"/>
          <w:bCs/>
          <w:color w:val="auto"/>
          <w:sz w:val="24"/>
          <w:szCs w:val="24"/>
        </w:rPr>
        <w:t>日期：</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w:t>
      </w:r>
    </w:p>
    <w:p>
      <w:pPr>
        <w:spacing w:line="360" w:lineRule="auto"/>
        <w:ind w:firstLine="420" w:firstLineChars="200"/>
        <w:rPr>
          <w:rFonts w:hint="eastAsia" w:ascii="宋体" w:hAnsi="宋体" w:eastAsia="宋体" w:cs="宋体"/>
          <w:color w:val="auto"/>
          <w:szCs w:val="21"/>
          <w:u w:color="FF0000"/>
        </w:rPr>
      </w:pPr>
    </w:p>
    <w:p>
      <w:pPr>
        <w:spacing w:line="360" w:lineRule="auto"/>
        <w:ind w:firstLine="420" w:firstLineChars="200"/>
        <w:rPr>
          <w:rFonts w:hint="eastAsia" w:ascii="宋体" w:hAnsi="宋体" w:eastAsia="宋体" w:cs="宋体"/>
          <w:color w:val="auto"/>
          <w:szCs w:val="21"/>
          <w:u w:color="FF0000"/>
        </w:rPr>
      </w:pPr>
    </w:p>
    <w:p>
      <w:pPr>
        <w:spacing w:line="360" w:lineRule="auto"/>
        <w:ind w:firstLine="420" w:firstLineChars="200"/>
        <w:rPr>
          <w:rFonts w:hint="eastAsia" w:ascii="宋体" w:hAnsi="宋体" w:eastAsia="宋体" w:cs="宋体"/>
          <w:color w:val="auto"/>
          <w:szCs w:val="21"/>
          <w:u w:color="FF0000"/>
        </w:rPr>
      </w:pPr>
    </w:p>
    <w:p>
      <w:pPr>
        <w:spacing w:line="500" w:lineRule="exact"/>
        <w:jc w:val="center"/>
        <w:rPr>
          <w:rFonts w:ascii="宋体" w:hAnsi="宋体" w:eastAsia="宋体" w:cs="Times New Roman"/>
          <w:b/>
          <w:szCs w:val="21"/>
        </w:rPr>
      </w:pPr>
      <w:r>
        <w:rPr>
          <w:rFonts w:hint="eastAsia" w:ascii="宋体" w:hAnsi="宋体" w:eastAsia="宋体" w:cs="宋体"/>
          <w:color w:val="auto"/>
          <w:sz w:val="24"/>
          <w:szCs w:val="24"/>
          <w:u w:color="000000"/>
        </w:rPr>
        <w:br w:type="page"/>
      </w:r>
      <w:r>
        <w:rPr>
          <w:rFonts w:hint="eastAsia" w:ascii="宋体" w:hAnsi="宋体" w:eastAsia="宋体" w:cs="宋体"/>
          <w:color w:val="auto"/>
          <w:sz w:val="28"/>
          <w:szCs w:val="28"/>
        </w:rPr>
        <w:t>供应商信用承诺书</w:t>
      </w:r>
    </w:p>
    <w:p>
      <w:pPr>
        <w:spacing w:line="500" w:lineRule="exact"/>
        <w:rPr>
          <w:rFonts w:ascii="方正仿宋_GBK" w:hAnsi="Calibri" w:eastAsia="宋体" w:cs="Times New Roman"/>
          <w:szCs w:val="32"/>
        </w:rPr>
      </w:pP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承诺主体名称：</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w:t>
      </w:r>
    </w:p>
    <w:p>
      <w:pPr>
        <w:adjustRightInd w:val="0"/>
        <w:snapToGrid w:val="0"/>
        <w:spacing w:line="420" w:lineRule="exact"/>
        <w:ind w:firstLine="480" w:firstLineChars="200"/>
        <w:rPr>
          <w:rFonts w:hint="eastAsia" w:ascii="宋体" w:hAnsi="宋体" w:eastAsia="宋体" w:cs="宋体"/>
          <w:color w:val="auto"/>
          <w:sz w:val="24"/>
          <w:szCs w:val="24"/>
        </w:rPr>
      </w:pP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为维护公平竞争、规范有序的市场秩序，营造诚实守信的信用环境，共同推进社会信用体系建设完善，树立企业诚信守法形象，本企业对________________________项目政府采购活动郑重承诺如下:</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一、对提供给注册登记部门、行业管理部门、司法部门、行业组织以及在政府采购活动中提交的所有资料的合法性、真实性、准确性和有效性负责；</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二、严格按照国家法律、法规和规章开展采购活动，全面履行应尽的责任和义务，全面做到履约守信，具备《中华人民共和国政府采购法》第二十二条第一款规定的条件;</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三、严格依法开展生产经营活动，主动接受行业监管，自愿接受依法开展的日常检查；违法失信经营后将自愿接受约束和惩戒，并依法承担相应责任；</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四、自觉接受行政管理部门、行业组织、社会公众、新闻舆论的监督；</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五、自觉做到自我约束、自我管理，不制假售假、商标侵权、虚假宣传、违约毁约、恶意逃债、偷税漏税、垄断和不正当竞争，维护经营者、消费者的合法权益；</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六、提出政府采购质疑和投诉坚持依法依规、诚实信用原则，在全国范围12个月内没有三次以上查无实据的政府采购投诉；</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七、严格遵守信用信息公示相关规定，向社会公示信用信息；</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八、在“信用中国”和“中国政府采购网”网站中无违法违规、较重或严重失信记录；</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九、如违反承诺，自愿接受管理部门依法给予的行政处罚，同意将违反承诺的行为作为不良记录记入信用档案，依法依规进行信息公示，并承担所产生的一切法律责任和经济损失。</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十、本承诺书自签订之日起生效。</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（注：法定代表人或负责人、主体名称发生变更的应当重新做出承诺。）</w:t>
      </w:r>
    </w:p>
    <w:p>
      <w:pPr>
        <w:spacing w:line="560" w:lineRule="exact"/>
        <w:rPr>
          <w:rFonts w:ascii="宋体" w:hAnsi="宋体" w:eastAsia="宋体" w:cs="Times New Roman"/>
          <w:szCs w:val="21"/>
        </w:rPr>
      </w:pPr>
    </w:p>
    <w:p>
      <w:pPr>
        <w:adjustRightInd w:val="0"/>
        <w:snapToGrid w:val="0"/>
        <w:spacing w:line="420" w:lineRule="exact"/>
        <w:ind w:firstLine="420" w:firstLineChars="200"/>
        <w:rPr>
          <w:rFonts w:hint="eastAsia" w:ascii="宋体" w:hAnsi="宋体" w:eastAsia="宋体" w:cs="宋体"/>
          <w:color w:val="auto"/>
          <w:sz w:val="24"/>
          <w:szCs w:val="24"/>
        </w:rPr>
      </w:pPr>
      <w:r>
        <w:rPr>
          <w:rFonts w:hint="eastAsia" w:ascii="宋体" w:hAnsi="宋体" w:eastAsia="宋体" w:cs="Times New Roman"/>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承诺单位（签章）：           </w:t>
      </w:r>
    </w:p>
    <w:p>
      <w:pPr>
        <w:adjustRightInd w:val="0"/>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法定代表人（负责人）：</w:t>
      </w:r>
    </w:p>
    <w:p>
      <w:pPr>
        <w:spacing w:line="560" w:lineRule="exact"/>
        <w:jc w:val="center"/>
        <w:rPr>
          <w:rFonts w:ascii="宋体" w:hAnsi="宋体" w:eastAsia="宋体" w:cs="Times New Roman"/>
          <w:szCs w:val="21"/>
        </w:rPr>
      </w:pPr>
      <w:r>
        <w:rPr>
          <w:rFonts w:hint="eastAsia" w:ascii="宋体" w:hAnsi="宋体" w:eastAsia="宋体" w:cs="Times New Roman"/>
          <w:szCs w:val="21"/>
        </w:rPr>
        <w:t>　　　　　　　　　      　</w:t>
      </w:r>
      <w:r>
        <w:rPr>
          <w:rFonts w:hint="eastAsia" w:ascii="宋体" w:hAnsi="宋体" w:eastAsia="宋体" w:cs="宋体"/>
          <w:color w:val="auto"/>
          <w:sz w:val="24"/>
          <w:szCs w:val="24"/>
        </w:rPr>
        <w:t>年    月    日</w:t>
      </w:r>
    </w:p>
    <w:p>
      <w:pPr>
        <w:jc w:val="left"/>
        <w:rPr>
          <w:rFonts w:hint="eastAsia" w:ascii="宋体" w:hAnsi="宋体" w:eastAsia="宋体" w:cs="宋体"/>
          <w:color w:val="auto"/>
          <w:szCs w:val="21"/>
          <w:u w:color="FF0000"/>
        </w:rPr>
      </w:pPr>
    </w:p>
    <w:p>
      <w:pPr>
        <w:tabs>
          <w:tab w:val="left" w:pos="576"/>
        </w:tabs>
        <w:spacing w:before="156" w:beforeLines="50" w:after="156" w:afterLines="50" w:line="360" w:lineRule="auto"/>
        <w:outlineLvl w:val="2"/>
        <w:rPr>
          <w:rFonts w:hint="eastAsia" w:ascii="宋体" w:hAnsi="宋体" w:eastAsia="宋体" w:cs="宋体"/>
          <w:color w:val="auto"/>
          <w:sz w:val="24"/>
          <w:szCs w:val="24"/>
          <w:u w:color="000000"/>
        </w:rPr>
      </w:pPr>
      <w:bookmarkStart w:id="39" w:name="_Toc11859495"/>
      <w:bookmarkStart w:id="40" w:name="_Toc57875965"/>
      <w:r>
        <w:rPr>
          <w:rFonts w:hint="eastAsia" w:ascii="宋体" w:hAnsi="宋体" w:eastAsia="宋体" w:cs="宋体"/>
          <w:color w:val="auto"/>
          <w:sz w:val="24"/>
          <w:szCs w:val="24"/>
          <w:u w:color="000000"/>
        </w:rPr>
        <w:t>6.5 商务条款响应及偏离表</w:t>
      </w:r>
      <w:bookmarkEnd w:id="39"/>
      <w:bookmarkEnd w:id="40"/>
    </w:p>
    <w:p>
      <w:pPr>
        <w:spacing w:before="156" w:beforeLines="50" w:after="156" w:afterLines="50" w:line="360" w:lineRule="auto"/>
        <w:jc w:val="center"/>
        <w:rPr>
          <w:rFonts w:hint="eastAsia" w:ascii="宋体" w:hAnsi="宋体" w:eastAsia="宋体" w:cs="宋体"/>
          <w:bCs/>
          <w:color w:val="auto"/>
          <w:sz w:val="28"/>
          <w:szCs w:val="28"/>
          <w:u w:color="000000"/>
          <w:lang w:val="zh-TW" w:eastAsia="zh-TW"/>
        </w:rPr>
      </w:pPr>
      <w:r>
        <w:rPr>
          <w:rFonts w:hint="eastAsia" w:ascii="宋体" w:hAnsi="宋体" w:eastAsia="宋体" w:cs="宋体"/>
          <w:bCs/>
          <w:color w:val="auto"/>
          <w:sz w:val="28"/>
          <w:szCs w:val="28"/>
          <w:u w:color="000000"/>
          <w:lang w:val="zh-TW"/>
        </w:rPr>
        <w:t>商务条款响应及偏离表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投标人全称（公章）：</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lang w:eastAsia="zh-CN"/>
        </w:rPr>
        <w:t>南京邮电大学通达学院通信原理虚实结合实验平台采购项目</w:t>
      </w:r>
    </w:p>
    <w:tbl>
      <w:tblPr>
        <w:tblStyle w:val="24"/>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2" w:hRule="atLeast"/>
          <w:jc w:val="center"/>
        </w:trPr>
        <w:tc>
          <w:tcPr>
            <w:tcW w:w="876"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序号</w:t>
            </w:r>
          </w:p>
        </w:tc>
        <w:tc>
          <w:tcPr>
            <w:tcW w:w="2976"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项目</w:t>
            </w:r>
          </w:p>
        </w:tc>
        <w:tc>
          <w:tcPr>
            <w:tcW w:w="1985"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招标文件要求</w:t>
            </w:r>
          </w:p>
        </w:tc>
        <w:tc>
          <w:tcPr>
            <w:tcW w:w="1843"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投标人的承诺或说明</w:t>
            </w:r>
          </w:p>
        </w:tc>
        <w:tc>
          <w:tcPr>
            <w:tcW w:w="1687"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1</w:t>
            </w:r>
          </w:p>
        </w:tc>
        <w:tc>
          <w:tcPr>
            <w:tcW w:w="2976" w:type="dxa"/>
            <w:vAlign w:val="center"/>
          </w:tcPr>
          <w:p>
            <w:pPr>
              <w:pStyle w:val="31"/>
              <w:widowControl w:val="0"/>
              <w:snapToGrid w:val="0"/>
              <w:jc w:val="center"/>
              <w:rPr>
                <w:rFonts w:hint="eastAsia" w:ascii="宋体" w:hAnsi="宋体" w:eastAsia="宋体" w:cs="宋体"/>
                <w:color w:val="auto"/>
              </w:rPr>
            </w:pPr>
          </w:p>
        </w:tc>
        <w:tc>
          <w:tcPr>
            <w:tcW w:w="1985" w:type="dxa"/>
            <w:vAlign w:val="center"/>
          </w:tcPr>
          <w:p>
            <w:pPr>
              <w:pStyle w:val="31"/>
              <w:widowControl w:val="0"/>
              <w:snapToGrid w:val="0"/>
              <w:jc w:val="center"/>
              <w:rPr>
                <w:rFonts w:hint="eastAsia" w:ascii="宋体" w:hAnsi="宋体" w:eastAsia="宋体" w:cs="宋体"/>
                <w:color w:val="auto"/>
              </w:rPr>
            </w:pPr>
          </w:p>
        </w:tc>
        <w:tc>
          <w:tcPr>
            <w:tcW w:w="1843" w:type="dxa"/>
            <w:vAlign w:val="center"/>
          </w:tcPr>
          <w:p>
            <w:pPr>
              <w:pStyle w:val="31"/>
              <w:widowControl w:val="0"/>
              <w:snapToGrid w:val="0"/>
              <w:jc w:val="center"/>
              <w:rPr>
                <w:rFonts w:hint="eastAsia" w:ascii="宋体" w:hAnsi="宋体" w:eastAsia="宋体" w:cs="宋体"/>
                <w:color w:val="auto"/>
              </w:rPr>
            </w:pPr>
          </w:p>
        </w:tc>
        <w:tc>
          <w:tcPr>
            <w:tcW w:w="1687" w:type="dxa"/>
            <w:vAlign w:val="center"/>
          </w:tcPr>
          <w:p>
            <w:pPr>
              <w:pStyle w:val="31"/>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2</w:t>
            </w:r>
          </w:p>
        </w:tc>
        <w:tc>
          <w:tcPr>
            <w:tcW w:w="2976" w:type="dxa"/>
            <w:vAlign w:val="center"/>
          </w:tcPr>
          <w:p>
            <w:pPr>
              <w:pStyle w:val="31"/>
              <w:widowControl w:val="0"/>
              <w:snapToGrid w:val="0"/>
              <w:jc w:val="center"/>
              <w:rPr>
                <w:rFonts w:hint="eastAsia" w:ascii="宋体" w:hAnsi="宋体" w:eastAsia="宋体" w:cs="宋体"/>
                <w:color w:val="auto"/>
              </w:rPr>
            </w:pPr>
          </w:p>
        </w:tc>
        <w:tc>
          <w:tcPr>
            <w:tcW w:w="1985" w:type="dxa"/>
            <w:vAlign w:val="center"/>
          </w:tcPr>
          <w:p>
            <w:pPr>
              <w:pStyle w:val="31"/>
              <w:widowControl w:val="0"/>
              <w:snapToGrid w:val="0"/>
              <w:jc w:val="center"/>
              <w:rPr>
                <w:rFonts w:hint="eastAsia" w:ascii="宋体" w:hAnsi="宋体" w:eastAsia="宋体" w:cs="宋体"/>
                <w:color w:val="auto"/>
              </w:rPr>
            </w:pPr>
          </w:p>
        </w:tc>
        <w:tc>
          <w:tcPr>
            <w:tcW w:w="1843" w:type="dxa"/>
            <w:vAlign w:val="center"/>
          </w:tcPr>
          <w:p>
            <w:pPr>
              <w:pStyle w:val="31"/>
              <w:widowControl w:val="0"/>
              <w:snapToGrid w:val="0"/>
              <w:jc w:val="center"/>
              <w:rPr>
                <w:rFonts w:hint="eastAsia" w:ascii="宋体" w:hAnsi="宋体" w:eastAsia="宋体" w:cs="宋体"/>
                <w:color w:val="auto"/>
              </w:rPr>
            </w:pPr>
          </w:p>
        </w:tc>
        <w:tc>
          <w:tcPr>
            <w:tcW w:w="1687" w:type="dxa"/>
            <w:vAlign w:val="center"/>
          </w:tcPr>
          <w:p>
            <w:pPr>
              <w:pStyle w:val="31"/>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3</w:t>
            </w:r>
          </w:p>
        </w:tc>
        <w:tc>
          <w:tcPr>
            <w:tcW w:w="2976" w:type="dxa"/>
            <w:vAlign w:val="center"/>
          </w:tcPr>
          <w:p>
            <w:pPr>
              <w:pStyle w:val="31"/>
              <w:widowControl w:val="0"/>
              <w:snapToGrid w:val="0"/>
              <w:jc w:val="center"/>
              <w:rPr>
                <w:rFonts w:hint="eastAsia" w:ascii="宋体" w:hAnsi="宋体" w:eastAsia="宋体" w:cs="宋体"/>
                <w:color w:val="auto"/>
              </w:rPr>
            </w:pPr>
          </w:p>
        </w:tc>
        <w:tc>
          <w:tcPr>
            <w:tcW w:w="1985" w:type="dxa"/>
            <w:vAlign w:val="center"/>
          </w:tcPr>
          <w:p>
            <w:pPr>
              <w:pStyle w:val="31"/>
              <w:widowControl w:val="0"/>
              <w:snapToGrid w:val="0"/>
              <w:jc w:val="center"/>
              <w:rPr>
                <w:rFonts w:hint="eastAsia" w:ascii="宋体" w:hAnsi="宋体" w:eastAsia="宋体" w:cs="宋体"/>
                <w:color w:val="auto"/>
              </w:rPr>
            </w:pPr>
          </w:p>
        </w:tc>
        <w:tc>
          <w:tcPr>
            <w:tcW w:w="1843" w:type="dxa"/>
            <w:vAlign w:val="center"/>
          </w:tcPr>
          <w:p>
            <w:pPr>
              <w:pStyle w:val="31"/>
              <w:widowControl w:val="0"/>
              <w:snapToGrid w:val="0"/>
              <w:jc w:val="center"/>
              <w:rPr>
                <w:rFonts w:hint="eastAsia" w:ascii="宋体" w:hAnsi="宋体" w:eastAsia="宋体" w:cs="宋体"/>
                <w:color w:val="auto"/>
              </w:rPr>
            </w:pPr>
          </w:p>
        </w:tc>
        <w:tc>
          <w:tcPr>
            <w:tcW w:w="1687" w:type="dxa"/>
            <w:vAlign w:val="center"/>
          </w:tcPr>
          <w:p>
            <w:pPr>
              <w:pStyle w:val="31"/>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4</w:t>
            </w:r>
          </w:p>
        </w:tc>
        <w:tc>
          <w:tcPr>
            <w:tcW w:w="2976" w:type="dxa"/>
            <w:vAlign w:val="center"/>
          </w:tcPr>
          <w:p>
            <w:pPr>
              <w:pStyle w:val="31"/>
              <w:widowControl w:val="0"/>
              <w:snapToGrid w:val="0"/>
              <w:jc w:val="center"/>
              <w:rPr>
                <w:rFonts w:hint="eastAsia" w:ascii="宋体" w:hAnsi="宋体" w:eastAsia="宋体" w:cs="宋体"/>
                <w:color w:val="auto"/>
              </w:rPr>
            </w:pPr>
          </w:p>
        </w:tc>
        <w:tc>
          <w:tcPr>
            <w:tcW w:w="1985" w:type="dxa"/>
            <w:vAlign w:val="center"/>
          </w:tcPr>
          <w:p>
            <w:pPr>
              <w:pStyle w:val="31"/>
              <w:widowControl w:val="0"/>
              <w:snapToGrid w:val="0"/>
              <w:jc w:val="center"/>
              <w:rPr>
                <w:rFonts w:hint="eastAsia" w:ascii="宋体" w:hAnsi="宋体" w:eastAsia="宋体" w:cs="宋体"/>
                <w:color w:val="auto"/>
              </w:rPr>
            </w:pPr>
          </w:p>
        </w:tc>
        <w:tc>
          <w:tcPr>
            <w:tcW w:w="1843" w:type="dxa"/>
            <w:vAlign w:val="center"/>
          </w:tcPr>
          <w:p>
            <w:pPr>
              <w:pStyle w:val="31"/>
              <w:widowControl w:val="0"/>
              <w:snapToGrid w:val="0"/>
              <w:jc w:val="center"/>
              <w:rPr>
                <w:rFonts w:hint="eastAsia" w:ascii="宋体" w:hAnsi="宋体" w:eastAsia="宋体" w:cs="宋体"/>
                <w:color w:val="auto"/>
              </w:rPr>
            </w:pPr>
          </w:p>
        </w:tc>
        <w:tc>
          <w:tcPr>
            <w:tcW w:w="1687" w:type="dxa"/>
            <w:vAlign w:val="center"/>
          </w:tcPr>
          <w:p>
            <w:pPr>
              <w:pStyle w:val="31"/>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5</w:t>
            </w:r>
          </w:p>
        </w:tc>
        <w:tc>
          <w:tcPr>
            <w:tcW w:w="2976" w:type="dxa"/>
            <w:vAlign w:val="center"/>
          </w:tcPr>
          <w:p>
            <w:pPr>
              <w:pStyle w:val="31"/>
              <w:widowControl w:val="0"/>
              <w:snapToGrid w:val="0"/>
              <w:jc w:val="center"/>
              <w:rPr>
                <w:rFonts w:hint="eastAsia" w:ascii="宋体" w:hAnsi="宋体" w:eastAsia="宋体" w:cs="宋体"/>
                <w:color w:val="auto"/>
              </w:rPr>
            </w:pPr>
          </w:p>
        </w:tc>
        <w:tc>
          <w:tcPr>
            <w:tcW w:w="1985" w:type="dxa"/>
            <w:vAlign w:val="center"/>
          </w:tcPr>
          <w:p>
            <w:pPr>
              <w:pStyle w:val="31"/>
              <w:widowControl w:val="0"/>
              <w:snapToGrid w:val="0"/>
              <w:jc w:val="center"/>
              <w:rPr>
                <w:rFonts w:hint="eastAsia" w:ascii="宋体" w:hAnsi="宋体" w:eastAsia="宋体" w:cs="宋体"/>
                <w:color w:val="auto"/>
              </w:rPr>
            </w:pPr>
          </w:p>
        </w:tc>
        <w:tc>
          <w:tcPr>
            <w:tcW w:w="1843" w:type="dxa"/>
            <w:vAlign w:val="center"/>
          </w:tcPr>
          <w:p>
            <w:pPr>
              <w:pStyle w:val="31"/>
              <w:widowControl w:val="0"/>
              <w:snapToGrid w:val="0"/>
              <w:jc w:val="center"/>
              <w:rPr>
                <w:rFonts w:hint="eastAsia" w:ascii="宋体" w:hAnsi="宋体" w:eastAsia="宋体" w:cs="宋体"/>
                <w:color w:val="auto"/>
              </w:rPr>
            </w:pPr>
          </w:p>
        </w:tc>
        <w:tc>
          <w:tcPr>
            <w:tcW w:w="1687" w:type="dxa"/>
            <w:vAlign w:val="center"/>
          </w:tcPr>
          <w:p>
            <w:pPr>
              <w:pStyle w:val="31"/>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6</w:t>
            </w:r>
          </w:p>
        </w:tc>
        <w:tc>
          <w:tcPr>
            <w:tcW w:w="2976" w:type="dxa"/>
            <w:vAlign w:val="center"/>
          </w:tcPr>
          <w:p>
            <w:pPr>
              <w:pStyle w:val="31"/>
              <w:widowControl w:val="0"/>
              <w:snapToGrid w:val="0"/>
              <w:jc w:val="center"/>
              <w:rPr>
                <w:rFonts w:hint="eastAsia" w:ascii="宋体" w:hAnsi="宋体" w:eastAsia="宋体" w:cs="宋体"/>
                <w:color w:val="auto"/>
              </w:rPr>
            </w:pPr>
          </w:p>
        </w:tc>
        <w:tc>
          <w:tcPr>
            <w:tcW w:w="1985" w:type="dxa"/>
            <w:vAlign w:val="center"/>
          </w:tcPr>
          <w:p>
            <w:pPr>
              <w:pStyle w:val="31"/>
              <w:widowControl w:val="0"/>
              <w:snapToGrid w:val="0"/>
              <w:jc w:val="center"/>
              <w:rPr>
                <w:rFonts w:hint="eastAsia" w:ascii="宋体" w:hAnsi="宋体" w:eastAsia="宋体" w:cs="宋体"/>
                <w:color w:val="auto"/>
              </w:rPr>
            </w:pPr>
          </w:p>
        </w:tc>
        <w:tc>
          <w:tcPr>
            <w:tcW w:w="1843" w:type="dxa"/>
            <w:vAlign w:val="center"/>
          </w:tcPr>
          <w:p>
            <w:pPr>
              <w:pStyle w:val="31"/>
              <w:widowControl w:val="0"/>
              <w:snapToGrid w:val="0"/>
              <w:jc w:val="center"/>
              <w:rPr>
                <w:rFonts w:hint="eastAsia" w:ascii="宋体" w:hAnsi="宋体" w:eastAsia="宋体" w:cs="宋体"/>
                <w:color w:val="auto"/>
              </w:rPr>
            </w:pPr>
          </w:p>
        </w:tc>
        <w:tc>
          <w:tcPr>
            <w:tcW w:w="1687" w:type="dxa"/>
            <w:vAlign w:val="center"/>
          </w:tcPr>
          <w:p>
            <w:pPr>
              <w:pStyle w:val="31"/>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7</w:t>
            </w:r>
          </w:p>
        </w:tc>
        <w:tc>
          <w:tcPr>
            <w:tcW w:w="2976" w:type="dxa"/>
            <w:vAlign w:val="center"/>
          </w:tcPr>
          <w:p>
            <w:pPr>
              <w:pStyle w:val="31"/>
              <w:widowControl w:val="0"/>
              <w:snapToGrid w:val="0"/>
              <w:jc w:val="center"/>
              <w:rPr>
                <w:rFonts w:hint="eastAsia" w:ascii="宋体" w:hAnsi="宋体" w:eastAsia="宋体" w:cs="宋体"/>
                <w:color w:val="auto"/>
              </w:rPr>
            </w:pPr>
          </w:p>
        </w:tc>
        <w:tc>
          <w:tcPr>
            <w:tcW w:w="1985" w:type="dxa"/>
            <w:vAlign w:val="center"/>
          </w:tcPr>
          <w:p>
            <w:pPr>
              <w:pStyle w:val="31"/>
              <w:widowControl w:val="0"/>
              <w:snapToGrid w:val="0"/>
              <w:jc w:val="center"/>
              <w:rPr>
                <w:rFonts w:hint="eastAsia" w:ascii="宋体" w:hAnsi="宋体" w:eastAsia="宋体" w:cs="宋体"/>
                <w:color w:val="auto"/>
              </w:rPr>
            </w:pPr>
          </w:p>
        </w:tc>
        <w:tc>
          <w:tcPr>
            <w:tcW w:w="1843" w:type="dxa"/>
            <w:vAlign w:val="center"/>
          </w:tcPr>
          <w:p>
            <w:pPr>
              <w:pStyle w:val="31"/>
              <w:widowControl w:val="0"/>
              <w:snapToGrid w:val="0"/>
              <w:jc w:val="center"/>
              <w:rPr>
                <w:rFonts w:hint="eastAsia" w:ascii="宋体" w:hAnsi="宋体" w:eastAsia="宋体" w:cs="宋体"/>
                <w:color w:val="auto"/>
              </w:rPr>
            </w:pPr>
          </w:p>
        </w:tc>
        <w:tc>
          <w:tcPr>
            <w:tcW w:w="1687" w:type="dxa"/>
            <w:vAlign w:val="center"/>
          </w:tcPr>
          <w:p>
            <w:pPr>
              <w:pStyle w:val="31"/>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8</w:t>
            </w:r>
          </w:p>
        </w:tc>
        <w:tc>
          <w:tcPr>
            <w:tcW w:w="2976" w:type="dxa"/>
            <w:vAlign w:val="center"/>
          </w:tcPr>
          <w:p>
            <w:pPr>
              <w:pStyle w:val="31"/>
              <w:widowControl w:val="0"/>
              <w:snapToGrid w:val="0"/>
              <w:jc w:val="center"/>
              <w:rPr>
                <w:rFonts w:hint="eastAsia" w:ascii="宋体" w:hAnsi="宋体" w:eastAsia="宋体" w:cs="宋体"/>
                <w:color w:val="auto"/>
              </w:rPr>
            </w:pPr>
          </w:p>
        </w:tc>
        <w:tc>
          <w:tcPr>
            <w:tcW w:w="1985" w:type="dxa"/>
            <w:vAlign w:val="center"/>
          </w:tcPr>
          <w:p>
            <w:pPr>
              <w:pStyle w:val="31"/>
              <w:widowControl w:val="0"/>
              <w:snapToGrid w:val="0"/>
              <w:jc w:val="center"/>
              <w:rPr>
                <w:rFonts w:hint="eastAsia" w:ascii="宋体" w:hAnsi="宋体" w:eastAsia="宋体" w:cs="宋体"/>
                <w:color w:val="auto"/>
              </w:rPr>
            </w:pPr>
          </w:p>
        </w:tc>
        <w:tc>
          <w:tcPr>
            <w:tcW w:w="1843" w:type="dxa"/>
            <w:vAlign w:val="center"/>
          </w:tcPr>
          <w:p>
            <w:pPr>
              <w:pStyle w:val="31"/>
              <w:widowControl w:val="0"/>
              <w:snapToGrid w:val="0"/>
              <w:jc w:val="center"/>
              <w:rPr>
                <w:rFonts w:hint="eastAsia" w:ascii="宋体" w:hAnsi="宋体" w:eastAsia="宋体" w:cs="宋体"/>
                <w:color w:val="auto"/>
              </w:rPr>
            </w:pPr>
          </w:p>
        </w:tc>
        <w:tc>
          <w:tcPr>
            <w:tcW w:w="1687" w:type="dxa"/>
            <w:vAlign w:val="center"/>
          </w:tcPr>
          <w:p>
            <w:pPr>
              <w:pStyle w:val="31"/>
              <w:widowControl w:val="0"/>
              <w:snapToGrid w:val="0"/>
              <w:jc w:val="center"/>
              <w:rPr>
                <w:rFonts w:hint="eastAsia" w:ascii="宋体" w:hAnsi="宋体" w:eastAsia="宋体" w:cs="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31"/>
              <w:widowControl w:val="0"/>
              <w:snapToGrid w:val="0"/>
              <w:jc w:val="center"/>
              <w:rPr>
                <w:rFonts w:hint="eastAsia" w:ascii="宋体" w:hAnsi="宋体" w:eastAsia="宋体" w:cs="宋体"/>
                <w:color w:val="auto"/>
              </w:rPr>
            </w:pPr>
            <w:r>
              <w:rPr>
                <w:rFonts w:hint="eastAsia" w:ascii="宋体" w:hAnsi="宋体" w:eastAsia="宋体" w:cs="宋体"/>
                <w:color w:val="auto"/>
              </w:rPr>
              <w:t>9</w:t>
            </w:r>
          </w:p>
        </w:tc>
        <w:tc>
          <w:tcPr>
            <w:tcW w:w="2976" w:type="dxa"/>
            <w:vAlign w:val="center"/>
          </w:tcPr>
          <w:p>
            <w:pPr>
              <w:pStyle w:val="31"/>
              <w:widowControl w:val="0"/>
              <w:snapToGrid w:val="0"/>
              <w:jc w:val="center"/>
              <w:rPr>
                <w:rFonts w:hint="eastAsia" w:ascii="宋体" w:hAnsi="宋体" w:eastAsia="宋体" w:cs="宋体"/>
                <w:color w:val="auto"/>
              </w:rPr>
            </w:pPr>
          </w:p>
        </w:tc>
        <w:tc>
          <w:tcPr>
            <w:tcW w:w="1985" w:type="dxa"/>
            <w:vAlign w:val="center"/>
          </w:tcPr>
          <w:p>
            <w:pPr>
              <w:pStyle w:val="31"/>
              <w:widowControl w:val="0"/>
              <w:snapToGrid w:val="0"/>
              <w:jc w:val="center"/>
              <w:rPr>
                <w:rFonts w:hint="eastAsia" w:ascii="宋体" w:hAnsi="宋体" w:eastAsia="宋体" w:cs="宋体"/>
                <w:color w:val="auto"/>
              </w:rPr>
            </w:pPr>
          </w:p>
        </w:tc>
        <w:tc>
          <w:tcPr>
            <w:tcW w:w="1843" w:type="dxa"/>
            <w:vAlign w:val="center"/>
          </w:tcPr>
          <w:p>
            <w:pPr>
              <w:pStyle w:val="31"/>
              <w:widowControl w:val="0"/>
              <w:snapToGrid w:val="0"/>
              <w:jc w:val="center"/>
              <w:rPr>
                <w:rFonts w:hint="eastAsia" w:ascii="宋体" w:hAnsi="宋体" w:eastAsia="宋体" w:cs="宋体"/>
                <w:color w:val="auto"/>
              </w:rPr>
            </w:pPr>
          </w:p>
        </w:tc>
        <w:tc>
          <w:tcPr>
            <w:tcW w:w="1687" w:type="dxa"/>
            <w:vAlign w:val="center"/>
          </w:tcPr>
          <w:p>
            <w:pPr>
              <w:pStyle w:val="31"/>
              <w:widowControl w:val="0"/>
              <w:snapToGrid w:val="0"/>
              <w:jc w:val="center"/>
              <w:rPr>
                <w:rFonts w:hint="eastAsia" w:ascii="宋体" w:hAnsi="宋体" w:eastAsia="宋体" w:cs="宋体"/>
                <w:color w:val="auto"/>
              </w:rPr>
            </w:pPr>
          </w:p>
        </w:tc>
      </w:tr>
    </w:tbl>
    <w:p>
      <w:pPr>
        <w:pStyle w:val="31"/>
        <w:widowControl w:val="0"/>
        <w:spacing w:line="360" w:lineRule="auto"/>
        <w:ind w:firstLine="4320" w:firstLineChars="1800"/>
        <w:rPr>
          <w:rFonts w:hint="eastAsia" w:ascii="宋体" w:hAnsi="宋体" w:eastAsia="宋体" w:cs="宋体"/>
          <w:color w:val="auto"/>
          <w:u w:val="single"/>
        </w:rPr>
      </w:pPr>
      <w:r>
        <w:rPr>
          <w:rFonts w:hint="eastAsia" w:ascii="宋体" w:hAnsi="宋体" w:eastAsia="宋体" w:cs="宋体"/>
          <w:color w:val="auto"/>
        </w:rPr>
        <w:t>法定代表人（授权代表）签字：</w:t>
      </w:r>
      <w:r>
        <w:rPr>
          <w:rFonts w:hint="eastAsia" w:ascii="宋体" w:hAnsi="宋体" w:eastAsia="宋体" w:cs="宋体"/>
          <w:color w:val="auto"/>
          <w:u w:val="single"/>
        </w:rPr>
        <w:t xml:space="preserve">         </w:t>
      </w:r>
    </w:p>
    <w:p>
      <w:pPr>
        <w:pStyle w:val="31"/>
        <w:widowControl w:val="0"/>
        <w:spacing w:line="360" w:lineRule="auto"/>
        <w:ind w:firstLine="5640" w:firstLineChars="2350"/>
        <w:rPr>
          <w:rFonts w:hint="eastAsia" w:ascii="宋体" w:hAnsi="宋体" w:eastAsia="宋体" w:cs="宋体"/>
          <w:color w:val="auto"/>
          <w:u w:val="single"/>
        </w:rPr>
      </w:pPr>
      <w:r>
        <w:rPr>
          <w:rFonts w:hint="eastAsia" w:ascii="宋体" w:hAnsi="宋体" w:eastAsia="宋体" w:cs="宋体"/>
          <w:bCs/>
          <w:color w:val="auto"/>
        </w:rPr>
        <w:t>日期：</w:t>
      </w:r>
      <w:r>
        <w:rPr>
          <w:rFonts w:hint="eastAsia" w:ascii="宋体" w:hAnsi="宋体" w:eastAsia="宋体" w:cs="宋体"/>
          <w:bCs/>
          <w:color w:val="auto"/>
          <w:u w:val="single"/>
        </w:rPr>
        <w:t xml:space="preserve">       </w:t>
      </w:r>
      <w:r>
        <w:rPr>
          <w:rFonts w:hint="eastAsia" w:ascii="宋体" w:hAnsi="宋体" w:eastAsia="宋体" w:cs="宋体"/>
          <w:bCs/>
          <w:color w:val="auto"/>
        </w:rPr>
        <w:t>年</w:t>
      </w:r>
      <w:r>
        <w:rPr>
          <w:rFonts w:hint="eastAsia" w:ascii="宋体" w:hAnsi="宋体" w:eastAsia="宋体" w:cs="宋体"/>
          <w:bCs/>
          <w:color w:val="auto"/>
          <w:u w:val="single"/>
        </w:rPr>
        <w:t xml:space="preserve">    </w:t>
      </w:r>
      <w:r>
        <w:rPr>
          <w:rFonts w:hint="eastAsia" w:ascii="宋体" w:hAnsi="宋体" w:eastAsia="宋体" w:cs="宋体"/>
          <w:bCs/>
          <w:color w:val="auto"/>
        </w:rPr>
        <w:t>月</w:t>
      </w:r>
      <w:r>
        <w:rPr>
          <w:rFonts w:hint="eastAsia" w:ascii="宋体" w:hAnsi="宋体" w:eastAsia="宋体" w:cs="宋体"/>
          <w:bCs/>
          <w:color w:val="auto"/>
          <w:u w:val="single"/>
        </w:rPr>
        <w:t xml:space="preserve">    </w:t>
      </w:r>
      <w:r>
        <w:rPr>
          <w:rFonts w:hint="eastAsia" w:ascii="宋体" w:hAnsi="宋体" w:eastAsia="宋体" w:cs="宋体"/>
          <w:bCs/>
          <w:color w:val="auto"/>
        </w:rPr>
        <w:t>日</w:t>
      </w:r>
    </w:p>
    <w:p>
      <w:pPr>
        <w:adjustRightInd w:val="0"/>
        <w:snapToGrid w:val="0"/>
        <w:spacing w:line="400" w:lineRule="exact"/>
        <w:ind w:left="693" w:hanging="693" w:hangingChars="330"/>
        <w:rPr>
          <w:rFonts w:hint="eastAsia" w:ascii="宋体" w:hAnsi="宋体" w:eastAsia="宋体" w:cs="宋体"/>
          <w:color w:val="auto"/>
          <w:szCs w:val="21"/>
        </w:rPr>
      </w:pPr>
      <w:r>
        <w:rPr>
          <w:rFonts w:hint="eastAsia" w:ascii="宋体" w:hAnsi="宋体" w:eastAsia="宋体" w:cs="宋体"/>
          <w:color w:val="auto"/>
          <w:szCs w:val="21"/>
        </w:rPr>
        <w:t>注：</w:t>
      </w:r>
    </w:p>
    <w:p>
      <w:pPr>
        <w:pStyle w:val="45"/>
        <w:spacing w:line="400" w:lineRule="exact"/>
        <w:ind w:firstLine="420"/>
        <w:rPr>
          <w:rFonts w:hint="eastAsia" w:ascii="宋体" w:hAnsi="宋体" w:eastAsia="宋体" w:cs="宋体"/>
          <w:color w:val="auto"/>
          <w:sz w:val="21"/>
        </w:rPr>
      </w:pPr>
      <w:r>
        <w:rPr>
          <w:rFonts w:hint="eastAsia" w:ascii="宋体" w:hAnsi="宋体" w:eastAsia="宋体" w:cs="宋体"/>
          <w:color w:val="auto"/>
          <w:sz w:val="21"/>
        </w:rPr>
        <w:t>1．投标人应当逐条对照招标文件合同条款，就投标文件对合同条款存在的偏差与例外逐条做出说明；</w:t>
      </w:r>
    </w:p>
    <w:p>
      <w:pPr>
        <w:pStyle w:val="45"/>
        <w:spacing w:line="400" w:lineRule="exact"/>
        <w:ind w:firstLine="420"/>
        <w:rPr>
          <w:rFonts w:hint="eastAsia" w:ascii="宋体" w:hAnsi="宋体" w:eastAsia="宋体" w:cs="宋体"/>
          <w:color w:val="auto"/>
          <w:sz w:val="21"/>
        </w:rPr>
      </w:pPr>
      <w:r>
        <w:rPr>
          <w:rFonts w:hint="eastAsia" w:ascii="宋体" w:hAnsi="宋体" w:eastAsia="宋体" w:cs="宋体"/>
          <w:color w:val="auto"/>
          <w:sz w:val="21"/>
        </w:rPr>
        <w:t>2．如投标文件对合同条款无任何偏差，投标人仅需在本偏离表中填写“无偏离”即可。</w:t>
      </w:r>
    </w:p>
    <w:p>
      <w:pPr>
        <w:pStyle w:val="45"/>
        <w:spacing w:line="400" w:lineRule="exact"/>
        <w:ind w:firstLine="420"/>
        <w:rPr>
          <w:rFonts w:hint="eastAsia" w:ascii="宋体" w:hAnsi="宋体" w:eastAsia="宋体" w:cs="宋体"/>
          <w:color w:val="auto"/>
          <w:sz w:val="21"/>
        </w:rPr>
      </w:pPr>
      <w:r>
        <w:rPr>
          <w:rFonts w:hint="eastAsia" w:ascii="宋体" w:hAnsi="宋体" w:eastAsia="宋体" w:cs="宋体"/>
          <w:color w:val="auto"/>
          <w:sz w:val="21"/>
        </w:rPr>
        <w:t>3. 投标人未填写该表则表示完全满足招标文件合同条款要求。</w:t>
      </w:r>
    </w:p>
    <w:p>
      <w:pPr>
        <w:spacing w:line="360" w:lineRule="auto"/>
        <w:ind w:firstLine="420" w:firstLineChars="200"/>
        <w:rPr>
          <w:rFonts w:hint="eastAsia" w:ascii="宋体" w:hAnsi="宋体" w:eastAsia="宋体" w:cs="宋体"/>
          <w:color w:val="auto"/>
          <w:szCs w:val="21"/>
          <w:u w:color="FF0000"/>
        </w:rPr>
      </w:pPr>
    </w:p>
    <w:p>
      <w:pPr>
        <w:jc w:val="left"/>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br w:type="page"/>
      </w:r>
    </w:p>
    <w:p>
      <w:pPr>
        <w:tabs>
          <w:tab w:val="left" w:pos="576"/>
        </w:tabs>
        <w:spacing w:before="156" w:beforeLines="50" w:after="156" w:afterLines="50" w:line="360" w:lineRule="auto"/>
        <w:outlineLvl w:val="2"/>
        <w:rPr>
          <w:rFonts w:hint="eastAsia" w:ascii="宋体" w:hAnsi="宋体" w:eastAsia="宋体" w:cs="宋体"/>
          <w:color w:val="auto"/>
          <w:sz w:val="24"/>
          <w:szCs w:val="24"/>
          <w:u w:color="000000"/>
        </w:rPr>
      </w:pPr>
      <w:bookmarkStart w:id="41" w:name="_Toc11859496"/>
      <w:bookmarkStart w:id="42" w:name="_Toc57875966"/>
      <w:r>
        <w:rPr>
          <w:rFonts w:hint="eastAsia" w:ascii="宋体" w:hAnsi="宋体" w:eastAsia="宋体" w:cs="宋体"/>
          <w:color w:val="auto"/>
          <w:sz w:val="24"/>
          <w:szCs w:val="24"/>
          <w:u w:color="000000"/>
        </w:rPr>
        <w:t>6.6 技术参数响应及偏离表</w:t>
      </w:r>
      <w:bookmarkEnd w:id="41"/>
      <w:bookmarkEnd w:id="42"/>
    </w:p>
    <w:p>
      <w:pPr>
        <w:spacing w:before="156" w:beforeLines="50" w:after="156" w:afterLines="50" w:line="360" w:lineRule="auto"/>
        <w:jc w:val="center"/>
        <w:rPr>
          <w:rFonts w:hint="eastAsia" w:ascii="宋体" w:hAnsi="宋体" w:eastAsia="宋体" w:cs="宋体"/>
          <w:bCs/>
          <w:color w:val="auto"/>
          <w:sz w:val="28"/>
          <w:szCs w:val="28"/>
          <w:u w:color="000000"/>
          <w:lang w:val="zh-TW" w:eastAsia="zh-TW"/>
        </w:rPr>
      </w:pPr>
      <w:r>
        <w:rPr>
          <w:rFonts w:hint="eastAsia" w:ascii="宋体" w:hAnsi="宋体" w:eastAsia="宋体" w:cs="宋体"/>
          <w:bCs/>
          <w:color w:val="auto"/>
          <w:sz w:val="28"/>
          <w:szCs w:val="28"/>
          <w:u w:color="000000"/>
          <w:lang w:val="zh-TW"/>
        </w:rPr>
        <w:t>技术参数响应及偏离表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投标人全称（公章）：</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lang w:eastAsia="zh-CN"/>
        </w:rPr>
        <w:t>南京邮电大学通达学院通信原理虚实结合实验平台采购项目</w:t>
      </w:r>
    </w:p>
    <w:tbl>
      <w:tblPr>
        <w:tblStyle w:val="24"/>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408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r>
    </w:tbl>
    <w:p>
      <w:pPr>
        <w:pStyle w:val="31"/>
        <w:widowControl w:val="0"/>
        <w:spacing w:line="360" w:lineRule="auto"/>
        <w:ind w:firstLine="4320" w:firstLineChars="1800"/>
        <w:rPr>
          <w:rFonts w:hint="eastAsia" w:ascii="宋体" w:hAnsi="宋体" w:eastAsia="宋体" w:cs="宋体"/>
          <w:color w:val="auto"/>
          <w:u w:val="single"/>
        </w:rPr>
      </w:pPr>
      <w:r>
        <w:rPr>
          <w:rFonts w:hint="eastAsia" w:ascii="宋体" w:hAnsi="宋体" w:eastAsia="宋体" w:cs="宋体"/>
          <w:color w:val="auto"/>
        </w:rPr>
        <w:t>法定代表人（授权代表）签字：</w:t>
      </w:r>
      <w:r>
        <w:rPr>
          <w:rFonts w:hint="eastAsia" w:ascii="宋体" w:hAnsi="宋体" w:eastAsia="宋体" w:cs="宋体"/>
          <w:color w:val="auto"/>
          <w:u w:val="single"/>
        </w:rPr>
        <w:t xml:space="preserve">         </w:t>
      </w:r>
    </w:p>
    <w:p>
      <w:pPr>
        <w:pStyle w:val="31"/>
        <w:widowControl w:val="0"/>
        <w:spacing w:line="360" w:lineRule="auto"/>
        <w:ind w:firstLine="5640" w:firstLineChars="2350"/>
        <w:rPr>
          <w:rFonts w:hint="eastAsia" w:ascii="宋体" w:hAnsi="宋体" w:eastAsia="宋体" w:cs="宋体"/>
          <w:color w:val="auto"/>
          <w:u w:val="single"/>
        </w:rPr>
      </w:pPr>
      <w:r>
        <w:rPr>
          <w:rFonts w:hint="eastAsia" w:ascii="宋体" w:hAnsi="宋体" w:eastAsia="宋体" w:cs="宋体"/>
          <w:bCs/>
          <w:color w:val="auto"/>
        </w:rPr>
        <w:t>日期：</w:t>
      </w:r>
      <w:r>
        <w:rPr>
          <w:rFonts w:hint="eastAsia" w:ascii="宋体" w:hAnsi="宋体" w:eastAsia="宋体" w:cs="宋体"/>
          <w:bCs/>
          <w:color w:val="auto"/>
          <w:u w:val="single"/>
        </w:rPr>
        <w:t xml:space="preserve">       </w:t>
      </w:r>
      <w:r>
        <w:rPr>
          <w:rFonts w:hint="eastAsia" w:ascii="宋体" w:hAnsi="宋体" w:eastAsia="宋体" w:cs="宋体"/>
          <w:bCs/>
          <w:color w:val="auto"/>
        </w:rPr>
        <w:t>年</w:t>
      </w:r>
      <w:r>
        <w:rPr>
          <w:rFonts w:hint="eastAsia" w:ascii="宋体" w:hAnsi="宋体" w:eastAsia="宋体" w:cs="宋体"/>
          <w:bCs/>
          <w:color w:val="auto"/>
          <w:u w:val="single"/>
        </w:rPr>
        <w:t xml:space="preserve">    </w:t>
      </w:r>
      <w:r>
        <w:rPr>
          <w:rFonts w:hint="eastAsia" w:ascii="宋体" w:hAnsi="宋体" w:eastAsia="宋体" w:cs="宋体"/>
          <w:bCs/>
          <w:color w:val="auto"/>
        </w:rPr>
        <w:t>月</w:t>
      </w:r>
      <w:r>
        <w:rPr>
          <w:rFonts w:hint="eastAsia" w:ascii="宋体" w:hAnsi="宋体" w:eastAsia="宋体" w:cs="宋体"/>
          <w:bCs/>
          <w:color w:val="auto"/>
          <w:u w:val="single"/>
        </w:rPr>
        <w:t xml:space="preserve">    </w:t>
      </w:r>
      <w:r>
        <w:rPr>
          <w:rFonts w:hint="eastAsia" w:ascii="宋体" w:hAnsi="宋体" w:eastAsia="宋体" w:cs="宋体"/>
          <w:bCs/>
          <w:color w:val="auto"/>
        </w:rPr>
        <w:t>日</w:t>
      </w:r>
    </w:p>
    <w:p>
      <w:pPr>
        <w:pStyle w:val="45"/>
        <w:snapToGrid w:val="0"/>
        <w:spacing w:line="400" w:lineRule="exact"/>
        <w:ind w:firstLine="420"/>
        <w:rPr>
          <w:rFonts w:hint="eastAsia" w:ascii="宋体" w:hAnsi="宋体" w:eastAsia="宋体" w:cs="宋体"/>
          <w:color w:val="auto"/>
          <w:sz w:val="21"/>
        </w:rPr>
      </w:pPr>
    </w:p>
    <w:p>
      <w:pPr>
        <w:pStyle w:val="45"/>
        <w:snapToGrid w:val="0"/>
        <w:spacing w:line="400" w:lineRule="exact"/>
        <w:ind w:firstLine="420"/>
        <w:rPr>
          <w:rFonts w:hint="eastAsia" w:ascii="宋体" w:hAnsi="宋体" w:eastAsia="宋体" w:cs="宋体"/>
          <w:color w:val="auto"/>
          <w:sz w:val="21"/>
        </w:rPr>
      </w:pPr>
      <w:r>
        <w:rPr>
          <w:rFonts w:hint="eastAsia" w:ascii="宋体" w:hAnsi="宋体" w:eastAsia="宋体" w:cs="宋体"/>
          <w:color w:val="auto"/>
          <w:sz w:val="21"/>
        </w:rPr>
        <w:t>注：1．投标人应当逐条对照招标文件技术条款，就投标文件对技术条款存在的偏差与例外逐条做出说明；</w:t>
      </w:r>
    </w:p>
    <w:p>
      <w:pPr>
        <w:pStyle w:val="45"/>
        <w:snapToGrid w:val="0"/>
        <w:spacing w:line="400" w:lineRule="exact"/>
        <w:ind w:firstLine="420"/>
        <w:rPr>
          <w:rFonts w:hint="eastAsia" w:ascii="宋体" w:hAnsi="宋体" w:eastAsia="宋体" w:cs="宋体"/>
          <w:color w:val="auto"/>
          <w:sz w:val="21"/>
        </w:rPr>
      </w:pPr>
      <w:r>
        <w:rPr>
          <w:rFonts w:hint="eastAsia" w:ascii="宋体" w:hAnsi="宋体" w:eastAsia="宋体" w:cs="宋体"/>
          <w:color w:val="auto"/>
          <w:sz w:val="21"/>
        </w:rPr>
        <w:t>2．如投标文件对技术条款无任何偏差，投标人仅需在本偏离表中填写“无偏离”即可。</w:t>
      </w:r>
    </w:p>
    <w:p>
      <w:pPr>
        <w:shd w:val="clear" w:color="auto" w:fill="FFFFFF"/>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 投标人未填写该表则表示完全满足招标文件技术条款要求。</w:t>
      </w:r>
    </w:p>
    <w:p>
      <w:pPr>
        <w:spacing w:line="360" w:lineRule="auto"/>
        <w:rPr>
          <w:rFonts w:hint="eastAsia" w:ascii="宋体" w:hAnsi="宋体" w:eastAsia="宋体" w:cs="宋体"/>
          <w:color w:val="auto"/>
          <w:szCs w:val="21"/>
          <w:u w:color="FF0000"/>
        </w:rPr>
      </w:pPr>
    </w:p>
    <w:p>
      <w:pPr>
        <w:widowControl/>
        <w:jc w:val="left"/>
        <w:rPr>
          <w:rFonts w:hint="eastAsia" w:ascii="宋体" w:hAnsi="宋体" w:eastAsia="宋体" w:cs="宋体"/>
          <w:color w:val="auto"/>
          <w:szCs w:val="21"/>
          <w:u w:color="FF0000"/>
        </w:rPr>
      </w:pPr>
      <w:r>
        <w:rPr>
          <w:rFonts w:hint="eastAsia" w:ascii="宋体" w:hAnsi="宋体" w:eastAsia="宋体" w:cs="宋体"/>
          <w:color w:val="auto"/>
          <w:szCs w:val="21"/>
          <w:u w:color="FF0000"/>
        </w:rPr>
        <w:br w:type="page"/>
      </w:r>
    </w:p>
    <w:p>
      <w:pPr>
        <w:tabs>
          <w:tab w:val="left" w:pos="576"/>
        </w:tabs>
        <w:spacing w:before="156" w:beforeLines="50" w:after="156" w:afterLines="50" w:line="360" w:lineRule="auto"/>
        <w:outlineLvl w:val="2"/>
        <w:rPr>
          <w:rFonts w:hint="eastAsia" w:ascii="宋体" w:hAnsi="宋体" w:eastAsia="宋体" w:cs="宋体"/>
          <w:color w:val="auto"/>
          <w:sz w:val="24"/>
          <w:szCs w:val="24"/>
          <w:u w:color="000000"/>
        </w:rPr>
      </w:pPr>
      <w:bookmarkStart w:id="43" w:name="_Toc57875967"/>
      <w:r>
        <w:rPr>
          <w:rFonts w:hint="eastAsia" w:ascii="宋体" w:hAnsi="宋体" w:eastAsia="宋体" w:cs="宋体"/>
          <w:color w:val="auto"/>
          <w:sz w:val="24"/>
          <w:szCs w:val="24"/>
          <w:u w:color="000000"/>
        </w:rPr>
        <w:t>6.7 技术规范点对点应答</w:t>
      </w:r>
      <w:bookmarkEnd w:id="43"/>
    </w:p>
    <w:p>
      <w:pPr>
        <w:spacing w:line="360" w:lineRule="auto"/>
        <w:rPr>
          <w:rFonts w:hint="eastAsia" w:ascii="宋体" w:hAnsi="宋体" w:eastAsia="宋体" w:cs="宋体"/>
          <w:color w:val="auto"/>
          <w:szCs w:val="21"/>
          <w:u w:color="FF0000"/>
        </w:rPr>
      </w:pPr>
    </w:p>
    <w:p>
      <w:pPr>
        <w:spacing w:line="360" w:lineRule="auto"/>
        <w:rPr>
          <w:rFonts w:hint="eastAsia" w:ascii="宋体" w:hAnsi="宋体" w:eastAsia="宋体" w:cs="宋体"/>
          <w:color w:val="auto"/>
          <w:szCs w:val="21"/>
          <w:u w:color="FF0000"/>
        </w:rPr>
      </w:pPr>
    </w:p>
    <w:p>
      <w:pPr>
        <w:spacing w:line="360" w:lineRule="auto"/>
        <w:rPr>
          <w:rFonts w:hint="eastAsia" w:ascii="宋体" w:hAnsi="宋体" w:eastAsia="宋体" w:cs="宋体"/>
          <w:color w:val="auto"/>
          <w:szCs w:val="21"/>
          <w:u w:color="FF0000"/>
        </w:rPr>
      </w:pPr>
    </w:p>
    <w:p>
      <w:pPr>
        <w:widowControl/>
        <w:jc w:val="left"/>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br w:type="page"/>
      </w:r>
    </w:p>
    <w:p>
      <w:pPr>
        <w:tabs>
          <w:tab w:val="left" w:pos="576"/>
        </w:tabs>
        <w:spacing w:before="156" w:beforeLines="50" w:after="156" w:afterLines="50" w:line="360" w:lineRule="auto"/>
        <w:outlineLvl w:val="2"/>
        <w:rPr>
          <w:rFonts w:hint="eastAsia" w:ascii="宋体" w:hAnsi="宋体" w:eastAsia="宋体" w:cs="宋体"/>
          <w:color w:val="auto"/>
          <w:sz w:val="24"/>
          <w:szCs w:val="24"/>
          <w:u w:color="000000"/>
          <w:lang w:val="en-US" w:eastAsia="zh-CN"/>
        </w:rPr>
      </w:pPr>
      <w:bookmarkStart w:id="44" w:name="_Toc57875968"/>
      <w:r>
        <w:rPr>
          <w:rFonts w:hint="eastAsia" w:ascii="宋体" w:hAnsi="宋体" w:eastAsia="宋体" w:cs="宋体"/>
          <w:color w:val="auto"/>
          <w:sz w:val="24"/>
          <w:szCs w:val="24"/>
          <w:u w:color="000000"/>
        </w:rPr>
        <w:t xml:space="preserve">6.8 </w:t>
      </w:r>
      <w:r>
        <w:rPr>
          <w:rFonts w:hint="eastAsia" w:ascii="宋体" w:hAnsi="宋体" w:eastAsia="宋体" w:cs="宋体"/>
          <w:color w:val="auto"/>
          <w:sz w:val="24"/>
          <w:szCs w:val="24"/>
          <w:u w:color="000000"/>
          <w:lang w:val="en-US" w:eastAsia="zh-CN"/>
        </w:rPr>
        <w:t>综合实力证明</w:t>
      </w:r>
    </w:p>
    <w:p>
      <w:pPr>
        <w:bidi w:val="0"/>
        <w:jc w:val="center"/>
        <w:rPr>
          <w:rFonts w:hint="eastAsia" w:ascii="宋体" w:hAnsi="宋体" w:eastAsia="宋体" w:cs="宋体"/>
          <w:color w:val="auto"/>
          <w:sz w:val="28"/>
          <w:szCs w:val="24"/>
          <w:u w:color="000000"/>
          <w:lang w:val="zh-TW" w:eastAsia="zh-TW"/>
        </w:rPr>
      </w:pPr>
      <w:r>
        <w:rPr>
          <w:rFonts w:hint="eastAsia" w:ascii="宋体" w:hAnsi="宋体" w:eastAsia="宋体" w:cs="宋体"/>
          <w:color w:val="auto"/>
          <w:sz w:val="28"/>
          <w:szCs w:val="24"/>
          <w:u w:color="000000"/>
          <w:lang w:val="zh-TW" w:eastAsia="zh-TW"/>
        </w:rPr>
        <w:t>业绩情况表</w:t>
      </w:r>
      <w:bookmarkEnd w:id="44"/>
    </w:p>
    <w:p>
      <w:pPr>
        <w:pStyle w:val="36"/>
        <w:widowControl w:val="0"/>
        <w:ind w:firstLine="0" w:firstLineChars="0"/>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近年（</w:t>
      </w:r>
      <w:r>
        <w:rPr>
          <w:rFonts w:hint="eastAsia" w:ascii="宋体" w:hAnsi="宋体" w:eastAsia="宋体" w:cs="宋体"/>
          <w:bCs/>
          <w:color w:val="auto"/>
          <w:sz w:val="21"/>
          <w:szCs w:val="21"/>
          <w:u w:val="single"/>
          <w:lang w:eastAsia="zh-CN"/>
        </w:rPr>
        <w:t xml:space="preserve">    </w:t>
      </w:r>
      <w:r>
        <w:rPr>
          <w:rFonts w:hint="eastAsia" w:ascii="宋体" w:hAnsi="宋体" w:eastAsia="宋体" w:cs="宋体"/>
          <w:bCs/>
          <w:color w:val="auto"/>
          <w:sz w:val="21"/>
          <w:szCs w:val="21"/>
          <w:lang w:eastAsia="zh-CN"/>
        </w:rPr>
        <w:t>年</w:t>
      </w:r>
      <w:r>
        <w:rPr>
          <w:rFonts w:hint="eastAsia" w:ascii="宋体" w:hAnsi="宋体" w:eastAsia="宋体" w:cs="宋体"/>
          <w:bCs/>
          <w:color w:val="auto"/>
          <w:sz w:val="21"/>
          <w:szCs w:val="21"/>
          <w:u w:val="single"/>
          <w:lang w:eastAsia="zh-CN"/>
        </w:rPr>
        <w:t xml:space="preserve">  </w:t>
      </w:r>
      <w:r>
        <w:rPr>
          <w:rFonts w:hint="eastAsia" w:ascii="宋体" w:hAnsi="宋体" w:eastAsia="宋体" w:cs="宋体"/>
          <w:bCs/>
          <w:color w:val="auto"/>
          <w:sz w:val="21"/>
          <w:szCs w:val="21"/>
          <w:lang w:eastAsia="zh-CN"/>
        </w:rPr>
        <w:t>月</w:t>
      </w:r>
      <w:r>
        <w:rPr>
          <w:rFonts w:hint="eastAsia" w:ascii="宋体" w:hAnsi="宋体" w:eastAsia="宋体" w:cs="宋体"/>
          <w:bCs/>
          <w:color w:val="auto"/>
          <w:sz w:val="21"/>
          <w:szCs w:val="21"/>
          <w:u w:val="single"/>
          <w:lang w:eastAsia="zh-CN"/>
        </w:rPr>
        <w:t xml:space="preserve">  </w:t>
      </w:r>
      <w:r>
        <w:rPr>
          <w:rFonts w:hint="eastAsia" w:ascii="宋体" w:hAnsi="宋体" w:eastAsia="宋体" w:cs="宋体"/>
          <w:bCs/>
          <w:color w:val="auto"/>
          <w:sz w:val="21"/>
          <w:szCs w:val="21"/>
          <w:lang w:eastAsia="zh-CN"/>
        </w:rPr>
        <w:t>日至</w:t>
      </w:r>
      <w:r>
        <w:rPr>
          <w:rFonts w:hint="eastAsia" w:ascii="宋体" w:hAnsi="宋体" w:eastAsia="宋体" w:cs="宋体"/>
          <w:bCs/>
          <w:color w:val="auto"/>
          <w:sz w:val="21"/>
          <w:szCs w:val="21"/>
          <w:u w:val="single"/>
          <w:lang w:eastAsia="zh-CN"/>
        </w:rPr>
        <w:t xml:space="preserve">    </w:t>
      </w:r>
      <w:r>
        <w:rPr>
          <w:rFonts w:hint="eastAsia" w:ascii="宋体" w:hAnsi="宋体" w:eastAsia="宋体" w:cs="宋体"/>
          <w:bCs/>
          <w:color w:val="auto"/>
          <w:sz w:val="21"/>
          <w:szCs w:val="21"/>
          <w:lang w:eastAsia="zh-CN"/>
        </w:rPr>
        <w:t>年</w:t>
      </w:r>
      <w:r>
        <w:rPr>
          <w:rFonts w:hint="eastAsia" w:ascii="宋体" w:hAnsi="宋体" w:eastAsia="宋体" w:cs="宋体"/>
          <w:bCs/>
          <w:color w:val="auto"/>
          <w:sz w:val="21"/>
          <w:szCs w:val="21"/>
          <w:u w:val="single"/>
          <w:lang w:eastAsia="zh-CN"/>
        </w:rPr>
        <w:t xml:space="preserve">  </w:t>
      </w:r>
      <w:r>
        <w:rPr>
          <w:rFonts w:hint="eastAsia" w:ascii="宋体" w:hAnsi="宋体" w:eastAsia="宋体" w:cs="宋体"/>
          <w:bCs/>
          <w:color w:val="auto"/>
          <w:sz w:val="21"/>
          <w:szCs w:val="21"/>
          <w:lang w:eastAsia="zh-CN"/>
        </w:rPr>
        <w:t>月</w:t>
      </w:r>
      <w:r>
        <w:rPr>
          <w:rFonts w:hint="eastAsia" w:ascii="宋体" w:hAnsi="宋体" w:eastAsia="宋体" w:cs="宋体"/>
          <w:bCs/>
          <w:color w:val="auto"/>
          <w:sz w:val="21"/>
          <w:szCs w:val="21"/>
          <w:u w:val="single"/>
          <w:lang w:eastAsia="zh-CN"/>
        </w:rPr>
        <w:t xml:space="preserve">  </w:t>
      </w:r>
      <w:r>
        <w:rPr>
          <w:rFonts w:hint="eastAsia" w:ascii="宋体" w:hAnsi="宋体" w:eastAsia="宋体" w:cs="宋体"/>
          <w:bCs/>
          <w:color w:val="auto"/>
          <w:sz w:val="21"/>
          <w:szCs w:val="21"/>
          <w:lang w:eastAsia="zh-CN"/>
        </w:rPr>
        <w:t>日）业绩情况表</w:t>
      </w:r>
    </w:p>
    <w:tbl>
      <w:tblPr>
        <w:tblStyle w:val="24"/>
        <w:tblW w:w="9003"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95"/>
        <w:gridCol w:w="1095"/>
        <w:gridCol w:w="1003"/>
        <w:gridCol w:w="913"/>
        <w:gridCol w:w="731"/>
        <w:gridCol w:w="913"/>
        <w:gridCol w:w="913"/>
        <w:gridCol w:w="1005"/>
        <w:gridCol w:w="6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before="124" w:beforeLines="40" w:after="124" w:afterLines="40"/>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095" w:type="dxa"/>
            <w:vAlign w:val="center"/>
          </w:tcPr>
          <w:p>
            <w:pPr>
              <w:spacing w:before="124" w:beforeLines="40" w:after="124" w:afterLines="40"/>
              <w:jc w:val="center"/>
              <w:rPr>
                <w:rFonts w:hint="eastAsia" w:ascii="宋体" w:hAnsi="宋体" w:eastAsia="宋体" w:cs="宋体"/>
                <w:color w:val="auto"/>
                <w:szCs w:val="21"/>
              </w:rPr>
            </w:pPr>
            <w:r>
              <w:rPr>
                <w:rFonts w:hint="eastAsia" w:ascii="宋体" w:hAnsi="宋体" w:eastAsia="宋体" w:cs="宋体"/>
                <w:color w:val="auto"/>
                <w:szCs w:val="21"/>
              </w:rPr>
              <w:t>合同名称</w:t>
            </w:r>
          </w:p>
        </w:tc>
        <w:tc>
          <w:tcPr>
            <w:tcW w:w="1095" w:type="dxa"/>
            <w:vAlign w:val="center"/>
          </w:tcPr>
          <w:p>
            <w:pPr>
              <w:spacing w:before="124" w:beforeLines="40" w:after="124" w:afterLines="40"/>
              <w:jc w:val="center"/>
              <w:rPr>
                <w:rFonts w:hint="eastAsia" w:ascii="宋体" w:hAnsi="宋体" w:eastAsia="宋体" w:cs="宋体"/>
                <w:color w:val="auto"/>
                <w:szCs w:val="21"/>
              </w:rPr>
            </w:pPr>
            <w:r>
              <w:rPr>
                <w:rFonts w:hint="eastAsia" w:ascii="宋体" w:hAnsi="宋体" w:eastAsia="宋体" w:cs="宋体"/>
                <w:color w:val="auto"/>
                <w:szCs w:val="21"/>
              </w:rPr>
              <w:t>合同编号</w:t>
            </w:r>
          </w:p>
        </w:tc>
        <w:tc>
          <w:tcPr>
            <w:tcW w:w="1003" w:type="dxa"/>
            <w:vAlign w:val="center"/>
          </w:tcPr>
          <w:p>
            <w:pPr>
              <w:spacing w:before="124" w:beforeLines="40" w:after="124" w:afterLines="40"/>
              <w:jc w:val="center"/>
              <w:rPr>
                <w:rFonts w:hint="eastAsia" w:ascii="宋体" w:hAnsi="宋体" w:eastAsia="宋体" w:cs="宋体"/>
                <w:color w:val="auto"/>
                <w:szCs w:val="21"/>
              </w:rPr>
            </w:pPr>
            <w:r>
              <w:rPr>
                <w:rFonts w:hint="eastAsia" w:ascii="宋体" w:hAnsi="宋体" w:eastAsia="宋体" w:cs="宋体"/>
                <w:color w:val="auto"/>
                <w:szCs w:val="21"/>
              </w:rPr>
              <w:t>合同签订时间</w:t>
            </w:r>
          </w:p>
        </w:tc>
        <w:tc>
          <w:tcPr>
            <w:tcW w:w="913" w:type="dxa"/>
            <w:vAlign w:val="center"/>
          </w:tcPr>
          <w:p>
            <w:pPr>
              <w:spacing w:before="124" w:beforeLines="40" w:after="124" w:afterLines="40"/>
              <w:jc w:val="center"/>
              <w:rPr>
                <w:rFonts w:hint="eastAsia" w:ascii="宋体" w:hAnsi="宋体" w:eastAsia="宋体" w:cs="宋体"/>
                <w:color w:val="auto"/>
                <w:szCs w:val="21"/>
              </w:rPr>
            </w:pPr>
            <w:r>
              <w:rPr>
                <w:rFonts w:hint="eastAsia" w:ascii="宋体" w:hAnsi="宋体" w:eastAsia="宋体" w:cs="宋体"/>
                <w:color w:val="auto"/>
                <w:szCs w:val="21"/>
              </w:rPr>
              <w:t>采购内容</w:t>
            </w:r>
          </w:p>
        </w:tc>
        <w:tc>
          <w:tcPr>
            <w:tcW w:w="731" w:type="dxa"/>
            <w:vAlign w:val="center"/>
          </w:tcPr>
          <w:p>
            <w:pPr>
              <w:spacing w:before="124" w:beforeLines="40" w:after="124" w:afterLines="40"/>
              <w:jc w:val="center"/>
              <w:rPr>
                <w:rFonts w:hint="eastAsia" w:ascii="宋体" w:hAnsi="宋体" w:eastAsia="宋体" w:cs="宋体"/>
                <w:color w:val="auto"/>
                <w:szCs w:val="21"/>
              </w:rPr>
            </w:pPr>
            <w:r>
              <w:rPr>
                <w:rFonts w:hint="eastAsia" w:ascii="宋体" w:hAnsi="宋体" w:eastAsia="宋体" w:cs="宋体"/>
                <w:color w:val="auto"/>
                <w:szCs w:val="21"/>
              </w:rPr>
              <w:t>合同金额（万元）</w:t>
            </w:r>
          </w:p>
        </w:tc>
        <w:tc>
          <w:tcPr>
            <w:tcW w:w="913" w:type="dxa"/>
            <w:vAlign w:val="center"/>
          </w:tcPr>
          <w:p>
            <w:pPr>
              <w:spacing w:before="124" w:beforeLines="40" w:after="124" w:afterLines="40"/>
              <w:jc w:val="center"/>
              <w:rPr>
                <w:rFonts w:hint="eastAsia" w:ascii="宋体" w:hAnsi="宋体" w:eastAsia="宋体" w:cs="宋体"/>
                <w:color w:val="auto"/>
                <w:szCs w:val="21"/>
              </w:rPr>
            </w:pPr>
            <w:r>
              <w:rPr>
                <w:rFonts w:hint="eastAsia" w:ascii="宋体" w:hAnsi="宋体" w:eastAsia="宋体" w:cs="宋体"/>
                <w:color w:val="auto"/>
                <w:szCs w:val="21"/>
              </w:rPr>
              <w:t>合同卖方</w:t>
            </w:r>
          </w:p>
        </w:tc>
        <w:tc>
          <w:tcPr>
            <w:tcW w:w="913" w:type="dxa"/>
            <w:vAlign w:val="center"/>
          </w:tcPr>
          <w:p>
            <w:pPr>
              <w:spacing w:before="124" w:beforeLines="40" w:after="124" w:afterLines="40"/>
              <w:jc w:val="center"/>
              <w:rPr>
                <w:rFonts w:hint="eastAsia" w:ascii="宋体" w:hAnsi="宋体" w:eastAsia="宋体" w:cs="宋体"/>
                <w:color w:val="auto"/>
                <w:szCs w:val="21"/>
              </w:rPr>
            </w:pPr>
            <w:r>
              <w:rPr>
                <w:rFonts w:hint="eastAsia" w:ascii="宋体" w:hAnsi="宋体" w:eastAsia="宋体" w:cs="宋体"/>
                <w:color w:val="auto"/>
                <w:szCs w:val="21"/>
              </w:rPr>
              <w:t>合同买方</w:t>
            </w:r>
          </w:p>
        </w:tc>
        <w:tc>
          <w:tcPr>
            <w:tcW w:w="1005" w:type="dxa"/>
            <w:vAlign w:val="center"/>
          </w:tcPr>
          <w:p>
            <w:pPr>
              <w:spacing w:before="124" w:beforeLines="40" w:after="124" w:afterLines="40"/>
              <w:jc w:val="center"/>
              <w:rPr>
                <w:rFonts w:hint="eastAsia" w:ascii="宋体" w:hAnsi="宋体" w:eastAsia="宋体" w:cs="宋体"/>
                <w:color w:val="auto"/>
                <w:szCs w:val="21"/>
              </w:rPr>
            </w:pPr>
            <w:r>
              <w:rPr>
                <w:rFonts w:hint="eastAsia" w:ascii="宋体" w:hAnsi="宋体" w:eastAsia="宋体" w:cs="宋体"/>
                <w:color w:val="auto"/>
                <w:szCs w:val="21"/>
              </w:rPr>
              <w:t>合同买方联系人及联系电话</w:t>
            </w:r>
          </w:p>
        </w:tc>
        <w:tc>
          <w:tcPr>
            <w:tcW w:w="697" w:type="dxa"/>
            <w:vAlign w:val="center"/>
          </w:tcPr>
          <w:p>
            <w:pPr>
              <w:spacing w:before="124" w:beforeLines="40" w:after="124" w:afterLines="40"/>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pacing w:before="124" w:beforeLines="40" w:after="124" w:afterLines="40"/>
              <w:jc w:val="center"/>
              <w:rPr>
                <w:rFonts w:hint="eastAsia" w:ascii="宋体" w:hAnsi="宋体" w:eastAsia="宋体" w:cs="宋体"/>
                <w:color w:val="auto"/>
                <w:szCs w:val="21"/>
              </w:rPr>
            </w:pPr>
          </w:p>
        </w:tc>
        <w:tc>
          <w:tcPr>
            <w:tcW w:w="1095" w:type="dxa"/>
          </w:tcPr>
          <w:p>
            <w:pPr>
              <w:spacing w:before="124" w:beforeLines="40" w:after="124" w:afterLines="40"/>
              <w:jc w:val="center"/>
              <w:rPr>
                <w:rFonts w:hint="eastAsia" w:ascii="宋体" w:hAnsi="宋体" w:eastAsia="宋体" w:cs="宋体"/>
                <w:color w:val="auto"/>
                <w:szCs w:val="21"/>
              </w:rPr>
            </w:pPr>
          </w:p>
        </w:tc>
        <w:tc>
          <w:tcPr>
            <w:tcW w:w="1095" w:type="dxa"/>
          </w:tcPr>
          <w:p>
            <w:pPr>
              <w:spacing w:before="124" w:beforeLines="40" w:after="124" w:afterLines="40"/>
              <w:jc w:val="center"/>
              <w:rPr>
                <w:rFonts w:hint="eastAsia" w:ascii="宋体" w:hAnsi="宋体" w:eastAsia="宋体" w:cs="宋体"/>
                <w:color w:val="auto"/>
                <w:szCs w:val="21"/>
              </w:rPr>
            </w:pPr>
          </w:p>
        </w:tc>
        <w:tc>
          <w:tcPr>
            <w:tcW w:w="1003" w:type="dxa"/>
          </w:tcPr>
          <w:p>
            <w:pPr>
              <w:spacing w:before="124" w:beforeLines="40" w:after="124" w:afterLines="40"/>
              <w:jc w:val="center"/>
              <w:rPr>
                <w:rFonts w:hint="eastAsia" w:ascii="宋体" w:hAnsi="宋体" w:eastAsia="宋体" w:cs="宋体"/>
                <w:color w:val="auto"/>
                <w:szCs w:val="21"/>
              </w:rPr>
            </w:pPr>
          </w:p>
        </w:tc>
        <w:tc>
          <w:tcPr>
            <w:tcW w:w="913" w:type="dxa"/>
          </w:tcPr>
          <w:p>
            <w:pPr>
              <w:spacing w:before="124" w:beforeLines="40" w:after="124" w:afterLines="40"/>
              <w:jc w:val="center"/>
              <w:rPr>
                <w:rFonts w:hint="eastAsia" w:ascii="宋体" w:hAnsi="宋体" w:eastAsia="宋体" w:cs="宋体"/>
                <w:color w:val="auto"/>
                <w:szCs w:val="21"/>
              </w:rPr>
            </w:pPr>
          </w:p>
        </w:tc>
        <w:tc>
          <w:tcPr>
            <w:tcW w:w="731" w:type="dxa"/>
          </w:tcPr>
          <w:p>
            <w:pPr>
              <w:spacing w:before="124" w:beforeLines="40" w:after="124" w:afterLines="40"/>
              <w:jc w:val="center"/>
              <w:rPr>
                <w:rFonts w:hint="eastAsia" w:ascii="宋体" w:hAnsi="宋体" w:eastAsia="宋体" w:cs="宋体"/>
                <w:color w:val="auto"/>
                <w:szCs w:val="21"/>
              </w:rPr>
            </w:pPr>
          </w:p>
        </w:tc>
        <w:tc>
          <w:tcPr>
            <w:tcW w:w="913" w:type="dxa"/>
          </w:tcPr>
          <w:p>
            <w:pPr>
              <w:spacing w:before="124" w:beforeLines="40" w:after="124" w:afterLines="40"/>
              <w:jc w:val="center"/>
              <w:rPr>
                <w:rFonts w:hint="eastAsia" w:ascii="宋体" w:hAnsi="宋体" w:eastAsia="宋体" w:cs="宋体"/>
                <w:color w:val="auto"/>
                <w:szCs w:val="21"/>
              </w:rPr>
            </w:pPr>
          </w:p>
        </w:tc>
        <w:tc>
          <w:tcPr>
            <w:tcW w:w="913" w:type="dxa"/>
          </w:tcPr>
          <w:p>
            <w:pPr>
              <w:spacing w:before="124" w:beforeLines="40" w:after="124" w:afterLines="40"/>
              <w:jc w:val="center"/>
              <w:rPr>
                <w:rFonts w:hint="eastAsia" w:ascii="宋体" w:hAnsi="宋体" w:eastAsia="宋体" w:cs="宋体"/>
                <w:color w:val="auto"/>
                <w:szCs w:val="21"/>
              </w:rPr>
            </w:pPr>
          </w:p>
        </w:tc>
        <w:tc>
          <w:tcPr>
            <w:tcW w:w="1005" w:type="dxa"/>
          </w:tcPr>
          <w:p>
            <w:pPr>
              <w:spacing w:before="124" w:beforeLines="40" w:after="124" w:afterLines="40"/>
              <w:jc w:val="center"/>
              <w:rPr>
                <w:rFonts w:hint="eastAsia" w:ascii="宋体" w:hAnsi="宋体" w:eastAsia="宋体" w:cs="宋体"/>
                <w:color w:val="auto"/>
                <w:szCs w:val="21"/>
              </w:rPr>
            </w:pPr>
          </w:p>
        </w:tc>
        <w:tc>
          <w:tcPr>
            <w:tcW w:w="697" w:type="dxa"/>
          </w:tcPr>
          <w:p>
            <w:pPr>
              <w:spacing w:before="124" w:beforeLines="40" w:after="124" w:afterLines="40"/>
              <w:jc w:val="center"/>
              <w:rPr>
                <w:rFonts w:hint="eastAsia" w:ascii="宋体" w:hAnsi="宋体" w:eastAsia="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pacing w:before="124" w:beforeLines="40" w:after="124" w:afterLines="40"/>
              <w:jc w:val="center"/>
              <w:rPr>
                <w:rFonts w:hint="eastAsia" w:ascii="宋体" w:hAnsi="宋体" w:eastAsia="宋体" w:cs="宋体"/>
                <w:color w:val="auto"/>
                <w:szCs w:val="21"/>
              </w:rPr>
            </w:pPr>
          </w:p>
        </w:tc>
        <w:tc>
          <w:tcPr>
            <w:tcW w:w="1095" w:type="dxa"/>
          </w:tcPr>
          <w:p>
            <w:pPr>
              <w:spacing w:before="124" w:beforeLines="40" w:after="124" w:afterLines="40"/>
              <w:jc w:val="center"/>
              <w:rPr>
                <w:rFonts w:hint="eastAsia" w:ascii="宋体" w:hAnsi="宋体" w:eastAsia="宋体" w:cs="宋体"/>
                <w:color w:val="auto"/>
                <w:szCs w:val="21"/>
              </w:rPr>
            </w:pPr>
          </w:p>
        </w:tc>
        <w:tc>
          <w:tcPr>
            <w:tcW w:w="1095" w:type="dxa"/>
          </w:tcPr>
          <w:p>
            <w:pPr>
              <w:spacing w:before="124" w:beforeLines="40" w:after="124" w:afterLines="40"/>
              <w:jc w:val="center"/>
              <w:rPr>
                <w:rFonts w:hint="eastAsia" w:ascii="宋体" w:hAnsi="宋体" w:eastAsia="宋体" w:cs="宋体"/>
                <w:color w:val="auto"/>
                <w:szCs w:val="21"/>
              </w:rPr>
            </w:pPr>
          </w:p>
        </w:tc>
        <w:tc>
          <w:tcPr>
            <w:tcW w:w="1003" w:type="dxa"/>
          </w:tcPr>
          <w:p>
            <w:pPr>
              <w:spacing w:before="124" w:beforeLines="40" w:after="124" w:afterLines="40"/>
              <w:jc w:val="center"/>
              <w:rPr>
                <w:rFonts w:hint="eastAsia" w:ascii="宋体" w:hAnsi="宋体" w:eastAsia="宋体" w:cs="宋体"/>
                <w:color w:val="auto"/>
                <w:szCs w:val="21"/>
              </w:rPr>
            </w:pPr>
          </w:p>
        </w:tc>
        <w:tc>
          <w:tcPr>
            <w:tcW w:w="913" w:type="dxa"/>
          </w:tcPr>
          <w:p>
            <w:pPr>
              <w:spacing w:before="124" w:beforeLines="40" w:after="124" w:afterLines="40"/>
              <w:jc w:val="center"/>
              <w:rPr>
                <w:rFonts w:hint="eastAsia" w:ascii="宋体" w:hAnsi="宋体" w:eastAsia="宋体" w:cs="宋体"/>
                <w:color w:val="auto"/>
                <w:szCs w:val="21"/>
              </w:rPr>
            </w:pPr>
          </w:p>
        </w:tc>
        <w:tc>
          <w:tcPr>
            <w:tcW w:w="731" w:type="dxa"/>
          </w:tcPr>
          <w:p>
            <w:pPr>
              <w:spacing w:before="124" w:beforeLines="40" w:after="124" w:afterLines="40"/>
              <w:jc w:val="center"/>
              <w:rPr>
                <w:rFonts w:hint="eastAsia" w:ascii="宋体" w:hAnsi="宋体" w:eastAsia="宋体" w:cs="宋体"/>
                <w:color w:val="auto"/>
                <w:szCs w:val="21"/>
              </w:rPr>
            </w:pPr>
          </w:p>
        </w:tc>
        <w:tc>
          <w:tcPr>
            <w:tcW w:w="913" w:type="dxa"/>
          </w:tcPr>
          <w:p>
            <w:pPr>
              <w:spacing w:before="124" w:beforeLines="40" w:after="124" w:afterLines="40"/>
              <w:jc w:val="center"/>
              <w:rPr>
                <w:rFonts w:hint="eastAsia" w:ascii="宋体" w:hAnsi="宋体" w:eastAsia="宋体" w:cs="宋体"/>
                <w:color w:val="auto"/>
                <w:szCs w:val="21"/>
              </w:rPr>
            </w:pPr>
          </w:p>
        </w:tc>
        <w:tc>
          <w:tcPr>
            <w:tcW w:w="913" w:type="dxa"/>
          </w:tcPr>
          <w:p>
            <w:pPr>
              <w:spacing w:before="124" w:beforeLines="40" w:after="124" w:afterLines="40"/>
              <w:jc w:val="center"/>
              <w:rPr>
                <w:rFonts w:hint="eastAsia" w:ascii="宋体" w:hAnsi="宋体" w:eastAsia="宋体" w:cs="宋体"/>
                <w:color w:val="auto"/>
                <w:szCs w:val="21"/>
              </w:rPr>
            </w:pPr>
          </w:p>
        </w:tc>
        <w:tc>
          <w:tcPr>
            <w:tcW w:w="1005" w:type="dxa"/>
          </w:tcPr>
          <w:p>
            <w:pPr>
              <w:spacing w:before="124" w:beforeLines="40" w:after="124" w:afterLines="40"/>
              <w:jc w:val="center"/>
              <w:rPr>
                <w:rFonts w:hint="eastAsia" w:ascii="宋体" w:hAnsi="宋体" w:eastAsia="宋体" w:cs="宋体"/>
                <w:color w:val="auto"/>
                <w:szCs w:val="21"/>
              </w:rPr>
            </w:pPr>
          </w:p>
        </w:tc>
        <w:tc>
          <w:tcPr>
            <w:tcW w:w="697" w:type="dxa"/>
          </w:tcPr>
          <w:p>
            <w:pPr>
              <w:spacing w:before="124" w:beforeLines="40" w:after="124" w:afterLines="40"/>
              <w:jc w:val="center"/>
              <w:rPr>
                <w:rFonts w:hint="eastAsia" w:ascii="宋体" w:hAnsi="宋体" w:eastAsia="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pacing w:before="124" w:beforeLines="40" w:after="124" w:afterLines="40"/>
              <w:jc w:val="center"/>
              <w:rPr>
                <w:rFonts w:hint="eastAsia" w:ascii="宋体" w:hAnsi="宋体" w:eastAsia="宋体" w:cs="宋体"/>
                <w:color w:val="auto"/>
                <w:szCs w:val="21"/>
              </w:rPr>
            </w:pPr>
          </w:p>
        </w:tc>
        <w:tc>
          <w:tcPr>
            <w:tcW w:w="1095" w:type="dxa"/>
          </w:tcPr>
          <w:p>
            <w:pPr>
              <w:spacing w:before="124" w:beforeLines="40" w:after="124" w:afterLines="40"/>
              <w:jc w:val="center"/>
              <w:rPr>
                <w:rFonts w:hint="eastAsia" w:ascii="宋体" w:hAnsi="宋体" w:eastAsia="宋体" w:cs="宋体"/>
                <w:color w:val="auto"/>
                <w:szCs w:val="21"/>
              </w:rPr>
            </w:pPr>
          </w:p>
        </w:tc>
        <w:tc>
          <w:tcPr>
            <w:tcW w:w="1095" w:type="dxa"/>
          </w:tcPr>
          <w:p>
            <w:pPr>
              <w:spacing w:before="124" w:beforeLines="40" w:after="124" w:afterLines="40"/>
              <w:jc w:val="center"/>
              <w:rPr>
                <w:rFonts w:hint="eastAsia" w:ascii="宋体" w:hAnsi="宋体" w:eastAsia="宋体" w:cs="宋体"/>
                <w:color w:val="auto"/>
                <w:szCs w:val="21"/>
              </w:rPr>
            </w:pPr>
          </w:p>
        </w:tc>
        <w:tc>
          <w:tcPr>
            <w:tcW w:w="1003" w:type="dxa"/>
          </w:tcPr>
          <w:p>
            <w:pPr>
              <w:spacing w:before="124" w:beforeLines="40" w:after="124" w:afterLines="40"/>
              <w:jc w:val="center"/>
              <w:rPr>
                <w:rFonts w:hint="eastAsia" w:ascii="宋体" w:hAnsi="宋体" w:eastAsia="宋体" w:cs="宋体"/>
                <w:color w:val="auto"/>
                <w:szCs w:val="21"/>
              </w:rPr>
            </w:pPr>
          </w:p>
        </w:tc>
        <w:tc>
          <w:tcPr>
            <w:tcW w:w="913" w:type="dxa"/>
          </w:tcPr>
          <w:p>
            <w:pPr>
              <w:spacing w:before="124" w:beforeLines="40" w:after="124" w:afterLines="40"/>
              <w:jc w:val="center"/>
              <w:rPr>
                <w:rFonts w:hint="eastAsia" w:ascii="宋体" w:hAnsi="宋体" w:eastAsia="宋体" w:cs="宋体"/>
                <w:color w:val="auto"/>
                <w:szCs w:val="21"/>
              </w:rPr>
            </w:pPr>
          </w:p>
        </w:tc>
        <w:tc>
          <w:tcPr>
            <w:tcW w:w="731" w:type="dxa"/>
          </w:tcPr>
          <w:p>
            <w:pPr>
              <w:spacing w:before="124" w:beforeLines="40" w:after="124" w:afterLines="40"/>
              <w:jc w:val="center"/>
              <w:rPr>
                <w:rFonts w:hint="eastAsia" w:ascii="宋体" w:hAnsi="宋体" w:eastAsia="宋体" w:cs="宋体"/>
                <w:color w:val="auto"/>
                <w:szCs w:val="21"/>
              </w:rPr>
            </w:pPr>
          </w:p>
        </w:tc>
        <w:tc>
          <w:tcPr>
            <w:tcW w:w="913" w:type="dxa"/>
          </w:tcPr>
          <w:p>
            <w:pPr>
              <w:spacing w:before="124" w:beforeLines="40" w:after="124" w:afterLines="40"/>
              <w:jc w:val="center"/>
              <w:rPr>
                <w:rFonts w:hint="eastAsia" w:ascii="宋体" w:hAnsi="宋体" w:eastAsia="宋体" w:cs="宋体"/>
                <w:color w:val="auto"/>
                <w:szCs w:val="21"/>
              </w:rPr>
            </w:pPr>
          </w:p>
        </w:tc>
        <w:tc>
          <w:tcPr>
            <w:tcW w:w="913" w:type="dxa"/>
          </w:tcPr>
          <w:p>
            <w:pPr>
              <w:spacing w:before="124" w:beforeLines="40" w:after="124" w:afterLines="40"/>
              <w:jc w:val="center"/>
              <w:rPr>
                <w:rFonts w:hint="eastAsia" w:ascii="宋体" w:hAnsi="宋体" w:eastAsia="宋体" w:cs="宋体"/>
                <w:color w:val="auto"/>
                <w:szCs w:val="21"/>
              </w:rPr>
            </w:pPr>
          </w:p>
        </w:tc>
        <w:tc>
          <w:tcPr>
            <w:tcW w:w="1005" w:type="dxa"/>
          </w:tcPr>
          <w:p>
            <w:pPr>
              <w:spacing w:before="124" w:beforeLines="40" w:after="124" w:afterLines="40"/>
              <w:jc w:val="center"/>
              <w:rPr>
                <w:rFonts w:hint="eastAsia" w:ascii="宋体" w:hAnsi="宋体" w:eastAsia="宋体" w:cs="宋体"/>
                <w:color w:val="auto"/>
                <w:szCs w:val="21"/>
              </w:rPr>
            </w:pPr>
          </w:p>
        </w:tc>
        <w:tc>
          <w:tcPr>
            <w:tcW w:w="697" w:type="dxa"/>
          </w:tcPr>
          <w:p>
            <w:pPr>
              <w:spacing w:before="124" w:beforeLines="40" w:after="124" w:afterLines="40"/>
              <w:jc w:val="center"/>
              <w:rPr>
                <w:rFonts w:hint="eastAsia" w:ascii="宋体" w:hAnsi="宋体" w:eastAsia="宋体" w:cs="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475" w:type="dxa"/>
            <w:gridSpan w:val="6"/>
            <w:vAlign w:val="center"/>
          </w:tcPr>
          <w:p>
            <w:pPr>
              <w:spacing w:before="124" w:beforeLines="40" w:after="124" w:afterLines="40"/>
              <w:jc w:val="center"/>
              <w:rPr>
                <w:rFonts w:hint="eastAsia" w:ascii="宋体" w:hAnsi="宋体" w:eastAsia="宋体" w:cs="宋体"/>
                <w:color w:val="auto"/>
                <w:szCs w:val="21"/>
              </w:rPr>
            </w:pPr>
            <w:r>
              <w:rPr>
                <w:rFonts w:hint="eastAsia" w:ascii="宋体" w:hAnsi="宋体" w:eastAsia="宋体" w:cs="宋体"/>
                <w:color w:val="auto"/>
                <w:szCs w:val="21"/>
              </w:rPr>
              <w:t>合同金额合计：</w:t>
            </w:r>
          </w:p>
        </w:tc>
        <w:tc>
          <w:tcPr>
            <w:tcW w:w="3528" w:type="dxa"/>
            <w:gridSpan w:val="4"/>
            <w:vAlign w:val="center"/>
          </w:tcPr>
          <w:p>
            <w:pPr>
              <w:spacing w:before="124" w:beforeLines="40" w:after="124" w:afterLines="40"/>
              <w:jc w:val="center"/>
              <w:rPr>
                <w:rFonts w:hint="eastAsia" w:ascii="宋体" w:hAnsi="宋体" w:eastAsia="宋体" w:cs="宋体"/>
                <w:color w:val="auto"/>
                <w:szCs w:val="21"/>
                <w:u w:val="single"/>
              </w:rPr>
            </w:pPr>
            <w:r>
              <w:rPr>
                <w:rFonts w:hint="eastAsia" w:ascii="宋体" w:hAnsi="宋体" w:eastAsia="宋体" w:cs="宋体"/>
                <w:color w:val="auto"/>
                <w:szCs w:val="21"/>
              </w:rPr>
              <w:t>人民币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万元</w:t>
            </w:r>
          </w:p>
        </w:tc>
      </w:tr>
    </w:tbl>
    <w:p>
      <w:pPr>
        <w:pStyle w:val="45"/>
        <w:ind w:left="315" w:hanging="315" w:hangingChars="150"/>
        <w:rPr>
          <w:rFonts w:hint="eastAsia" w:ascii="宋体" w:hAnsi="宋体" w:eastAsia="宋体" w:cs="宋体"/>
          <w:color w:val="auto"/>
          <w:sz w:val="21"/>
        </w:rPr>
      </w:pPr>
      <w:r>
        <w:rPr>
          <w:rFonts w:hint="eastAsia" w:ascii="宋体" w:hAnsi="宋体" w:eastAsia="宋体" w:cs="宋体"/>
          <w:color w:val="auto"/>
          <w:sz w:val="21"/>
        </w:rPr>
        <w:t>注：若本项目对投标人业绩有要求，投标人应当如实填写本表并根据评分标准中的相关要求在本表后附相关合同关键页（须包括合同名称、服务内容、实施时间、合同金额、合同签字盖章页，如果提供的是框架合同，需提供对应框架合同结算的订单或结算单据）的复印件（加盖公章）或者其他相关证明材料。</w:t>
      </w:r>
    </w:p>
    <w:p>
      <w:pPr>
        <w:spacing w:line="360" w:lineRule="auto"/>
        <w:rPr>
          <w:rFonts w:hint="eastAsia" w:ascii="宋体" w:hAnsi="宋体" w:eastAsia="宋体" w:cs="宋体"/>
          <w:color w:val="auto"/>
          <w:szCs w:val="21"/>
          <w:u w:color="FF0000"/>
        </w:rPr>
      </w:pPr>
    </w:p>
    <w:p>
      <w:pPr>
        <w:spacing w:line="360" w:lineRule="auto"/>
        <w:rPr>
          <w:rFonts w:hint="eastAsia" w:ascii="宋体" w:hAnsi="宋体" w:eastAsia="宋体" w:cs="宋体"/>
          <w:color w:val="auto"/>
          <w:szCs w:val="21"/>
          <w:u w:color="FF0000"/>
        </w:rPr>
      </w:pPr>
    </w:p>
    <w:p>
      <w:pPr>
        <w:jc w:val="left"/>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br w:type="page"/>
      </w:r>
    </w:p>
    <w:p>
      <w:pPr>
        <w:tabs>
          <w:tab w:val="left" w:pos="576"/>
        </w:tabs>
        <w:spacing w:before="156" w:beforeLines="50" w:after="156" w:afterLines="50" w:line="360" w:lineRule="auto"/>
        <w:outlineLvl w:val="2"/>
        <w:rPr>
          <w:rFonts w:hint="eastAsia" w:ascii="宋体" w:hAnsi="宋体" w:eastAsia="宋体" w:cs="宋体"/>
          <w:color w:val="auto"/>
          <w:sz w:val="24"/>
          <w:szCs w:val="24"/>
          <w:u w:color="000000"/>
        </w:rPr>
      </w:pPr>
      <w:bookmarkStart w:id="45" w:name="_Toc57875969"/>
      <w:r>
        <w:rPr>
          <w:rFonts w:hint="eastAsia" w:ascii="宋体" w:hAnsi="宋体" w:eastAsia="宋体" w:cs="宋体"/>
          <w:color w:val="auto"/>
          <w:sz w:val="24"/>
          <w:szCs w:val="24"/>
          <w:u w:color="000000"/>
        </w:rPr>
        <w:t>6.9 技术方案</w:t>
      </w:r>
      <w:bookmarkEnd w:id="45"/>
    </w:p>
    <w:p>
      <w:pPr>
        <w:spacing w:line="360" w:lineRule="auto"/>
        <w:ind w:firstLine="480" w:firstLineChars="200"/>
        <w:rPr>
          <w:rFonts w:hint="eastAsia" w:ascii="宋体" w:hAnsi="宋体" w:eastAsia="宋体" w:cs="宋体"/>
          <w:color w:val="auto"/>
          <w:sz w:val="24"/>
          <w:szCs w:val="24"/>
          <w:u w:color="FF0000"/>
        </w:rPr>
      </w:pPr>
      <w:r>
        <w:rPr>
          <w:rFonts w:hint="eastAsia" w:ascii="宋体" w:hAnsi="宋体" w:eastAsia="宋体" w:cs="宋体"/>
          <w:color w:val="auto"/>
          <w:sz w:val="24"/>
          <w:szCs w:val="24"/>
          <w:u w:color="FF0000"/>
        </w:rPr>
        <w:t>包括但不限于如下内容：</w:t>
      </w:r>
    </w:p>
    <w:p>
      <w:pPr>
        <w:spacing w:line="360" w:lineRule="auto"/>
        <w:ind w:firstLine="480" w:firstLineChars="200"/>
        <w:rPr>
          <w:rFonts w:hint="eastAsia" w:ascii="宋体" w:hAnsi="宋体" w:eastAsia="宋体" w:cs="宋体"/>
          <w:color w:val="auto"/>
          <w:sz w:val="24"/>
          <w:szCs w:val="24"/>
          <w:u w:color="FF0000"/>
          <w:lang w:eastAsia="zh-CN"/>
        </w:rPr>
      </w:pPr>
      <w:r>
        <w:rPr>
          <w:rFonts w:hint="eastAsia" w:ascii="宋体" w:hAnsi="宋体" w:eastAsia="宋体" w:cs="宋体"/>
          <w:color w:val="auto"/>
          <w:sz w:val="24"/>
          <w:szCs w:val="24"/>
          <w:u w:color="FF0000"/>
        </w:rPr>
        <w:t>1、</w:t>
      </w:r>
      <w:r>
        <w:rPr>
          <w:rFonts w:hint="eastAsia" w:ascii="宋体" w:hAnsi="宋体" w:eastAsia="宋体" w:cs="宋体"/>
          <w:color w:val="auto"/>
          <w:sz w:val="24"/>
          <w:szCs w:val="24"/>
          <w:u w:color="FF0000"/>
          <w:lang w:val="en-US" w:eastAsia="zh-CN"/>
        </w:rPr>
        <w:t>项目实施能力</w:t>
      </w:r>
    </w:p>
    <w:p>
      <w:pPr>
        <w:spacing w:line="360" w:lineRule="auto"/>
        <w:ind w:firstLine="480" w:firstLineChars="200"/>
        <w:rPr>
          <w:rFonts w:hint="eastAsia" w:ascii="宋体" w:hAnsi="宋体" w:eastAsia="宋体" w:cs="宋体"/>
          <w:color w:val="auto"/>
          <w:sz w:val="24"/>
          <w:szCs w:val="24"/>
          <w:u w:color="FF0000"/>
        </w:rPr>
      </w:pPr>
    </w:p>
    <w:p>
      <w:pPr>
        <w:spacing w:line="360" w:lineRule="auto"/>
        <w:ind w:firstLine="480" w:firstLineChars="200"/>
        <w:rPr>
          <w:rFonts w:hint="eastAsia" w:ascii="宋体" w:hAnsi="宋体" w:eastAsia="宋体" w:cs="宋体"/>
          <w:color w:val="auto"/>
          <w:sz w:val="24"/>
          <w:szCs w:val="24"/>
          <w:u w:color="FF0000"/>
        </w:rPr>
      </w:pPr>
    </w:p>
    <w:p>
      <w:pPr>
        <w:spacing w:line="360" w:lineRule="auto"/>
        <w:ind w:firstLine="480" w:firstLineChars="200"/>
        <w:rPr>
          <w:rFonts w:hint="eastAsia" w:ascii="宋体" w:hAnsi="宋体" w:eastAsia="宋体" w:cs="宋体"/>
          <w:color w:val="auto"/>
          <w:sz w:val="24"/>
          <w:szCs w:val="24"/>
          <w:u w:color="FF0000"/>
        </w:rPr>
      </w:pPr>
      <w:r>
        <w:rPr>
          <w:rFonts w:hint="eastAsia" w:ascii="宋体" w:hAnsi="宋体" w:eastAsia="宋体" w:cs="宋体"/>
          <w:color w:val="auto"/>
          <w:sz w:val="24"/>
          <w:szCs w:val="24"/>
          <w:u w:color="FF0000"/>
        </w:rPr>
        <w:t>2、售后服务及培训方案</w:t>
      </w:r>
    </w:p>
    <w:p>
      <w:pPr>
        <w:spacing w:line="360" w:lineRule="auto"/>
        <w:ind w:firstLine="480" w:firstLineChars="200"/>
        <w:rPr>
          <w:rFonts w:hint="eastAsia" w:ascii="宋体" w:hAnsi="宋体" w:eastAsia="宋体" w:cs="宋体"/>
          <w:color w:val="auto"/>
          <w:sz w:val="24"/>
          <w:szCs w:val="24"/>
          <w:u w:color="FF0000"/>
        </w:rPr>
      </w:pPr>
    </w:p>
    <w:p>
      <w:pPr>
        <w:widowControl/>
        <w:jc w:val="left"/>
        <w:rPr>
          <w:rFonts w:hint="eastAsia" w:ascii="宋体" w:hAnsi="宋体" w:eastAsia="宋体" w:cs="宋体"/>
          <w:color w:val="auto"/>
          <w:sz w:val="24"/>
          <w:szCs w:val="24"/>
          <w:u w:color="000000"/>
        </w:rPr>
      </w:pPr>
      <w:r>
        <w:rPr>
          <w:rFonts w:hint="eastAsia" w:ascii="宋体" w:hAnsi="宋体" w:eastAsia="宋体" w:cs="宋体"/>
          <w:color w:val="auto"/>
          <w:sz w:val="24"/>
          <w:szCs w:val="24"/>
          <w:u w:color="000000"/>
        </w:rPr>
        <w:br w:type="page"/>
      </w:r>
    </w:p>
    <w:p>
      <w:pPr>
        <w:tabs>
          <w:tab w:val="left" w:pos="576"/>
        </w:tabs>
        <w:spacing w:before="156" w:beforeLines="50" w:after="156" w:afterLines="50" w:line="360" w:lineRule="auto"/>
        <w:outlineLvl w:val="2"/>
        <w:rPr>
          <w:rFonts w:hint="eastAsia" w:ascii="宋体" w:hAnsi="宋体" w:eastAsia="宋体" w:cs="宋体"/>
          <w:color w:val="auto"/>
          <w:sz w:val="24"/>
          <w:szCs w:val="24"/>
          <w:u w:color="000000"/>
        </w:rPr>
      </w:pPr>
      <w:bookmarkStart w:id="46" w:name="_Toc11859499"/>
      <w:bookmarkStart w:id="47" w:name="_Toc57875970"/>
      <w:r>
        <w:rPr>
          <w:rFonts w:hint="eastAsia" w:ascii="宋体" w:hAnsi="宋体" w:eastAsia="宋体" w:cs="宋体"/>
          <w:color w:val="auto"/>
          <w:sz w:val="24"/>
          <w:szCs w:val="24"/>
          <w:u w:color="000000"/>
        </w:rPr>
        <w:t>6.10 投标人其它声明及材料</w:t>
      </w:r>
      <w:bookmarkEnd w:id="46"/>
      <w:bookmarkEnd w:id="47"/>
    </w:p>
    <w:p>
      <w:pPr>
        <w:spacing w:before="156" w:beforeLines="50" w:after="156" w:afterLines="5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投标人信息一览表</w:t>
      </w:r>
    </w:p>
    <w:tbl>
      <w:tblPr>
        <w:tblStyle w:val="24"/>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446"/>
        <w:gridCol w:w="2447"/>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64" w:type="dxa"/>
            <w:shd w:val="clear" w:color="auto" w:fill="auto"/>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（加盖公章）</w:t>
            </w:r>
          </w:p>
        </w:tc>
        <w:tc>
          <w:tcPr>
            <w:tcW w:w="7339" w:type="dxa"/>
            <w:gridSpan w:val="3"/>
            <w:shd w:val="clear" w:color="auto" w:fill="auto"/>
            <w:vAlign w:val="center"/>
          </w:tcPr>
          <w:p>
            <w:pPr>
              <w:spacing w:line="44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664" w:type="dxa"/>
            <w:shd w:val="clear" w:color="auto" w:fill="auto"/>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7339" w:type="dxa"/>
            <w:gridSpan w:val="3"/>
            <w:shd w:val="clear" w:color="auto" w:fill="auto"/>
            <w:vAlign w:val="center"/>
          </w:tcPr>
          <w:p>
            <w:pPr>
              <w:spacing w:line="44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664" w:type="dxa"/>
            <w:shd w:val="clear" w:color="auto" w:fill="auto"/>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企业类型</w:t>
            </w:r>
          </w:p>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（请勾选）</w:t>
            </w:r>
          </w:p>
        </w:tc>
        <w:tc>
          <w:tcPr>
            <w:tcW w:w="7339" w:type="dxa"/>
            <w:gridSpan w:val="3"/>
            <w:shd w:val="clear" w:color="auto" w:fill="auto"/>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664" w:type="dxa"/>
            <w:shd w:val="clear" w:color="auto" w:fill="auto"/>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所投产品属性</w:t>
            </w:r>
          </w:p>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（请勾选）</w:t>
            </w:r>
          </w:p>
        </w:tc>
        <w:tc>
          <w:tcPr>
            <w:tcW w:w="7339" w:type="dxa"/>
            <w:gridSpan w:val="3"/>
            <w:shd w:val="clear" w:color="auto" w:fill="auto"/>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□节能  □节水  □环保  □节能环保  □节水环保</w:t>
            </w:r>
          </w:p>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□普通产品（即非节能节水环保产品）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64" w:type="dxa"/>
            <w:shd w:val="clear" w:color="auto" w:fill="auto"/>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授权代表姓名</w:t>
            </w:r>
          </w:p>
        </w:tc>
        <w:tc>
          <w:tcPr>
            <w:tcW w:w="2446" w:type="dxa"/>
            <w:shd w:val="clear" w:color="auto" w:fill="auto"/>
            <w:vAlign w:val="center"/>
          </w:tcPr>
          <w:p>
            <w:pPr>
              <w:spacing w:line="440" w:lineRule="exact"/>
              <w:jc w:val="center"/>
              <w:rPr>
                <w:rFonts w:hint="eastAsia" w:ascii="宋体" w:hAnsi="宋体" w:eastAsia="宋体" w:cs="宋体"/>
                <w:color w:val="auto"/>
                <w:sz w:val="24"/>
                <w:szCs w:val="24"/>
              </w:rPr>
            </w:pPr>
          </w:p>
        </w:tc>
        <w:tc>
          <w:tcPr>
            <w:tcW w:w="2447" w:type="dxa"/>
            <w:shd w:val="clear" w:color="auto" w:fill="auto"/>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手机号码</w:t>
            </w:r>
          </w:p>
        </w:tc>
        <w:tc>
          <w:tcPr>
            <w:tcW w:w="2446" w:type="dxa"/>
            <w:shd w:val="clear" w:color="auto" w:fill="auto"/>
            <w:vAlign w:val="center"/>
          </w:tcPr>
          <w:p>
            <w:pPr>
              <w:spacing w:line="440" w:lineRule="exact"/>
              <w:jc w:val="center"/>
              <w:rPr>
                <w:rFonts w:hint="eastAsia" w:ascii="宋体" w:hAnsi="宋体" w:eastAsia="宋体" w:cs="宋体"/>
                <w:color w:val="auto"/>
                <w:sz w:val="24"/>
                <w:szCs w:val="24"/>
              </w:rPr>
            </w:pPr>
          </w:p>
        </w:tc>
      </w:tr>
    </w:tbl>
    <w:p>
      <w:pPr>
        <w:pStyle w:val="12"/>
        <w:kinsoku w:val="0"/>
        <w:overflowPunct w:val="0"/>
        <w:spacing w:after="0"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szCs w:val="21"/>
          <w:u w:color="FF0000"/>
        </w:rPr>
      </w:pPr>
    </w:p>
    <w:p>
      <w:pPr>
        <w:spacing w:line="360" w:lineRule="auto"/>
        <w:ind w:firstLine="480" w:firstLineChars="200"/>
        <w:rPr>
          <w:rFonts w:hint="eastAsia" w:ascii="宋体" w:hAnsi="宋体" w:eastAsia="宋体" w:cs="宋体"/>
          <w:color w:val="auto"/>
          <w:sz w:val="24"/>
          <w:szCs w:val="24"/>
          <w:u w:color="FF0000"/>
        </w:rPr>
      </w:pPr>
    </w:p>
    <w:p>
      <w:pPr>
        <w:spacing w:line="360" w:lineRule="auto"/>
        <w:ind w:firstLine="480" w:firstLineChars="200"/>
        <w:rPr>
          <w:rFonts w:hint="default" w:ascii="宋体" w:hAnsi="宋体" w:eastAsia="宋体" w:cs="宋体"/>
          <w:color w:val="auto"/>
          <w:sz w:val="24"/>
          <w:szCs w:val="24"/>
          <w:u w:color="FF0000"/>
          <w:lang w:val="en-US" w:eastAsia="zh-CN"/>
        </w:rPr>
      </w:pPr>
      <w:r>
        <w:rPr>
          <w:rFonts w:hint="eastAsia" w:ascii="宋体" w:hAnsi="宋体" w:eastAsia="宋体" w:cs="宋体"/>
          <w:color w:val="auto"/>
          <w:sz w:val="24"/>
          <w:szCs w:val="24"/>
          <w:u w:color="FF0000"/>
          <w:lang w:val="en-US" w:eastAsia="zh-CN"/>
        </w:rPr>
        <w:t>其他投标人认为需要提供的内容...</w:t>
      </w:r>
    </w:p>
    <w:bookmarkEnd w:id="25"/>
    <w:bookmarkEnd w:id="26"/>
    <w:bookmarkEnd w:id="27"/>
    <w:bookmarkEnd w:id="28"/>
    <w:p>
      <w:pPr>
        <w:widowControl/>
        <w:jc w:val="left"/>
        <w:rPr>
          <w:rFonts w:hint="eastAsia" w:ascii="宋体" w:hAnsi="宋体" w:eastAsia="宋体" w:cs="宋体"/>
          <w:color w:val="auto"/>
          <w:sz w:val="24"/>
          <w:szCs w:val="24"/>
          <w:u w:color="000000"/>
        </w:rPr>
      </w:pPr>
    </w:p>
    <w:sectPr>
      <w:pgSz w:w="11906" w:h="16838"/>
      <w:pgMar w:top="1418" w:right="1418" w:bottom="1418"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ROMAN  \* MERGEFORMAT </w:instrText>
    </w:r>
    <w:r>
      <w:rPr>
        <w:rFonts w:ascii="Times New Roman" w:hAnsi="Times New Roman" w:cs="Times New Roman"/>
        <w:sz w:val="21"/>
        <w:szCs w:val="21"/>
      </w:rPr>
      <w:fldChar w:fldCharType="separate"/>
    </w:r>
    <w:r>
      <w:rPr>
        <w:rFonts w:ascii="Times New Roman" w:hAnsi="Times New Roman" w:cs="Times New Roman"/>
        <w:sz w:val="21"/>
        <w:szCs w:val="21"/>
      </w:rPr>
      <w:t>I</w:t>
    </w:r>
    <w:r>
      <w:rPr>
        <w:rFonts w:ascii="Times New Roman" w:hAnsi="Times New Roman"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jc w:val="cente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jc w:val="cente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Times New Roman" w:hAnsi="Times New Roman" w:cs="Times New Roman"/>
        <w:sz w:val="21"/>
        <w:szCs w:val="21"/>
      </w:rPr>
    </w:pPr>
    <w:r>
      <w:rPr>
        <w:rFonts w:hint="eastAsia" w:ascii="Times New Roman" w:hAnsi="Times New Roman" w:cs="Times New Roman"/>
        <w:sz w:val="21"/>
        <w:lang w:eastAsia="zh-CN"/>
      </w:rPr>
      <w:t>南京邮电大学通达学院通信原理虚实结合实验平台采购项目</w:t>
    </w:r>
    <w:r>
      <w:rPr>
        <w:rFonts w:ascii="Times New Roman" w:hAnsi="Times New Roman" w:cs="Times New Roman"/>
        <w:sz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Times New Roman" w:hAnsi="Times New Roman" w:cs="Times New Roman"/>
      </w:rPr>
    </w:pPr>
    <w:r>
      <w:rPr>
        <w:rFonts w:hint="eastAsia" w:ascii="Times New Roman" w:hAnsi="Times New Roman" w:cs="Times New Roman"/>
        <w:sz w:val="21"/>
        <w:lang w:eastAsia="zh-CN"/>
      </w:rPr>
      <w:t>南京邮电大学通达学院通信原理虚实结合实验平台采购项目</w:t>
    </w:r>
    <w:r>
      <w:rPr>
        <w:rFonts w:ascii="Times New Roman" w:hAnsi="Times New Roman" w:cs="Times New Roman"/>
        <w:sz w:val="21"/>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2YTYwNTdjODg4YTEwYzllNmJmMDJjYjUyYTc5NjMifQ=="/>
  </w:docVars>
  <w:rsids>
    <w:rsidRoot w:val="00D17229"/>
    <w:rsid w:val="000017D3"/>
    <w:rsid w:val="000022EF"/>
    <w:rsid w:val="000031D8"/>
    <w:rsid w:val="00005096"/>
    <w:rsid w:val="000056D9"/>
    <w:rsid w:val="000056E1"/>
    <w:rsid w:val="00006D84"/>
    <w:rsid w:val="00011C0C"/>
    <w:rsid w:val="00012CB3"/>
    <w:rsid w:val="000136D5"/>
    <w:rsid w:val="000138F2"/>
    <w:rsid w:val="000177AE"/>
    <w:rsid w:val="00020746"/>
    <w:rsid w:val="00021785"/>
    <w:rsid w:val="00022EE9"/>
    <w:rsid w:val="000243B6"/>
    <w:rsid w:val="0002477E"/>
    <w:rsid w:val="0002551A"/>
    <w:rsid w:val="00025649"/>
    <w:rsid w:val="00027040"/>
    <w:rsid w:val="0003047D"/>
    <w:rsid w:val="00031DD4"/>
    <w:rsid w:val="0003270F"/>
    <w:rsid w:val="00033710"/>
    <w:rsid w:val="00034684"/>
    <w:rsid w:val="00035C7F"/>
    <w:rsid w:val="0003780A"/>
    <w:rsid w:val="00041ECF"/>
    <w:rsid w:val="00042B97"/>
    <w:rsid w:val="0004378F"/>
    <w:rsid w:val="000519F3"/>
    <w:rsid w:val="00051C12"/>
    <w:rsid w:val="00051FF7"/>
    <w:rsid w:val="000529A7"/>
    <w:rsid w:val="00052F06"/>
    <w:rsid w:val="00055251"/>
    <w:rsid w:val="00057F21"/>
    <w:rsid w:val="00060CBE"/>
    <w:rsid w:val="00061742"/>
    <w:rsid w:val="00063293"/>
    <w:rsid w:val="00064072"/>
    <w:rsid w:val="00064B14"/>
    <w:rsid w:val="000654F4"/>
    <w:rsid w:val="00067BF9"/>
    <w:rsid w:val="00070161"/>
    <w:rsid w:val="00071D24"/>
    <w:rsid w:val="000733DD"/>
    <w:rsid w:val="00074A07"/>
    <w:rsid w:val="00075C4E"/>
    <w:rsid w:val="00075C6A"/>
    <w:rsid w:val="00077862"/>
    <w:rsid w:val="00077C90"/>
    <w:rsid w:val="000818B3"/>
    <w:rsid w:val="000823B6"/>
    <w:rsid w:val="00082AA9"/>
    <w:rsid w:val="00083208"/>
    <w:rsid w:val="0008394A"/>
    <w:rsid w:val="000841BE"/>
    <w:rsid w:val="000847FF"/>
    <w:rsid w:val="00085C2A"/>
    <w:rsid w:val="00086855"/>
    <w:rsid w:val="00087768"/>
    <w:rsid w:val="0009049D"/>
    <w:rsid w:val="00090E2D"/>
    <w:rsid w:val="00090E45"/>
    <w:rsid w:val="00091794"/>
    <w:rsid w:val="0009742B"/>
    <w:rsid w:val="000977F6"/>
    <w:rsid w:val="000A0BDB"/>
    <w:rsid w:val="000A1531"/>
    <w:rsid w:val="000A24F8"/>
    <w:rsid w:val="000A721E"/>
    <w:rsid w:val="000B15BC"/>
    <w:rsid w:val="000B1A64"/>
    <w:rsid w:val="000B1C64"/>
    <w:rsid w:val="000B370E"/>
    <w:rsid w:val="000B5784"/>
    <w:rsid w:val="000C17DB"/>
    <w:rsid w:val="000C4D61"/>
    <w:rsid w:val="000C5960"/>
    <w:rsid w:val="000D0593"/>
    <w:rsid w:val="000D394A"/>
    <w:rsid w:val="000D5167"/>
    <w:rsid w:val="000E2443"/>
    <w:rsid w:val="000E40F0"/>
    <w:rsid w:val="000E5CA9"/>
    <w:rsid w:val="000E5D3A"/>
    <w:rsid w:val="000F0A11"/>
    <w:rsid w:val="000F1704"/>
    <w:rsid w:val="000F28A9"/>
    <w:rsid w:val="000F29AA"/>
    <w:rsid w:val="000F3038"/>
    <w:rsid w:val="000F4052"/>
    <w:rsid w:val="000F5248"/>
    <w:rsid w:val="000F6EF7"/>
    <w:rsid w:val="000F7662"/>
    <w:rsid w:val="000F7EFA"/>
    <w:rsid w:val="00101ED5"/>
    <w:rsid w:val="001041C8"/>
    <w:rsid w:val="001061CB"/>
    <w:rsid w:val="00106F06"/>
    <w:rsid w:val="00110081"/>
    <w:rsid w:val="00110CFB"/>
    <w:rsid w:val="001153B6"/>
    <w:rsid w:val="001211A1"/>
    <w:rsid w:val="00121E0C"/>
    <w:rsid w:val="00122553"/>
    <w:rsid w:val="0012333F"/>
    <w:rsid w:val="00125E7A"/>
    <w:rsid w:val="00126333"/>
    <w:rsid w:val="00126F74"/>
    <w:rsid w:val="001273C6"/>
    <w:rsid w:val="00134ACB"/>
    <w:rsid w:val="00137345"/>
    <w:rsid w:val="001377E4"/>
    <w:rsid w:val="001401FB"/>
    <w:rsid w:val="001405B1"/>
    <w:rsid w:val="0014080E"/>
    <w:rsid w:val="0014146B"/>
    <w:rsid w:val="001435C0"/>
    <w:rsid w:val="0014418D"/>
    <w:rsid w:val="001501CB"/>
    <w:rsid w:val="001512A0"/>
    <w:rsid w:val="00152247"/>
    <w:rsid w:val="00156C30"/>
    <w:rsid w:val="001576D3"/>
    <w:rsid w:val="001624C7"/>
    <w:rsid w:val="00164B11"/>
    <w:rsid w:val="00164C1F"/>
    <w:rsid w:val="0017080F"/>
    <w:rsid w:val="0017171C"/>
    <w:rsid w:val="001717C1"/>
    <w:rsid w:val="00171CA7"/>
    <w:rsid w:val="001724E1"/>
    <w:rsid w:val="001727F4"/>
    <w:rsid w:val="00173C7E"/>
    <w:rsid w:val="00174139"/>
    <w:rsid w:val="001760AB"/>
    <w:rsid w:val="001769F4"/>
    <w:rsid w:val="001810D4"/>
    <w:rsid w:val="001857CA"/>
    <w:rsid w:val="001869BD"/>
    <w:rsid w:val="00190DBD"/>
    <w:rsid w:val="00192802"/>
    <w:rsid w:val="00195465"/>
    <w:rsid w:val="00195931"/>
    <w:rsid w:val="00196C25"/>
    <w:rsid w:val="00196F5A"/>
    <w:rsid w:val="001A049E"/>
    <w:rsid w:val="001A054F"/>
    <w:rsid w:val="001A5D25"/>
    <w:rsid w:val="001B033E"/>
    <w:rsid w:val="001B1F27"/>
    <w:rsid w:val="001B6844"/>
    <w:rsid w:val="001C01D0"/>
    <w:rsid w:val="001C080E"/>
    <w:rsid w:val="001C19FF"/>
    <w:rsid w:val="001C1CA1"/>
    <w:rsid w:val="001C2329"/>
    <w:rsid w:val="001C2F31"/>
    <w:rsid w:val="001C394B"/>
    <w:rsid w:val="001C6630"/>
    <w:rsid w:val="001C6A24"/>
    <w:rsid w:val="001D0C4E"/>
    <w:rsid w:val="001D26C9"/>
    <w:rsid w:val="001D40E3"/>
    <w:rsid w:val="001D4F9C"/>
    <w:rsid w:val="001D6E90"/>
    <w:rsid w:val="001E2BFC"/>
    <w:rsid w:val="001E5FB5"/>
    <w:rsid w:val="001E711D"/>
    <w:rsid w:val="001F06C5"/>
    <w:rsid w:val="001F154A"/>
    <w:rsid w:val="001F1A04"/>
    <w:rsid w:val="001F3E71"/>
    <w:rsid w:val="001F5348"/>
    <w:rsid w:val="001F553F"/>
    <w:rsid w:val="001F6616"/>
    <w:rsid w:val="002022F4"/>
    <w:rsid w:val="00204F29"/>
    <w:rsid w:val="002060D9"/>
    <w:rsid w:val="002114D6"/>
    <w:rsid w:val="00211FBE"/>
    <w:rsid w:val="00213E33"/>
    <w:rsid w:val="00217026"/>
    <w:rsid w:val="00220B2D"/>
    <w:rsid w:val="00223BEB"/>
    <w:rsid w:val="00223DC9"/>
    <w:rsid w:val="00225B81"/>
    <w:rsid w:val="00226B8F"/>
    <w:rsid w:val="00227613"/>
    <w:rsid w:val="0023233F"/>
    <w:rsid w:val="00232A96"/>
    <w:rsid w:val="002356AB"/>
    <w:rsid w:val="002371AE"/>
    <w:rsid w:val="00237254"/>
    <w:rsid w:val="00237700"/>
    <w:rsid w:val="00241588"/>
    <w:rsid w:val="0024346F"/>
    <w:rsid w:val="002434F2"/>
    <w:rsid w:val="00255A1C"/>
    <w:rsid w:val="00255C42"/>
    <w:rsid w:val="00255DCD"/>
    <w:rsid w:val="00255F0D"/>
    <w:rsid w:val="00257273"/>
    <w:rsid w:val="002603C3"/>
    <w:rsid w:val="00260626"/>
    <w:rsid w:val="002652A7"/>
    <w:rsid w:val="00267CF4"/>
    <w:rsid w:val="0027152D"/>
    <w:rsid w:val="00271948"/>
    <w:rsid w:val="00271E99"/>
    <w:rsid w:val="00272F19"/>
    <w:rsid w:val="00274370"/>
    <w:rsid w:val="00274DB5"/>
    <w:rsid w:val="00276455"/>
    <w:rsid w:val="00280795"/>
    <w:rsid w:val="00282712"/>
    <w:rsid w:val="0028294F"/>
    <w:rsid w:val="00282DB2"/>
    <w:rsid w:val="00282E2B"/>
    <w:rsid w:val="00284433"/>
    <w:rsid w:val="002852E4"/>
    <w:rsid w:val="002855FB"/>
    <w:rsid w:val="00285883"/>
    <w:rsid w:val="0028597D"/>
    <w:rsid w:val="00285E94"/>
    <w:rsid w:val="00287B18"/>
    <w:rsid w:val="002934A2"/>
    <w:rsid w:val="00293F58"/>
    <w:rsid w:val="00295012"/>
    <w:rsid w:val="00295A8D"/>
    <w:rsid w:val="00296FA2"/>
    <w:rsid w:val="00297A13"/>
    <w:rsid w:val="00297CF8"/>
    <w:rsid w:val="00297D7D"/>
    <w:rsid w:val="002A001A"/>
    <w:rsid w:val="002A0160"/>
    <w:rsid w:val="002A19D0"/>
    <w:rsid w:val="002A23C9"/>
    <w:rsid w:val="002A2B68"/>
    <w:rsid w:val="002A38E1"/>
    <w:rsid w:val="002A3902"/>
    <w:rsid w:val="002A3A8D"/>
    <w:rsid w:val="002A725D"/>
    <w:rsid w:val="002A7B58"/>
    <w:rsid w:val="002A7B5E"/>
    <w:rsid w:val="002B141F"/>
    <w:rsid w:val="002B2DD6"/>
    <w:rsid w:val="002B3C23"/>
    <w:rsid w:val="002B3E9D"/>
    <w:rsid w:val="002B4B51"/>
    <w:rsid w:val="002B5A10"/>
    <w:rsid w:val="002B5FA2"/>
    <w:rsid w:val="002C04A6"/>
    <w:rsid w:val="002C0B34"/>
    <w:rsid w:val="002C0F09"/>
    <w:rsid w:val="002C14C5"/>
    <w:rsid w:val="002C17D9"/>
    <w:rsid w:val="002C2F68"/>
    <w:rsid w:val="002C568F"/>
    <w:rsid w:val="002D1D9D"/>
    <w:rsid w:val="002D2076"/>
    <w:rsid w:val="002D266B"/>
    <w:rsid w:val="002D3BFF"/>
    <w:rsid w:val="002D4157"/>
    <w:rsid w:val="002D4AAC"/>
    <w:rsid w:val="002D5B39"/>
    <w:rsid w:val="002E16CD"/>
    <w:rsid w:val="002E6A01"/>
    <w:rsid w:val="002E7DDA"/>
    <w:rsid w:val="002F0AC0"/>
    <w:rsid w:val="002F36BD"/>
    <w:rsid w:val="002F37C1"/>
    <w:rsid w:val="002F3ABE"/>
    <w:rsid w:val="00302E57"/>
    <w:rsid w:val="00304A73"/>
    <w:rsid w:val="00305651"/>
    <w:rsid w:val="00312F7A"/>
    <w:rsid w:val="00313C03"/>
    <w:rsid w:val="00314D70"/>
    <w:rsid w:val="00315009"/>
    <w:rsid w:val="003176B9"/>
    <w:rsid w:val="00321C8E"/>
    <w:rsid w:val="00322E79"/>
    <w:rsid w:val="00324F65"/>
    <w:rsid w:val="003274B9"/>
    <w:rsid w:val="00333D35"/>
    <w:rsid w:val="0033460E"/>
    <w:rsid w:val="00340075"/>
    <w:rsid w:val="003405A1"/>
    <w:rsid w:val="00340657"/>
    <w:rsid w:val="00343DDF"/>
    <w:rsid w:val="0034502A"/>
    <w:rsid w:val="003453DF"/>
    <w:rsid w:val="00345EE9"/>
    <w:rsid w:val="003470C8"/>
    <w:rsid w:val="003526F5"/>
    <w:rsid w:val="00352DFA"/>
    <w:rsid w:val="00352F15"/>
    <w:rsid w:val="00353B35"/>
    <w:rsid w:val="0035446D"/>
    <w:rsid w:val="0035596A"/>
    <w:rsid w:val="00356F3F"/>
    <w:rsid w:val="00357288"/>
    <w:rsid w:val="003575A3"/>
    <w:rsid w:val="00364878"/>
    <w:rsid w:val="003659EF"/>
    <w:rsid w:val="003668F7"/>
    <w:rsid w:val="00371FF0"/>
    <w:rsid w:val="00372783"/>
    <w:rsid w:val="00372973"/>
    <w:rsid w:val="003746F1"/>
    <w:rsid w:val="00377CBF"/>
    <w:rsid w:val="0038057E"/>
    <w:rsid w:val="0038085B"/>
    <w:rsid w:val="003811AF"/>
    <w:rsid w:val="0038214E"/>
    <w:rsid w:val="00383FF1"/>
    <w:rsid w:val="00386FF7"/>
    <w:rsid w:val="00390C1B"/>
    <w:rsid w:val="00391B1F"/>
    <w:rsid w:val="00393A8B"/>
    <w:rsid w:val="0039544C"/>
    <w:rsid w:val="003955DD"/>
    <w:rsid w:val="003958B6"/>
    <w:rsid w:val="003A06BC"/>
    <w:rsid w:val="003A34B7"/>
    <w:rsid w:val="003B13B9"/>
    <w:rsid w:val="003B2BFB"/>
    <w:rsid w:val="003B3EB7"/>
    <w:rsid w:val="003B5C1C"/>
    <w:rsid w:val="003B5E39"/>
    <w:rsid w:val="003B6105"/>
    <w:rsid w:val="003B63A1"/>
    <w:rsid w:val="003B79B1"/>
    <w:rsid w:val="003C0334"/>
    <w:rsid w:val="003C08EB"/>
    <w:rsid w:val="003C3AAB"/>
    <w:rsid w:val="003C47E7"/>
    <w:rsid w:val="003D17A7"/>
    <w:rsid w:val="003D1A16"/>
    <w:rsid w:val="003D23C8"/>
    <w:rsid w:val="003D4745"/>
    <w:rsid w:val="003E482A"/>
    <w:rsid w:val="003E50A1"/>
    <w:rsid w:val="003E52AB"/>
    <w:rsid w:val="003E722A"/>
    <w:rsid w:val="003E7603"/>
    <w:rsid w:val="003F16D6"/>
    <w:rsid w:val="003F27A4"/>
    <w:rsid w:val="003F30FE"/>
    <w:rsid w:val="003F357F"/>
    <w:rsid w:val="003F3817"/>
    <w:rsid w:val="003F3C1E"/>
    <w:rsid w:val="003F3EAD"/>
    <w:rsid w:val="003F4815"/>
    <w:rsid w:val="003F560A"/>
    <w:rsid w:val="003F6B5C"/>
    <w:rsid w:val="003F7813"/>
    <w:rsid w:val="00400FF2"/>
    <w:rsid w:val="004024FC"/>
    <w:rsid w:val="00403BA9"/>
    <w:rsid w:val="00405454"/>
    <w:rsid w:val="004068F7"/>
    <w:rsid w:val="004112AB"/>
    <w:rsid w:val="00411354"/>
    <w:rsid w:val="00412E8E"/>
    <w:rsid w:val="00413316"/>
    <w:rsid w:val="00413F76"/>
    <w:rsid w:val="00413FB9"/>
    <w:rsid w:val="00414180"/>
    <w:rsid w:val="00414513"/>
    <w:rsid w:val="004150B4"/>
    <w:rsid w:val="004152B9"/>
    <w:rsid w:val="004169EA"/>
    <w:rsid w:val="00420274"/>
    <w:rsid w:val="00420EEF"/>
    <w:rsid w:val="004212E4"/>
    <w:rsid w:val="004216B5"/>
    <w:rsid w:val="00423E5E"/>
    <w:rsid w:val="00425681"/>
    <w:rsid w:val="00425D6C"/>
    <w:rsid w:val="00427193"/>
    <w:rsid w:val="00427855"/>
    <w:rsid w:val="00430650"/>
    <w:rsid w:val="004329BA"/>
    <w:rsid w:val="00434E02"/>
    <w:rsid w:val="00437B0E"/>
    <w:rsid w:val="0044129B"/>
    <w:rsid w:val="004424EF"/>
    <w:rsid w:val="0044282B"/>
    <w:rsid w:val="004433C7"/>
    <w:rsid w:val="00443675"/>
    <w:rsid w:val="004452F8"/>
    <w:rsid w:val="00450097"/>
    <w:rsid w:val="00451DBD"/>
    <w:rsid w:val="004521DA"/>
    <w:rsid w:val="004523D0"/>
    <w:rsid w:val="004527E1"/>
    <w:rsid w:val="00452BCD"/>
    <w:rsid w:val="00456760"/>
    <w:rsid w:val="00457A4F"/>
    <w:rsid w:val="00461AE8"/>
    <w:rsid w:val="004625C1"/>
    <w:rsid w:val="004641F1"/>
    <w:rsid w:val="00467381"/>
    <w:rsid w:val="00467451"/>
    <w:rsid w:val="004678BE"/>
    <w:rsid w:val="00470959"/>
    <w:rsid w:val="00471D8B"/>
    <w:rsid w:val="004724A1"/>
    <w:rsid w:val="00473234"/>
    <w:rsid w:val="00473BA3"/>
    <w:rsid w:val="00474A6B"/>
    <w:rsid w:val="00481E9F"/>
    <w:rsid w:val="00486130"/>
    <w:rsid w:val="00486BA8"/>
    <w:rsid w:val="00487D6E"/>
    <w:rsid w:val="00487EF5"/>
    <w:rsid w:val="00492B22"/>
    <w:rsid w:val="00494647"/>
    <w:rsid w:val="0049745C"/>
    <w:rsid w:val="00497726"/>
    <w:rsid w:val="00497B2E"/>
    <w:rsid w:val="00497E92"/>
    <w:rsid w:val="004A0B2D"/>
    <w:rsid w:val="004A1929"/>
    <w:rsid w:val="004A3472"/>
    <w:rsid w:val="004A49F0"/>
    <w:rsid w:val="004A5E73"/>
    <w:rsid w:val="004B13D2"/>
    <w:rsid w:val="004B36B9"/>
    <w:rsid w:val="004B3C67"/>
    <w:rsid w:val="004B637A"/>
    <w:rsid w:val="004B7673"/>
    <w:rsid w:val="004C1870"/>
    <w:rsid w:val="004C21C7"/>
    <w:rsid w:val="004C47A9"/>
    <w:rsid w:val="004C5B9C"/>
    <w:rsid w:val="004C762C"/>
    <w:rsid w:val="004C7AEE"/>
    <w:rsid w:val="004D07A8"/>
    <w:rsid w:val="004D2B8E"/>
    <w:rsid w:val="004D3765"/>
    <w:rsid w:val="004D4BE2"/>
    <w:rsid w:val="004D58C1"/>
    <w:rsid w:val="004D5AC3"/>
    <w:rsid w:val="004D7696"/>
    <w:rsid w:val="004E145D"/>
    <w:rsid w:val="004E1975"/>
    <w:rsid w:val="004E48DA"/>
    <w:rsid w:val="004E6F3B"/>
    <w:rsid w:val="004F02D2"/>
    <w:rsid w:val="004F1FC7"/>
    <w:rsid w:val="004F4326"/>
    <w:rsid w:val="004F6EE6"/>
    <w:rsid w:val="004F75A0"/>
    <w:rsid w:val="005004B1"/>
    <w:rsid w:val="00500823"/>
    <w:rsid w:val="00501412"/>
    <w:rsid w:val="00501877"/>
    <w:rsid w:val="00502C0C"/>
    <w:rsid w:val="00503971"/>
    <w:rsid w:val="00505E92"/>
    <w:rsid w:val="0050798D"/>
    <w:rsid w:val="0051287F"/>
    <w:rsid w:val="00512AED"/>
    <w:rsid w:val="00512DE6"/>
    <w:rsid w:val="00513BFA"/>
    <w:rsid w:val="0052238C"/>
    <w:rsid w:val="0052238F"/>
    <w:rsid w:val="0052308D"/>
    <w:rsid w:val="00524292"/>
    <w:rsid w:val="00525E16"/>
    <w:rsid w:val="005325CC"/>
    <w:rsid w:val="005342A4"/>
    <w:rsid w:val="00534C63"/>
    <w:rsid w:val="00536846"/>
    <w:rsid w:val="00540922"/>
    <w:rsid w:val="005438D1"/>
    <w:rsid w:val="00543CD1"/>
    <w:rsid w:val="00544C00"/>
    <w:rsid w:val="0054631B"/>
    <w:rsid w:val="0054744F"/>
    <w:rsid w:val="0054760E"/>
    <w:rsid w:val="0055016C"/>
    <w:rsid w:val="005522F2"/>
    <w:rsid w:val="005540D8"/>
    <w:rsid w:val="00557DC9"/>
    <w:rsid w:val="005635C9"/>
    <w:rsid w:val="005669FD"/>
    <w:rsid w:val="005675A5"/>
    <w:rsid w:val="00570959"/>
    <w:rsid w:val="00572357"/>
    <w:rsid w:val="005773A9"/>
    <w:rsid w:val="00577C8E"/>
    <w:rsid w:val="00582367"/>
    <w:rsid w:val="005823F5"/>
    <w:rsid w:val="0058395A"/>
    <w:rsid w:val="0058423D"/>
    <w:rsid w:val="005860E9"/>
    <w:rsid w:val="00590311"/>
    <w:rsid w:val="00590713"/>
    <w:rsid w:val="00590A1B"/>
    <w:rsid w:val="00590E0F"/>
    <w:rsid w:val="00592F21"/>
    <w:rsid w:val="005933FA"/>
    <w:rsid w:val="005943FD"/>
    <w:rsid w:val="005945AE"/>
    <w:rsid w:val="00594942"/>
    <w:rsid w:val="005968D1"/>
    <w:rsid w:val="005A04F3"/>
    <w:rsid w:val="005A10EC"/>
    <w:rsid w:val="005A12A8"/>
    <w:rsid w:val="005A41C0"/>
    <w:rsid w:val="005A45BD"/>
    <w:rsid w:val="005A47CE"/>
    <w:rsid w:val="005A52A9"/>
    <w:rsid w:val="005A6217"/>
    <w:rsid w:val="005A6481"/>
    <w:rsid w:val="005B0FEC"/>
    <w:rsid w:val="005B11EB"/>
    <w:rsid w:val="005B30ED"/>
    <w:rsid w:val="005B3470"/>
    <w:rsid w:val="005B37A1"/>
    <w:rsid w:val="005C0544"/>
    <w:rsid w:val="005C058A"/>
    <w:rsid w:val="005C0958"/>
    <w:rsid w:val="005C0A53"/>
    <w:rsid w:val="005C154F"/>
    <w:rsid w:val="005C1C9D"/>
    <w:rsid w:val="005C1EF4"/>
    <w:rsid w:val="005C2888"/>
    <w:rsid w:val="005C41A2"/>
    <w:rsid w:val="005C4E37"/>
    <w:rsid w:val="005C5156"/>
    <w:rsid w:val="005C60F3"/>
    <w:rsid w:val="005C67A2"/>
    <w:rsid w:val="005D1077"/>
    <w:rsid w:val="005D29E6"/>
    <w:rsid w:val="005D4F34"/>
    <w:rsid w:val="005D533D"/>
    <w:rsid w:val="005D5E5A"/>
    <w:rsid w:val="005D6AEC"/>
    <w:rsid w:val="005D7EE6"/>
    <w:rsid w:val="005E36C9"/>
    <w:rsid w:val="005E6044"/>
    <w:rsid w:val="005E63A8"/>
    <w:rsid w:val="005F14DA"/>
    <w:rsid w:val="005F257A"/>
    <w:rsid w:val="005F2B8A"/>
    <w:rsid w:val="005F3189"/>
    <w:rsid w:val="005F31AC"/>
    <w:rsid w:val="005F45B0"/>
    <w:rsid w:val="005F6414"/>
    <w:rsid w:val="005F6A89"/>
    <w:rsid w:val="005F6AFB"/>
    <w:rsid w:val="00600F96"/>
    <w:rsid w:val="00601664"/>
    <w:rsid w:val="00603A3D"/>
    <w:rsid w:val="00603C1D"/>
    <w:rsid w:val="00604373"/>
    <w:rsid w:val="0060641A"/>
    <w:rsid w:val="00606727"/>
    <w:rsid w:val="00612C15"/>
    <w:rsid w:val="006136E6"/>
    <w:rsid w:val="006143EA"/>
    <w:rsid w:val="0061553E"/>
    <w:rsid w:val="00616107"/>
    <w:rsid w:val="006235EE"/>
    <w:rsid w:val="006240C6"/>
    <w:rsid w:val="00627ED0"/>
    <w:rsid w:val="006302E2"/>
    <w:rsid w:val="00630438"/>
    <w:rsid w:val="00630AD6"/>
    <w:rsid w:val="00631C4B"/>
    <w:rsid w:val="006333FF"/>
    <w:rsid w:val="00634CFB"/>
    <w:rsid w:val="00635874"/>
    <w:rsid w:val="00642094"/>
    <w:rsid w:val="006424DB"/>
    <w:rsid w:val="00643A07"/>
    <w:rsid w:val="00644455"/>
    <w:rsid w:val="006470AE"/>
    <w:rsid w:val="006474FB"/>
    <w:rsid w:val="00651029"/>
    <w:rsid w:val="006517ED"/>
    <w:rsid w:val="00654F3C"/>
    <w:rsid w:val="00655D33"/>
    <w:rsid w:val="0065712D"/>
    <w:rsid w:val="00660F1D"/>
    <w:rsid w:val="00662B7D"/>
    <w:rsid w:val="00663AD1"/>
    <w:rsid w:val="00671CC2"/>
    <w:rsid w:val="00671D80"/>
    <w:rsid w:val="0067375A"/>
    <w:rsid w:val="00675D5F"/>
    <w:rsid w:val="006767C0"/>
    <w:rsid w:val="00676A92"/>
    <w:rsid w:val="00681E86"/>
    <w:rsid w:val="00685167"/>
    <w:rsid w:val="00685281"/>
    <w:rsid w:val="0069072E"/>
    <w:rsid w:val="00692A24"/>
    <w:rsid w:val="00694197"/>
    <w:rsid w:val="0069480A"/>
    <w:rsid w:val="006952F7"/>
    <w:rsid w:val="00696814"/>
    <w:rsid w:val="006976B6"/>
    <w:rsid w:val="00697B96"/>
    <w:rsid w:val="006A00C5"/>
    <w:rsid w:val="006A099E"/>
    <w:rsid w:val="006A12EA"/>
    <w:rsid w:val="006A14D5"/>
    <w:rsid w:val="006A1CC4"/>
    <w:rsid w:val="006A1E62"/>
    <w:rsid w:val="006A2AA2"/>
    <w:rsid w:val="006A30A3"/>
    <w:rsid w:val="006A33F0"/>
    <w:rsid w:val="006A361C"/>
    <w:rsid w:val="006A4239"/>
    <w:rsid w:val="006A5D02"/>
    <w:rsid w:val="006A5F5B"/>
    <w:rsid w:val="006B1127"/>
    <w:rsid w:val="006B1F3D"/>
    <w:rsid w:val="006B3516"/>
    <w:rsid w:val="006B3F6C"/>
    <w:rsid w:val="006B620E"/>
    <w:rsid w:val="006B6B31"/>
    <w:rsid w:val="006B6DD9"/>
    <w:rsid w:val="006B747D"/>
    <w:rsid w:val="006C0A33"/>
    <w:rsid w:val="006C0A4A"/>
    <w:rsid w:val="006C1F9E"/>
    <w:rsid w:val="006C3BFC"/>
    <w:rsid w:val="006C4CDB"/>
    <w:rsid w:val="006C7234"/>
    <w:rsid w:val="006D0F1D"/>
    <w:rsid w:val="006D3687"/>
    <w:rsid w:val="006D415F"/>
    <w:rsid w:val="006D72B8"/>
    <w:rsid w:val="006E18FD"/>
    <w:rsid w:val="006E190B"/>
    <w:rsid w:val="006E289E"/>
    <w:rsid w:val="006E3140"/>
    <w:rsid w:val="006E4DF8"/>
    <w:rsid w:val="006E5496"/>
    <w:rsid w:val="006E67D2"/>
    <w:rsid w:val="006E7C64"/>
    <w:rsid w:val="006F02ED"/>
    <w:rsid w:val="006F04DA"/>
    <w:rsid w:val="006F0D67"/>
    <w:rsid w:val="006F131B"/>
    <w:rsid w:val="006F1F64"/>
    <w:rsid w:val="006F315C"/>
    <w:rsid w:val="006F4EFB"/>
    <w:rsid w:val="006F74DF"/>
    <w:rsid w:val="006F7E4F"/>
    <w:rsid w:val="007004C2"/>
    <w:rsid w:val="00702242"/>
    <w:rsid w:val="00702455"/>
    <w:rsid w:val="007028F5"/>
    <w:rsid w:val="00702A56"/>
    <w:rsid w:val="007078CE"/>
    <w:rsid w:val="0071296E"/>
    <w:rsid w:val="00713111"/>
    <w:rsid w:val="00713D9E"/>
    <w:rsid w:val="00714E98"/>
    <w:rsid w:val="00715DF2"/>
    <w:rsid w:val="0071769D"/>
    <w:rsid w:val="00717AFE"/>
    <w:rsid w:val="00721837"/>
    <w:rsid w:val="0072202A"/>
    <w:rsid w:val="0072423B"/>
    <w:rsid w:val="007303AC"/>
    <w:rsid w:val="00731920"/>
    <w:rsid w:val="00731BA4"/>
    <w:rsid w:val="00731D0A"/>
    <w:rsid w:val="0073276B"/>
    <w:rsid w:val="00733882"/>
    <w:rsid w:val="0073483C"/>
    <w:rsid w:val="007371B8"/>
    <w:rsid w:val="0074125D"/>
    <w:rsid w:val="007421E4"/>
    <w:rsid w:val="007424D1"/>
    <w:rsid w:val="0074350D"/>
    <w:rsid w:val="00743BAA"/>
    <w:rsid w:val="00745539"/>
    <w:rsid w:val="00745F99"/>
    <w:rsid w:val="007462D9"/>
    <w:rsid w:val="00746F0D"/>
    <w:rsid w:val="00751E11"/>
    <w:rsid w:val="00752D07"/>
    <w:rsid w:val="00753C5E"/>
    <w:rsid w:val="00754099"/>
    <w:rsid w:val="007540A2"/>
    <w:rsid w:val="007543F9"/>
    <w:rsid w:val="0075615C"/>
    <w:rsid w:val="00756F8E"/>
    <w:rsid w:val="0075746A"/>
    <w:rsid w:val="00764891"/>
    <w:rsid w:val="00764C0C"/>
    <w:rsid w:val="00764D9C"/>
    <w:rsid w:val="007650EB"/>
    <w:rsid w:val="00765FE0"/>
    <w:rsid w:val="007677EE"/>
    <w:rsid w:val="00771C6A"/>
    <w:rsid w:val="00772202"/>
    <w:rsid w:val="007724C2"/>
    <w:rsid w:val="00772F76"/>
    <w:rsid w:val="00775FA0"/>
    <w:rsid w:val="00777137"/>
    <w:rsid w:val="0077728A"/>
    <w:rsid w:val="00781363"/>
    <w:rsid w:val="00782E36"/>
    <w:rsid w:val="007839CF"/>
    <w:rsid w:val="00783EEC"/>
    <w:rsid w:val="00786683"/>
    <w:rsid w:val="00786760"/>
    <w:rsid w:val="00787851"/>
    <w:rsid w:val="00791FD2"/>
    <w:rsid w:val="00792171"/>
    <w:rsid w:val="007943A5"/>
    <w:rsid w:val="007A0244"/>
    <w:rsid w:val="007A045F"/>
    <w:rsid w:val="007A0763"/>
    <w:rsid w:val="007A1B29"/>
    <w:rsid w:val="007A3588"/>
    <w:rsid w:val="007A4164"/>
    <w:rsid w:val="007A58D6"/>
    <w:rsid w:val="007A6874"/>
    <w:rsid w:val="007A6ECA"/>
    <w:rsid w:val="007B4254"/>
    <w:rsid w:val="007B6BB3"/>
    <w:rsid w:val="007C135E"/>
    <w:rsid w:val="007C31E2"/>
    <w:rsid w:val="007C36AC"/>
    <w:rsid w:val="007C44A0"/>
    <w:rsid w:val="007C466B"/>
    <w:rsid w:val="007C47D7"/>
    <w:rsid w:val="007C4A00"/>
    <w:rsid w:val="007D2565"/>
    <w:rsid w:val="007D2570"/>
    <w:rsid w:val="007D287D"/>
    <w:rsid w:val="007D3112"/>
    <w:rsid w:val="007D37F2"/>
    <w:rsid w:val="007D6C3C"/>
    <w:rsid w:val="007D6CA3"/>
    <w:rsid w:val="007D74FB"/>
    <w:rsid w:val="007D7F28"/>
    <w:rsid w:val="007D7F7A"/>
    <w:rsid w:val="007E1F95"/>
    <w:rsid w:val="007E2BEE"/>
    <w:rsid w:val="007E3352"/>
    <w:rsid w:val="007E450B"/>
    <w:rsid w:val="007E5217"/>
    <w:rsid w:val="007E52C3"/>
    <w:rsid w:val="007E6E25"/>
    <w:rsid w:val="007E716E"/>
    <w:rsid w:val="007F077B"/>
    <w:rsid w:val="007F1727"/>
    <w:rsid w:val="007F1FAA"/>
    <w:rsid w:val="007F219B"/>
    <w:rsid w:val="007F3E85"/>
    <w:rsid w:val="007F4D88"/>
    <w:rsid w:val="007F539A"/>
    <w:rsid w:val="007F6CCC"/>
    <w:rsid w:val="007F6CCE"/>
    <w:rsid w:val="007F7CCF"/>
    <w:rsid w:val="0080290D"/>
    <w:rsid w:val="008029C4"/>
    <w:rsid w:val="00802B9E"/>
    <w:rsid w:val="0080507F"/>
    <w:rsid w:val="00805E73"/>
    <w:rsid w:val="0080603D"/>
    <w:rsid w:val="0080620E"/>
    <w:rsid w:val="00807C51"/>
    <w:rsid w:val="00807F64"/>
    <w:rsid w:val="0081084A"/>
    <w:rsid w:val="008128B7"/>
    <w:rsid w:val="00813D9E"/>
    <w:rsid w:val="008144F3"/>
    <w:rsid w:val="00814829"/>
    <w:rsid w:val="0081699D"/>
    <w:rsid w:val="00820680"/>
    <w:rsid w:val="00821163"/>
    <w:rsid w:val="00821C0A"/>
    <w:rsid w:val="00822711"/>
    <w:rsid w:val="0082416D"/>
    <w:rsid w:val="00826199"/>
    <w:rsid w:val="00827D80"/>
    <w:rsid w:val="00831C1B"/>
    <w:rsid w:val="00832BCF"/>
    <w:rsid w:val="0083420A"/>
    <w:rsid w:val="00834AB5"/>
    <w:rsid w:val="008361B8"/>
    <w:rsid w:val="00836E96"/>
    <w:rsid w:val="0083724E"/>
    <w:rsid w:val="00844E3D"/>
    <w:rsid w:val="00845A41"/>
    <w:rsid w:val="00846CAC"/>
    <w:rsid w:val="00847BED"/>
    <w:rsid w:val="0085041A"/>
    <w:rsid w:val="00851CBC"/>
    <w:rsid w:val="0085621B"/>
    <w:rsid w:val="00856605"/>
    <w:rsid w:val="00857886"/>
    <w:rsid w:val="00857D15"/>
    <w:rsid w:val="008615C9"/>
    <w:rsid w:val="00861B30"/>
    <w:rsid w:val="00861B61"/>
    <w:rsid w:val="00862EDD"/>
    <w:rsid w:val="008637E2"/>
    <w:rsid w:val="00864621"/>
    <w:rsid w:val="00866D26"/>
    <w:rsid w:val="008702D6"/>
    <w:rsid w:val="00870AE9"/>
    <w:rsid w:val="00874FBF"/>
    <w:rsid w:val="00875B81"/>
    <w:rsid w:val="008770E5"/>
    <w:rsid w:val="00877A41"/>
    <w:rsid w:val="00881EF0"/>
    <w:rsid w:val="00882109"/>
    <w:rsid w:val="00882706"/>
    <w:rsid w:val="00882A57"/>
    <w:rsid w:val="0088462B"/>
    <w:rsid w:val="00887FB8"/>
    <w:rsid w:val="008915B5"/>
    <w:rsid w:val="0089397A"/>
    <w:rsid w:val="00894064"/>
    <w:rsid w:val="00895870"/>
    <w:rsid w:val="008A1F11"/>
    <w:rsid w:val="008A2099"/>
    <w:rsid w:val="008A4101"/>
    <w:rsid w:val="008A4989"/>
    <w:rsid w:val="008A4C74"/>
    <w:rsid w:val="008A4F7E"/>
    <w:rsid w:val="008A59B4"/>
    <w:rsid w:val="008A7288"/>
    <w:rsid w:val="008B0FFE"/>
    <w:rsid w:val="008B36A0"/>
    <w:rsid w:val="008C084F"/>
    <w:rsid w:val="008C087A"/>
    <w:rsid w:val="008C1940"/>
    <w:rsid w:val="008C68BE"/>
    <w:rsid w:val="008D0C99"/>
    <w:rsid w:val="008D1032"/>
    <w:rsid w:val="008D13BA"/>
    <w:rsid w:val="008D34D9"/>
    <w:rsid w:val="008D5AB5"/>
    <w:rsid w:val="008E1373"/>
    <w:rsid w:val="008E2E2D"/>
    <w:rsid w:val="008E2FF7"/>
    <w:rsid w:val="008E3949"/>
    <w:rsid w:val="008E544D"/>
    <w:rsid w:val="008F083E"/>
    <w:rsid w:val="008F2DF0"/>
    <w:rsid w:val="008F3D63"/>
    <w:rsid w:val="008F5FFE"/>
    <w:rsid w:val="008F7795"/>
    <w:rsid w:val="009002F8"/>
    <w:rsid w:val="009029A6"/>
    <w:rsid w:val="00904D01"/>
    <w:rsid w:val="00905914"/>
    <w:rsid w:val="00905DA6"/>
    <w:rsid w:val="00906499"/>
    <w:rsid w:val="00906DEF"/>
    <w:rsid w:val="00910CB3"/>
    <w:rsid w:val="00911168"/>
    <w:rsid w:val="0091223E"/>
    <w:rsid w:val="009142B8"/>
    <w:rsid w:val="00917B18"/>
    <w:rsid w:val="00917C0B"/>
    <w:rsid w:val="00920218"/>
    <w:rsid w:val="009225B9"/>
    <w:rsid w:val="00922F59"/>
    <w:rsid w:val="00923EE7"/>
    <w:rsid w:val="00924A78"/>
    <w:rsid w:val="00925C13"/>
    <w:rsid w:val="009268BD"/>
    <w:rsid w:val="00930462"/>
    <w:rsid w:val="00935304"/>
    <w:rsid w:val="009363BF"/>
    <w:rsid w:val="00937D09"/>
    <w:rsid w:val="00942AC5"/>
    <w:rsid w:val="00950E03"/>
    <w:rsid w:val="00955250"/>
    <w:rsid w:val="00956F08"/>
    <w:rsid w:val="00957C5A"/>
    <w:rsid w:val="00957C6A"/>
    <w:rsid w:val="0096087C"/>
    <w:rsid w:val="00961629"/>
    <w:rsid w:val="009628DC"/>
    <w:rsid w:val="00964181"/>
    <w:rsid w:val="009645F2"/>
    <w:rsid w:val="0097002B"/>
    <w:rsid w:val="009706C6"/>
    <w:rsid w:val="00971100"/>
    <w:rsid w:val="00971E2B"/>
    <w:rsid w:val="00972DAD"/>
    <w:rsid w:val="0097322E"/>
    <w:rsid w:val="009775A6"/>
    <w:rsid w:val="00977CA6"/>
    <w:rsid w:val="009857EC"/>
    <w:rsid w:val="009860B0"/>
    <w:rsid w:val="00986BE8"/>
    <w:rsid w:val="00987498"/>
    <w:rsid w:val="0099238A"/>
    <w:rsid w:val="00994E47"/>
    <w:rsid w:val="00995D56"/>
    <w:rsid w:val="009A051D"/>
    <w:rsid w:val="009A3265"/>
    <w:rsid w:val="009A53DE"/>
    <w:rsid w:val="009A6565"/>
    <w:rsid w:val="009A7760"/>
    <w:rsid w:val="009B0ACA"/>
    <w:rsid w:val="009B19A7"/>
    <w:rsid w:val="009B2098"/>
    <w:rsid w:val="009B28A8"/>
    <w:rsid w:val="009B39FF"/>
    <w:rsid w:val="009B4F59"/>
    <w:rsid w:val="009B6788"/>
    <w:rsid w:val="009B712F"/>
    <w:rsid w:val="009B7A2B"/>
    <w:rsid w:val="009C0AEC"/>
    <w:rsid w:val="009C0D34"/>
    <w:rsid w:val="009C18C7"/>
    <w:rsid w:val="009C42DE"/>
    <w:rsid w:val="009C6DAC"/>
    <w:rsid w:val="009C7DC7"/>
    <w:rsid w:val="009C7F7E"/>
    <w:rsid w:val="009D07FD"/>
    <w:rsid w:val="009D08F0"/>
    <w:rsid w:val="009D0D3A"/>
    <w:rsid w:val="009D414F"/>
    <w:rsid w:val="009D58D8"/>
    <w:rsid w:val="009D6158"/>
    <w:rsid w:val="009E109C"/>
    <w:rsid w:val="009E38B7"/>
    <w:rsid w:val="009E3B3B"/>
    <w:rsid w:val="009E3C63"/>
    <w:rsid w:val="009E4718"/>
    <w:rsid w:val="009E6CF5"/>
    <w:rsid w:val="009F107B"/>
    <w:rsid w:val="009F1759"/>
    <w:rsid w:val="009F2006"/>
    <w:rsid w:val="009F3D28"/>
    <w:rsid w:val="009F4BA1"/>
    <w:rsid w:val="00A018A2"/>
    <w:rsid w:val="00A050EB"/>
    <w:rsid w:val="00A06DF3"/>
    <w:rsid w:val="00A07213"/>
    <w:rsid w:val="00A07F87"/>
    <w:rsid w:val="00A11CFC"/>
    <w:rsid w:val="00A1518B"/>
    <w:rsid w:val="00A2208E"/>
    <w:rsid w:val="00A235CD"/>
    <w:rsid w:val="00A240EC"/>
    <w:rsid w:val="00A24933"/>
    <w:rsid w:val="00A27391"/>
    <w:rsid w:val="00A30B64"/>
    <w:rsid w:val="00A315BB"/>
    <w:rsid w:val="00A31AB5"/>
    <w:rsid w:val="00A32256"/>
    <w:rsid w:val="00A352AE"/>
    <w:rsid w:val="00A3556B"/>
    <w:rsid w:val="00A35CAF"/>
    <w:rsid w:val="00A35CCD"/>
    <w:rsid w:val="00A36A6E"/>
    <w:rsid w:val="00A3740E"/>
    <w:rsid w:val="00A41B25"/>
    <w:rsid w:val="00A42971"/>
    <w:rsid w:val="00A435BB"/>
    <w:rsid w:val="00A4402D"/>
    <w:rsid w:val="00A441E3"/>
    <w:rsid w:val="00A44EDB"/>
    <w:rsid w:val="00A45B05"/>
    <w:rsid w:val="00A45DC9"/>
    <w:rsid w:val="00A466A5"/>
    <w:rsid w:val="00A47C88"/>
    <w:rsid w:val="00A51F83"/>
    <w:rsid w:val="00A53B98"/>
    <w:rsid w:val="00A54418"/>
    <w:rsid w:val="00A55563"/>
    <w:rsid w:val="00A5702D"/>
    <w:rsid w:val="00A5794F"/>
    <w:rsid w:val="00A57F70"/>
    <w:rsid w:val="00A617B5"/>
    <w:rsid w:val="00A61917"/>
    <w:rsid w:val="00A63285"/>
    <w:rsid w:val="00A63672"/>
    <w:rsid w:val="00A66223"/>
    <w:rsid w:val="00A7000D"/>
    <w:rsid w:val="00A726EF"/>
    <w:rsid w:val="00A7411F"/>
    <w:rsid w:val="00A74E1C"/>
    <w:rsid w:val="00A7688E"/>
    <w:rsid w:val="00A814F9"/>
    <w:rsid w:val="00A818EE"/>
    <w:rsid w:val="00A8384A"/>
    <w:rsid w:val="00A9162E"/>
    <w:rsid w:val="00A916AD"/>
    <w:rsid w:val="00A92A61"/>
    <w:rsid w:val="00A93AA1"/>
    <w:rsid w:val="00A93F22"/>
    <w:rsid w:val="00A951AD"/>
    <w:rsid w:val="00A951DB"/>
    <w:rsid w:val="00A953D8"/>
    <w:rsid w:val="00A96608"/>
    <w:rsid w:val="00A9700B"/>
    <w:rsid w:val="00A97C63"/>
    <w:rsid w:val="00AA02A8"/>
    <w:rsid w:val="00AA0CF0"/>
    <w:rsid w:val="00AA2D92"/>
    <w:rsid w:val="00AA5B8D"/>
    <w:rsid w:val="00AA5E8F"/>
    <w:rsid w:val="00AB155C"/>
    <w:rsid w:val="00AB3127"/>
    <w:rsid w:val="00AB6B8B"/>
    <w:rsid w:val="00AB7613"/>
    <w:rsid w:val="00AC150D"/>
    <w:rsid w:val="00AC1A25"/>
    <w:rsid w:val="00AC3012"/>
    <w:rsid w:val="00AC6EAF"/>
    <w:rsid w:val="00AC7996"/>
    <w:rsid w:val="00AD0CE7"/>
    <w:rsid w:val="00AD0D9D"/>
    <w:rsid w:val="00AD108D"/>
    <w:rsid w:val="00AD184D"/>
    <w:rsid w:val="00AD3035"/>
    <w:rsid w:val="00AD3E14"/>
    <w:rsid w:val="00AD4153"/>
    <w:rsid w:val="00AE07E3"/>
    <w:rsid w:val="00AE333F"/>
    <w:rsid w:val="00AE59D5"/>
    <w:rsid w:val="00AE6D52"/>
    <w:rsid w:val="00AE766A"/>
    <w:rsid w:val="00AE7EBF"/>
    <w:rsid w:val="00AF3B1D"/>
    <w:rsid w:val="00AF4731"/>
    <w:rsid w:val="00AF6595"/>
    <w:rsid w:val="00AF7D8E"/>
    <w:rsid w:val="00B01163"/>
    <w:rsid w:val="00B02602"/>
    <w:rsid w:val="00B02FC0"/>
    <w:rsid w:val="00B05184"/>
    <w:rsid w:val="00B055C0"/>
    <w:rsid w:val="00B0564D"/>
    <w:rsid w:val="00B0571C"/>
    <w:rsid w:val="00B058D4"/>
    <w:rsid w:val="00B06E96"/>
    <w:rsid w:val="00B11BC2"/>
    <w:rsid w:val="00B1218C"/>
    <w:rsid w:val="00B129BD"/>
    <w:rsid w:val="00B14667"/>
    <w:rsid w:val="00B14E97"/>
    <w:rsid w:val="00B15120"/>
    <w:rsid w:val="00B15A5D"/>
    <w:rsid w:val="00B15D02"/>
    <w:rsid w:val="00B17A38"/>
    <w:rsid w:val="00B21868"/>
    <w:rsid w:val="00B27F36"/>
    <w:rsid w:val="00B31967"/>
    <w:rsid w:val="00B3420F"/>
    <w:rsid w:val="00B3446D"/>
    <w:rsid w:val="00B35F24"/>
    <w:rsid w:val="00B362E5"/>
    <w:rsid w:val="00B36455"/>
    <w:rsid w:val="00B41746"/>
    <w:rsid w:val="00B44AB7"/>
    <w:rsid w:val="00B450FF"/>
    <w:rsid w:val="00B4555C"/>
    <w:rsid w:val="00B47A52"/>
    <w:rsid w:val="00B50C2E"/>
    <w:rsid w:val="00B50FAA"/>
    <w:rsid w:val="00B51AD8"/>
    <w:rsid w:val="00B541CB"/>
    <w:rsid w:val="00B60A47"/>
    <w:rsid w:val="00B60D93"/>
    <w:rsid w:val="00B658AD"/>
    <w:rsid w:val="00B65938"/>
    <w:rsid w:val="00B715EF"/>
    <w:rsid w:val="00B71691"/>
    <w:rsid w:val="00B739DB"/>
    <w:rsid w:val="00B76F17"/>
    <w:rsid w:val="00B777DF"/>
    <w:rsid w:val="00B81221"/>
    <w:rsid w:val="00B82EAD"/>
    <w:rsid w:val="00B8318C"/>
    <w:rsid w:val="00B840FF"/>
    <w:rsid w:val="00B85B8B"/>
    <w:rsid w:val="00B92B80"/>
    <w:rsid w:val="00B93FD0"/>
    <w:rsid w:val="00B94214"/>
    <w:rsid w:val="00B943E5"/>
    <w:rsid w:val="00B9496F"/>
    <w:rsid w:val="00B950BE"/>
    <w:rsid w:val="00B95AC9"/>
    <w:rsid w:val="00B9723F"/>
    <w:rsid w:val="00BA3A6A"/>
    <w:rsid w:val="00BA3DF5"/>
    <w:rsid w:val="00BA672F"/>
    <w:rsid w:val="00BA6769"/>
    <w:rsid w:val="00BA67D8"/>
    <w:rsid w:val="00BA7B7F"/>
    <w:rsid w:val="00BB001A"/>
    <w:rsid w:val="00BB06A3"/>
    <w:rsid w:val="00BB1FDE"/>
    <w:rsid w:val="00BB292A"/>
    <w:rsid w:val="00BB2DDF"/>
    <w:rsid w:val="00BB2F9D"/>
    <w:rsid w:val="00BB33B7"/>
    <w:rsid w:val="00BB5D54"/>
    <w:rsid w:val="00BB6DDE"/>
    <w:rsid w:val="00BC1223"/>
    <w:rsid w:val="00BC3241"/>
    <w:rsid w:val="00BC42EB"/>
    <w:rsid w:val="00BC4AAD"/>
    <w:rsid w:val="00BC63A7"/>
    <w:rsid w:val="00BC6475"/>
    <w:rsid w:val="00BC7AD3"/>
    <w:rsid w:val="00BD07A5"/>
    <w:rsid w:val="00BD0E91"/>
    <w:rsid w:val="00BD37DD"/>
    <w:rsid w:val="00BD3A50"/>
    <w:rsid w:val="00BD4293"/>
    <w:rsid w:val="00BD5F58"/>
    <w:rsid w:val="00BF16E0"/>
    <w:rsid w:val="00BF4910"/>
    <w:rsid w:val="00C00A72"/>
    <w:rsid w:val="00C00C53"/>
    <w:rsid w:val="00C03AA8"/>
    <w:rsid w:val="00C03B00"/>
    <w:rsid w:val="00C043BB"/>
    <w:rsid w:val="00C06507"/>
    <w:rsid w:val="00C105C2"/>
    <w:rsid w:val="00C11180"/>
    <w:rsid w:val="00C13534"/>
    <w:rsid w:val="00C16181"/>
    <w:rsid w:val="00C175E8"/>
    <w:rsid w:val="00C2073E"/>
    <w:rsid w:val="00C21B22"/>
    <w:rsid w:val="00C22A87"/>
    <w:rsid w:val="00C24E9D"/>
    <w:rsid w:val="00C25A97"/>
    <w:rsid w:val="00C30FC9"/>
    <w:rsid w:val="00C332B5"/>
    <w:rsid w:val="00C40F17"/>
    <w:rsid w:val="00C410D5"/>
    <w:rsid w:val="00C43681"/>
    <w:rsid w:val="00C43BBF"/>
    <w:rsid w:val="00C440F9"/>
    <w:rsid w:val="00C45491"/>
    <w:rsid w:val="00C47498"/>
    <w:rsid w:val="00C51B4F"/>
    <w:rsid w:val="00C527F3"/>
    <w:rsid w:val="00C5281E"/>
    <w:rsid w:val="00C567EA"/>
    <w:rsid w:val="00C60DDC"/>
    <w:rsid w:val="00C62B40"/>
    <w:rsid w:val="00C62E0A"/>
    <w:rsid w:val="00C6491B"/>
    <w:rsid w:val="00C6696D"/>
    <w:rsid w:val="00C706A9"/>
    <w:rsid w:val="00C73123"/>
    <w:rsid w:val="00C734C5"/>
    <w:rsid w:val="00C741C2"/>
    <w:rsid w:val="00C75BC7"/>
    <w:rsid w:val="00C75CE0"/>
    <w:rsid w:val="00C7627F"/>
    <w:rsid w:val="00C77010"/>
    <w:rsid w:val="00C77E07"/>
    <w:rsid w:val="00C806C8"/>
    <w:rsid w:val="00C80A4C"/>
    <w:rsid w:val="00C83FDF"/>
    <w:rsid w:val="00C84E97"/>
    <w:rsid w:val="00C854FA"/>
    <w:rsid w:val="00C916AA"/>
    <w:rsid w:val="00C92821"/>
    <w:rsid w:val="00C9451E"/>
    <w:rsid w:val="00C975F4"/>
    <w:rsid w:val="00CA1B4F"/>
    <w:rsid w:val="00CA3203"/>
    <w:rsid w:val="00CA6663"/>
    <w:rsid w:val="00CA6B1A"/>
    <w:rsid w:val="00CA7870"/>
    <w:rsid w:val="00CB0927"/>
    <w:rsid w:val="00CB283F"/>
    <w:rsid w:val="00CB5259"/>
    <w:rsid w:val="00CB58D1"/>
    <w:rsid w:val="00CB64E3"/>
    <w:rsid w:val="00CB69E8"/>
    <w:rsid w:val="00CB78A5"/>
    <w:rsid w:val="00CC05AF"/>
    <w:rsid w:val="00CC06F0"/>
    <w:rsid w:val="00CC2296"/>
    <w:rsid w:val="00CC2EBF"/>
    <w:rsid w:val="00CC3027"/>
    <w:rsid w:val="00CC3219"/>
    <w:rsid w:val="00CC41C9"/>
    <w:rsid w:val="00CC4CA9"/>
    <w:rsid w:val="00CD14C0"/>
    <w:rsid w:val="00CD2217"/>
    <w:rsid w:val="00CD3502"/>
    <w:rsid w:val="00CD3705"/>
    <w:rsid w:val="00CD4B4D"/>
    <w:rsid w:val="00CE041D"/>
    <w:rsid w:val="00CE2EBE"/>
    <w:rsid w:val="00CE3CC5"/>
    <w:rsid w:val="00CE67CD"/>
    <w:rsid w:val="00CE705F"/>
    <w:rsid w:val="00CE7D14"/>
    <w:rsid w:val="00CF0C8F"/>
    <w:rsid w:val="00CF1470"/>
    <w:rsid w:val="00CF1CF9"/>
    <w:rsid w:val="00CF367B"/>
    <w:rsid w:val="00CF3988"/>
    <w:rsid w:val="00CF40B2"/>
    <w:rsid w:val="00CF5A5E"/>
    <w:rsid w:val="00CF64F1"/>
    <w:rsid w:val="00CF6F66"/>
    <w:rsid w:val="00CF7BAA"/>
    <w:rsid w:val="00D0035F"/>
    <w:rsid w:val="00D00FAC"/>
    <w:rsid w:val="00D02B1E"/>
    <w:rsid w:val="00D04813"/>
    <w:rsid w:val="00D049C1"/>
    <w:rsid w:val="00D04C6F"/>
    <w:rsid w:val="00D0516B"/>
    <w:rsid w:val="00D05316"/>
    <w:rsid w:val="00D05D6C"/>
    <w:rsid w:val="00D10F5F"/>
    <w:rsid w:val="00D1137D"/>
    <w:rsid w:val="00D11B87"/>
    <w:rsid w:val="00D1287D"/>
    <w:rsid w:val="00D129E5"/>
    <w:rsid w:val="00D15699"/>
    <w:rsid w:val="00D17229"/>
    <w:rsid w:val="00D17561"/>
    <w:rsid w:val="00D17CD0"/>
    <w:rsid w:val="00D17D55"/>
    <w:rsid w:val="00D207DB"/>
    <w:rsid w:val="00D20F95"/>
    <w:rsid w:val="00D23CBA"/>
    <w:rsid w:val="00D245B9"/>
    <w:rsid w:val="00D246C9"/>
    <w:rsid w:val="00D24C47"/>
    <w:rsid w:val="00D30149"/>
    <w:rsid w:val="00D3167A"/>
    <w:rsid w:val="00D31A47"/>
    <w:rsid w:val="00D31F2F"/>
    <w:rsid w:val="00D36933"/>
    <w:rsid w:val="00D401E7"/>
    <w:rsid w:val="00D40686"/>
    <w:rsid w:val="00D40975"/>
    <w:rsid w:val="00D425EA"/>
    <w:rsid w:val="00D437FB"/>
    <w:rsid w:val="00D44DA4"/>
    <w:rsid w:val="00D45898"/>
    <w:rsid w:val="00D46ABD"/>
    <w:rsid w:val="00D474F2"/>
    <w:rsid w:val="00D516F8"/>
    <w:rsid w:val="00D51A51"/>
    <w:rsid w:val="00D51A6E"/>
    <w:rsid w:val="00D525B2"/>
    <w:rsid w:val="00D544AB"/>
    <w:rsid w:val="00D57C2F"/>
    <w:rsid w:val="00D57F61"/>
    <w:rsid w:val="00D601DE"/>
    <w:rsid w:val="00D654CB"/>
    <w:rsid w:val="00D65F79"/>
    <w:rsid w:val="00D71342"/>
    <w:rsid w:val="00D75BC3"/>
    <w:rsid w:val="00D767AE"/>
    <w:rsid w:val="00D775BE"/>
    <w:rsid w:val="00D777F0"/>
    <w:rsid w:val="00D77DF8"/>
    <w:rsid w:val="00D819A9"/>
    <w:rsid w:val="00D822EA"/>
    <w:rsid w:val="00D82C05"/>
    <w:rsid w:val="00D8308B"/>
    <w:rsid w:val="00D84526"/>
    <w:rsid w:val="00D8702A"/>
    <w:rsid w:val="00D87546"/>
    <w:rsid w:val="00D878C0"/>
    <w:rsid w:val="00D90154"/>
    <w:rsid w:val="00D907AD"/>
    <w:rsid w:val="00D90FCA"/>
    <w:rsid w:val="00D92CB5"/>
    <w:rsid w:val="00D9376C"/>
    <w:rsid w:val="00D94589"/>
    <w:rsid w:val="00D96849"/>
    <w:rsid w:val="00DA34BC"/>
    <w:rsid w:val="00DA48F4"/>
    <w:rsid w:val="00DA7DEB"/>
    <w:rsid w:val="00DB2D0D"/>
    <w:rsid w:val="00DB32B2"/>
    <w:rsid w:val="00DB524C"/>
    <w:rsid w:val="00DC126F"/>
    <w:rsid w:val="00DC2555"/>
    <w:rsid w:val="00DC35DD"/>
    <w:rsid w:val="00DC4477"/>
    <w:rsid w:val="00DD081F"/>
    <w:rsid w:val="00DD4E6C"/>
    <w:rsid w:val="00DD6F08"/>
    <w:rsid w:val="00DD7F4E"/>
    <w:rsid w:val="00DE12CC"/>
    <w:rsid w:val="00DE355D"/>
    <w:rsid w:val="00DE3F35"/>
    <w:rsid w:val="00DE42BA"/>
    <w:rsid w:val="00DE762E"/>
    <w:rsid w:val="00DE7A6B"/>
    <w:rsid w:val="00DE7EDE"/>
    <w:rsid w:val="00DF073A"/>
    <w:rsid w:val="00DF343A"/>
    <w:rsid w:val="00DF4374"/>
    <w:rsid w:val="00DF5F6D"/>
    <w:rsid w:val="00E02254"/>
    <w:rsid w:val="00E04AD8"/>
    <w:rsid w:val="00E057AC"/>
    <w:rsid w:val="00E06AC0"/>
    <w:rsid w:val="00E07CDB"/>
    <w:rsid w:val="00E11AF4"/>
    <w:rsid w:val="00E11BC8"/>
    <w:rsid w:val="00E1351F"/>
    <w:rsid w:val="00E140AE"/>
    <w:rsid w:val="00E1433F"/>
    <w:rsid w:val="00E1765C"/>
    <w:rsid w:val="00E20C08"/>
    <w:rsid w:val="00E21274"/>
    <w:rsid w:val="00E2137C"/>
    <w:rsid w:val="00E2242B"/>
    <w:rsid w:val="00E23FEE"/>
    <w:rsid w:val="00E24370"/>
    <w:rsid w:val="00E26269"/>
    <w:rsid w:val="00E26B8D"/>
    <w:rsid w:val="00E321A8"/>
    <w:rsid w:val="00E3281C"/>
    <w:rsid w:val="00E352BD"/>
    <w:rsid w:val="00E35305"/>
    <w:rsid w:val="00E4115E"/>
    <w:rsid w:val="00E43AF3"/>
    <w:rsid w:val="00E43B2F"/>
    <w:rsid w:val="00E43E7E"/>
    <w:rsid w:val="00E44FCC"/>
    <w:rsid w:val="00E455BC"/>
    <w:rsid w:val="00E45AC0"/>
    <w:rsid w:val="00E467BE"/>
    <w:rsid w:val="00E536FF"/>
    <w:rsid w:val="00E55852"/>
    <w:rsid w:val="00E558CD"/>
    <w:rsid w:val="00E56387"/>
    <w:rsid w:val="00E56961"/>
    <w:rsid w:val="00E57618"/>
    <w:rsid w:val="00E578AC"/>
    <w:rsid w:val="00E57C20"/>
    <w:rsid w:val="00E60909"/>
    <w:rsid w:val="00E62209"/>
    <w:rsid w:val="00E65712"/>
    <w:rsid w:val="00E66582"/>
    <w:rsid w:val="00E6659A"/>
    <w:rsid w:val="00E677E3"/>
    <w:rsid w:val="00E71356"/>
    <w:rsid w:val="00E72804"/>
    <w:rsid w:val="00E746CC"/>
    <w:rsid w:val="00E7527E"/>
    <w:rsid w:val="00E768C6"/>
    <w:rsid w:val="00E77F02"/>
    <w:rsid w:val="00E8046C"/>
    <w:rsid w:val="00E81A8B"/>
    <w:rsid w:val="00E85027"/>
    <w:rsid w:val="00E873DB"/>
    <w:rsid w:val="00E87DDD"/>
    <w:rsid w:val="00E92242"/>
    <w:rsid w:val="00E936B9"/>
    <w:rsid w:val="00E970FE"/>
    <w:rsid w:val="00EA11A0"/>
    <w:rsid w:val="00EA1616"/>
    <w:rsid w:val="00EA35E3"/>
    <w:rsid w:val="00EA52B8"/>
    <w:rsid w:val="00EA5A0A"/>
    <w:rsid w:val="00EA66ED"/>
    <w:rsid w:val="00EA6730"/>
    <w:rsid w:val="00EA7211"/>
    <w:rsid w:val="00EB02D3"/>
    <w:rsid w:val="00EB0B63"/>
    <w:rsid w:val="00EB199F"/>
    <w:rsid w:val="00EB3738"/>
    <w:rsid w:val="00EB6F00"/>
    <w:rsid w:val="00EB74B2"/>
    <w:rsid w:val="00EC2E01"/>
    <w:rsid w:val="00EC34DA"/>
    <w:rsid w:val="00EC3C4A"/>
    <w:rsid w:val="00EC7C2C"/>
    <w:rsid w:val="00EC7D0F"/>
    <w:rsid w:val="00ED17F3"/>
    <w:rsid w:val="00ED2165"/>
    <w:rsid w:val="00ED230A"/>
    <w:rsid w:val="00ED2359"/>
    <w:rsid w:val="00ED26AA"/>
    <w:rsid w:val="00ED38FB"/>
    <w:rsid w:val="00ED52C0"/>
    <w:rsid w:val="00ED560F"/>
    <w:rsid w:val="00ED56C5"/>
    <w:rsid w:val="00ED6D83"/>
    <w:rsid w:val="00EE0BEA"/>
    <w:rsid w:val="00EE0F55"/>
    <w:rsid w:val="00EE4A06"/>
    <w:rsid w:val="00EF161E"/>
    <w:rsid w:val="00EF57B5"/>
    <w:rsid w:val="00EF6624"/>
    <w:rsid w:val="00F066A2"/>
    <w:rsid w:val="00F06C1C"/>
    <w:rsid w:val="00F0700E"/>
    <w:rsid w:val="00F073E2"/>
    <w:rsid w:val="00F0741B"/>
    <w:rsid w:val="00F07D02"/>
    <w:rsid w:val="00F07D21"/>
    <w:rsid w:val="00F12331"/>
    <w:rsid w:val="00F12641"/>
    <w:rsid w:val="00F173F3"/>
    <w:rsid w:val="00F22FA8"/>
    <w:rsid w:val="00F27BC8"/>
    <w:rsid w:val="00F31629"/>
    <w:rsid w:val="00F31B32"/>
    <w:rsid w:val="00F32529"/>
    <w:rsid w:val="00F32D1E"/>
    <w:rsid w:val="00F33CF6"/>
    <w:rsid w:val="00F34683"/>
    <w:rsid w:val="00F34C88"/>
    <w:rsid w:val="00F3554A"/>
    <w:rsid w:val="00F358A6"/>
    <w:rsid w:val="00F36891"/>
    <w:rsid w:val="00F40089"/>
    <w:rsid w:val="00F415E6"/>
    <w:rsid w:val="00F4237F"/>
    <w:rsid w:val="00F43461"/>
    <w:rsid w:val="00F43E16"/>
    <w:rsid w:val="00F44D67"/>
    <w:rsid w:val="00F45078"/>
    <w:rsid w:val="00F46BB5"/>
    <w:rsid w:val="00F50C84"/>
    <w:rsid w:val="00F514FF"/>
    <w:rsid w:val="00F51838"/>
    <w:rsid w:val="00F53F9B"/>
    <w:rsid w:val="00F56F9F"/>
    <w:rsid w:val="00F571DD"/>
    <w:rsid w:val="00F638A2"/>
    <w:rsid w:val="00F638DE"/>
    <w:rsid w:val="00F67378"/>
    <w:rsid w:val="00F738C3"/>
    <w:rsid w:val="00F74F55"/>
    <w:rsid w:val="00F777E7"/>
    <w:rsid w:val="00F804DA"/>
    <w:rsid w:val="00F8200E"/>
    <w:rsid w:val="00F83245"/>
    <w:rsid w:val="00F84D1C"/>
    <w:rsid w:val="00F85E3E"/>
    <w:rsid w:val="00F91C68"/>
    <w:rsid w:val="00F92050"/>
    <w:rsid w:val="00F92FF0"/>
    <w:rsid w:val="00F93684"/>
    <w:rsid w:val="00F939F6"/>
    <w:rsid w:val="00F94303"/>
    <w:rsid w:val="00F96A3B"/>
    <w:rsid w:val="00F96B10"/>
    <w:rsid w:val="00F97530"/>
    <w:rsid w:val="00FA2088"/>
    <w:rsid w:val="00FA2CF6"/>
    <w:rsid w:val="00FA319B"/>
    <w:rsid w:val="00FA4B13"/>
    <w:rsid w:val="00FA5724"/>
    <w:rsid w:val="00FA7D6B"/>
    <w:rsid w:val="00FB09D1"/>
    <w:rsid w:val="00FB3D44"/>
    <w:rsid w:val="00FB3E3E"/>
    <w:rsid w:val="00FB49AD"/>
    <w:rsid w:val="00FB6314"/>
    <w:rsid w:val="00FB65CB"/>
    <w:rsid w:val="00FB683F"/>
    <w:rsid w:val="00FC2B0B"/>
    <w:rsid w:val="00FC39E7"/>
    <w:rsid w:val="00FC5A30"/>
    <w:rsid w:val="00FC6704"/>
    <w:rsid w:val="00FC6F0B"/>
    <w:rsid w:val="00FD595D"/>
    <w:rsid w:val="00FD59B1"/>
    <w:rsid w:val="00FD5DA5"/>
    <w:rsid w:val="00FD5F2F"/>
    <w:rsid w:val="00FD685F"/>
    <w:rsid w:val="00FE3001"/>
    <w:rsid w:val="00FE3AE1"/>
    <w:rsid w:val="00FE3CF7"/>
    <w:rsid w:val="00FE549F"/>
    <w:rsid w:val="00FE59A9"/>
    <w:rsid w:val="00FE5C63"/>
    <w:rsid w:val="00FE5F90"/>
    <w:rsid w:val="00FE67D5"/>
    <w:rsid w:val="00FF18EA"/>
    <w:rsid w:val="00FF2D99"/>
    <w:rsid w:val="00FF600B"/>
    <w:rsid w:val="00FF7568"/>
    <w:rsid w:val="012E3309"/>
    <w:rsid w:val="063C2701"/>
    <w:rsid w:val="068D1703"/>
    <w:rsid w:val="07980C16"/>
    <w:rsid w:val="098A72E3"/>
    <w:rsid w:val="0A4D205D"/>
    <w:rsid w:val="0BEA4171"/>
    <w:rsid w:val="0CEF4E8D"/>
    <w:rsid w:val="0FA70733"/>
    <w:rsid w:val="0FB96A45"/>
    <w:rsid w:val="11023C2D"/>
    <w:rsid w:val="12081A72"/>
    <w:rsid w:val="14092304"/>
    <w:rsid w:val="142C636E"/>
    <w:rsid w:val="14740383"/>
    <w:rsid w:val="15233C15"/>
    <w:rsid w:val="15BF2EFE"/>
    <w:rsid w:val="185F55F5"/>
    <w:rsid w:val="192400FF"/>
    <w:rsid w:val="19DE010A"/>
    <w:rsid w:val="1A9F7949"/>
    <w:rsid w:val="1C4D1A75"/>
    <w:rsid w:val="1C74587A"/>
    <w:rsid w:val="1CD46712"/>
    <w:rsid w:val="1CF21724"/>
    <w:rsid w:val="1D422FCE"/>
    <w:rsid w:val="1F9936BA"/>
    <w:rsid w:val="211D32FD"/>
    <w:rsid w:val="224E0395"/>
    <w:rsid w:val="2264148F"/>
    <w:rsid w:val="22E80703"/>
    <w:rsid w:val="23A06591"/>
    <w:rsid w:val="25DC7C5D"/>
    <w:rsid w:val="25E1234A"/>
    <w:rsid w:val="25E71C16"/>
    <w:rsid w:val="26B17747"/>
    <w:rsid w:val="28085519"/>
    <w:rsid w:val="2B472170"/>
    <w:rsid w:val="2BB52F16"/>
    <w:rsid w:val="2CC83DD0"/>
    <w:rsid w:val="302963D4"/>
    <w:rsid w:val="30302C0E"/>
    <w:rsid w:val="333C3C2A"/>
    <w:rsid w:val="346E6C64"/>
    <w:rsid w:val="34E9418C"/>
    <w:rsid w:val="35436864"/>
    <w:rsid w:val="365C6E9B"/>
    <w:rsid w:val="36D83E00"/>
    <w:rsid w:val="38FD3937"/>
    <w:rsid w:val="393A729D"/>
    <w:rsid w:val="3A182BA7"/>
    <w:rsid w:val="3D8258C9"/>
    <w:rsid w:val="3FE905B6"/>
    <w:rsid w:val="400902CE"/>
    <w:rsid w:val="41437475"/>
    <w:rsid w:val="44E73581"/>
    <w:rsid w:val="460875DB"/>
    <w:rsid w:val="48BC2F1C"/>
    <w:rsid w:val="49365F43"/>
    <w:rsid w:val="4C012E4E"/>
    <w:rsid w:val="4C490BA2"/>
    <w:rsid w:val="4D362EE1"/>
    <w:rsid w:val="4E545742"/>
    <w:rsid w:val="4F98203F"/>
    <w:rsid w:val="511657D8"/>
    <w:rsid w:val="52936A52"/>
    <w:rsid w:val="54B205FE"/>
    <w:rsid w:val="54DC7A5B"/>
    <w:rsid w:val="56F30003"/>
    <w:rsid w:val="59975510"/>
    <w:rsid w:val="5A432F8D"/>
    <w:rsid w:val="5B2F793C"/>
    <w:rsid w:val="5C321E9B"/>
    <w:rsid w:val="5C610041"/>
    <w:rsid w:val="5DD54F55"/>
    <w:rsid w:val="5EDE7F25"/>
    <w:rsid w:val="60E02B20"/>
    <w:rsid w:val="614D4D08"/>
    <w:rsid w:val="627F3A39"/>
    <w:rsid w:val="654B31E9"/>
    <w:rsid w:val="65980578"/>
    <w:rsid w:val="67413ADD"/>
    <w:rsid w:val="67973093"/>
    <w:rsid w:val="689F4691"/>
    <w:rsid w:val="696F20FA"/>
    <w:rsid w:val="698C2CAC"/>
    <w:rsid w:val="698E0394"/>
    <w:rsid w:val="6A8B493B"/>
    <w:rsid w:val="6AEB7F64"/>
    <w:rsid w:val="6B410D73"/>
    <w:rsid w:val="6BC856C2"/>
    <w:rsid w:val="6D0D5BA4"/>
    <w:rsid w:val="6DB93CC7"/>
    <w:rsid w:val="6F1807A7"/>
    <w:rsid w:val="6F926156"/>
    <w:rsid w:val="748374B4"/>
    <w:rsid w:val="76002075"/>
    <w:rsid w:val="77DD34A7"/>
    <w:rsid w:val="7A041E8F"/>
    <w:rsid w:val="7BD87918"/>
    <w:rsid w:val="7C07752F"/>
    <w:rsid w:val="7DC93F96"/>
    <w:rsid w:val="7DCE6C76"/>
    <w:rsid w:val="7F4D294D"/>
    <w:rsid w:val="7F9A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6">
    <w:name w:val="heading 2"/>
    <w:basedOn w:val="1"/>
    <w:next w:val="7"/>
    <w:link w:val="52"/>
    <w:qFormat/>
    <w:uiPriority w:val="9"/>
    <w:pPr>
      <w:keepNext/>
      <w:keepLines/>
      <w:spacing w:before="260" w:after="260" w:line="416" w:lineRule="auto"/>
      <w:jc w:val="center"/>
      <w:outlineLvl w:val="1"/>
    </w:pPr>
    <w:rPr>
      <w:rFonts w:ascii="Arial" w:hAnsi="Arial" w:eastAsia="幼圆" w:cs="Arial"/>
      <w:b/>
      <w:bCs/>
      <w:sz w:val="44"/>
      <w:szCs w:val="44"/>
    </w:rPr>
  </w:style>
  <w:style w:type="paragraph" w:styleId="8">
    <w:name w:val="heading 3"/>
    <w:basedOn w:val="1"/>
    <w:next w:val="3"/>
    <w:qFormat/>
    <w:uiPriority w:val="0"/>
    <w:pPr>
      <w:keepNext/>
      <w:keepLines/>
      <w:spacing w:before="260" w:after="260" w:line="416" w:lineRule="auto"/>
      <w:outlineLvl w:val="2"/>
    </w:pPr>
    <w:rPr>
      <w:b/>
      <w:bCs/>
      <w:sz w:val="32"/>
      <w:szCs w:val="32"/>
    </w:rPr>
  </w:style>
  <w:style w:type="paragraph" w:styleId="9">
    <w:name w:val="heading 4"/>
    <w:basedOn w:val="1"/>
    <w:next w:val="1"/>
    <w:link w:val="5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kern w:val="0"/>
      <w:sz w:val="20"/>
    </w:rPr>
  </w:style>
  <w:style w:type="paragraph" w:styleId="3">
    <w:name w:val="Body Text Indent"/>
    <w:basedOn w:val="1"/>
    <w:next w:val="4"/>
    <w:link w:val="37"/>
    <w:qFormat/>
    <w:uiPriority w:val="0"/>
    <w:pPr>
      <w:autoSpaceDE w:val="0"/>
      <w:autoSpaceDN w:val="0"/>
      <w:adjustRightInd w:val="0"/>
      <w:spacing w:after="120" w:line="360" w:lineRule="atLeast"/>
      <w:ind w:left="900"/>
    </w:pPr>
    <w:rPr>
      <w:rFonts w:ascii="楷体_GB2312" w:hAnsi="Times New Roman" w:eastAsia="楷体_GB2312" w:cs="Times New Roman"/>
      <w:kern w:val="0"/>
      <w:sz w:val="28"/>
      <w:szCs w:val="20"/>
    </w:rPr>
  </w:style>
  <w:style w:type="paragraph" w:styleId="4">
    <w:name w:val="envelope return"/>
    <w:basedOn w:val="1"/>
    <w:unhideWhenUsed/>
    <w:qFormat/>
    <w:uiPriority w:val="99"/>
    <w:pPr>
      <w:snapToGrid w:val="0"/>
    </w:pPr>
    <w:rPr>
      <w:rFonts w:ascii="Arial" w:hAnsi="Arial"/>
    </w:rPr>
  </w:style>
  <w:style w:type="paragraph" w:styleId="7">
    <w:name w:val="Normal Indent"/>
    <w:basedOn w:val="1"/>
    <w:link w:val="57"/>
    <w:qFormat/>
    <w:uiPriority w:val="0"/>
    <w:pPr>
      <w:ind w:firstLine="420"/>
    </w:pPr>
    <w:rPr>
      <w:rFonts w:ascii="Times New Roman" w:hAnsi="Times New Roman" w:eastAsia="宋体" w:cs="Times New Roman"/>
      <w:szCs w:val="20"/>
    </w:rPr>
  </w:style>
  <w:style w:type="paragraph" w:styleId="10">
    <w:name w:val="annotation text"/>
    <w:basedOn w:val="1"/>
    <w:link w:val="43"/>
    <w:qFormat/>
    <w:uiPriority w:val="0"/>
    <w:pPr>
      <w:jc w:val="left"/>
    </w:pPr>
    <w:rPr>
      <w:rFonts w:ascii="Times New Roman" w:hAnsi="Times New Roman" w:eastAsia="宋体" w:cs="Times New Roman"/>
      <w:szCs w:val="20"/>
    </w:rPr>
  </w:style>
  <w:style w:type="paragraph" w:styleId="11">
    <w:name w:val="Body Text 3"/>
    <w:basedOn w:val="1"/>
    <w:link w:val="44"/>
    <w:qFormat/>
    <w:uiPriority w:val="0"/>
    <w:pPr>
      <w:spacing w:after="120"/>
    </w:pPr>
    <w:rPr>
      <w:rFonts w:ascii="Times New Roman" w:hAnsi="Times New Roman" w:eastAsia="宋体" w:cs="Times New Roman"/>
      <w:sz w:val="16"/>
      <w:szCs w:val="16"/>
    </w:rPr>
  </w:style>
  <w:style w:type="paragraph" w:styleId="12">
    <w:name w:val="Body Text"/>
    <w:basedOn w:val="1"/>
    <w:link w:val="47"/>
    <w:unhideWhenUsed/>
    <w:qFormat/>
    <w:uiPriority w:val="99"/>
    <w:pPr>
      <w:spacing w:after="120"/>
    </w:pPr>
  </w:style>
  <w:style w:type="paragraph" w:styleId="13">
    <w:name w:val="toc 3"/>
    <w:basedOn w:val="1"/>
    <w:next w:val="1"/>
    <w:unhideWhenUsed/>
    <w:qFormat/>
    <w:uiPriority w:val="39"/>
    <w:pPr>
      <w:widowControl/>
      <w:spacing w:after="100" w:line="259" w:lineRule="auto"/>
      <w:ind w:left="440"/>
      <w:jc w:val="left"/>
    </w:pPr>
    <w:rPr>
      <w:rFonts w:ascii="Times New Roman" w:hAnsi="Times New Roman" w:eastAsia="宋体" w:cs="Times New Roman"/>
      <w:kern w:val="0"/>
      <w:sz w:val="22"/>
    </w:rPr>
  </w:style>
  <w:style w:type="paragraph" w:styleId="14">
    <w:name w:val="Plain Text"/>
    <w:basedOn w:val="1"/>
    <w:link w:val="40"/>
    <w:qFormat/>
    <w:uiPriority w:val="0"/>
    <w:rPr>
      <w:rFonts w:ascii="宋体" w:hAnsi="Courier New" w:eastAsia="宋体" w:cs="Times New Roman"/>
      <w:szCs w:val="20"/>
    </w:rPr>
  </w:style>
  <w:style w:type="paragraph" w:styleId="15">
    <w:name w:val="Date"/>
    <w:basedOn w:val="1"/>
    <w:next w:val="1"/>
    <w:link w:val="42"/>
    <w:semiHidden/>
    <w:unhideWhenUsed/>
    <w:qFormat/>
    <w:uiPriority w:val="99"/>
    <w:pPr>
      <w:ind w:left="100" w:leftChars="2500"/>
    </w:pPr>
  </w:style>
  <w:style w:type="paragraph" w:styleId="16">
    <w:name w:val="Balloon Text"/>
    <w:basedOn w:val="1"/>
    <w:link w:val="41"/>
    <w:semiHidden/>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8777"/>
      </w:tabs>
      <w:spacing w:line="360" w:lineRule="auto"/>
      <w:jc w:val="left"/>
    </w:pPr>
    <w:rPr>
      <w:rFonts w:ascii="Times New Roman" w:hAnsi="Times New Roman" w:eastAsia="黑体" w:cs="Times New Roman"/>
      <w:kern w:val="0"/>
      <w:sz w:val="24"/>
    </w:rPr>
  </w:style>
  <w:style w:type="paragraph" w:styleId="20">
    <w:name w:val="toc 2"/>
    <w:basedOn w:val="1"/>
    <w:next w:val="1"/>
    <w:unhideWhenUsed/>
    <w:qFormat/>
    <w:uiPriority w:val="39"/>
    <w:pPr>
      <w:widowControl/>
      <w:spacing w:line="360" w:lineRule="auto"/>
      <w:ind w:left="221"/>
      <w:jc w:val="left"/>
    </w:pPr>
    <w:rPr>
      <w:rFonts w:ascii="Times New Roman" w:hAnsi="Times New Roman" w:eastAsia="宋体" w:cs="Times New Roman"/>
      <w:kern w:val="0"/>
      <w:sz w:val="22"/>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annotation subject"/>
    <w:basedOn w:val="10"/>
    <w:next w:val="10"/>
    <w:link w:val="55"/>
    <w:semiHidden/>
    <w:unhideWhenUsed/>
    <w:qFormat/>
    <w:uiPriority w:val="99"/>
    <w:rPr>
      <w:rFonts w:asciiTheme="minorHAnsi" w:hAnsiTheme="minorHAnsi" w:eastAsiaTheme="minorEastAsia" w:cstheme="minorBidi"/>
      <w:b/>
      <w:bCs/>
      <w:szCs w:val="22"/>
    </w:rPr>
  </w:style>
  <w:style w:type="paragraph" w:styleId="23">
    <w:name w:val="Body Text First Indent"/>
    <w:basedOn w:val="12"/>
    <w:link w:val="59"/>
    <w:semiHidden/>
    <w:unhideWhenUsed/>
    <w:qFormat/>
    <w:uiPriority w:val="99"/>
    <w:pPr>
      <w:ind w:firstLine="420" w:firstLineChars="10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Emphasis"/>
    <w:basedOn w:val="26"/>
    <w:qFormat/>
    <w:uiPriority w:val="20"/>
    <w:rPr>
      <w:i/>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qFormat/>
    <w:uiPriority w:val="0"/>
    <w:rPr>
      <w:sz w:val="21"/>
      <w:szCs w:val="21"/>
    </w:rPr>
  </w:style>
  <w:style w:type="paragraph" w:customStyle="1" w:styleId="31">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页眉 Char"/>
    <w:basedOn w:val="26"/>
    <w:link w:val="18"/>
    <w:qFormat/>
    <w:uiPriority w:val="99"/>
    <w:rPr>
      <w:sz w:val="18"/>
      <w:szCs w:val="18"/>
    </w:rPr>
  </w:style>
  <w:style w:type="character" w:customStyle="1" w:styleId="33">
    <w:name w:val="页脚 Char"/>
    <w:basedOn w:val="26"/>
    <w:link w:val="17"/>
    <w:qFormat/>
    <w:uiPriority w:val="99"/>
    <w:rPr>
      <w:sz w:val="18"/>
      <w:szCs w:val="18"/>
    </w:rPr>
  </w:style>
  <w:style w:type="character" w:customStyle="1" w:styleId="34">
    <w:name w:val="标题 1 Char"/>
    <w:basedOn w:val="26"/>
    <w:link w:val="5"/>
    <w:qFormat/>
    <w:uiPriority w:val="9"/>
    <w:rPr>
      <w:b/>
      <w:bCs/>
      <w:kern w:val="44"/>
      <w:sz w:val="44"/>
      <w:szCs w:val="44"/>
    </w:rPr>
  </w:style>
  <w:style w:type="paragraph" w:customStyle="1" w:styleId="35">
    <w:name w:val="TOC 标题1"/>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36">
    <w:name w:val="List Paragraph"/>
    <w:basedOn w:val="1"/>
    <w:link w:val="58"/>
    <w:unhideWhenUsed/>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u w:color="000000"/>
      <w:lang w:eastAsia="en-US"/>
    </w:rPr>
  </w:style>
  <w:style w:type="character" w:customStyle="1" w:styleId="37">
    <w:name w:val="正文文本缩进 Char"/>
    <w:basedOn w:val="26"/>
    <w:link w:val="3"/>
    <w:qFormat/>
    <w:uiPriority w:val="0"/>
    <w:rPr>
      <w:rFonts w:ascii="楷体_GB2312" w:hAnsi="Times New Roman" w:eastAsia="楷体_GB2312" w:cs="Times New Roman"/>
      <w:kern w:val="0"/>
      <w:sz w:val="28"/>
      <w:szCs w:val="20"/>
    </w:rPr>
  </w:style>
  <w:style w:type="paragraph" w:customStyle="1" w:styleId="38">
    <w:name w:val="蓝色显示"/>
    <w:basedOn w:val="1"/>
    <w:link w:val="39"/>
    <w:qFormat/>
    <w:uiPriority w:val="0"/>
    <w:pPr>
      <w:spacing w:before="340" w:after="330" w:line="400" w:lineRule="exact"/>
    </w:pPr>
    <w:rPr>
      <w:rFonts w:ascii="Times New Roman" w:hAnsi="Times New Roman" w:eastAsia="宋体" w:cs="Times New Roman"/>
      <w:b/>
      <w:color w:val="0070C0"/>
      <w:szCs w:val="24"/>
    </w:rPr>
  </w:style>
  <w:style w:type="character" w:customStyle="1" w:styleId="39">
    <w:name w:val="蓝色显示 Char"/>
    <w:link w:val="38"/>
    <w:qFormat/>
    <w:uiPriority w:val="0"/>
    <w:rPr>
      <w:rFonts w:ascii="Times New Roman" w:hAnsi="Times New Roman" w:eastAsia="宋体" w:cs="Times New Roman"/>
      <w:b/>
      <w:color w:val="0070C0"/>
      <w:szCs w:val="24"/>
    </w:rPr>
  </w:style>
  <w:style w:type="character" w:customStyle="1" w:styleId="40">
    <w:name w:val="纯文本 Char"/>
    <w:basedOn w:val="26"/>
    <w:link w:val="14"/>
    <w:qFormat/>
    <w:uiPriority w:val="0"/>
    <w:rPr>
      <w:rFonts w:ascii="宋体" w:hAnsi="Courier New" w:eastAsia="宋体" w:cs="Times New Roman"/>
      <w:szCs w:val="20"/>
    </w:rPr>
  </w:style>
  <w:style w:type="character" w:customStyle="1" w:styleId="41">
    <w:name w:val="批注框文本 Char"/>
    <w:basedOn w:val="26"/>
    <w:link w:val="16"/>
    <w:semiHidden/>
    <w:qFormat/>
    <w:uiPriority w:val="99"/>
    <w:rPr>
      <w:sz w:val="18"/>
      <w:szCs w:val="18"/>
    </w:rPr>
  </w:style>
  <w:style w:type="character" w:customStyle="1" w:styleId="42">
    <w:name w:val="日期 Char"/>
    <w:basedOn w:val="26"/>
    <w:link w:val="15"/>
    <w:semiHidden/>
    <w:qFormat/>
    <w:uiPriority w:val="99"/>
  </w:style>
  <w:style w:type="character" w:customStyle="1" w:styleId="43">
    <w:name w:val="批注文字 Char"/>
    <w:basedOn w:val="26"/>
    <w:link w:val="10"/>
    <w:qFormat/>
    <w:uiPriority w:val="99"/>
    <w:rPr>
      <w:rFonts w:ascii="Times New Roman" w:hAnsi="Times New Roman" w:eastAsia="宋体" w:cs="Times New Roman"/>
      <w:szCs w:val="20"/>
    </w:rPr>
  </w:style>
  <w:style w:type="character" w:customStyle="1" w:styleId="44">
    <w:name w:val="正文文本 3 Char"/>
    <w:basedOn w:val="26"/>
    <w:link w:val="11"/>
    <w:qFormat/>
    <w:uiPriority w:val="0"/>
    <w:rPr>
      <w:rFonts w:ascii="Times New Roman" w:hAnsi="Times New Roman" w:eastAsia="宋体" w:cs="Times New Roman"/>
      <w:sz w:val="16"/>
      <w:szCs w:val="16"/>
    </w:rPr>
  </w:style>
  <w:style w:type="paragraph" w:customStyle="1" w:styleId="45">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 w:type="paragraph" w:customStyle="1" w:styleId="46">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47">
    <w:name w:val="正文文本 Char"/>
    <w:basedOn w:val="26"/>
    <w:link w:val="12"/>
    <w:qFormat/>
    <w:uiPriority w:val="99"/>
  </w:style>
  <w:style w:type="paragraph" w:customStyle="1" w:styleId="48">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49">
    <w:name w:val="*正文 Char"/>
    <w:link w:val="50"/>
    <w:qFormat/>
    <w:uiPriority w:val="0"/>
    <w:rPr>
      <w:kern w:val="2"/>
      <w:sz w:val="24"/>
      <w:szCs w:val="24"/>
    </w:rPr>
  </w:style>
  <w:style w:type="paragraph" w:customStyle="1" w:styleId="50">
    <w:name w:val="*正文"/>
    <w:basedOn w:val="1"/>
    <w:link w:val="49"/>
    <w:qFormat/>
    <w:uiPriority w:val="0"/>
    <w:pPr>
      <w:adjustRightInd w:val="0"/>
      <w:snapToGrid w:val="0"/>
      <w:spacing w:line="340" w:lineRule="exact"/>
      <w:ind w:firstLine="480" w:firstLineChars="200"/>
    </w:pPr>
    <w:rPr>
      <w:sz w:val="24"/>
      <w:szCs w:val="24"/>
    </w:rPr>
  </w:style>
  <w:style w:type="table" w:customStyle="1" w:styleId="51">
    <w:name w:val="网格型3"/>
    <w:basedOn w:val="2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标题 2 Char"/>
    <w:basedOn w:val="26"/>
    <w:link w:val="6"/>
    <w:qFormat/>
    <w:uiPriority w:val="9"/>
    <w:rPr>
      <w:rFonts w:ascii="Arial" w:hAnsi="Arial" w:eastAsia="幼圆" w:cs="Arial"/>
      <w:b/>
      <w:bCs/>
      <w:kern w:val="2"/>
      <w:sz w:val="44"/>
      <w:szCs w:val="44"/>
    </w:rPr>
  </w:style>
  <w:style w:type="paragraph" w:customStyle="1" w:styleId="53">
    <w:name w:val="招标文件_标题3"/>
    <w:basedOn w:val="36"/>
    <w:next w:val="1"/>
    <w:link w:val="54"/>
    <w:qFormat/>
    <w:uiPriority w:val="0"/>
    <w:pPr>
      <w:widowControl w:val="0"/>
      <w:spacing w:before="0" w:after="0"/>
      <w:ind w:firstLine="0" w:firstLineChars="0"/>
      <w:jc w:val="both"/>
      <w:outlineLvl w:val="2"/>
    </w:pPr>
    <w:rPr>
      <w:rFonts w:hint="default" w:ascii="Calibri" w:hAnsi="Calibri" w:eastAsia="宋体" w:cs="Times New Roman"/>
      <w:b/>
      <w:color w:val="auto"/>
      <w:sz w:val="28"/>
      <w:szCs w:val="30"/>
      <w:lang w:val="zh-CN" w:bidi="en-US"/>
    </w:rPr>
  </w:style>
  <w:style w:type="character" w:customStyle="1" w:styleId="54">
    <w:name w:val="招标文件_标题3 字符"/>
    <w:basedOn w:val="26"/>
    <w:link w:val="53"/>
    <w:qFormat/>
    <w:uiPriority w:val="0"/>
    <w:rPr>
      <w:rFonts w:ascii="Calibri" w:hAnsi="Calibri" w:eastAsia="宋体" w:cs="Times New Roman"/>
      <w:b/>
      <w:sz w:val="28"/>
      <w:szCs w:val="30"/>
      <w:lang w:val="zh-CN" w:eastAsia="en-US" w:bidi="en-US"/>
    </w:rPr>
  </w:style>
  <w:style w:type="character" w:customStyle="1" w:styleId="55">
    <w:name w:val="批注主题 Char"/>
    <w:basedOn w:val="43"/>
    <w:link w:val="22"/>
    <w:semiHidden/>
    <w:qFormat/>
    <w:uiPriority w:val="99"/>
    <w:rPr>
      <w:rFonts w:ascii="Times New Roman" w:hAnsi="Times New Roman" w:eastAsia="宋体" w:cs="Times New Roman"/>
      <w:b/>
      <w:bCs/>
      <w:kern w:val="2"/>
      <w:sz w:val="21"/>
      <w:szCs w:val="22"/>
    </w:rPr>
  </w:style>
  <w:style w:type="character" w:customStyle="1" w:styleId="56">
    <w:name w:val="标题 4 Char"/>
    <w:basedOn w:val="26"/>
    <w:link w:val="9"/>
    <w:semiHidden/>
    <w:qFormat/>
    <w:uiPriority w:val="9"/>
    <w:rPr>
      <w:rFonts w:asciiTheme="majorHAnsi" w:hAnsiTheme="majorHAnsi" w:eastAsiaTheme="majorEastAsia" w:cstheme="majorBidi"/>
      <w:b/>
      <w:bCs/>
      <w:kern w:val="2"/>
      <w:sz w:val="28"/>
      <w:szCs w:val="28"/>
    </w:rPr>
  </w:style>
  <w:style w:type="character" w:customStyle="1" w:styleId="57">
    <w:name w:val="正文缩进 Char"/>
    <w:link w:val="7"/>
    <w:qFormat/>
    <w:uiPriority w:val="0"/>
    <w:rPr>
      <w:rFonts w:ascii="Times New Roman" w:hAnsi="Times New Roman" w:eastAsia="宋体" w:cs="Times New Roman"/>
      <w:kern w:val="2"/>
      <w:sz w:val="21"/>
    </w:rPr>
  </w:style>
  <w:style w:type="character" w:customStyle="1" w:styleId="58">
    <w:name w:val="列出段落 Char"/>
    <w:link w:val="36"/>
    <w:qFormat/>
    <w:locked/>
    <w:uiPriority w:val="34"/>
    <w:rPr>
      <w:rFonts w:ascii="Arial Unicode MS" w:hAnsi="Arial Unicode MS" w:eastAsia="Times New Roman" w:cs="Arial Unicode MS"/>
      <w:color w:val="000000"/>
      <w:u w:color="000000"/>
      <w:lang w:eastAsia="en-US"/>
    </w:rPr>
  </w:style>
  <w:style w:type="character" w:customStyle="1" w:styleId="59">
    <w:name w:val="正文首行缩进 Char"/>
    <w:basedOn w:val="47"/>
    <w:link w:val="23"/>
    <w:semiHidden/>
    <w:qFormat/>
    <w:uiPriority w:val="99"/>
    <w:rPr>
      <w:kern w:val="2"/>
      <w:sz w:val="21"/>
      <w:szCs w:val="22"/>
    </w:rPr>
  </w:style>
  <w:style w:type="character" w:customStyle="1" w:styleId="60">
    <w:name w:val="sh141"/>
    <w:qFormat/>
    <w:uiPriority w:val="0"/>
    <w:rPr>
      <w:color w:val="2B2B2B"/>
      <w:sz w:val="21"/>
      <w:szCs w:val="21"/>
    </w:rPr>
  </w:style>
  <w:style w:type="paragraph" w:customStyle="1" w:styleId="61">
    <w:name w:val="标准文本"/>
    <w:basedOn w:val="1"/>
    <w:link w:val="62"/>
    <w:qFormat/>
    <w:uiPriority w:val="0"/>
    <w:pPr>
      <w:adjustRightInd w:val="0"/>
      <w:snapToGrid w:val="0"/>
      <w:spacing w:line="360" w:lineRule="auto"/>
      <w:ind w:firstLine="480" w:firstLineChars="200"/>
    </w:pPr>
    <w:rPr>
      <w:rFonts w:ascii="Times New Roman" w:hAnsi="Times New Roman" w:eastAsia="宋体" w:cs="宋体"/>
      <w:sz w:val="24"/>
      <w:szCs w:val="24"/>
    </w:rPr>
  </w:style>
  <w:style w:type="character" w:customStyle="1" w:styleId="62">
    <w:name w:val="标准文本 Char"/>
    <w:link w:val="61"/>
    <w:qFormat/>
    <w:uiPriority w:val="0"/>
    <w:rPr>
      <w:rFonts w:ascii="Times New Roman" w:hAnsi="Times New Roman" w:eastAsia="宋体" w:cs="宋体"/>
      <w:kern w:val="2"/>
      <w:sz w:val="24"/>
      <w:szCs w:val="24"/>
    </w:rPr>
  </w:style>
  <w:style w:type="paragraph" w:customStyle="1" w:styleId="63">
    <w:name w:val="列出段落1"/>
    <w:basedOn w:val="1"/>
    <w:qFormat/>
    <w:uiPriority w:val="0"/>
    <w:pPr>
      <w:ind w:left="200" w:leftChars="200"/>
      <w:jc w:val="left"/>
    </w:pPr>
    <w:rPr>
      <w:rFonts w:ascii="Calibri" w:hAnsi="Calibri" w:eastAsia="PMingLiU" w:cs="宋体"/>
      <w:sz w:val="24"/>
      <w:lang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F6C945-9E37-427A-A7FB-6D1E1041CA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18603</Words>
  <Characters>19766</Characters>
  <Lines>139</Lines>
  <Paragraphs>39</Paragraphs>
  <TotalTime>0</TotalTime>
  <ScaleCrop>false</ScaleCrop>
  <LinksUpToDate>false</LinksUpToDate>
  <CharactersWithSpaces>21158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2020-11-30T05:46:00Z</dcterms:created>
  <dc:creator>ibm</dc:creator>
  <cp:lastModifiedBy>熊吉同学</cp:lastModifiedBy>
  <cp:lastPrinted>2016-04-14T05:56:00Z</cp:lastPrinted>
  <dcterms:modified xsi:type="dcterms:W3CDTF">2022-09-16T06:57:15Z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3C6F71E8735049A3A0A60F8BCD8E28F8</vt:lpwstr>
  </property>
</Properties>
</file>