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D8" w:rsidRPr="008665BA" w:rsidRDefault="008665BA" w:rsidP="008665BA">
      <w:pPr>
        <w:spacing w:line="360" w:lineRule="auto"/>
        <w:jc w:val="center"/>
        <w:rPr>
          <w:rFonts w:ascii="宋体" w:hAnsi="宋体" w:cs="宋体"/>
          <w:bCs/>
          <w:sz w:val="40"/>
        </w:rPr>
      </w:pPr>
      <w:r w:rsidRPr="008665BA">
        <w:rPr>
          <w:rFonts w:ascii="宋体" w:hAnsi="宋体" w:cs="宋体" w:hint="eastAsia"/>
          <w:bCs/>
          <w:sz w:val="40"/>
        </w:rPr>
        <w:t>南京邮电大学通达学院6120、6122宿舍</w:t>
      </w:r>
      <w:r w:rsidR="00CE257E">
        <w:rPr>
          <w:rFonts w:ascii="宋体" w:hAnsi="宋体" w:cs="宋体" w:hint="eastAsia"/>
          <w:bCs/>
          <w:sz w:val="40"/>
        </w:rPr>
        <w:t>维修</w:t>
      </w:r>
      <w:r w:rsidRPr="008665BA">
        <w:rPr>
          <w:rFonts w:ascii="宋体" w:hAnsi="宋体" w:cs="宋体" w:hint="eastAsia"/>
          <w:bCs/>
          <w:sz w:val="40"/>
        </w:rPr>
        <w:t>改造工程</w:t>
      </w:r>
      <w:r w:rsidR="00377B89" w:rsidRPr="00377B89">
        <w:rPr>
          <w:rFonts w:ascii="宋体" w:hAnsi="宋体" w:cs="宋体" w:hint="eastAsia"/>
          <w:bCs/>
          <w:sz w:val="40"/>
        </w:rPr>
        <w:t>项目</w:t>
      </w:r>
      <w:r w:rsidR="00144567" w:rsidRPr="00597562">
        <w:rPr>
          <w:rFonts w:ascii="宋体" w:hAnsi="宋体" w:cs="宋体" w:hint="eastAsia"/>
          <w:bCs/>
          <w:sz w:val="40"/>
        </w:rPr>
        <w:t>方案</w:t>
      </w:r>
    </w:p>
    <w:p w:rsidR="008E07D8" w:rsidRDefault="008E07D8" w:rsidP="007D4B13">
      <w:pPr>
        <w:pStyle w:val="1"/>
        <w:numPr>
          <w:ilvl w:val="0"/>
          <w:numId w:val="1"/>
        </w:numPr>
        <w:spacing w:line="360" w:lineRule="auto"/>
      </w:pPr>
      <w:bookmarkStart w:id="0" w:name="_Toc194758350"/>
      <w:bookmarkStart w:id="1" w:name="_Toc194757239"/>
      <w:bookmarkStart w:id="2" w:name="_Toc403722970"/>
      <w:r>
        <w:rPr>
          <w:rFonts w:hint="eastAsia"/>
        </w:rPr>
        <w:t>项目概况</w:t>
      </w:r>
    </w:p>
    <w:bookmarkEnd w:id="0"/>
    <w:bookmarkEnd w:id="1"/>
    <w:bookmarkEnd w:id="2"/>
    <w:p w:rsidR="008E07D8" w:rsidRDefault="00353149" w:rsidP="002A61EA">
      <w:pPr>
        <w:pStyle w:val="a5"/>
        <w:spacing w:line="360" w:lineRule="auto"/>
        <w:ind w:firstLine="480"/>
        <w:rPr>
          <w:rFonts w:ascii="宋体" w:hAnsi="宋体" w:cs="宋体"/>
          <w:sz w:val="24"/>
        </w:rPr>
      </w:pPr>
      <w:r w:rsidRPr="00353149">
        <w:rPr>
          <w:rFonts w:ascii="宋体" w:hAnsi="宋体" w:cs="宋体" w:hint="eastAsia"/>
          <w:sz w:val="24"/>
        </w:rPr>
        <w:t>学生宿舍6120及6122房间因地基下沉，导致隔墙及卫生间墙体出现整体裂缝，影响学生入住，为解决此问题，需要将隔墙、卫生间墙体、地面全部拆除后，重做条形基础，砌筑墙体，恢复地面地砖</w:t>
      </w:r>
      <w:r>
        <w:rPr>
          <w:rFonts w:ascii="宋体" w:hAnsi="宋体" w:cs="宋体" w:hint="eastAsia"/>
          <w:sz w:val="24"/>
        </w:rPr>
        <w:t>、卫生间墙砖、电线插座、冷水管、排水管、蹲坑等，详见工程量清单</w:t>
      </w:r>
      <w:r w:rsidR="008665BA" w:rsidRPr="008665BA">
        <w:rPr>
          <w:rFonts w:ascii="宋体" w:hAnsi="宋体" w:cs="宋体" w:hint="eastAsia"/>
          <w:sz w:val="24"/>
        </w:rPr>
        <w:t>。</w:t>
      </w:r>
    </w:p>
    <w:p w:rsidR="008E07D8" w:rsidRPr="008E07D8" w:rsidRDefault="008E07D8" w:rsidP="007D4B13">
      <w:pPr>
        <w:pStyle w:val="1"/>
        <w:numPr>
          <w:ilvl w:val="0"/>
          <w:numId w:val="1"/>
        </w:numPr>
        <w:spacing w:line="360" w:lineRule="auto"/>
      </w:pPr>
      <w:r w:rsidRPr="008E07D8">
        <w:t>工程要求</w:t>
      </w:r>
    </w:p>
    <w:p w:rsidR="00E23B65" w:rsidRPr="006E5B16" w:rsidRDefault="006E5B16" w:rsidP="006E5B16">
      <w:pPr>
        <w:pStyle w:val="a5"/>
        <w:spacing w:line="360" w:lineRule="auto"/>
        <w:ind w:firstLine="480"/>
        <w:rPr>
          <w:rFonts w:ascii="宋体" w:hAnsi="宋体" w:cs="宋体"/>
          <w:sz w:val="24"/>
        </w:rPr>
      </w:pPr>
      <w:r>
        <w:rPr>
          <w:rFonts w:ascii="宋体" w:hAnsi="宋体" w:cs="宋体" w:hint="eastAsia"/>
          <w:sz w:val="24"/>
        </w:rPr>
        <w:t>1</w:t>
      </w:r>
      <w:r>
        <w:rPr>
          <w:rFonts w:ascii="宋体" w:hAnsi="宋体" w:cs="宋体"/>
          <w:sz w:val="24"/>
        </w:rPr>
        <w:t>.</w:t>
      </w:r>
      <w:r w:rsidR="00E55FD9" w:rsidRPr="006E5B16">
        <w:rPr>
          <w:rFonts w:ascii="宋体" w:hAnsi="宋体" w:cs="宋体"/>
          <w:sz w:val="24"/>
        </w:rPr>
        <w:t>钢筋、</w:t>
      </w:r>
      <w:r w:rsidR="00AF27C5" w:rsidRPr="006E5B16">
        <w:rPr>
          <w:rFonts w:ascii="宋体" w:hAnsi="宋体" w:cs="宋体"/>
          <w:sz w:val="24"/>
        </w:rPr>
        <w:t>混凝土、</w:t>
      </w:r>
      <w:r w:rsidR="00712F94" w:rsidRPr="006E5B16">
        <w:rPr>
          <w:rFonts w:ascii="宋体" w:hAnsi="宋体" w:cs="宋体"/>
          <w:sz w:val="24"/>
        </w:rPr>
        <w:t>瓷</w:t>
      </w:r>
      <w:r w:rsidR="00E55FD9" w:rsidRPr="006E5B16">
        <w:rPr>
          <w:rFonts w:ascii="宋体" w:hAnsi="宋体" w:cs="宋体"/>
          <w:sz w:val="24"/>
        </w:rPr>
        <w:t>砖</w:t>
      </w:r>
      <w:r w:rsidR="00FE15EE" w:rsidRPr="006E5B16">
        <w:rPr>
          <w:rFonts w:ascii="宋体" w:hAnsi="宋体" w:cs="宋体"/>
          <w:sz w:val="24"/>
        </w:rPr>
        <w:t>等材料需</w:t>
      </w:r>
      <w:r w:rsidR="003F5A07" w:rsidRPr="006E5B16">
        <w:rPr>
          <w:rFonts w:ascii="宋体" w:hAnsi="宋体" w:cs="宋体"/>
          <w:sz w:val="24"/>
        </w:rPr>
        <w:t>符合国家标准及设计要求。</w:t>
      </w:r>
    </w:p>
    <w:p w:rsidR="00712F94" w:rsidRPr="006E5B16" w:rsidRDefault="006E5B16" w:rsidP="006E5B16">
      <w:pPr>
        <w:pStyle w:val="a5"/>
        <w:spacing w:line="360" w:lineRule="auto"/>
        <w:ind w:firstLine="480"/>
        <w:rPr>
          <w:rFonts w:ascii="宋体" w:hAnsi="宋体" w:cs="宋体"/>
          <w:sz w:val="24"/>
        </w:rPr>
      </w:pPr>
      <w:r>
        <w:rPr>
          <w:rFonts w:ascii="宋体" w:hAnsi="宋体" w:cs="宋体" w:hint="eastAsia"/>
          <w:sz w:val="24"/>
        </w:rPr>
        <w:t>2</w:t>
      </w:r>
      <w:r>
        <w:rPr>
          <w:rFonts w:ascii="宋体" w:hAnsi="宋体" w:cs="宋体"/>
          <w:sz w:val="24"/>
        </w:rPr>
        <w:t>.</w:t>
      </w:r>
      <w:r w:rsidR="00D20611" w:rsidRPr="00D20611">
        <w:rPr>
          <w:rFonts w:ascii="宋体" w:hAnsi="宋体" w:cs="宋体" w:hint="eastAsia"/>
          <w:sz w:val="24"/>
        </w:rPr>
        <w:t>因场地限制，所有建筑材料及垃圾需要人工接驳转运，自行考虑，包含在综合单价内。</w:t>
      </w:r>
    </w:p>
    <w:p w:rsidR="00D20611" w:rsidRPr="006E5B16" w:rsidRDefault="006E5B16" w:rsidP="006E5B16">
      <w:pPr>
        <w:pStyle w:val="a5"/>
        <w:spacing w:line="360" w:lineRule="auto"/>
        <w:ind w:firstLine="480"/>
        <w:rPr>
          <w:rFonts w:ascii="宋体" w:hAnsi="宋体" w:cs="宋体"/>
          <w:sz w:val="24"/>
        </w:rPr>
      </w:pPr>
      <w:r>
        <w:rPr>
          <w:rFonts w:ascii="宋体" w:hAnsi="宋体" w:cs="宋体" w:hint="eastAsia"/>
          <w:sz w:val="24"/>
        </w:rPr>
        <w:t>3</w:t>
      </w:r>
      <w:r>
        <w:rPr>
          <w:rFonts w:ascii="宋体" w:hAnsi="宋体" w:cs="宋体"/>
          <w:sz w:val="24"/>
        </w:rPr>
        <w:t>.</w:t>
      </w:r>
      <w:r w:rsidR="00D20611" w:rsidRPr="00D20611">
        <w:rPr>
          <w:rFonts w:ascii="宋体" w:hAnsi="宋体" w:cs="宋体" w:hint="eastAsia"/>
          <w:sz w:val="24"/>
        </w:rPr>
        <w:t>施工过程中，需采取措施保护现场及周边相关物品、设施等，因供应商的不规范操作、误操作等原因造成相关设施的损坏、设备的停用等后果均由</w:t>
      </w:r>
      <w:r w:rsidR="00D20611">
        <w:rPr>
          <w:rFonts w:ascii="宋体" w:hAnsi="宋体" w:cs="宋体" w:hint="eastAsia"/>
          <w:sz w:val="24"/>
        </w:rPr>
        <w:t>中标方</w:t>
      </w:r>
      <w:r w:rsidR="00D20611" w:rsidRPr="00D20611">
        <w:rPr>
          <w:rFonts w:ascii="宋体" w:hAnsi="宋体" w:cs="宋体" w:hint="eastAsia"/>
          <w:sz w:val="24"/>
        </w:rPr>
        <w:t>承担。</w:t>
      </w:r>
    </w:p>
    <w:p w:rsidR="00D20611" w:rsidRDefault="006E5B16" w:rsidP="006E5B16">
      <w:pPr>
        <w:pStyle w:val="a5"/>
        <w:spacing w:line="360" w:lineRule="auto"/>
        <w:ind w:firstLine="480"/>
        <w:rPr>
          <w:rFonts w:ascii="宋体" w:hAnsi="宋体" w:cs="宋体"/>
          <w:sz w:val="24"/>
        </w:rPr>
      </w:pPr>
      <w:r>
        <w:rPr>
          <w:rFonts w:ascii="宋体" w:hAnsi="宋体" w:cs="宋体" w:hint="eastAsia"/>
          <w:sz w:val="24"/>
        </w:rPr>
        <w:t>4</w:t>
      </w:r>
      <w:r>
        <w:rPr>
          <w:rFonts w:ascii="宋体" w:hAnsi="宋体" w:cs="宋体"/>
          <w:sz w:val="24"/>
        </w:rPr>
        <w:t>.</w:t>
      </w:r>
      <w:r w:rsidR="00D20611" w:rsidRPr="00D20611">
        <w:rPr>
          <w:rFonts w:ascii="宋体" w:hAnsi="宋体" w:cs="宋体" w:hint="eastAsia"/>
          <w:sz w:val="24"/>
        </w:rPr>
        <w:t>工程量清单成交价的单价或金额，应包括所需人工费、材料费、施工机械使用费和管理费及利润等所有费用。</w:t>
      </w:r>
    </w:p>
    <w:p w:rsidR="00D20611" w:rsidRPr="00D20611" w:rsidRDefault="006E5B16" w:rsidP="006E5B16">
      <w:pPr>
        <w:pStyle w:val="a5"/>
        <w:spacing w:line="360" w:lineRule="auto"/>
        <w:ind w:firstLine="480"/>
        <w:rPr>
          <w:rFonts w:ascii="宋体" w:hAnsi="宋体" w:cs="宋体"/>
          <w:sz w:val="24"/>
        </w:rPr>
      </w:pPr>
      <w:r>
        <w:rPr>
          <w:rFonts w:ascii="宋体" w:hAnsi="宋体" w:cs="宋体" w:hint="eastAsia"/>
          <w:sz w:val="24"/>
        </w:rPr>
        <w:t>5</w:t>
      </w:r>
      <w:r>
        <w:rPr>
          <w:rFonts w:ascii="宋体" w:hAnsi="宋体" w:cs="宋体"/>
          <w:sz w:val="24"/>
        </w:rPr>
        <w:t>.</w:t>
      </w:r>
      <w:r w:rsidR="00D20611">
        <w:rPr>
          <w:rFonts w:ascii="宋体" w:hAnsi="宋体" w:cs="宋体" w:hint="eastAsia"/>
          <w:sz w:val="24"/>
        </w:rPr>
        <w:t>报价</w:t>
      </w:r>
      <w:r w:rsidR="00D20611" w:rsidRPr="00D20611">
        <w:rPr>
          <w:rFonts w:ascii="宋体" w:hAnsi="宋体" w:cs="宋体" w:hint="eastAsia"/>
          <w:sz w:val="24"/>
        </w:rPr>
        <w:t>包括完成提供的工程量清单范围内的所有项目以及与本项目相关的所需的全部费用，</w:t>
      </w:r>
      <w:r w:rsidR="00D20611">
        <w:rPr>
          <w:rFonts w:ascii="宋体" w:hAnsi="宋体" w:cs="宋体" w:hint="eastAsia"/>
          <w:sz w:val="24"/>
        </w:rPr>
        <w:t>中标方</w:t>
      </w:r>
      <w:r w:rsidR="00D20611" w:rsidRPr="00D20611">
        <w:rPr>
          <w:rFonts w:ascii="宋体" w:hAnsi="宋体" w:cs="宋体" w:hint="eastAsia"/>
          <w:sz w:val="24"/>
        </w:rPr>
        <w:t>已标价工程量清单中如果出现少算、漏算费用或未填单价和合价的工程项目，其费用视为已分摊在工程量清单中其他已标价的相关子目的单价或价格之中。除本采购文件或合同另有约定外，结算时不得调整。</w:t>
      </w:r>
    </w:p>
    <w:p w:rsidR="008E07D8" w:rsidRPr="00875B14" w:rsidRDefault="008E07D8" w:rsidP="007D4B13">
      <w:pPr>
        <w:spacing w:line="360" w:lineRule="auto"/>
        <w:rPr>
          <w:rFonts w:ascii="宋体" w:hAnsi="宋体"/>
          <w:b/>
          <w:snapToGrid w:val="0"/>
          <w:szCs w:val="21"/>
        </w:rPr>
      </w:pPr>
      <w:r>
        <w:rPr>
          <w:rFonts w:ascii="宋体" w:hAnsi="宋体"/>
          <w:b/>
          <w:szCs w:val="21"/>
        </w:rPr>
        <w:t>三</w:t>
      </w:r>
      <w:r w:rsidRPr="00875B14">
        <w:rPr>
          <w:rFonts w:ascii="宋体" w:hAnsi="宋体"/>
          <w:b/>
          <w:szCs w:val="21"/>
        </w:rPr>
        <w:t>、</w:t>
      </w:r>
      <w:r w:rsidRPr="00875B14">
        <w:rPr>
          <w:rFonts w:ascii="宋体" w:hAnsi="宋体" w:hint="eastAsia"/>
          <w:b/>
          <w:snapToGrid w:val="0"/>
          <w:szCs w:val="21"/>
        </w:rPr>
        <w:t>验收标准</w:t>
      </w:r>
    </w:p>
    <w:p w:rsidR="00FE15EE" w:rsidRPr="00FE15EE" w:rsidRDefault="00FE15EE" w:rsidP="00FE15EE">
      <w:pPr>
        <w:pStyle w:val="a5"/>
        <w:spacing w:line="360" w:lineRule="auto"/>
        <w:ind w:firstLine="480"/>
        <w:rPr>
          <w:rFonts w:ascii="宋体" w:hAnsi="宋体" w:cs="宋体"/>
          <w:sz w:val="24"/>
        </w:rPr>
      </w:pPr>
      <w:r>
        <w:rPr>
          <w:rFonts w:ascii="宋体" w:hAnsi="宋体" w:cs="宋体" w:hint="eastAsia"/>
          <w:sz w:val="24"/>
        </w:rPr>
        <w:t>1</w:t>
      </w:r>
      <w:r>
        <w:rPr>
          <w:rFonts w:ascii="宋体" w:hAnsi="宋体" w:cs="宋体"/>
          <w:sz w:val="24"/>
        </w:rPr>
        <w:t>.</w:t>
      </w:r>
      <w:r w:rsidR="00944B9D">
        <w:rPr>
          <w:rFonts w:ascii="宋体" w:hAnsi="宋体" w:cs="宋体"/>
          <w:sz w:val="24"/>
        </w:rPr>
        <w:t>施工满足规范要求及清单要求。</w:t>
      </w:r>
    </w:p>
    <w:p w:rsidR="008E07D8" w:rsidRPr="007D4B13" w:rsidRDefault="00FE15EE" w:rsidP="007D4B13">
      <w:pPr>
        <w:pStyle w:val="a5"/>
        <w:spacing w:line="360" w:lineRule="auto"/>
        <w:ind w:firstLine="480"/>
        <w:rPr>
          <w:rFonts w:ascii="宋体" w:hAnsi="宋体" w:cs="宋体"/>
          <w:sz w:val="24"/>
        </w:rPr>
      </w:pPr>
      <w:r>
        <w:rPr>
          <w:rFonts w:ascii="宋体" w:hAnsi="宋体" w:cs="宋体" w:hint="eastAsia"/>
          <w:sz w:val="24"/>
        </w:rPr>
        <w:t>2</w:t>
      </w:r>
      <w:r>
        <w:rPr>
          <w:rFonts w:ascii="宋体" w:hAnsi="宋体" w:cs="宋体"/>
          <w:sz w:val="24"/>
        </w:rPr>
        <w:t>.</w:t>
      </w:r>
      <w:r w:rsidR="00944B9D" w:rsidRPr="007D4B13">
        <w:rPr>
          <w:rFonts w:ascii="宋体" w:hAnsi="宋体" w:cs="宋体" w:hint="eastAsia"/>
          <w:sz w:val="24"/>
        </w:rPr>
        <w:t>工程施工</w:t>
      </w:r>
      <w:r w:rsidR="0004696E">
        <w:rPr>
          <w:rFonts w:ascii="宋体" w:hAnsi="宋体" w:cs="宋体"/>
          <w:sz w:val="24"/>
        </w:rPr>
        <w:t>结束，现场清理完毕，方可组织竣工验收</w:t>
      </w:r>
      <w:r w:rsidR="008E07D8" w:rsidRPr="007D4B13">
        <w:rPr>
          <w:rFonts w:ascii="宋体" w:hAnsi="宋体" w:cs="宋体"/>
          <w:sz w:val="24"/>
        </w:rPr>
        <w:t>。</w:t>
      </w:r>
    </w:p>
    <w:p w:rsidR="008E07D8" w:rsidRDefault="008E07D8" w:rsidP="007D4B13">
      <w:pPr>
        <w:pStyle w:val="a5"/>
        <w:spacing w:line="360" w:lineRule="auto"/>
        <w:ind w:firstLineChars="0" w:firstLine="0"/>
        <w:rPr>
          <w:rFonts w:hAnsi="宋体"/>
          <w:b/>
          <w:sz w:val="24"/>
        </w:rPr>
      </w:pPr>
      <w:r>
        <w:rPr>
          <w:rFonts w:hAnsi="宋体" w:hint="eastAsia"/>
          <w:b/>
          <w:sz w:val="24"/>
        </w:rPr>
        <w:t>四、资质要求</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1.具有独立承担民事责任的能力；</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2.具有良好的商业信誉：</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3.具有履行合同所必需的设备和专业技术能力；</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4.有依法缴纳税收的良好记录；</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5.参加本次采购活动前三年内，在经营活动中没有重大违法记录；</w:t>
      </w:r>
    </w:p>
    <w:p w:rsidR="008E07D8" w:rsidRDefault="008E07D8" w:rsidP="007D4B13">
      <w:pPr>
        <w:pStyle w:val="a5"/>
        <w:spacing w:line="360" w:lineRule="auto"/>
        <w:ind w:firstLine="480"/>
        <w:rPr>
          <w:rFonts w:ascii="宋体" w:hAnsi="宋体" w:cs="宋体"/>
          <w:sz w:val="24"/>
        </w:rPr>
      </w:pPr>
      <w:r w:rsidRPr="007D4B13">
        <w:rPr>
          <w:rFonts w:ascii="宋体" w:hAnsi="宋体" w:cs="宋体" w:hint="eastAsia"/>
          <w:sz w:val="24"/>
        </w:rPr>
        <w:lastRenderedPageBreak/>
        <w:t>6.法律、行政法规规定的其他条件；</w:t>
      </w:r>
    </w:p>
    <w:p w:rsidR="0043405E" w:rsidRPr="0043405E" w:rsidRDefault="0043405E" w:rsidP="0043405E">
      <w:pPr>
        <w:pStyle w:val="a5"/>
        <w:spacing w:line="360" w:lineRule="auto"/>
        <w:ind w:firstLine="480"/>
        <w:rPr>
          <w:rFonts w:ascii="宋体" w:hAnsi="宋体" w:cs="宋体"/>
          <w:sz w:val="24"/>
        </w:rPr>
      </w:pPr>
      <w:r w:rsidRPr="00062BA7">
        <w:rPr>
          <w:rFonts w:ascii="宋体" w:hAnsi="宋体" w:cs="宋体" w:hint="eastAsia"/>
          <w:sz w:val="24"/>
        </w:rPr>
        <w:t>7</w:t>
      </w:r>
      <w:r w:rsidRPr="00062BA7">
        <w:rPr>
          <w:rFonts w:ascii="宋体" w:hAnsi="宋体" w:cs="宋体"/>
          <w:sz w:val="24"/>
        </w:rPr>
        <w:t>.</w:t>
      </w:r>
      <w:r w:rsidRPr="00062BA7">
        <w:rPr>
          <w:rFonts w:ascii="宋体" w:hAnsi="宋体" w:cs="宋体" w:hint="eastAsia"/>
          <w:sz w:val="24"/>
        </w:rPr>
        <w:t>营业执照中包括建筑类经营范围（复印件加盖供应商公章）；</w:t>
      </w:r>
    </w:p>
    <w:p w:rsidR="00DC007D" w:rsidRDefault="00944B9D" w:rsidP="00DC007D">
      <w:pPr>
        <w:pStyle w:val="a5"/>
        <w:spacing w:line="264" w:lineRule="auto"/>
        <w:ind w:firstLineChars="0" w:firstLine="0"/>
        <w:contextualSpacing/>
        <w:rPr>
          <w:rFonts w:hAnsi="宋体"/>
          <w:b/>
          <w:sz w:val="24"/>
        </w:rPr>
      </w:pPr>
      <w:r>
        <w:rPr>
          <w:rFonts w:hAnsi="宋体"/>
          <w:b/>
          <w:sz w:val="24"/>
        </w:rPr>
        <w:t>五</w:t>
      </w:r>
      <w:r w:rsidR="00DC007D">
        <w:rPr>
          <w:rFonts w:hAnsi="宋体" w:hint="eastAsia"/>
          <w:b/>
          <w:sz w:val="24"/>
        </w:rPr>
        <w:t>、投标文件</w:t>
      </w:r>
    </w:p>
    <w:p w:rsidR="00DC007D" w:rsidRPr="008D1E0A" w:rsidRDefault="00DC007D" w:rsidP="00FB06B2">
      <w:pPr>
        <w:pStyle w:val="a5"/>
        <w:spacing w:line="360" w:lineRule="auto"/>
        <w:ind w:firstLine="480"/>
        <w:rPr>
          <w:rFonts w:ascii="宋体" w:hAnsi="宋体" w:cs="宋体"/>
          <w:sz w:val="24"/>
        </w:rPr>
      </w:pPr>
      <w:r>
        <w:rPr>
          <w:rFonts w:ascii="宋体" w:hAnsi="宋体" w:cs="宋体" w:hint="eastAsia"/>
          <w:sz w:val="24"/>
        </w:rPr>
        <w:t>投标文件需准备三份，含正本一本，副本二本。</w:t>
      </w:r>
    </w:p>
    <w:p w:rsidR="00021980" w:rsidRPr="00DC007D" w:rsidRDefault="008E3CEF" w:rsidP="00021980">
      <w:pPr>
        <w:pStyle w:val="1"/>
      </w:pPr>
      <w:r>
        <w:t>六</w:t>
      </w:r>
      <w:r>
        <w:rPr>
          <w:rFonts w:hint="eastAsia"/>
        </w:rPr>
        <w:t>、</w:t>
      </w:r>
      <w:r>
        <w:t>现场踏勘</w:t>
      </w:r>
    </w:p>
    <w:p w:rsidR="008E3CEF" w:rsidRDefault="008E3CEF" w:rsidP="00E93D77">
      <w:pPr>
        <w:pStyle w:val="a5"/>
        <w:spacing w:line="360" w:lineRule="auto"/>
        <w:ind w:firstLine="480"/>
        <w:rPr>
          <w:rFonts w:ascii="宋体" w:hAnsi="宋体" w:cs="宋体"/>
          <w:sz w:val="24"/>
        </w:rPr>
      </w:pPr>
      <w:r w:rsidRPr="008E3CEF">
        <w:rPr>
          <w:rFonts w:ascii="宋体" w:hAnsi="宋体" w:cs="宋体" w:hint="eastAsia"/>
          <w:sz w:val="24"/>
        </w:rPr>
        <w:t>投标人须携带营业执照副本（复印件加盖公章）、法定代表人授权委托书（原件）及身份证原件进行现场查勘。</w:t>
      </w:r>
    </w:p>
    <w:p w:rsidR="00406745" w:rsidRDefault="000A7A1B" w:rsidP="00E93D77">
      <w:pPr>
        <w:pStyle w:val="a5"/>
        <w:spacing w:line="360" w:lineRule="auto"/>
        <w:ind w:firstLine="480"/>
        <w:rPr>
          <w:rFonts w:ascii="宋体" w:hAnsi="宋体" w:cs="宋体"/>
          <w:sz w:val="24"/>
        </w:rPr>
      </w:pPr>
      <w:bookmarkStart w:id="3" w:name="OLE_LINK2"/>
      <w:bookmarkStart w:id="4" w:name="OLE_LINK3"/>
      <w:r w:rsidRPr="00D20611">
        <w:rPr>
          <w:rFonts w:ascii="宋体" w:hAnsi="宋体" w:cs="宋体" w:hint="eastAsia"/>
          <w:sz w:val="24"/>
        </w:rPr>
        <w:t>因场地限制，所有建筑材料及垃圾需要人工接驳转运，自行考虑，包含在综合单价内。</w:t>
      </w:r>
    </w:p>
    <w:p w:rsidR="00021980" w:rsidRPr="008E3CEF" w:rsidRDefault="008E3CEF" w:rsidP="00E93D77">
      <w:pPr>
        <w:pStyle w:val="a5"/>
        <w:spacing w:line="360" w:lineRule="auto"/>
        <w:ind w:firstLine="480"/>
        <w:rPr>
          <w:rFonts w:ascii="宋体" w:hAnsi="宋体" w:cs="宋体"/>
          <w:sz w:val="24"/>
        </w:rPr>
      </w:pPr>
      <w:r w:rsidRPr="008E3CEF">
        <w:rPr>
          <w:rFonts w:ascii="宋体" w:hAnsi="宋体" w:cs="宋体" w:hint="eastAsia"/>
          <w:sz w:val="24"/>
        </w:rPr>
        <w:t>各投标人请务必对项目现场和周围环境进行仔细认真查勘，在随后的</w:t>
      </w:r>
      <w:r>
        <w:rPr>
          <w:rFonts w:ascii="宋体" w:hAnsi="宋体" w:cs="宋体" w:hint="eastAsia"/>
          <w:sz w:val="24"/>
        </w:rPr>
        <w:t>招标</w:t>
      </w:r>
      <w:r w:rsidRPr="008E3CEF">
        <w:rPr>
          <w:rFonts w:ascii="宋体" w:hAnsi="宋体" w:cs="宋体" w:hint="eastAsia"/>
          <w:sz w:val="24"/>
        </w:rPr>
        <w:t>中，对现场资料和数据所作出的推论、解释和结论及由此造成的后果由投标人负责。查勘时，须充分了解项目位置、交通状况以及工作范围等任何足以影响投标报价的情况。任何忽视或误解项目基本情况，而使采购人在项目实施过程中蒙受的损失，将由投标人进行赔偿。请投标人仔细踏勘现场，充分考虑投资风险，审慎投资报价。</w:t>
      </w:r>
    </w:p>
    <w:p w:rsidR="008E3CEF" w:rsidRPr="002B4758" w:rsidRDefault="008E3CEF" w:rsidP="00E93D77">
      <w:pPr>
        <w:pStyle w:val="a5"/>
        <w:spacing w:line="360" w:lineRule="auto"/>
        <w:ind w:firstLine="480"/>
        <w:rPr>
          <w:rFonts w:ascii="宋体" w:hAnsi="宋体" w:cs="宋体"/>
          <w:b/>
          <w:sz w:val="24"/>
        </w:rPr>
      </w:pPr>
      <w:r w:rsidRPr="002B4758">
        <w:rPr>
          <w:rFonts w:ascii="宋体" w:hAnsi="宋体" w:cs="宋体" w:hint="eastAsia"/>
          <w:sz w:val="24"/>
        </w:rPr>
        <w:t>勘查集合时间：202</w:t>
      </w:r>
      <w:r w:rsidR="00372503" w:rsidRPr="002B4758">
        <w:rPr>
          <w:rFonts w:ascii="宋体" w:hAnsi="宋体" w:cs="宋体"/>
          <w:sz w:val="24"/>
        </w:rPr>
        <w:t>5</w:t>
      </w:r>
      <w:r w:rsidRPr="002B4758">
        <w:rPr>
          <w:rFonts w:ascii="宋体" w:hAnsi="宋体" w:cs="宋体" w:hint="eastAsia"/>
          <w:sz w:val="24"/>
        </w:rPr>
        <w:t>年</w:t>
      </w:r>
      <w:r w:rsidR="00E2403C">
        <w:rPr>
          <w:rFonts w:ascii="宋体" w:hAnsi="宋体" w:cs="宋体"/>
          <w:sz w:val="24"/>
        </w:rPr>
        <w:t>7</w:t>
      </w:r>
      <w:r w:rsidRPr="002B4758">
        <w:rPr>
          <w:rFonts w:ascii="宋体" w:hAnsi="宋体" w:cs="宋体" w:hint="eastAsia"/>
          <w:sz w:val="24"/>
        </w:rPr>
        <w:t>月</w:t>
      </w:r>
      <w:r w:rsidR="004416F1">
        <w:rPr>
          <w:rFonts w:ascii="宋体" w:hAnsi="宋体" w:cs="宋体"/>
          <w:sz w:val="24"/>
        </w:rPr>
        <w:t>21</w:t>
      </w:r>
      <w:r w:rsidRPr="002B4758">
        <w:rPr>
          <w:rFonts w:ascii="宋体" w:hAnsi="宋体" w:cs="宋体" w:hint="eastAsia"/>
          <w:sz w:val="24"/>
        </w:rPr>
        <w:t>日上午10时00分整（迟到单位视为放弃勘查）</w:t>
      </w:r>
      <w:bookmarkStart w:id="5" w:name="_GoBack"/>
      <w:bookmarkEnd w:id="5"/>
    </w:p>
    <w:p w:rsidR="00021980" w:rsidRPr="008E3CEF" w:rsidRDefault="008E3CEF" w:rsidP="00E93D77">
      <w:pPr>
        <w:pStyle w:val="a5"/>
        <w:spacing w:line="360" w:lineRule="auto"/>
        <w:ind w:firstLine="480"/>
        <w:rPr>
          <w:rFonts w:ascii="宋体" w:hAnsi="宋体" w:cs="宋体"/>
          <w:sz w:val="24"/>
        </w:rPr>
      </w:pPr>
      <w:r w:rsidRPr="008E3CEF">
        <w:rPr>
          <w:rFonts w:ascii="宋体" w:hAnsi="宋体" w:cs="宋体" w:hint="eastAsia"/>
          <w:sz w:val="24"/>
        </w:rPr>
        <w:t>勘查集合地点：扬州市邗江区润扬南路33号南京邮电大学通达学院行政楼五楼507</w:t>
      </w:r>
    </w:p>
    <w:bookmarkEnd w:id="3"/>
    <w:bookmarkEnd w:id="4"/>
    <w:p w:rsidR="008E07D8" w:rsidRPr="00FB06B2" w:rsidRDefault="00DC007D" w:rsidP="00FB06B2">
      <w:pPr>
        <w:spacing w:line="360" w:lineRule="auto"/>
        <w:rPr>
          <w:rFonts w:ascii="宋体" w:hAnsi="宋体"/>
          <w:b/>
          <w:szCs w:val="21"/>
        </w:rPr>
      </w:pPr>
      <w:r w:rsidRPr="00FB06B2">
        <w:rPr>
          <w:rFonts w:ascii="宋体" w:hAnsi="宋体" w:hint="eastAsia"/>
          <w:b/>
          <w:szCs w:val="21"/>
        </w:rPr>
        <w:t>七</w:t>
      </w:r>
      <w:r w:rsidR="008E07D8" w:rsidRPr="00FB06B2">
        <w:rPr>
          <w:rFonts w:ascii="宋体" w:hAnsi="宋体" w:hint="eastAsia"/>
          <w:b/>
          <w:szCs w:val="21"/>
        </w:rPr>
        <w:t>、评标方法与评标标准</w:t>
      </w:r>
    </w:p>
    <w:p w:rsidR="00D46F42" w:rsidRPr="00FB06B2" w:rsidRDefault="00FB06B2" w:rsidP="00FB06B2">
      <w:pPr>
        <w:spacing w:line="360" w:lineRule="auto"/>
        <w:ind w:firstLine="420"/>
        <w:rPr>
          <w:rFonts w:ascii="宋体" w:hAnsi="宋体"/>
          <w:b/>
          <w:szCs w:val="21"/>
        </w:rPr>
      </w:pPr>
      <w:bookmarkStart w:id="6" w:name="_Toc527108642"/>
      <w:bookmarkStart w:id="7" w:name="_Toc503874597"/>
      <w:bookmarkStart w:id="8" w:name="_Toc526089285"/>
      <w:bookmarkStart w:id="9" w:name="_Toc38809005"/>
      <w:bookmarkStart w:id="10" w:name="_Toc508646227"/>
      <w:r w:rsidRPr="00FB06B2">
        <w:rPr>
          <w:rFonts w:ascii="宋体" w:hAnsi="宋体" w:hint="eastAsia"/>
          <w:b/>
          <w:szCs w:val="21"/>
        </w:rPr>
        <w:t>（一）</w:t>
      </w:r>
      <w:r w:rsidR="00D46F42" w:rsidRPr="00FB06B2">
        <w:rPr>
          <w:rFonts w:ascii="宋体" w:hAnsi="宋体" w:hint="eastAsia"/>
          <w:b/>
          <w:szCs w:val="21"/>
        </w:rPr>
        <w:t>评审方法</w:t>
      </w:r>
      <w:bookmarkEnd w:id="6"/>
      <w:bookmarkEnd w:id="7"/>
      <w:bookmarkEnd w:id="8"/>
      <w:bookmarkEnd w:id="9"/>
      <w:bookmarkEnd w:id="10"/>
    </w:p>
    <w:p w:rsidR="00D46F42" w:rsidRPr="00FB06B2" w:rsidRDefault="00D46F42" w:rsidP="00FB06B2">
      <w:pPr>
        <w:pStyle w:val="a5"/>
        <w:spacing w:line="360" w:lineRule="auto"/>
        <w:ind w:firstLine="480"/>
        <w:rPr>
          <w:rFonts w:ascii="宋体" w:hAnsi="宋体" w:cs="宋体"/>
          <w:sz w:val="24"/>
        </w:rPr>
      </w:pPr>
      <w:r w:rsidRPr="00FB06B2">
        <w:rPr>
          <w:rFonts w:ascii="宋体" w:hAnsi="宋体" w:cs="宋体" w:hint="eastAsia"/>
          <w:sz w:val="24"/>
        </w:rPr>
        <w:t>本次评审采用综合评分法，即在满足采购文件实质性要求前提下，按照采购文件中规定的评分标准和各项因素进行综合评审后，以评审总得分最高的供应商作为成交候选人。得分相同的，按磋商报价由低到高顺序排列。得分且磋商报价相同的，按技术服务方案优劣顺序排列。本综合评分法采用百分制形式，具体分值详见本细则。</w:t>
      </w:r>
    </w:p>
    <w:p w:rsidR="00D46F42" w:rsidRDefault="00FB06B2" w:rsidP="00FB06B2">
      <w:pPr>
        <w:spacing w:line="360" w:lineRule="auto"/>
        <w:ind w:firstLine="420"/>
        <w:rPr>
          <w:rFonts w:ascii="宋体" w:hAnsi="宋体"/>
          <w:b/>
          <w:szCs w:val="21"/>
        </w:rPr>
      </w:pPr>
      <w:r>
        <w:rPr>
          <w:rFonts w:ascii="宋体" w:hAnsi="宋体" w:hint="eastAsia"/>
          <w:b/>
          <w:szCs w:val="21"/>
        </w:rPr>
        <w:t>（二）</w:t>
      </w:r>
      <w:r w:rsidR="00D46F42">
        <w:rPr>
          <w:rFonts w:ascii="宋体" w:hAnsi="宋体" w:hint="eastAsia"/>
          <w:b/>
          <w:szCs w:val="21"/>
        </w:rPr>
        <w:t>评审标准</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1267"/>
        <w:gridCol w:w="6520"/>
        <w:gridCol w:w="839"/>
      </w:tblGrid>
      <w:tr w:rsidR="005D7507" w:rsidTr="00723C08">
        <w:trPr>
          <w:trHeight w:val="396"/>
          <w:jc w:val="center"/>
        </w:trPr>
        <w:tc>
          <w:tcPr>
            <w:tcW w:w="855" w:type="dxa"/>
            <w:vAlign w:val="center"/>
          </w:tcPr>
          <w:p w:rsidR="005D7507" w:rsidRDefault="005D7507" w:rsidP="00723C08">
            <w:pPr>
              <w:rPr>
                <w:rFonts w:ascii="宋体" w:hAnsi="宋体"/>
                <w:szCs w:val="21"/>
              </w:rPr>
            </w:pPr>
            <w:r>
              <w:rPr>
                <w:rFonts w:ascii="宋体" w:hAnsi="宋体" w:hint="eastAsia"/>
                <w:szCs w:val="21"/>
              </w:rPr>
              <w:t>序号</w:t>
            </w:r>
          </w:p>
        </w:tc>
        <w:tc>
          <w:tcPr>
            <w:tcW w:w="1267" w:type="dxa"/>
            <w:vAlign w:val="center"/>
          </w:tcPr>
          <w:p w:rsidR="005D7507" w:rsidRDefault="005D7507" w:rsidP="00723C08">
            <w:pPr>
              <w:rPr>
                <w:rFonts w:ascii="宋体" w:hAnsi="宋体"/>
                <w:szCs w:val="21"/>
              </w:rPr>
            </w:pPr>
            <w:r>
              <w:rPr>
                <w:rFonts w:ascii="宋体" w:hAnsi="宋体" w:hint="eastAsia"/>
                <w:szCs w:val="21"/>
              </w:rPr>
              <w:t>评分因素</w:t>
            </w:r>
          </w:p>
        </w:tc>
        <w:tc>
          <w:tcPr>
            <w:tcW w:w="6520" w:type="dxa"/>
            <w:vAlign w:val="center"/>
          </w:tcPr>
          <w:p w:rsidR="005D7507" w:rsidRDefault="005D7507" w:rsidP="00723C08">
            <w:pPr>
              <w:rPr>
                <w:rFonts w:ascii="宋体" w:hAnsi="宋体"/>
                <w:szCs w:val="21"/>
              </w:rPr>
            </w:pPr>
            <w:r>
              <w:rPr>
                <w:rFonts w:ascii="宋体" w:hAnsi="宋体" w:hint="eastAsia"/>
                <w:szCs w:val="21"/>
              </w:rPr>
              <w:t>评审标准</w:t>
            </w:r>
          </w:p>
        </w:tc>
        <w:tc>
          <w:tcPr>
            <w:tcW w:w="839" w:type="dxa"/>
            <w:vAlign w:val="center"/>
          </w:tcPr>
          <w:p w:rsidR="005D7507" w:rsidRDefault="005D7507" w:rsidP="00723C08">
            <w:pPr>
              <w:rPr>
                <w:rFonts w:ascii="宋体" w:hAnsi="宋体"/>
                <w:szCs w:val="21"/>
              </w:rPr>
            </w:pPr>
            <w:r>
              <w:rPr>
                <w:rFonts w:ascii="宋体" w:hAnsi="宋体" w:hint="eastAsia"/>
                <w:szCs w:val="21"/>
              </w:rPr>
              <w:t>分值</w:t>
            </w:r>
          </w:p>
        </w:tc>
      </w:tr>
      <w:tr w:rsidR="005D7507" w:rsidTr="00723C08">
        <w:trPr>
          <w:trHeight w:val="507"/>
          <w:jc w:val="center"/>
        </w:trPr>
        <w:tc>
          <w:tcPr>
            <w:tcW w:w="855" w:type="dxa"/>
            <w:vAlign w:val="center"/>
          </w:tcPr>
          <w:p w:rsidR="005D7507" w:rsidRDefault="005D7507" w:rsidP="00723C08">
            <w:pPr>
              <w:rPr>
                <w:rFonts w:ascii="宋体" w:hAnsi="宋体"/>
                <w:szCs w:val="21"/>
              </w:rPr>
            </w:pPr>
            <w:r>
              <w:rPr>
                <w:rFonts w:ascii="宋体" w:hAnsi="宋体" w:hint="eastAsia"/>
                <w:szCs w:val="21"/>
              </w:rPr>
              <w:t>1</w:t>
            </w:r>
          </w:p>
        </w:tc>
        <w:tc>
          <w:tcPr>
            <w:tcW w:w="1267" w:type="dxa"/>
            <w:vAlign w:val="center"/>
          </w:tcPr>
          <w:p w:rsidR="005D7507" w:rsidRDefault="005D7507" w:rsidP="00292585">
            <w:pPr>
              <w:widowControl/>
              <w:spacing w:line="27" w:lineRule="atLeast"/>
              <w:rPr>
                <w:rFonts w:ascii="宋体" w:hAnsi="宋体"/>
                <w:szCs w:val="21"/>
              </w:rPr>
            </w:pPr>
            <w:r>
              <w:rPr>
                <w:rFonts w:ascii="宋体" w:hAnsi="宋体" w:cs="仿宋" w:hint="eastAsia"/>
                <w:kern w:val="0"/>
                <w:szCs w:val="21"/>
              </w:rPr>
              <w:t>价格</w:t>
            </w:r>
            <w:r w:rsidR="00292585">
              <w:rPr>
                <w:rFonts w:ascii="宋体" w:hAnsi="宋体" w:cs="仿宋"/>
                <w:kern w:val="0"/>
                <w:szCs w:val="21"/>
              </w:rPr>
              <w:t>4</w:t>
            </w:r>
            <w:r>
              <w:rPr>
                <w:rFonts w:ascii="宋体" w:hAnsi="宋体" w:cs="仿宋"/>
                <w:kern w:val="0"/>
                <w:szCs w:val="21"/>
              </w:rPr>
              <w:t>0</w:t>
            </w:r>
            <w:r>
              <w:rPr>
                <w:rFonts w:ascii="宋体" w:hAnsi="宋体" w:cs="仿宋" w:hint="eastAsia"/>
                <w:kern w:val="0"/>
                <w:szCs w:val="21"/>
              </w:rPr>
              <w:t>分</w:t>
            </w:r>
          </w:p>
        </w:tc>
        <w:tc>
          <w:tcPr>
            <w:tcW w:w="6520" w:type="dxa"/>
            <w:vAlign w:val="center"/>
          </w:tcPr>
          <w:p w:rsidR="00A13501" w:rsidRPr="00A13501" w:rsidRDefault="00A13501" w:rsidP="00A13501">
            <w:pPr>
              <w:spacing w:line="276" w:lineRule="auto"/>
              <w:rPr>
                <w:rFonts w:ascii="宋体" w:hAnsi="宋体" w:cs="Cambria"/>
                <w:kern w:val="0"/>
                <w:szCs w:val="21"/>
              </w:rPr>
            </w:pPr>
            <w:r w:rsidRPr="00A13501">
              <w:rPr>
                <w:rFonts w:ascii="宋体" w:hAnsi="宋体" w:cs="Cambria" w:hint="eastAsia"/>
                <w:kern w:val="0"/>
                <w:szCs w:val="21"/>
              </w:rPr>
              <w:t>以满足采购文件要求的有效响应文件的评标价算术平均值为 A（若有效响应文件≥7 家时，去掉其中的一个最高价和一个最低价后取算术平均值为 A；若有效响应文件≥10 家时，去掉其中的二个最高价和二</w:t>
            </w:r>
            <w:r w:rsidRPr="00A13501">
              <w:rPr>
                <w:rFonts w:ascii="宋体" w:hAnsi="宋体" w:cs="Cambria" w:hint="eastAsia"/>
                <w:kern w:val="0"/>
                <w:szCs w:val="21"/>
              </w:rPr>
              <w:lastRenderedPageBreak/>
              <w:t>个最低价后取算术平均值为 A）。评标基准价 =A×K，K 值的取值为97%。评标价等于评标基准价的得</w:t>
            </w:r>
            <w:r w:rsidR="00292585">
              <w:rPr>
                <w:rFonts w:ascii="宋体" w:hAnsi="宋体" w:cs="Cambria"/>
                <w:kern w:val="0"/>
                <w:szCs w:val="21"/>
              </w:rPr>
              <w:t>4</w:t>
            </w:r>
            <w:r w:rsidRPr="00A13501">
              <w:rPr>
                <w:rFonts w:ascii="宋体" w:hAnsi="宋体" w:cs="Cambria" w:hint="eastAsia"/>
                <w:kern w:val="0"/>
                <w:szCs w:val="21"/>
              </w:rPr>
              <w:t>0分；各供应商经评审的最终磋商价与评标基准价相比, 每低1%扣0.5分，每高1%扣1分，不足1%部分按内插法计算，小数点保留两位。</w:t>
            </w:r>
          </w:p>
          <w:p w:rsidR="005D7507" w:rsidRDefault="00A13501" w:rsidP="00A13501">
            <w:pPr>
              <w:spacing w:line="276" w:lineRule="auto"/>
              <w:rPr>
                <w:rFonts w:ascii="宋体" w:hAnsi="宋体"/>
                <w:szCs w:val="21"/>
              </w:rPr>
            </w:pPr>
            <w:r w:rsidRPr="00A13501">
              <w:rPr>
                <w:rFonts w:ascii="宋体" w:hAnsi="宋体" w:cs="Cambria" w:hint="eastAsia"/>
                <w:kern w:val="0"/>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tc>
        <w:tc>
          <w:tcPr>
            <w:tcW w:w="839" w:type="dxa"/>
            <w:vAlign w:val="center"/>
          </w:tcPr>
          <w:p w:rsidR="005D7507" w:rsidRDefault="00292585" w:rsidP="00723C08">
            <w:pPr>
              <w:widowControl/>
              <w:spacing w:line="360" w:lineRule="auto"/>
              <w:jc w:val="center"/>
              <w:rPr>
                <w:rFonts w:ascii="宋体" w:hAnsi="宋体"/>
                <w:szCs w:val="21"/>
              </w:rPr>
            </w:pPr>
            <w:r>
              <w:rPr>
                <w:rFonts w:ascii="宋体" w:hAnsi="宋体" w:cs="仿宋"/>
                <w:kern w:val="0"/>
                <w:szCs w:val="21"/>
              </w:rPr>
              <w:lastRenderedPageBreak/>
              <w:t>4</w:t>
            </w:r>
            <w:r w:rsidR="005D7507">
              <w:rPr>
                <w:rFonts w:ascii="宋体" w:hAnsi="宋体" w:cs="仿宋"/>
                <w:kern w:val="0"/>
                <w:szCs w:val="21"/>
              </w:rPr>
              <w:t>0</w:t>
            </w:r>
            <w:r w:rsidR="005D7507">
              <w:rPr>
                <w:rFonts w:ascii="宋体" w:hAnsi="宋体" w:cs="仿宋" w:hint="eastAsia"/>
                <w:kern w:val="0"/>
                <w:szCs w:val="21"/>
              </w:rPr>
              <w:t>分</w:t>
            </w:r>
          </w:p>
        </w:tc>
      </w:tr>
      <w:tr w:rsidR="005D7507" w:rsidTr="00723C08">
        <w:trPr>
          <w:trHeight w:val="668"/>
          <w:jc w:val="center"/>
        </w:trPr>
        <w:tc>
          <w:tcPr>
            <w:tcW w:w="855" w:type="dxa"/>
            <w:vAlign w:val="center"/>
          </w:tcPr>
          <w:p w:rsidR="005D7507" w:rsidRDefault="005D7507" w:rsidP="00723C08">
            <w:pPr>
              <w:rPr>
                <w:rFonts w:ascii="宋体" w:hAnsi="宋体"/>
                <w:szCs w:val="21"/>
              </w:rPr>
            </w:pPr>
            <w:r>
              <w:rPr>
                <w:rFonts w:ascii="宋体" w:hAnsi="宋体" w:hint="eastAsia"/>
                <w:szCs w:val="21"/>
              </w:rPr>
              <w:lastRenderedPageBreak/>
              <w:t>2</w:t>
            </w:r>
          </w:p>
        </w:tc>
        <w:tc>
          <w:tcPr>
            <w:tcW w:w="1267" w:type="dxa"/>
            <w:vAlign w:val="center"/>
          </w:tcPr>
          <w:p w:rsidR="005D7507" w:rsidRDefault="005D7507" w:rsidP="00A13501">
            <w:pPr>
              <w:jc w:val="center"/>
              <w:rPr>
                <w:rFonts w:ascii="宋体" w:hAnsi="宋体"/>
                <w:szCs w:val="21"/>
              </w:rPr>
            </w:pPr>
            <w:r>
              <w:rPr>
                <w:rFonts w:ascii="宋体" w:hAnsi="宋体" w:hint="eastAsia"/>
                <w:szCs w:val="21"/>
              </w:rPr>
              <w:t>投标人业绩</w:t>
            </w:r>
            <w:r w:rsidR="00A13501">
              <w:rPr>
                <w:rFonts w:ascii="宋体" w:hAnsi="宋体"/>
                <w:szCs w:val="21"/>
              </w:rPr>
              <w:t>10</w:t>
            </w:r>
            <w:r>
              <w:rPr>
                <w:rFonts w:ascii="宋体" w:hAnsi="宋体" w:hint="eastAsia"/>
                <w:szCs w:val="21"/>
              </w:rPr>
              <w:t>分</w:t>
            </w:r>
          </w:p>
        </w:tc>
        <w:tc>
          <w:tcPr>
            <w:tcW w:w="6520" w:type="dxa"/>
            <w:vAlign w:val="center"/>
          </w:tcPr>
          <w:p w:rsidR="005D7507" w:rsidRDefault="005D7507" w:rsidP="001848BF">
            <w:pPr>
              <w:rPr>
                <w:rFonts w:ascii="宋体" w:hAnsi="宋体"/>
                <w:szCs w:val="21"/>
              </w:rPr>
            </w:pPr>
            <w:r>
              <w:rPr>
                <w:rFonts w:ascii="宋体" w:hAnsi="宋体" w:hint="eastAsia"/>
                <w:szCs w:val="21"/>
              </w:rPr>
              <w:t>提供自202</w:t>
            </w:r>
            <w:r w:rsidR="001848BF">
              <w:rPr>
                <w:rFonts w:ascii="宋体" w:hAnsi="宋体"/>
                <w:szCs w:val="21"/>
              </w:rPr>
              <w:t>3</w:t>
            </w:r>
            <w:r>
              <w:rPr>
                <w:rFonts w:ascii="宋体" w:hAnsi="宋体" w:hint="eastAsia"/>
                <w:szCs w:val="21"/>
              </w:rPr>
              <w:t>年</w:t>
            </w:r>
            <w:r w:rsidR="001848BF">
              <w:rPr>
                <w:rFonts w:ascii="宋体" w:hAnsi="宋体"/>
                <w:szCs w:val="21"/>
              </w:rPr>
              <w:t>5</w:t>
            </w:r>
            <w:r>
              <w:rPr>
                <w:rFonts w:ascii="宋体" w:hAnsi="宋体" w:hint="eastAsia"/>
                <w:szCs w:val="21"/>
              </w:rPr>
              <w:t>月1日以来的单项合同（需提供中标（成交）通知书、施工合同及工程竣工验收证明材料，时间以工程竣工验收证明材料中的竣工验收合格时间为准。提供的证明材料必须能够有效反映相关数据，否则视作未提供），每提供一个得</w:t>
            </w:r>
            <w:r>
              <w:rPr>
                <w:rFonts w:ascii="宋体" w:hAnsi="宋体"/>
                <w:szCs w:val="21"/>
              </w:rPr>
              <w:t>2</w:t>
            </w:r>
            <w:r>
              <w:rPr>
                <w:rFonts w:ascii="宋体" w:hAnsi="宋体" w:hint="eastAsia"/>
                <w:szCs w:val="21"/>
              </w:rPr>
              <w:t>分，最高得</w:t>
            </w:r>
            <w:r w:rsidR="00A13501">
              <w:rPr>
                <w:rFonts w:ascii="宋体" w:hAnsi="宋体"/>
                <w:szCs w:val="21"/>
              </w:rPr>
              <w:t>10</w:t>
            </w:r>
            <w:r>
              <w:rPr>
                <w:rFonts w:ascii="宋体" w:hAnsi="宋体" w:hint="eastAsia"/>
                <w:szCs w:val="21"/>
              </w:rPr>
              <w:t>分。（提供加盖供应商公章的中标（成交）通知书、合同及竣工验收报告复印件，并提供中标（成交）通知书、合同及竣工验收报告原件核查，否则此项不得分）。</w:t>
            </w:r>
          </w:p>
        </w:tc>
        <w:tc>
          <w:tcPr>
            <w:tcW w:w="839" w:type="dxa"/>
            <w:vAlign w:val="center"/>
          </w:tcPr>
          <w:p w:rsidR="005D7507" w:rsidRDefault="00A13501" w:rsidP="00723C08">
            <w:pPr>
              <w:jc w:val="center"/>
              <w:rPr>
                <w:rFonts w:ascii="宋体" w:hAnsi="宋体"/>
                <w:szCs w:val="21"/>
              </w:rPr>
            </w:pPr>
            <w:r>
              <w:rPr>
                <w:rFonts w:ascii="宋体" w:hAnsi="宋体"/>
                <w:szCs w:val="21"/>
              </w:rPr>
              <w:t>10</w:t>
            </w:r>
            <w:r w:rsidR="005D7507">
              <w:rPr>
                <w:rFonts w:ascii="宋体" w:hAnsi="宋体" w:hint="eastAsia"/>
                <w:szCs w:val="21"/>
              </w:rPr>
              <w:t>分</w:t>
            </w:r>
          </w:p>
        </w:tc>
      </w:tr>
      <w:tr w:rsidR="005D7507" w:rsidTr="00723C08">
        <w:trPr>
          <w:trHeight w:val="302"/>
          <w:jc w:val="center"/>
        </w:trPr>
        <w:tc>
          <w:tcPr>
            <w:tcW w:w="855" w:type="dxa"/>
            <w:vMerge w:val="restart"/>
            <w:vAlign w:val="center"/>
          </w:tcPr>
          <w:p w:rsidR="005D7507" w:rsidRDefault="005D7507" w:rsidP="00723C08">
            <w:pPr>
              <w:rPr>
                <w:rFonts w:ascii="宋体" w:hAnsi="宋体"/>
                <w:szCs w:val="21"/>
              </w:rPr>
            </w:pPr>
            <w:r>
              <w:rPr>
                <w:rFonts w:ascii="宋体" w:hAnsi="宋体" w:hint="eastAsia"/>
                <w:szCs w:val="21"/>
              </w:rPr>
              <w:t>5</w:t>
            </w:r>
          </w:p>
        </w:tc>
        <w:tc>
          <w:tcPr>
            <w:tcW w:w="1267" w:type="dxa"/>
            <w:vMerge w:val="restart"/>
            <w:vAlign w:val="center"/>
          </w:tcPr>
          <w:p w:rsidR="005D7507" w:rsidRDefault="005D7507" w:rsidP="00A13501">
            <w:pPr>
              <w:rPr>
                <w:rFonts w:ascii="宋体" w:hAnsi="宋体"/>
                <w:szCs w:val="21"/>
              </w:rPr>
            </w:pPr>
            <w:r>
              <w:rPr>
                <w:rFonts w:ascii="宋体" w:hAnsi="宋体"/>
                <w:szCs w:val="21"/>
              </w:rPr>
              <w:t>施工</w:t>
            </w:r>
            <w:r>
              <w:rPr>
                <w:rFonts w:ascii="宋体" w:hAnsi="宋体" w:hint="eastAsia"/>
                <w:szCs w:val="21"/>
              </w:rPr>
              <w:t>方案</w:t>
            </w:r>
            <w:r w:rsidR="00A13501">
              <w:rPr>
                <w:rFonts w:ascii="宋体" w:hAnsi="宋体"/>
                <w:szCs w:val="21"/>
              </w:rPr>
              <w:t>5</w:t>
            </w:r>
            <w:r>
              <w:rPr>
                <w:rFonts w:ascii="宋体" w:hAnsi="宋体"/>
                <w:szCs w:val="21"/>
              </w:rPr>
              <w:t>0</w:t>
            </w:r>
            <w:r>
              <w:rPr>
                <w:rFonts w:ascii="宋体" w:hAnsi="宋体" w:hint="eastAsia"/>
                <w:szCs w:val="21"/>
              </w:rPr>
              <w:t>分</w:t>
            </w:r>
          </w:p>
        </w:tc>
        <w:tc>
          <w:tcPr>
            <w:tcW w:w="6520" w:type="dxa"/>
            <w:vAlign w:val="center"/>
          </w:tcPr>
          <w:p w:rsidR="005D7507" w:rsidRDefault="005D7507" w:rsidP="00A13501">
            <w:pPr>
              <w:spacing w:line="276" w:lineRule="auto"/>
              <w:rPr>
                <w:rFonts w:ascii="宋体" w:hAnsi="宋体"/>
                <w:szCs w:val="21"/>
              </w:rPr>
            </w:pPr>
            <w:r>
              <w:rPr>
                <w:rFonts w:ascii="宋体" w:hAnsi="宋体" w:cs="仿宋" w:hint="eastAsia"/>
                <w:szCs w:val="21"/>
              </w:rPr>
              <w:t>评委根据供应商对本项目的了解程度、重点、难点和关键点的分析情况进行综合评分，项目了解、重点、难点和关键点分析全面、准确，可操作性强的得</w:t>
            </w:r>
            <w:r w:rsidR="00A13501">
              <w:rPr>
                <w:rFonts w:ascii="宋体" w:hAnsi="宋体" w:cs="仿宋"/>
                <w:szCs w:val="21"/>
              </w:rPr>
              <w:t>10</w:t>
            </w:r>
            <w:r>
              <w:rPr>
                <w:rFonts w:ascii="宋体" w:hAnsi="宋体" w:cs="仿宋" w:hint="eastAsia"/>
                <w:szCs w:val="21"/>
              </w:rPr>
              <w:t>分；项目了解、重点、难点和关键点分析较为全面，可操作性良好的得</w:t>
            </w:r>
            <w:r w:rsidR="00A13501">
              <w:rPr>
                <w:rFonts w:ascii="宋体" w:hAnsi="宋体" w:cs="仿宋"/>
                <w:szCs w:val="21"/>
              </w:rPr>
              <w:t>7</w:t>
            </w:r>
            <w:r>
              <w:rPr>
                <w:rFonts w:ascii="宋体" w:hAnsi="宋体" w:cs="仿宋" w:hint="eastAsia"/>
                <w:szCs w:val="21"/>
              </w:rPr>
              <w:t>分；项目了解、重点、难点和关键点分析一般的得</w:t>
            </w:r>
            <w:r w:rsidR="00A13501">
              <w:rPr>
                <w:rFonts w:ascii="宋体" w:hAnsi="宋体" w:cs="仿宋"/>
                <w:szCs w:val="21"/>
              </w:rPr>
              <w:t>3</w:t>
            </w:r>
            <w:r>
              <w:rPr>
                <w:rFonts w:ascii="宋体" w:hAnsi="宋体" w:cs="仿宋" w:hint="eastAsia"/>
                <w:szCs w:val="21"/>
              </w:rPr>
              <w:t>分；未提供不得分。</w:t>
            </w:r>
          </w:p>
        </w:tc>
        <w:tc>
          <w:tcPr>
            <w:tcW w:w="839" w:type="dxa"/>
            <w:vAlign w:val="center"/>
          </w:tcPr>
          <w:p w:rsidR="005D7507" w:rsidRDefault="00A13501" w:rsidP="00723C08">
            <w:pPr>
              <w:widowControl/>
              <w:spacing w:line="360" w:lineRule="auto"/>
              <w:jc w:val="center"/>
              <w:rPr>
                <w:rFonts w:ascii="宋体" w:hAnsi="宋体"/>
                <w:szCs w:val="21"/>
              </w:rPr>
            </w:pPr>
            <w:r>
              <w:rPr>
                <w:rFonts w:ascii="宋体" w:hAnsi="宋体" w:cs="仿宋"/>
                <w:kern w:val="0"/>
                <w:szCs w:val="21"/>
              </w:rPr>
              <w:t>10</w:t>
            </w:r>
            <w:r w:rsidR="005D7507">
              <w:rPr>
                <w:rFonts w:ascii="宋体" w:hAnsi="宋体" w:cs="仿宋" w:hint="eastAsia"/>
                <w:kern w:val="0"/>
                <w:szCs w:val="21"/>
              </w:rPr>
              <w:t>分</w:t>
            </w:r>
          </w:p>
        </w:tc>
      </w:tr>
      <w:tr w:rsidR="005D7507" w:rsidTr="00723C08">
        <w:trPr>
          <w:trHeight w:val="302"/>
          <w:jc w:val="center"/>
        </w:trPr>
        <w:tc>
          <w:tcPr>
            <w:tcW w:w="855" w:type="dxa"/>
            <w:vMerge/>
            <w:vAlign w:val="center"/>
          </w:tcPr>
          <w:p w:rsidR="005D7507" w:rsidRDefault="005D7507" w:rsidP="00723C08">
            <w:pPr>
              <w:rPr>
                <w:rFonts w:ascii="宋体" w:hAnsi="宋体"/>
                <w:szCs w:val="21"/>
              </w:rPr>
            </w:pPr>
          </w:p>
        </w:tc>
        <w:tc>
          <w:tcPr>
            <w:tcW w:w="1267" w:type="dxa"/>
            <w:vMerge/>
            <w:vAlign w:val="center"/>
          </w:tcPr>
          <w:p w:rsidR="005D7507" w:rsidRDefault="005D7507" w:rsidP="00723C08">
            <w:pPr>
              <w:rPr>
                <w:rFonts w:ascii="宋体" w:hAnsi="宋体"/>
                <w:szCs w:val="21"/>
              </w:rPr>
            </w:pPr>
          </w:p>
        </w:tc>
        <w:tc>
          <w:tcPr>
            <w:tcW w:w="6520" w:type="dxa"/>
            <w:vAlign w:val="center"/>
          </w:tcPr>
          <w:p w:rsidR="005D7507" w:rsidRDefault="005D7507" w:rsidP="00A13501">
            <w:pPr>
              <w:spacing w:line="276" w:lineRule="auto"/>
              <w:rPr>
                <w:rFonts w:ascii="宋体" w:hAnsi="宋体"/>
                <w:szCs w:val="21"/>
              </w:rPr>
            </w:pPr>
            <w:r>
              <w:rPr>
                <w:rFonts w:ascii="宋体" w:hAnsi="宋体" w:cs="仿宋" w:hint="eastAsia"/>
                <w:szCs w:val="21"/>
              </w:rPr>
              <w:t>评委根据投标文件提供的施工组织方案（包括但不限于方案设计、施工部署、施工准备、施工工艺、质量保证措施、施工进度计划和工期保证措施等内容）进行综合评分，上述方案充分结合项目实际情况，施工工艺先进，科学性、合理性和可操作性强的得</w:t>
            </w:r>
            <w:r w:rsidR="00A13501">
              <w:rPr>
                <w:rFonts w:ascii="宋体" w:hAnsi="宋体" w:cs="仿宋"/>
                <w:szCs w:val="21"/>
              </w:rPr>
              <w:t>10</w:t>
            </w:r>
            <w:r>
              <w:rPr>
                <w:rFonts w:ascii="宋体" w:hAnsi="宋体" w:cs="仿宋" w:hint="eastAsia"/>
                <w:szCs w:val="21"/>
              </w:rPr>
              <w:t>分；上述方案基本结合项目需求，具有一定的先进性、科学性、合理性和可操作性的得</w:t>
            </w:r>
            <w:r w:rsidR="00A13501">
              <w:rPr>
                <w:rFonts w:ascii="宋体" w:hAnsi="宋体" w:cs="仿宋"/>
                <w:szCs w:val="21"/>
              </w:rPr>
              <w:t>7</w:t>
            </w:r>
            <w:r>
              <w:rPr>
                <w:rFonts w:ascii="宋体" w:hAnsi="宋体" w:cs="仿宋" w:hint="eastAsia"/>
                <w:szCs w:val="21"/>
              </w:rPr>
              <w:t>分；上述方案施工工艺一般，科学性、合理性和可操作性一般的得</w:t>
            </w:r>
            <w:r w:rsidR="00A13501">
              <w:rPr>
                <w:rFonts w:ascii="宋体" w:hAnsi="宋体" w:cs="仿宋"/>
                <w:szCs w:val="21"/>
              </w:rPr>
              <w:t>3</w:t>
            </w:r>
            <w:r>
              <w:rPr>
                <w:rFonts w:ascii="宋体" w:hAnsi="宋体" w:cs="仿宋" w:hint="eastAsia"/>
                <w:szCs w:val="21"/>
              </w:rPr>
              <w:t>分；未提供不得分。</w:t>
            </w:r>
          </w:p>
        </w:tc>
        <w:tc>
          <w:tcPr>
            <w:tcW w:w="839" w:type="dxa"/>
            <w:vAlign w:val="center"/>
          </w:tcPr>
          <w:p w:rsidR="005D7507" w:rsidRDefault="00A13501" w:rsidP="00723C08">
            <w:pPr>
              <w:widowControl/>
              <w:spacing w:line="360" w:lineRule="auto"/>
              <w:jc w:val="center"/>
              <w:rPr>
                <w:rFonts w:ascii="宋体" w:hAnsi="宋体"/>
                <w:szCs w:val="21"/>
              </w:rPr>
            </w:pPr>
            <w:r>
              <w:rPr>
                <w:rFonts w:ascii="宋体" w:hAnsi="宋体" w:cs="仿宋"/>
                <w:kern w:val="0"/>
                <w:szCs w:val="21"/>
              </w:rPr>
              <w:t>10</w:t>
            </w:r>
            <w:r w:rsidR="005D7507">
              <w:rPr>
                <w:rFonts w:ascii="宋体" w:hAnsi="宋体" w:cs="仿宋" w:hint="eastAsia"/>
                <w:kern w:val="0"/>
                <w:szCs w:val="21"/>
              </w:rPr>
              <w:t>分</w:t>
            </w:r>
          </w:p>
        </w:tc>
      </w:tr>
      <w:tr w:rsidR="005D7507" w:rsidTr="00723C08">
        <w:trPr>
          <w:trHeight w:val="302"/>
          <w:jc w:val="center"/>
        </w:trPr>
        <w:tc>
          <w:tcPr>
            <w:tcW w:w="855" w:type="dxa"/>
            <w:vMerge/>
            <w:vAlign w:val="center"/>
          </w:tcPr>
          <w:p w:rsidR="005D7507" w:rsidRDefault="005D7507" w:rsidP="00723C08">
            <w:pPr>
              <w:rPr>
                <w:rFonts w:ascii="宋体" w:hAnsi="宋体"/>
                <w:szCs w:val="21"/>
              </w:rPr>
            </w:pPr>
          </w:p>
        </w:tc>
        <w:tc>
          <w:tcPr>
            <w:tcW w:w="1267" w:type="dxa"/>
            <w:vMerge/>
            <w:vAlign w:val="center"/>
          </w:tcPr>
          <w:p w:rsidR="005D7507" w:rsidRDefault="005D7507" w:rsidP="00723C08">
            <w:pPr>
              <w:rPr>
                <w:rFonts w:ascii="宋体" w:hAnsi="宋体"/>
                <w:szCs w:val="21"/>
              </w:rPr>
            </w:pPr>
          </w:p>
        </w:tc>
        <w:tc>
          <w:tcPr>
            <w:tcW w:w="6520" w:type="dxa"/>
            <w:vAlign w:val="center"/>
          </w:tcPr>
          <w:p w:rsidR="005D7507" w:rsidRDefault="005D7507" w:rsidP="00A13501">
            <w:pPr>
              <w:spacing w:line="276" w:lineRule="auto"/>
              <w:rPr>
                <w:rFonts w:ascii="宋体" w:hAnsi="宋体"/>
                <w:szCs w:val="21"/>
              </w:rPr>
            </w:pPr>
            <w:r>
              <w:rPr>
                <w:rFonts w:ascii="宋体" w:hAnsi="宋体" w:cs="仿宋" w:hint="eastAsia"/>
                <w:szCs w:val="21"/>
              </w:rPr>
              <w:t>评委根据投标文件提供的劳动力、机械设备和材料投入计划及其保证措施等方面进行综合评分，上述内容全面合理、科学可行的得</w:t>
            </w:r>
            <w:r w:rsidR="00A13501">
              <w:rPr>
                <w:rFonts w:ascii="宋体" w:hAnsi="宋体" w:cs="仿宋"/>
                <w:szCs w:val="21"/>
              </w:rPr>
              <w:t>10</w:t>
            </w:r>
            <w:r>
              <w:rPr>
                <w:rFonts w:ascii="宋体" w:hAnsi="宋体" w:cs="仿宋" w:hint="eastAsia"/>
                <w:szCs w:val="21"/>
              </w:rPr>
              <w:t>分；上述内容较合理、较科学的得</w:t>
            </w:r>
            <w:r w:rsidR="00A13501">
              <w:rPr>
                <w:rFonts w:ascii="宋体" w:hAnsi="宋体" w:cs="仿宋"/>
                <w:szCs w:val="21"/>
              </w:rPr>
              <w:t>7</w:t>
            </w:r>
            <w:r>
              <w:rPr>
                <w:rFonts w:ascii="宋体" w:hAnsi="宋体" w:cs="仿宋" w:hint="eastAsia"/>
                <w:szCs w:val="21"/>
              </w:rPr>
              <w:t>分；上述内容具有的全面性、科学性、合理性与可行性一般的得</w:t>
            </w:r>
            <w:r w:rsidR="00A13501">
              <w:rPr>
                <w:rFonts w:ascii="宋体" w:hAnsi="宋体" w:cs="仿宋"/>
                <w:szCs w:val="21"/>
              </w:rPr>
              <w:t>3</w:t>
            </w:r>
            <w:r>
              <w:rPr>
                <w:rFonts w:ascii="宋体" w:hAnsi="宋体" w:cs="仿宋" w:hint="eastAsia"/>
                <w:szCs w:val="21"/>
              </w:rPr>
              <w:t>分；未提供不得分。</w:t>
            </w:r>
          </w:p>
        </w:tc>
        <w:tc>
          <w:tcPr>
            <w:tcW w:w="839" w:type="dxa"/>
            <w:vAlign w:val="center"/>
          </w:tcPr>
          <w:p w:rsidR="005D7507" w:rsidRDefault="00A13501" w:rsidP="00723C08">
            <w:pPr>
              <w:widowControl/>
              <w:spacing w:line="360" w:lineRule="auto"/>
              <w:jc w:val="center"/>
              <w:rPr>
                <w:rFonts w:ascii="宋体" w:hAnsi="宋体"/>
                <w:szCs w:val="21"/>
              </w:rPr>
            </w:pPr>
            <w:r>
              <w:rPr>
                <w:rFonts w:ascii="宋体" w:hAnsi="宋体" w:cs="仿宋"/>
                <w:kern w:val="0"/>
                <w:szCs w:val="21"/>
              </w:rPr>
              <w:t>10</w:t>
            </w:r>
            <w:r w:rsidR="005D7507">
              <w:rPr>
                <w:rFonts w:ascii="宋体" w:hAnsi="宋体" w:cs="仿宋" w:hint="eastAsia"/>
                <w:kern w:val="0"/>
                <w:szCs w:val="21"/>
              </w:rPr>
              <w:t>分</w:t>
            </w:r>
          </w:p>
        </w:tc>
      </w:tr>
      <w:tr w:rsidR="005D7507" w:rsidTr="00723C08">
        <w:trPr>
          <w:trHeight w:val="302"/>
          <w:jc w:val="center"/>
        </w:trPr>
        <w:tc>
          <w:tcPr>
            <w:tcW w:w="855" w:type="dxa"/>
            <w:vMerge/>
            <w:vAlign w:val="center"/>
          </w:tcPr>
          <w:p w:rsidR="005D7507" w:rsidRDefault="005D7507" w:rsidP="00723C08">
            <w:pPr>
              <w:rPr>
                <w:rFonts w:ascii="宋体" w:hAnsi="宋体"/>
                <w:szCs w:val="21"/>
              </w:rPr>
            </w:pPr>
          </w:p>
        </w:tc>
        <w:tc>
          <w:tcPr>
            <w:tcW w:w="1267" w:type="dxa"/>
            <w:vMerge/>
            <w:vAlign w:val="center"/>
          </w:tcPr>
          <w:p w:rsidR="005D7507" w:rsidRDefault="005D7507" w:rsidP="00723C08">
            <w:pPr>
              <w:rPr>
                <w:rFonts w:ascii="宋体" w:hAnsi="宋体"/>
                <w:szCs w:val="21"/>
              </w:rPr>
            </w:pPr>
          </w:p>
        </w:tc>
        <w:tc>
          <w:tcPr>
            <w:tcW w:w="6520" w:type="dxa"/>
            <w:vAlign w:val="center"/>
          </w:tcPr>
          <w:p w:rsidR="005D7507" w:rsidRDefault="005D7507" w:rsidP="00A13501">
            <w:pPr>
              <w:spacing w:line="276" w:lineRule="auto"/>
              <w:rPr>
                <w:rFonts w:ascii="宋体" w:hAnsi="宋体"/>
                <w:szCs w:val="21"/>
              </w:rPr>
            </w:pPr>
            <w:r>
              <w:rPr>
                <w:rFonts w:ascii="宋体" w:hAnsi="宋体" w:cs="仿宋" w:hint="eastAsia"/>
                <w:szCs w:val="21"/>
              </w:rPr>
              <w:t>评委根据投标文件提供的安全保障措施和安全文明服务保障措施的科学性、合理性及可操作性等进行综合评分，上述内容全面合理、科学可行的得</w:t>
            </w:r>
            <w:r w:rsidR="00A13501">
              <w:rPr>
                <w:rFonts w:ascii="宋体" w:hAnsi="宋体" w:cs="仿宋"/>
                <w:szCs w:val="21"/>
              </w:rPr>
              <w:t>10</w:t>
            </w:r>
            <w:r>
              <w:rPr>
                <w:rFonts w:ascii="宋体" w:hAnsi="宋体" w:cs="仿宋" w:hint="eastAsia"/>
                <w:szCs w:val="21"/>
              </w:rPr>
              <w:t>分；上述内容较合理、较科学的得</w:t>
            </w:r>
            <w:r w:rsidR="00A13501">
              <w:rPr>
                <w:rFonts w:ascii="宋体" w:hAnsi="宋体" w:cs="仿宋"/>
                <w:szCs w:val="21"/>
              </w:rPr>
              <w:t>7</w:t>
            </w:r>
            <w:r>
              <w:rPr>
                <w:rFonts w:ascii="宋体" w:hAnsi="宋体" w:cs="仿宋" w:hint="eastAsia"/>
                <w:szCs w:val="21"/>
              </w:rPr>
              <w:t>分；上述内容具有的全面性、科学性、合理性与可行性一般的得</w:t>
            </w:r>
            <w:r w:rsidR="00A13501">
              <w:rPr>
                <w:rFonts w:ascii="宋体" w:hAnsi="宋体" w:cs="仿宋"/>
                <w:szCs w:val="21"/>
              </w:rPr>
              <w:t>3</w:t>
            </w:r>
            <w:r>
              <w:rPr>
                <w:rFonts w:ascii="宋体" w:hAnsi="宋体" w:cs="仿宋" w:hint="eastAsia"/>
                <w:szCs w:val="21"/>
              </w:rPr>
              <w:t>分；未提供不得分。</w:t>
            </w:r>
          </w:p>
        </w:tc>
        <w:tc>
          <w:tcPr>
            <w:tcW w:w="839" w:type="dxa"/>
            <w:vAlign w:val="center"/>
          </w:tcPr>
          <w:p w:rsidR="005D7507" w:rsidRDefault="00A13501" w:rsidP="00723C08">
            <w:pPr>
              <w:widowControl/>
              <w:spacing w:line="360" w:lineRule="auto"/>
              <w:jc w:val="center"/>
              <w:rPr>
                <w:rFonts w:ascii="宋体" w:hAnsi="宋体"/>
                <w:szCs w:val="21"/>
              </w:rPr>
            </w:pPr>
            <w:r>
              <w:rPr>
                <w:rFonts w:ascii="宋体" w:hAnsi="宋体" w:cs="仿宋"/>
                <w:kern w:val="0"/>
                <w:szCs w:val="21"/>
              </w:rPr>
              <w:t>10</w:t>
            </w:r>
            <w:r w:rsidR="005D7507">
              <w:rPr>
                <w:rFonts w:ascii="宋体" w:hAnsi="宋体" w:cs="仿宋" w:hint="eastAsia"/>
                <w:kern w:val="0"/>
                <w:szCs w:val="21"/>
              </w:rPr>
              <w:t>分</w:t>
            </w:r>
          </w:p>
        </w:tc>
      </w:tr>
      <w:tr w:rsidR="005D7507" w:rsidTr="00723C08">
        <w:trPr>
          <w:trHeight w:val="302"/>
          <w:jc w:val="center"/>
        </w:trPr>
        <w:tc>
          <w:tcPr>
            <w:tcW w:w="855" w:type="dxa"/>
            <w:vMerge/>
            <w:vAlign w:val="center"/>
          </w:tcPr>
          <w:p w:rsidR="005D7507" w:rsidRDefault="005D7507" w:rsidP="00723C08">
            <w:pPr>
              <w:rPr>
                <w:rFonts w:ascii="宋体" w:hAnsi="宋体"/>
                <w:szCs w:val="21"/>
              </w:rPr>
            </w:pPr>
          </w:p>
        </w:tc>
        <w:tc>
          <w:tcPr>
            <w:tcW w:w="1267" w:type="dxa"/>
            <w:vMerge/>
            <w:vAlign w:val="center"/>
          </w:tcPr>
          <w:p w:rsidR="005D7507" w:rsidRDefault="005D7507" w:rsidP="00723C08">
            <w:pPr>
              <w:rPr>
                <w:rFonts w:ascii="宋体" w:hAnsi="宋体"/>
                <w:szCs w:val="21"/>
              </w:rPr>
            </w:pPr>
          </w:p>
        </w:tc>
        <w:tc>
          <w:tcPr>
            <w:tcW w:w="6520" w:type="dxa"/>
            <w:vAlign w:val="center"/>
          </w:tcPr>
          <w:p w:rsidR="005D7507" w:rsidRDefault="005D7507" w:rsidP="00A13501">
            <w:pPr>
              <w:spacing w:line="276" w:lineRule="auto"/>
              <w:rPr>
                <w:rFonts w:ascii="宋体" w:hAnsi="宋体"/>
                <w:szCs w:val="21"/>
              </w:rPr>
            </w:pPr>
            <w:r>
              <w:rPr>
                <w:rFonts w:ascii="宋体" w:hAnsi="宋体" w:cs="仿宋" w:hint="eastAsia"/>
                <w:szCs w:val="21"/>
              </w:rPr>
              <w:t>评委根据供应商对本项目的服务承诺进行综合评分，服务承诺全面、准确，可操作性强的得</w:t>
            </w:r>
            <w:r w:rsidR="00A13501">
              <w:rPr>
                <w:rFonts w:ascii="宋体" w:hAnsi="宋体" w:cs="仿宋"/>
                <w:szCs w:val="21"/>
              </w:rPr>
              <w:t>10</w:t>
            </w:r>
            <w:r>
              <w:rPr>
                <w:rFonts w:ascii="宋体" w:hAnsi="宋体" w:cs="仿宋" w:hint="eastAsia"/>
                <w:szCs w:val="21"/>
              </w:rPr>
              <w:t>分；服务承诺较为全面，可操作性良好的得</w:t>
            </w:r>
            <w:r w:rsidR="00A13501">
              <w:rPr>
                <w:rFonts w:ascii="宋体" w:hAnsi="宋体" w:cs="仿宋"/>
                <w:szCs w:val="21"/>
              </w:rPr>
              <w:t>7</w:t>
            </w:r>
            <w:r>
              <w:rPr>
                <w:rFonts w:ascii="宋体" w:hAnsi="宋体" w:cs="仿宋" w:hint="eastAsia"/>
                <w:szCs w:val="21"/>
              </w:rPr>
              <w:t>分；服务承诺一般的得</w:t>
            </w:r>
            <w:r w:rsidR="00A13501">
              <w:rPr>
                <w:rFonts w:ascii="宋体" w:hAnsi="宋体" w:cs="仿宋"/>
                <w:szCs w:val="21"/>
              </w:rPr>
              <w:t>3</w:t>
            </w:r>
            <w:r>
              <w:rPr>
                <w:rFonts w:ascii="宋体" w:hAnsi="宋体" w:cs="仿宋" w:hint="eastAsia"/>
                <w:szCs w:val="21"/>
              </w:rPr>
              <w:t>分；未提供不得分。</w:t>
            </w:r>
          </w:p>
        </w:tc>
        <w:tc>
          <w:tcPr>
            <w:tcW w:w="839" w:type="dxa"/>
            <w:vAlign w:val="center"/>
          </w:tcPr>
          <w:p w:rsidR="005D7507" w:rsidRDefault="00A13501" w:rsidP="00723C08">
            <w:pPr>
              <w:widowControl/>
              <w:spacing w:line="360" w:lineRule="auto"/>
              <w:jc w:val="center"/>
              <w:rPr>
                <w:rFonts w:ascii="宋体" w:hAnsi="宋体"/>
                <w:szCs w:val="21"/>
              </w:rPr>
            </w:pPr>
            <w:r>
              <w:rPr>
                <w:rFonts w:ascii="宋体" w:hAnsi="宋体" w:cs="仿宋"/>
                <w:kern w:val="0"/>
                <w:szCs w:val="21"/>
              </w:rPr>
              <w:t>10</w:t>
            </w:r>
            <w:r w:rsidR="005D7507">
              <w:rPr>
                <w:rFonts w:ascii="宋体" w:hAnsi="宋体" w:cs="仿宋" w:hint="eastAsia"/>
                <w:kern w:val="0"/>
                <w:szCs w:val="21"/>
              </w:rPr>
              <w:t>分</w:t>
            </w:r>
          </w:p>
        </w:tc>
      </w:tr>
      <w:tr w:rsidR="005D7507" w:rsidTr="00723C08">
        <w:trPr>
          <w:trHeight w:val="511"/>
          <w:jc w:val="center"/>
        </w:trPr>
        <w:tc>
          <w:tcPr>
            <w:tcW w:w="855" w:type="dxa"/>
            <w:vAlign w:val="center"/>
          </w:tcPr>
          <w:p w:rsidR="005D7507" w:rsidRDefault="005D7507" w:rsidP="00723C08">
            <w:pPr>
              <w:rPr>
                <w:rFonts w:ascii="宋体" w:hAnsi="宋体"/>
                <w:szCs w:val="21"/>
              </w:rPr>
            </w:pPr>
            <w:r>
              <w:rPr>
                <w:rFonts w:ascii="宋体" w:hAnsi="宋体"/>
                <w:szCs w:val="21"/>
              </w:rPr>
              <w:t>5</w:t>
            </w:r>
          </w:p>
        </w:tc>
        <w:tc>
          <w:tcPr>
            <w:tcW w:w="1267" w:type="dxa"/>
            <w:vAlign w:val="center"/>
          </w:tcPr>
          <w:p w:rsidR="005D7507" w:rsidRDefault="005D7507" w:rsidP="00723C08">
            <w:pPr>
              <w:jc w:val="center"/>
              <w:rPr>
                <w:rFonts w:ascii="宋体" w:hAnsi="宋体"/>
                <w:szCs w:val="21"/>
              </w:rPr>
            </w:pPr>
            <w:r>
              <w:rPr>
                <w:rFonts w:ascii="宋体" w:hAnsi="宋体" w:hint="eastAsia"/>
                <w:szCs w:val="21"/>
              </w:rPr>
              <w:t>合计</w:t>
            </w:r>
          </w:p>
        </w:tc>
        <w:tc>
          <w:tcPr>
            <w:tcW w:w="6520" w:type="dxa"/>
            <w:vAlign w:val="center"/>
          </w:tcPr>
          <w:p w:rsidR="005D7507" w:rsidRDefault="005D7507" w:rsidP="00723C08">
            <w:pPr>
              <w:rPr>
                <w:rFonts w:ascii="宋体" w:hAnsi="宋体"/>
                <w:szCs w:val="21"/>
              </w:rPr>
            </w:pPr>
          </w:p>
        </w:tc>
        <w:tc>
          <w:tcPr>
            <w:tcW w:w="839" w:type="dxa"/>
            <w:vAlign w:val="center"/>
          </w:tcPr>
          <w:p w:rsidR="005D7507" w:rsidRDefault="005D7507" w:rsidP="00723C08">
            <w:pPr>
              <w:rPr>
                <w:rFonts w:ascii="宋体" w:hAnsi="宋体"/>
                <w:szCs w:val="21"/>
              </w:rPr>
            </w:pPr>
            <w:r>
              <w:rPr>
                <w:rFonts w:ascii="宋体" w:hAnsi="宋体" w:hint="eastAsia"/>
                <w:szCs w:val="21"/>
              </w:rPr>
              <w:t>100分</w:t>
            </w:r>
          </w:p>
        </w:tc>
      </w:tr>
    </w:tbl>
    <w:p w:rsidR="005D7507" w:rsidRDefault="005D7507" w:rsidP="00D46F42">
      <w:pPr>
        <w:spacing w:line="360" w:lineRule="auto"/>
        <w:ind w:firstLineChars="200" w:firstLine="422"/>
        <w:rPr>
          <w:rFonts w:ascii="宋体" w:hAnsi="宋体"/>
          <w:b/>
          <w:szCs w:val="21"/>
          <w:lang w:bidi="zh-CN"/>
        </w:rPr>
      </w:pPr>
    </w:p>
    <w:p w:rsidR="00D46F42" w:rsidRDefault="00D46F42" w:rsidP="00D46F42">
      <w:pPr>
        <w:spacing w:line="360" w:lineRule="auto"/>
        <w:ind w:firstLineChars="200" w:firstLine="422"/>
        <w:rPr>
          <w:rFonts w:ascii="宋体" w:hAnsi="宋体"/>
          <w:b/>
          <w:szCs w:val="21"/>
          <w:lang w:bidi="zh-CN"/>
        </w:rPr>
      </w:pPr>
      <w:r>
        <w:rPr>
          <w:rFonts w:ascii="宋体" w:hAnsi="宋体"/>
          <w:b/>
          <w:szCs w:val="21"/>
          <w:lang w:bidi="zh-CN"/>
        </w:rPr>
        <w:t>注：</w:t>
      </w:r>
      <w:r>
        <w:rPr>
          <w:rFonts w:ascii="宋体" w:hAnsi="宋体" w:hint="eastAsia"/>
          <w:b/>
          <w:szCs w:val="21"/>
          <w:lang w:bidi="zh-CN"/>
        </w:rPr>
        <w:t>（1）</w:t>
      </w:r>
      <w:r>
        <w:rPr>
          <w:rFonts w:ascii="宋体" w:hAnsi="宋体"/>
          <w:b/>
          <w:szCs w:val="21"/>
          <w:lang w:bidi="zh-CN"/>
        </w:rPr>
        <w:t>评分标准中要求提供原件的，供应商须提供相关原件或公证件，否则与之对应项不得分。</w:t>
      </w:r>
    </w:p>
    <w:p w:rsidR="00D46F42" w:rsidRDefault="00D46F42" w:rsidP="00D46F42">
      <w:pPr>
        <w:spacing w:line="360" w:lineRule="auto"/>
        <w:ind w:firstLineChars="350" w:firstLine="738"/>
        <w:rPr>
          <w:rFonts w:ascii="宋体" w:hAnsi="宋体"/>
          <w:b/>
          <w:szCs w:val="21"/>
          <w:lang w:bidi="zh-CN"/>
        </w:rPr>
      </w:pPr>
      <w:r>
        <w:rPr>
          <w:rFonts w:ascii="宋体" w:hAnsi="宋体" w:hint="eastAsia"/>
          <w:b/>
          <w:szCs w:val="21"/>
          <w:lang w:bidi="zh-CN"/>
        </w:rPr>
        <w:t>（2）响应</w:t>
      </w:r>
      <w:r>
        <w:rPr>
          <w:rFonts w:ascii="宋体" w:hAnsi="宋体"/>
          <w:b/>
          <w:szCs w:val="21"/>
          <w:lang w:bidi="zh-CN"/>
        </w:rPr>
        <w:t>文件的正本和副本中均需提供相关原件的复印件。</w:t>
      </w:r>
    </w:p>
    <w:p w:rsidR="00D46F42" w:rsidRDefault="00D46F42" w:rsidP="00D46F42">
      <w:pPr>
        <w:spacing w:line="360" w:lineRule="auto"/>
        <w:ind w:firstLineChars="350" w:firstLine="738"/>
        <w:rPr>
          <w:rFonts w:ascii="宋体" w:hAnsi="宋体"/>
          <w:b/>
          <w:szCs w:val="21"/>
        </w:rPr>
      </w:pPr>
      <w:r>
        <w:rPr>
          <w:rFonts w:ascii="宋体" w:hAnsi="宋体" w:hint="eastAsia"/>
          <w:b/>
          <w:szCs w:val="21"/>
          <w:lang w:bidi="zh-CN"/>
        </w:rPr>
        <w:t>（3）</w:t>
      </w:r>
      <w:r>
        <w:rPr>
          <w:rFonts w:ascii="宋体" w:hAnsi="宋体"/>
          <w:b/>
          <w:szCs w:val="21"/>
          <w:lang w:bidi="zh-CN"/>
        </w:rPr>
        <w:t>供应商提供的相关证明材料，如弄虚作假，根据《政府采购法》予以处罚。</w:t>
      </w:r>
    </w:p>
    <w:p w:rsidR="00D46F42" w:rsidRDefault="00D46F42" w:rsidP="00D46F42">
      <w:pPr>
        <w:spacing w:line="360" w:lineRule="auto"/>
        <w:ind w:firstLineChars="350" w:firstLine="738"/>
        <w:rPr>
          <w:rFonts w:ascii="宋体" w:hAnsi="宋体"/>
          <w:b/>
          <w:szCs w:val="21"/>
        </w:rPr>
      </w:pPr>
      <w:r>
        <w:rPr>
          <w:rFonts w:ascii="宋体" w:hAnsi="宋体" w:hint="eastAsia"/>
          <w:b/>
          <w:szCs w:val="21"/>
        </w:rPr>
        <w:t>（4）上述原件或公证件等属于响应文件的组成部分，须在磋商当天随响应文件一起在磋商截止时间前同时递交，若有缺失，将导致对应项不得分且不允许在磋商开始后补正。</w:t>
      </w:r>
    </w:p>
    <w:p w:rsidR="00D46F42" w:rsidRPr="00D46F42" w:rsidRDefault="00D46F42" w:rsidP="00D46F42"/>
    <w:sectPr w:rsidR="00D46F42" w:rsidRPr="00D46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004" w:rsidRDefault="006C3004" w:rsidP="008E07D8">
      <w:r>
        <w:separator/>
      </w:r>
    </w:p>
  </w:endnote>
  <w:endnote w:type="continuationSeparator" w:id="0">
    <w:p w:rsidR="006C3004" w:rsidRDefault="006C3004" w:rsidP="008E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004" w:rsidRDefault="006C3004" w:rsidP="008E07D8">
      <w:r>
        <w:separator/>
      </w:r>
    </w:p>
  </w:footnote>
  <w:footnote w:type="continuationSeparator" w:id="0">
    <w:p w:rsidR="006C3004" w:rsidRDefault="006C3004" w:rsidP="008E0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6174"/>
    <w:multiLevelType w:val="hybridMultilevel"/>
    <w:tmpl w:val="EA4047CC"/>
    <w:lvl w:ilvl="0" w:tplc="24EE14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13EDF47"/>
    <w:multiLevelType w:val="singleLevel"/>
    <w:tmpl w:val="713EDF4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85"/>
    <w:rsid w:val="00004E54"/>
    <w:rsid w:val="00021980"/>
    <w:rsid w:val="0004696E"/>
    <w:rsid w:val="0006094A"/>
    <w:rsid w:val="00062BA7"/>
    <w:rsid w:val="0008271C"/>
    <w:rsid w:val="000A69FC"/>
    <w:rsid w:val="000A7A1B"/>
    <w:rsid w:val="000C40D8"/>
    <w:rsid w:val="001011E0"/>
    <w:rsid w:val="0012713F"/>
    <w:rsid w:val="00144567"/>
    <w:rsid w:val="00161793"/>
    <w:rsid w:val="00161EAE"/>
    <w:rsid w:val="00171F22"/>
    <w:rsid w:val="00181134"/>
    <w:rsid w:val="001848BF"/>
    <w:rsid w:val="001F1E7A"/>
    <w:rsid w:val="002137CE"/>
    <w:rsid w:val="00243B27"/>
    <w:rsid w:val="00253EC2"/>
    <w:rsid w:val="00255BE6"/>
    <w:rsid w:val="0026442D"/>
    <w:rsid w:val="00280CF2"/>
    <w:rsid w:val="00292585"/>
    <w:rsid w:val="002A61EA"/>
    <w:rsid w:val="002B423D"/>
    <w:rsid w:val="002B4758"/>
    <w:rsid w:val="002D16CF"/>
    <w:rsid w:val="0031199A"/>
    <w:rsid w:val="0031567B"/>
    <w:rsid w:val="00330BD5"/>
    <w:rsid w:val="00343F9C"/>
    <w:rsid w:val="00353149"/>
    <w:rsid w:val="00365719"/>
    <w:rsid w:val="00372503"/>
    <w:rsid w:val="00374BC7"/>
    <w:rsid w:val="00377B89"/>
    <w:rsid w:val="0038623C"/>
    <w:rsid w:val="00387A2B"/>
    <w:rsid w:val="003D5939"/>
    <w:rsid w:val="003F5A07"/>
    <w:rsid w:val="00406745"/>
    <w:rsid w:val="004113F9"/>
    <w:rsid w:val="0043405E"/>
    <w:rsid w:val="004416F1"/>
    <w:rsid w:val="00470072"/>
    <w:rsid w:val="004762FA"/>
    <w:rsid w:val="004A5624"/>
    <w:rsid w:val="004E2274"/>
    <w:rsid w:val="004E49D4"/>
    <w:rsid w:val="00521238"/>
    <w:rsid w:val="005220AE"/>
    <w:rsid w:val="00535157"/>
    <w:rsid w:val="00560C81"/>
    <w:rsid w:val="00577D1C"/>
    <w:rsid w:val="00597562"/>
    <w:rsid w:val="005D137D"/>
    <w:rsid w:val="005D6A1C"/>
    <w:rsid w:val="005D7507"/>
    <w:rsid w:val="005E2FDF"/>
    <w:rsid w:val="005F0B94"/>
    <w:rsid w:val="005F0CEA"/>
    <w:rsid w:val="0061016D"/>
    <w:rsid w:val="00622946"/>
    <w:rsid w:val="00634C11"/>
    <w:rsid w:val="006404BD"/>
    <w:rsid w:val="00662994"/>
    <w:rsid w:val="00664B9D"/>
    <w:rsid w:val="00686590"/>
    <w:rsid w:val="006A6577"/>
    <w:rsid w:val="006C3004"/>
    <w:rsid w:val="006E5B16"/>
    <w:rsid w:val="006F24A1"/>
    <w:rsid w:val="00701323"/>
    <w:rsid w:val="00712F94"/>
    <w:rsid w:val="007303F2"/>
    <w:rsid w:val="00733F37"/>
    <w:rsid w:val="0075514B"/>
    <w:rsid w:val="00775A6F"/>
    <w:rsid w:val="0079092A"/>
    <w:rsid w:val="00795A02"/>
    <w:rsid w:val="007B74B1"/>
    <w:rsid w:val="007D29F9"/>
    <w:rsid w:val="007D4B13"/>
    <w:rsid w:val="007F7AF6"/>
    <w:rsid w:val="00853515"/>
    <w:rsid w:val="0086238D"/>
    <w:rsid w:val="008665BA"/>
    <w:rsid w:val="00874059"/>
    <w:rsid w:val="008A2F9C"/>
    <w:rsid w:val="008A4197"/>
    <w:rsid w:val="008B5189"/>
    <w:rsid w:val="008E07D8"/>
    <w:rsid w:val="008E3CEF"/>
    <w:rsid w:val="008E456A"/>
    <w:rsid w:val="009437DA"/>
    <w:rsid w:val="00944B9D"/>
    <w:rsid w:val="009519E1"/>
    <w:rsid w:val="0096285C"/>
    <w:rsid w:val="00980EB9"/>
    <w:rsid w:val="00990DA8"/>
    <w:rsid w:val="009A0747"/>
    <w:rsid w:val="009A2DCC"/>
    <w:rsid w:val="009B5CCD"/>
    <w:rsid w:val="009C5B4F"/>
    <w:rsid w:val="009C6301"/>
    <w:rsid w:val="009E702E"/>
    <w:rsid w:val="009F679E"/>
    <w:rsid w:val="009F7707"/>
    <w:rsid w:val="00A01126"/>
    <w:rsid w:val="00A07C0D"/>
    <w:rsid w:val="00A13501"/>
    <w:rsid w:val="00A17566"/>
    <w:rsid w:val="00A1756A"/>
    <w:rsid w:val="00A3074B"/>
    <w:rsid w:val="00A47047"/>
    <w:rsid w:val="00A818F2"/>
    <w:rsid w:val="00AB6640"/>
    <w:rsid w:val="00AC65AA"/>
    <w:rsid w:val="00AD54BA"/>
    <w:rsid w:val="00AF27C5"/>
    <w:rsid w:val="00B10E4E"/>
    <w:rsid w:val="00B2750C"/>
    <w:rsid w:val="00B54D07"/>
    <w:rsid w:val="00B5583C"/>
    <w:rsid w:val="00B70BE0"/>
    <w:rsid w:val="00B73D1B"/>
    <w:rsid w:val="00B87D15"/>
    <w:rsid w:val="00BB2738"/>
    <w:rsid w:val="00BD23E2"/>
    <w:rsid w:val="00C41E26"/>
    <w:rsid w:val="00C44407"/>
    <w:rsid w:val="00C45EF0"/>
    <w:rsid w:val="00C478C5"/>
    <w:rsid w:val="00C53D00"/>
    <w:rsid w:val="00C5707F"/>
    <w:rsid w:val="00C61045"/>
    <w:rsid w:val="00C67DDD"/>
    <w:rsid w:val="00C87C71"/>
    <w:rsid w:val="00C96CC5"/>
    <w:rsid w:val="00CB171B"/>
    <w:rsid w:val="00CE257E"/>
    <w:rsid w:val="00D20611"/>
    <w:rsid w:val="00D46F42"/>
    <w:rsid w:val="00D60D85"/>
    <w:rsid w:val="00D66EBF"/>
    <w:rsid w:val="00D71A3E"/>
    <w:rsid w:val="00D731F2"/>
    <w:rsid w:val="00D73BD8"/>
    <w:rsid w:val="00D94065"/>
    <w:rsid w:val="00DB3F7F"/>
    <w:rsid w:val="00DC007D"/>
    <w:rsid w:val="00DC4405"/>
    <w:rsid w:val="00DD2D9B"/>
    <w:rsid w:val="00E01C18"/>
    <w:rsid w:val="00E03926"/>
    <w:rsid w:val="00E104ED"/>
    <w:rsid w:val="00E12397"/>
    <w:rsid w:val="00E1590E"/>
    <w:rsid w:val="00E176BB"/>
    <w:rsid w:val="00E200D9"/>
    <w:rsid w:val="00E23B65"/>
    <w:rsid w:val="00E2403C"/>
    <w:rsid w:val="00E2577C"/>
    <w:rsid w:val="00E26817"/>
    <w:rsid w:val="00E55FD9"/>
    <w:rsid w:val="00E56874"/>
    <w:rsid w:val="00E74E93"/>
    <w:rsid w:val="00E77F69"/>
    <w:rsid w:val="00E83A23"/>
    <w:rsid w:val="00E8686C"/>
    <w:rsid w:val="00E93D77"/>
    <w:rsid w:val="00ED0BAA"/>
    <w:rsid w:val="00EE1005"/>
    <w:rsid w:val="00EF29EE"/>
    <w:rsid w:val="00F274CD"/>
    <w:rsid w:val="00F27B79"/>
    <w:rsid w:val="00F707FA"/>
    <w:rsid w:val="00F71CC5"/>
    <w:rsid w:val="00F8564D"/>
    <w:rsid w:val="00FB06B2"/>
    <w:rsid w:val="00FC0A2B"/>
    <w:rsid w:val="00FE15EE"/>
    <w:rsid w:val="00FF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4BBDF6-B8EB-4AC1-ADBE-578FF725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8E07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7D8"/>
    <w:rPr>
      <w:sz w:val="18"/>
      <w:szCs w:val="18"/>
    </w:rPr>
  </w:style>
  <w:style w:type="paragraph" w:styleId="a4">
    <w:name w:val="footer"/>
    <w:basedOn w:val="a"/>
    <w:link w:val="Char0"/>
    <w:uiPriority w:val="99"/>
    <w:unhideWhenUsed/>
    <w:rsid w:val="008E07D8"/>
    <w:pPr>
      <w:tabs>
        <w:tab w:val="center" w:pos="4153"/>
        <w:tab w:val="right" w:pos="8306"/>
      </w:tabs>
      <w:snapToGrid w:val="0"/>
      <w:jc w:val="left"/>
    </w:pPr>
    <w:rPr>
      <w:sz w:val="18"/>
      <w:szCs w:val="18"/>
    </w:rPr>
  </w:style>
  <w:style w:type="character" w:customStyle="1" w:styleId="Char0">
    <w:name w:val="页脚 Char"/>
    <w:basedOn w:val="a0"/>
    <w:link w:val="a4"/>
    <w:uiPriority w:val="99"/>
    <w:rsid w:val="008E07D8"/>
    <w:rPr>
      <w:sz w:val="18"/>
      <w:szCs w:val="18"/>
    </w:rPr>
  </w:style>
  <w:style w:type="paragraph" w:styleId="1">
    <w:name w:val="toc 1"/>
    <w:basedOn w:val="a"/>
    <w:next w:val="a"/>
    <w:uiPriority w:val="39"/>
    <w:unhideWhenUsed/>
    <w:qFormat/>
    <w:rsid w:val="008E07D8"/>
    <w:pPr>
      <w:spacing w:line="276" w:lineRule="auto"/>
    </w:pPr>
    <w:rPr>
      <w:rFonts w:ascii="宋体" w:hAnsi="宋体"/>
      <w:b/>
      <w:sz w:val="24"/>
    </w:rPr>
  </w:style>
  <w:style w:type="paragraph" w:styleId="a5">
    <w:name w:val="List Paragraph"/>
    <w:basedOn w:val="a"/>
    <w:uiPriority w:val="99"/>
    <w:unhideWhenUsed/>
    <w:qFormat/>
    <w:rsid w:val="008E07D8"/>
    <w:pPr>
      <w:ind w:firstLineChars="200" w:firstLine="420"/>
    </w:pPr>
  </w:style>
  <w:style w:type="paragraph" w:customStyle="1" w:styleId="a6">
    <w:name w:val="普通正文"/>
    <w:basedOn w:val="a"/>
    <w:qFormat/>
    <w:rsid w:val="008E07D8"/>
    <w:pPr>
      <w:adjustRightInd w:val="0"/>
      <w:spacing w:before="120" w:after="120" w:line="360" w:lineRule="auto"/>
      <w:ind w:firstLine="480"/>
      <w:jc w:val="left"/>
      <w:textAlignment w:val="baseline"/>
    </w:pPr>
    <w:rPr>
      <w:rFonts w:ascii="Arial" w:hAnsi="Arial"/>
      <w:kern w:val="0"/>
      <w:sz w:val="24"/>
    </w:rPr>
  </w:style>
  <w:style w:type="paragraph" w:styleId="a7">
    <w:name w:val="Balloon Text"/>
    <w:basedOn w:val="a"/>
    <w:link w:val="Char1"/>
    <w:qFormat/>
    <w:rsid w:val="00D46F42"/>
    <w:rPr>
      <w:rFonts w:ascii="Times New Roman" w:hAnsi="Times New Roman"/>
      <w:sz w:val="18"/>
      <w:szCs w:val="18"/>
    </w:rPr>
  </w:style>
  <w:style w:type="character" w:customStyle="1" w:styleId="Char1">
    <w:name w:val="批注框文本 Char"/>
    <w:basedOn w:val="a0"/>
    <w:link w:val="a7"/>
    <w:qFormat/>
    <w:rsid w:val="00D46F42"/>
    <w:rPr>
      <w:rFonts w:ascii="Times New Roman" w:eastAsia="宋体" w:hAnsi="Times New Roman" w:cs="Times New Roman"/>
      <w:sz w:val="18"/>
      <w:szCs w:val="18"/>
    </w:rPr>
  </w:style>
  <w:style w:type="paragraph" w:styleId="a8">
    <w:name w:val="Body Text Indent"/>
    <w:basedOn w:val="a"/>
    <w:link w:val="Char2"/>
    <w:uiPriority w:val="99"/>
    <w:unhideWhenUsed/>
    <w:qFormat/>
    <w:rsid w:val="00D46F42"/>
    <w:pPr>
      <w:spacing w:after="120"/>
      <w:ind w:leftChars="200" w:left="420"/>
    </w:pPr>
    <w:rPr>
      <w:rFonts w:ascii="Times New Roman" w:hAnsi="Times New Roman"/>
      <w:szCs w:val="22"/>
    </w:rPr>
  </w:style>
  <w:style w:type="character" w:customStyle="1" w:styleId="Char2">
    <w:name w:val="正文文本缩进 Char"/>
    <w:basedOn w:val="a0"/>
    <w:link w:val="a8"/>
    <w:uiPriority w:val="99"/>
    <w:qFormat/>
    <w:rsid w:val="00D46F42"/>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3502</TotalTime>
  <Pages>4</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127</cp:revision>
  <cp:lastPrinted>2025-07-15T06:55:00Z</cp:lastPrinted>
  <dcterms:created xsi:type="dcterms:W3CDTF">2022-07-27T02:07:00Z</dcterms:created>
  <dcterms:modified xsi:type="dcterms:W3CDTF">2025-07-16T07:37:00Z</dcterms:modified>
</cp:coreProperties>
</file>