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pacing w:val="-8"/>
          <w:sz w:val="22"/>
        </w:rPr>
      </w:pPr>
      <w:r>
        <w:rPr>
          <w:rFonts w:hint="eastAsia" w:ascii="宋体" w:hAnsi="宋体" w:cs="宋体"/>
          <w:bCs/>
          <w:sz w:val="40"/>
        </w:rPr>
        <w:t>大学生活动中心团委舞蹈房地基塌陷修缮项目方案</w:t>
      </w:r>
    </w:p>
    <w:p>
      <w:pPr>
        <w:pStyle w:val="2"/>
        <w:numPr>
          <w:ilvl w:val="0"/>
          <w:numId w:val="1"/>
        </w:numPr>
        <w:spacing w:line="360" w:lineRule="auto"/>
      </w:pPr>
      <w:bookmarkStart w:id="0" w:name="_Toc194758350"/>
      <w:bookmarkStart w:id="1" w:name="_Toc403722970"/>
      <w:bookmarkStart w:id="2" w:name="_Toc194757239"/>
      <w:r>
        <w:rPr>
          <w:rFonts w:hint="eastAsia"/>
        </w:rPr>
        <w:t>项目概况</w:t>
      </w:r>
    </w:p>
    <w:bookmarkEnd w:id="0"/>
    <w:bookmarkEnd w:id="1"/>
    <w:bookmarkEnd w:id="2"/>
    <w:p>
      <w:pPr>
        <w:pStyle w:val="11"/>
        <w:spacing w:line="360" w:lineRule="auto"/>
        <w:ind w:firstLine="480"/>
        <w:rPr>
          <w:rFonts w:ascii="宋体" w:hAnsi="宋体" w:cs="宋体"/>
          <w:sz w:val="24"/>
        </w:rPr>
      </w:pPr>
      <w:r>
        <w:rPr>
          <w:rFonts w:hint="eastAsia" w:ascii="宋体" w:hAnsi="宋体" w:cs="宋体"/>
          <w:sz w:val="24"/>
        </w:rPr>
        <w:t>因大学生活动中心团委舞蹈房地基下沉，导致地砖面层整体沉降、变形，存在安全隐患，故需要拆除原地面，基坑回填夯实，新做混凝土柱，加装钢梁、钢承板后重新铺设地胶面层，详见工程量清单。</w:t>
      </w:r>
    </w:p>
    <w:p>
      <w:pPr>
        <w:pStyle w:val="2"/>
        <w:numPr>
          <w:ilvl w:val="0"/>
          <w:numId w:val="1"/>
        </w:numPr>
        <w:spacing w:line="360" w:lineRule="auto"/>
      </w:pPr>
      <w:r>
        <w:t>工程要求</w:t>
      </w:r>
    </w:p>
    <w:p>
      <w:pPr>
        <w:pStyle w:val="11"/>
        <w:spacing w:line="360" w:lineRule="auto"/>
        <w:ind w:firstLine="480"/>
        <w:rPr>
          <w:rFonts w:ascii="宋体" w:hAnsi="宋体" w:cs="宋体"/>
          <w:sz w:val="24"/>
        </w:rPr>
      </w:pPr>
      <w:r>
        <w:rPr>
          <w:rFonts w:hint="eastAsia" w:ascii="宋体" w:hAnsi="宋体" w:cs="宋体"/>
          <w:sz w:val="24"/>
        </w:rPr>
        <w:t>1</w:t>
      </w:r>
      <w:r>
        <w:rPr>
          <w:rFonts w:ascii="宋体" w:hAnsi="宋体" w:cs="宋体"/>
          <w:sz w:val="24"/>
        </w:rPr>
        <w:t>.地面凿除后，需素土回填，分层回填，确保夯实。</w:t>
      </w:r>
    </w:p>
    <w:p>
      <w:pPr>
        <w:pStyle w:val="11"/>
        <w:spacing w:line="360" w:lineRule="auto"/>
        <w:ind w:firstLine="480"/>
        <w:rPr>
          <w:rFonts w:ascii="宋体" w:hAnsi="宋体" w:cs="宋体"/>
          <w:sz w:val="24"/>
        </w:rPr>
      </w:pPr>
      <w:r>
        <w:rPr>
          <w:rFonts w:ascii="宋体" w:hAnsi="宋体" w:cs="宋体"/>
          <w:sz w:val="24"/>
        </w:rPr>
        <w:t>2.钢梁、钢承板、地胶等材料需符合国家标准及设计要求。</w:t>
      </w:r>
    </w:p>
    <w:p>
      <w:pPr>
        <w:pStyle w:val="11"/>
        <w:spacing w:line="360" w:lineRule="auto"/>
        <w:ind w:firstLine="480"/>
        <w:rPr>
          <w:rFonts w:ascii="宋体" w:hAnsi="宋体" w:cs="宋体"/>
          <w:sz w:val="24"/>
        </w:rPr>
      </w:pPr>
      <w:r>
        <w:rPr>
          <w:rFonts w:ascii="宋体" w:hAnsi="宋体" w:cs="宋体"/>
          <w:sz w:val="24"/>
        </w:rPr>
        <w:t>3.钢梁、钢承板安装需由经验丰富的施工人员进行，确保每个连接点的牢固性和稳定性。安装过程中需防止钢材的变形和损坏。</w:t>
      </w:r>
    </w:p>
    <w:p>
      <w:pPr>
        <w:pStyle w:val="11"/>
        <w:spacing w:line="360" w:lineRule="auto"/>
        <w:ind w:firstLine="480"/>
        <w:rPr>
          <w:rFonts w:ascii="宋体" w:hAnsi="宋体" w:cs="宋体"/>
          <w:sz w:val="24"/>
        </w:rPr>
      </w:pPr>
      <w:r>
        <w:rPr>
          <w:rFonts w:ascii="宋体" w:hAnsi="宋体" w:cs="宋体"/>
          <w:sz w:val="24"/>
        </w:rPr>
        <w:t>4.</w:t>
      </w:r>
      <w:r>
        <w:rPr>
          <w:rFonts w:hint="eastAsia" w:ascii="宋体" w:hAnsi="宋体" w:cs="宋体"/>
          <w:sz w:val="24"/>
        </w:rPr>
        <w:t>防腐刷漆为两底两面，底层醇酸防锈漆，面层氟碳漆，施工中要确保满刷，特别注意节点处。</w:t>
      </w:r>
    </w:p>
    <w:p>
      <w:pPr>
        <w:pStyle w:val="11"/>
        <w:spacing w:line="360" w:lineRule="auto"/>
        <w:ind w:firstLine="480"/>
        <w:rPr>
          <w:rFonts w:ascii="宋体" w:hAnsi="宋体" w:cs="宋体"/>
          <w:sz w:val="24"/>
        </w:rPr>
      </w:pPr>
      <w:r>
        <w:rPr>
          <w:rFonts w:ascii="宋体" w:hAnsi="宋体" w:cs="宋体"/>
          <w:sz w:val="24"/>
        </w:rPr>
        <w:t>5.地胶铺设需待基层稳固后进行，确保面层安装牢固。</w:t>
      </w:r>
    </w:p>
    <w:p>
      <w:pPr>
        <w:pStyle w:val="11"/>
        <w:spacing w:line="360" w:lineRule="auto"/>
        <w:ind w:firstLine="480"/>
        <w:rPr>
          <w:rFonts w:ascii="宋体" w:hAnsi="宋体" w:cs="宋体"/>
          <w:sz w:val="24"/>
        </w:rPr>
      </w:pPr>
      <w:r>
        <w:rPr>
          <w:rFonts w:ascii="宋体" w:hAnsi="宋体" w:cs="宋体"/>
          <w:sz w:val="24"/>
        </w:rPr>
        <w:t>6.因工程施工面狭小，自行考虑成品保护、拆除恢复等措施。</w:t>
      </w:r>
    </w:p>
    <w:p>
      <w:pPr>
        <w:spacing w:line="360" w:lineRule="auto"/>
        <w:rPr>
          <w:rFonts w:ascii="宋体" w:hAnsi="宋体"/>
          <w:b/>
          <w:snapToGrid w:val="0"/>
          <w:szCs w:val="21"/>
        </w:rPr>
      </w:pPr>
      <w:r>
        <w:rPr>
          <w:rFonts w:ascii="宋体" w:hAnsi="宋体"/>
          <w:b/>
          <w:szCs w:val="21"/>
        </w:rPr>
        <w:t>三、</w:t>
      </w:r>
      <w:r>
        <w:rPr>
          <w:rFonts w:hint="eastAsia" w:ascii="宋体" w:hAnsi="宋体"/>
          <w:b/>
          <w:snapToGrid w:val="0"/>
          <w:szCs w:val="21"/>
        </w:rPr>
        <w:t>验收标准</w:t>
      </w:r>
    </w:p>
    <w:p>
      <w:pPr>
        <w:pStyle w:val="11"/>
        <w:spacing w:line="360" w:lineRule="auto"/>
        <w:ind w:firstLine="480"/>
        <w:rPr>
          <w:rFonts w:ascii="宋体" w:hAnsi="宋体" w:cs="宋体"/>
          <w:sz w:val="24"/>
        </w:rPr>
      </w:pPr>
      <w:r>
        <w:rPr>
          <w:rFonts w:hint="eastAsia" w:ascii="宋体" w:hAnsi="宋体" w:cs="宋体"/>
          <w:sz w:val="24"/>
        </w:rPr>
        <w:t>1</w:t>
      </w:r>
      <w:r>
        <w:rPr>
          <w:rFonts w:ascii="宋体" w:hAnsi="宋体" w:cs="宋体"/>
          <w:sz w:val="24"/>
        </w:rPr>
        <w:t>.施工满足规范要求及图纸清单要求。</w:t>
      </w:r>
    </w:p>
    <w:p>
      <w:pPr>
        <w:pStyle w:val="11"/>
        <w:spacing w:line="360" w:lineRule="auto"/>
        <w:ind w:firstLine="48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工程施工</w:t>
      </w:r>
      <w:r>
        <w:rPr>
          <w:rFonts w:ascii="宋体" w:hAnsi="宋体" w:cs="宋体"/>
          <w:sz w:val="24"/>
        </w:rPr>
        <w:t>结束，现场清理完毕，方可组织竣工验收。</w:t>
      </w:r>
    </w:p>
    <w:p>
      <w:pPr>
        <w:pStyle w:val="11"/>
        <w:spacing w:line="360" w:lineRule="auto"/>
        <w:ind w:firstLine="0" w:firstLineChars="0"/>
        <w:rPr>
          <w:rFonts w:hAnsi="宋体"/>
          <w:b/>
          <w:sz w:val="24"/>
        </w:rPr>
      </w:pPr>
      <w:r>
        <w:rPr>
          <w:rFonts w:hint="eastAsia" w:hAnsi="宋体"/>
          <w:b/>
          <w:sz w:val="24"/>
        </w:rPr>
        <w:t>四、资质要求</w:t>
      </w:r>
    </w:p>
    <w:p>
      <w:pPr>
        <w:pStyle w:val="11"/>
        <w:spacing w:line="360" w:lineRule="auto"/>
        <w:ind w:firstLine="480"/>
        <w:rPr>
          <w:rFonts w:ascii="宋体" w:hAnsi="宋体" w:cs="宋体"/>
          <w:sz w:val="24"/>
        </w:rPr>
      </w:pPr>
      <w:r>
        <w:rPr>
          <w:rFonts w:hint="eastAsia" w:ascii="宋体" w:hAnsi="宋体" w:cs="宋体"/>
          <w:sz w:val="24"/>
        </w:rPr>
        <w:t>1.具有独立承担民事责任的能力；</w:t>
      </w:r>
    </w:p>
    <w:p>
      <w:pPr>
        <w:pStyle w:val="11"/>
        <w:spacing w:line="360" w:lineRule="auto"/>
        <w:ind w:firstLine="480"/>
        <w:rPr>
          <w:rFonts w:ascii="宋体" w:hAnsi="宋体" w:cs="宋体"/>
          <w:sz w:val="24"/>
        </w:rPr>
      </w:pPr>
      <w:r>
        <w:rPr>
          <w:rFonts w:hint="eastAsia" w:ascii="宋体" w:hAnsi="宋体" w:cs="宋体"/>
          <w:sz w:val="24"/>
        </w:rPr>
        <w:t>2.具有良好的商业信誉：</w:t>
      </w:r>
    </w:p>
    <w:p>
      <w:pPr>
        <w:pStyle w:val="11"/>
        <w:spacing w:line="360" w:lineRule="auto"/>
        <w:ind w:firstLine="480"/>
        <w:rPr>
          <w:rFonts w:ascii="宋体" w:hAnsi="宋体" w:cs="宋体"/>
          <w:sz w:val="24"/>
        </w:rPr>
      </w:pPr>
      <w:r>
        <w:rPr>
          <w:rFonts w:hint="eastAsia" w:ascii="宋体" w:hAnsi="宋体" w:cs="宋体"/>
          <w:sz w:val="24"/>
        </w:rPr>
        <w:t>3.具有履行合同所必需的设备和专业技术能力；</w:t>
      </w:r>
    </w:p>
    <w:p>
      <w:pPr>
        <w:pStyle w:val="11"/>
        <w:spacing w:line="360" w:lineRule="auto"/>
        <w:ind w:firstLine="480"/>
        <w:rPr>
          <w:rFonts w:ascii="宋体" w:hAnsi="宋体" w:cs="宋体"/>
          <w:sz w:val="24"/>
        </w:rPr>
      </w:pPr>
      <w:r>
        <w:rPr>
          <w:rFonts w:hint="eastAsia" w:ascii="宋体" w:hAnsi="宋体" w:cs="宋体"/>
          <w:sz w:val="24"/>
        </w:rPr>
        <w:t>4.有依法缴纳税收的良好记录；</w:t>
      </w:r>
    </w:p>
    <w:p>
      <w:pPr>
        <w:pStyle w:val="11"/>
        <w:spacing w:line="360" w:lineRule="auto"/>
        <w:ind w:firstLine="480"/>
        <w:rPr>
          <w:rFonts w:ascii="宋体" w:hAnsi="宋体" w:cs="宋体"/>
          <w:sz w:val="24"/>
        </w:rPr>
      </w:pPr>
      <w:r>
        <w:rPr>
          <w:rFonts w:hint="eastAsia" w:ascii="宋体" w:hAnsi="宋体" w:cs="宋体"/>
          <w:sz w:val="24"/>
        </w:rPr>
        <w:t>5.参加本次采购活动前三年内，在经营活动中没有重大违法记录；</w:t>
      </w:r>
    </w:p>
    <w:p>
      <w:pPr>
        <w:pStyle w:val="11"/>
        <w:spacing w:line="360" w:lineRule="auto"/>
        <w:ind w:firstLine="480"/>
        <w:rPr>
          <w:rFonts w:ascii="宋体" w:hAnsi="宋体" w:cs="宋体"/>
          <w:sz w:val="24"/>
        </w:rPr>
      </w:pPr>
      <w:r>
        <w:rPr>
          <w:rFonts w:hint="eastAsia" w:ascii="宋体" w:hAnsi="宋体" w:cs="宋体"/>
          <w:sz w:val="24"/>
        </w:rPr>
        <w:t>6.法律、行政法规规定的其他条件；</w:t>
      </w:r>
    </w:p>
    <w:p>
      <w:pPr>
        <w:pStyle w:val="11"/>
        <w:spacing w:line="264" w:lineRule="auto"/>
        <w:ind w:firstLine="0" w:firstLineChars="0"/>
        <w:contextualSpacing/>
        <w:rPr>
          <w:rFonts w:hAnsi="宋体"/>
          <w:b/>
          <w:sz w:val="24"/>
        </w:rPr>
      </w:pPr>
      <w:r>
        <w:rPr>
          <w:rFonts w:hAnsi="宋体"/>
          <w:b/>
          <w:sz w:val="24"/>
        </w:rPr>
        <w:t>五</w:t>
      </w:r>
      <w:r>
        <w:rPr>
          <w:rFonts w:hint="eastAsia" w:hAnsi="宋体"/>
          <w:b/>
          <w:sz w:val="24"/>
        </w:rPr>
        <w:t>、投标文件</w:t>
      </w:r>
    </w:p>
    <w:p>
      <w:pPr>
        <w:pStyle w:val="11"/>
        <w:spacing w:line="360" w:lineRule="auto"/>
        <w:ind w:firstLine="480"/>
        <w:rPr>
          <w:rFonts w:ascii="宋体" w:hAnsi="宋体" w:cs="宋体"/>
          <w:sz w:val="24"/>
        </w:rPr>
      </w:pPr>
      <w:r>
        <w:rPr>
          <w:rFonts w:hint="eastAsia" w:ascii="宋体" w:hAnsi="宋体" w:cs="宋体"/>
          <w:sz w:val="24"/>
        </w:rPr>
        <w:t>投标文件需准备三份，含正本一本，副本二本。</w:t>
      </w:r>
    </w:p>
    <w:p>
      <w:pPr>
        <w:pStyle w:val="2"/>
      </w:pPr>
      <w:r>
        <w:t>六</w:t>
      </w:r>
      <w:r>
        <w:rPr>
          <w:rFonts w:hint="eastAsia"/>
        </w:rPr>
        <w:t>、</w:t>
      </w:r>
      <w:r>
        <w:t>现场踏勘</w:t>
      </w:r>
    </w:p>
    <w:p>
      <w:pPr>
        <w:pStyle w:val="11"/>
        <w:spacing w:line="360" w:lineRule="auto"/>
        <w:ind w:firstLine="480"/>
        <w:rPr>
          <w:rFonts w:ascii="宋体" w:hAnsi="宋体" w:cs="宋体"/>
          <w:sz w:val="24"/>
        </w:rPr>
      </w:pPr>
      <w:r>
        <w:rPr>
          <w:rFonts w:hint="eastAsia" w:ascii="宋体" w:hAnsi="宋体" w:cs="宋体"/>
          <w:sz w:val="24"/>
        </w:rPr>
        <w:t>投标人须携带营业执照副本（复印件加盖公章）、法定代表人授权委托书（原件）及身份证原件进行现场查勘。</w:t>
      </w:r>
    </w:p>
    <w:p>
      <w:pPr>
        <w:pStyle w:val="11"/>
        <w:spacing w:line="360" w:lineRule="auto"/>
        <w:ind w:firstLine="480"/>
        <w:rPr>
          <w:rFonts w:ascii="宋体" w:hAnsi="宋体" w:cs="宋体"/>
          <w:sz w:val="24"/>
        </w:rPr>
      </w:pPr>
      <w:bookmarkStart w:id="3" w:name="OLE_LINK2"/>
      <w:bookmarkStart w:id="4" w:name="OLE_LINK3"/>
      <w:r>
        <w:rPr>
          <w:rFonts w:hint="eastAsia" w:ascii="宋体" w:hAnsi="宋体" w:cs="宋体"/>
          <w:sz w:val="24"/>
        </w:rPr>
        <w:t>因工程施工面狭小，需自行考虑施工通道，施工时会产生成品保护、拆除恢复等措施，各投标人请务必对项目现场和周围环境进行仔细认真查勘，在随后的招标中，对现场资料和数据所作出的推论、解释和结论及由此造成的后果由投标人负责。查勘时，须充分了解项目位置、交通状况以及工作范围等任何足以影响投标报价的情况。任何忽视或误解项目基本情况，而使采购人在项目实施过程中蒙受的损失，将由投标人进行赔偿。请投标人仔细踏勘现场，充分考虑投资风险，审慎投资报价。</w:t>
      </w:r>
    </w:p>
    <w:p>
      <w:pPr>
        <w:pStyle w:val="11"/>
        <w:spacing w:line="360" w:lineRule="auto"/>
        <w:ind w:firstLine="480"/>
        <w:rPr>
          <w:rFonts w:ascii="宋体" w:hAnsi="宋体" w:cs="宋体"/>
          <w:b/>
          <w:sz w:val="24"/>
        </w:rPr>
      </w:pPr>
      <w:r>
        <w:rPr>
          <w:rFonts w:hint="eastAsia" w:ascii="宋体" w:hAnsi="宋体" w:cs="宋体"/>
          <w:sz w:val="24"/>
        </w:rPr>
        <w:t>勘查集合时间：202</w:t>
      </w:r>
      <w:r>
        <w:rPr>
          <w:rFonts w:ascii="宋体" w:hAnsi="宋体" w:cs="宋体"/>
          <w:sz w:val="24"/>
        </w:rPr>
        <w:t>5</w:t>
      </w:r>
      <w:r>
        <w:rPr>
          <w:rFonts w:hint="eastAsia" w:ascii="宋体" w:hAnsi="宋体" w:cs="宋体"/>
          <w:sz w:val="24"/>
        </w:rPr>
        <w:t>年</w:t>
      </w:r>
      <w:r>
        <w:rPr>
          <w:rFonts w:ascii="宋体" w:hAnsi="宋体" w:cs="宋体"/>
          <w:sz w:val="24"/>
        </w:rPr>
        <w:t>5</w:t>
      </w:r>
      <w:r>
        <w:rPr>
          <w:rFonts w:hint="eastAsia" w:ascii="宋体" w:hAnsi="宋体" w:cs="宋体"/>
          <w:sz w:val="24"/>
        </w:rPr>
        <w:t>月</w:t>
      </w:r>
      <w:r>
        <w:rPr>
          <w:rFonts w:ascii="宋体" w:hAnsi="宋体" w:cs="宋体"/>
          <w:sz w:val="24"/>
        </w:rPr>
        <w:t>15</w:t>
      </w:r>
      <w:r>
        <w:rPr>
          <w:rFonts w:hint="eastAsia" w:ascii="宋体" w:hAnsi="宋体" w:cs="宋体"/>
          <w:sz w:val="24"/>
        </w:rPr>
        <w:t>日上午10时00分整（迟到单位视为放弃勘查）</w:t>
      </w:r>
    </w:p>
    <w:p>
      <w:pPr>
        <w:pStyle w:val="11"/>
        <w:spacing w:line="360" w:lineRule="auto"/>
        <w:ind w:firstLine="480"/>
        <w:rPr>
          <w:rFonts w:ascii="宋体" w:hAnsi="宋体" w:cs="宋体"/>
          <w:sz w:val="24"/>
        </w:rPr>
      </w:pPr>
      <w:r>
        <w:rPr>
          <w:rFonts w:hint="eastAsia" w:ascii="宋体" w:hAnsi="宋体" w:cs="宋体"/>
          <w:sz w:val="24"/>
        </w:rPr>
        <w:t>勘查集合地点：扬州市邗江区润扬南路33号南京邮电大学通达学院行政楼五楼507</w:t>
      </w:r>
    </w:p>
    <w:bookmarkEnd w:id="3"/>
    <w:bookmarkEnd w:id="4"/>
    <w:p>
      <w:pPr>
        <w:spacing w:line="360" w:lineRule="auto"/>
        <w:rPr>
          <w:rFonts w:ascii="宋体" w:hAnsi="宋体"/>
          <w:b/>
          <w:szCs w:val="21"/>
        </w:rPr>
      </w:pPr>
      <w:r>
        <w:rPr>
          <w:rFonts w:hint="eastAsia" w:ascii="宋体" w:hAnsi="宋体"/>
          <w:b/>
          <w:szCs w:val="21"/>
        </w:rPr>
        <w:t>七、评标方法与评标标准</w:t>
      </w:r>
    </w:p>
    <w:p>
      <w:pPr>
        <w:spacing w:line="360" w:lineRule="auto"/>
        <w:ind w:firstLine="420"/>
        <w:rPr>
          <w:rFonts w:ascii="宋体" w:hAnsi="宋体"/>
          <w:b/>
          <w:szCs w:val="21"/>
        </w:rPr>
      </w:pPr>
      <w:bookmarkStart w:id="5" w:name="_Toc508646227"/>
      <w:bookmarkStart w:id="6" w:name="_Toc503874597"/>
      <w:bookmarkStart w:id="7" w:name="_Toc526089285"/>
      <w:bookmarkStart w:id="8" w:name="_Toc527108642"/>
      <w:bookmarkStart w:id="9" w:name="_Toc38809005"/>
      <w:r>
        <w:rPr>
          <w:rFonts w:hint="eastAsia" w:ascii="宋体" w:hAnsi="宋体"/>
          <w:b/>
          <w:szCs w:val="21"/>
        </w:rPr>
        <w:t>（一）评审方法</w:t>
      </w:r>
      <w:bookmarkEnd w:id="5"/>
      <w:bookmarkEnd w:id="6"/>
      <w:bookmarkEnd w:id="7"/>
      <w:bookmarkEnd w:id="8"/>
      <w:bookmarkEnd w:id="9"/>
    </w:p>
    <w:p>
      <w:pPr>
        <w:pStyle w:val="11"/>
        <w:spacing w:line="360" w:lineRule="auto"/>
        <w:ind w:firstLine="480"/>
        <w:rPr>
          <w:rFonts w:ascii="宋体" w:hAnsi="宋体" w:cs="宋体"/>
          <w:sz w:val="24"/>
        </w:rPr>
      </w:pPr>
      <w:r>
        <w:rPr>
          <w:rFonts w:hint="eastAsia" w:ascii="宋体" w:hAnsi="宋体" w:cs="宋体"/>
          <w:sz w:val="24"/>
        </w:rPr>
        <w:t>本次评审采用综合评分法，即在满足采购文件实质性要求前提下，按照采购文件中规定的评分标准和各项因素进行综合评审后，以评审总得分最高的供应商作为成交候选人。得分相同的，按磋商报价由低到高顺序排列。得分且磋商报价相同的，按技术服务方案优劣顺序排列。本综合评分法采用百分制形式，具体分值详见本细则。</w:t>
      </w:r>
    </w:p>
    <w:p>
      <w:pPr>
        <w:spacing w:line="360" w:lineRule="auto"/>
        <w:ind w:firstLine="420"/>
        <w:rPr>
          <w:rFonts w:ascii="宋体" w:hAnsi="宋体"/>
          <w:b/>
          <w:szCs w:val="21"/>
        </w:rPr>
      </w:pPr>
      <w:r>
        <w:rPr>
          <w:rFonts w:hint="eastAsia" w:ascii="宋体" w:hAnsi="宋体"/>
          <w:b/>
          <w:szCs w:val="21"/>
        </w:rPr>
        <w:t>（二）评审标准</w:t>
      </w:r>
    </w:p>
    <w:p>
      <w:pPr>
        <w:spacing w:line="360" w:lineRule="auto"/>
        <w:ind w:firstLine="422" w:firstLineChars="200"/>
        <w:rPr>
          <w:rFonts w:ascii="宋体" w:hAnsi="宋体"/>
          <w:b/>
          <w:szCs w:val="21"/>
          <w:lang w:bidi="zh-CN"/>
        </w:rPr>
      </w:pPr>
    </w:p>
    <w:tbl>
      <w:tblPr>
        <w:tblStyle w:val="7"/>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67"/>
        <w:gridCol w:w="6520"/>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55" w:type="dxa"/>
            <w:vAlign w:val="center"/>
          </w:tcPr>
          <w:p>
            <w:pPr>
              <w:rPr>
                <w:rFonts w:ascii="宋体" w:hAnsi="宋体"/>
                <w:szCs w:val="21"/>
              </w:rPr>
            </w:pPr>
            <w:r>
              <w:rPr>
                <w:rFonts w:hint="eastAsia" w:ascii="宋体" w:hAnsi="宋体"/>
                <w:szCs w:val="21"/>
              </w:rPr>
              <w:t>序号</w:t>
            </w:r>
          </w:p>
        </w:tc>
        <w:tc>
          <w:tcPr>
            <w:tcW w:w="1267" w:type="dxa"/>
            <w:vAlign w:val="center"/>
          </w:tcPr>
          <w:p>
            <w:pPr>
              <w:rPr>
                <w:rFonts w:ascii="宋体" w:hAnsi="宋体"/>
                <w:szCs w:val="21"/>
              </w:rPr>
            </w:pPr>
            <w:r>
              <w:rPr>
                <w:rFonts w:hint="eastAsia" w:ascii="宋体" w:hAnsi="宋体"/>
                <w:szCs w:val="21"/>
              </w:rPr>
              <w:t>评分因素</w:t>
            </w:r>
          </w:p>
        </w:tc>
        <w:tc>
          <w:tcPr>
            <w:tcW w:w="6520" w:type="dxa"/>
            <w:vAlign w:val="center"/>
          </w:tcPr>
          <w:p>
            <w:pPr>
              <w:rPr>
                <w:rFonts w:ascii="宋体" w:hAnsi="宋体"/>
                <w:szCs w:val="21"/>
              </w:rPr>
            </w:pPr>
            <w:r>
              <w:rPr>
                <w:rFonts w:hint="eastAsia" w:ascii="宋体" w:hAnsi="宋体"/>
                <w:szCs w:val="21"/>
              </w:rPr>
              <w:t>评审标准</w:t>
            </w:r>
          </w:p>
        </w:tc>
        <w:tc>
          <w:tcPr>
            <w:tcW w:w="839" w:type="dxa"/>
            <w:vAlign w:val="center"/>
          </w:tcPr>
          <w:p>
            <w:pP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55" w:type="dxa"/>
            <w:vAlign w:val="center"/>
          </w:tcPr>
          <w:p>
            <w:pPr>
              <w:rPr>
                <w:rFonts w:ascii="宋体" w:hAnsi="宋体"/>
                <w:szCs w:val="21"/>
              </w:rPr>
            </w:pPr>
            <w:r>
              <w:rPr>
                <w:rFonts w:hint="eastAsia" w:ascii="宋体" w:hAnsi="宋体"/>
                <w:szCs w:val="21"/>
              </w:rPr>
              <w:t>1</w:t>
            </w:r>
          </w:p>
        </w:tc>
        <w:tc>
          <w:tcPr>
            <w:tcW w:w="1267" w:type="dxa"/>
            <w:vAlign w:val="center"/>
          </w:tcPr>
          <w:p>
            <w:pPr>
              <w:widowControl/>
              <w:spacing w:line="27" w:lineRule="atLeast"/>
              <w:rPr>
                <w:rFonts w:ascii="宋体" w:hAnsi="宋体"/>
                <w:szCs w:val="21"/>
              </w:rPr>
            </w:pPr>
            <w:r>
              <w:rPr>
                <w:rFonts w:hint="eastAsia" w:ascii="宋体" w:hAnsi="宋体" w:cs="仿宋"/>
                <w:kern w:val="0"/>
                <w:szCs w:val="21"/>
              </w:rPr>
              <w:t>价格</w:t>
            </w:r>
            <w:r>
              <w:rPr>
                <w:rFonts w:ascii="宋体" w:hAnsi="宋体" w:cs="仿宋"/>
                <w:kern w:val="0"/>
                <w:szCs w:val="21"/>
              </w:rPr>
              <w:t>30</w:t>
            </w:r>
            <w:r>
              <w:rPr>
                <w:rFonts w:hint="eastAsia" w:ascii="宋体" w:hAnsi="宋体" w:cs="仿宋"/>
                <w:kern w:val="0"/>
                <w:szCs w:val="21"/>
              </w:rPr>
              <w:t>分</w:t>
            </w:r>
          </w:p>
        </w:tc>
        <w:tc>
          <w:tcPr>
            <w:tcW w:w="6520" w:type="dxa"/>
            <w:vAlign w:val="center"/>
          </w:tcPr>
          <w:p>
            <w:pPr>
              <w:spacing w:line="276" w:lineRule="auto"/>
              <w:rPr>
                <w:rFonts w:ascii="宋体" w:hAnsi="宋体" w:cs="Cambria"/>
                <w:kern w:val="0"/>
                <w:szCs w:val="21"/>
              </w:rPr>
            </w:pPr>
            <w:r>
              <w:rPr>
                <w:rFonts w:hint="eastAsia" w:ascii="宋体" w:hAnsi="宋体" w:cs="Cambria"/>
                <w:kern w:val="0"/>
                <w:szCs w:val="21"/>
              </w:rPr>
              <w:t>以满足采购文件要求的有效响应文件的评标价算术平均值为 A（若有效响应文件≥7 家时，去掉其中的一个最高价和一个最低价后取算术平均值为 A；若有</w:t>
            </w:r>
            <w:bookmarkStart w:id="10" w:name="_GoBack"/>
            <w:bookmarkEnd w:id="10"/>
            <w:r>
              <w:rPr>
                <w:rFonts w:hint="eastAsia" w:ascii="宋体" w:hAnsi="宋体" w:cs="Cambria"/>
                <w:kern w:val="0"/>
                <w:szCs w:val="21"/>
              </w:rPr>
              <w:t>效响应文件≥10 家时，去掉其中的二个最高价和二个最低价后取算术平均值为 A）。评标基准价 =A×K，K 值的取值为97%。评标价等于评标基准价的得30分；各供应商经评审的最终磋商价与评标基准价相比, 每低1%扣0.5分，每高1%扣1分，不足1%部分按内插法计算，小数点保留两位。</w:t>
            </w:r>
          </w:p>
          <w:p>
            <w:pPr>
              <w:spacing w:line="276" w:lineRule="auto"/>
              <w:rPr>
                <w:rFonts w:ascii="宋体" w:hAnsi="宋体"/>
                <w:szCs w:val="21"/>
              </w:rPr>
            </w:pPr>
            <w:r>
              <w:rPr>
                <w:rFonts w:hint="eastAsia" w:ascii="宋体" w:hAnsi="宋体" w:cs="Cambria"/>
                <w:kern w:val="0"/>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tc>
        <w:tc>
          <w:tcPr>
            <w:tcW w:w="839" w:type="dxa"/>
            <w:vAlign w:val="center"/>
          </w:tcPr>
          <w:p>
            <w:pPr>
              <w:widowControl/>
              <w:spacing w:line="360" w:lineRule="auto"/>
              <w:jc w:val="center"/>
              <w:rPr>
                <w:rFonts w:ascii="宋体" w:hAnsi="宋体"/>
                <w:szCs w:val="21"/>
              </w:rPr>
            </w:pPr>
            <w:r>
              <w:rPr>
                <w:rFonts w:ascii="宋体" w:hAnsi="宋体" w:cs="仿宋"/>
                <w:kern w:val="0"/>
                <w:szCs w:val="21"/>
              </w:rPr>
              <w:t>30</w:t>
            </w:r>
            <w:r>
              <w:rPr>
                <w:rFonts w:hint="eastAsia" w:ascii="宋体" w:hAnsi="宋体" w:cs="仿宋"/>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55" w:type="dxa"/>
            <w:vAlign w:val="center"/>
          </w:tcPr>
          <w:p>
            <w:pPr>
              <w:rPr>
                <w:rFonts w:ascii="宋体" w:hAnsi="宋体"/>
                <w:szCs w:val="21"/>
              </w:rPr>
            </w:pPr>
            <w:r>
              <w:rPr>
                <w:rFonts w:hint="eastAsia" w:ascii="宋体" w:hAnsi="宋体"/>
                <w:szCs w:val="21"/>
              </w:rPr>
              <w:t>2</w:t>
            </w:r>
          </w:p>
        </w:tc>
        <w:tc>
          <w:tcPr>
            <w:tcW w:w="1267" w:type="dxa"/>
            <w:vAlign w:val="center"/>
          </w:tcPr>
          <w:p>
            <w:pPr>
              <w:jc w:val="center"/>
              <w:rPr>
                <w:rFonts w:ascii="宋体" w:hAnsi="宋体"/>
                <w:szCs w:val="21"/>
              </w:rPr>
            </w:pPr>
            <w:r>
              <w:rPr>
                <w:rFonts w:hint="eastAsia" w:ascii="宋体" w:hAnsi="宋体"/>
                <w:szCs w:val="21"/>
              </w:rPr>
              <w:t>投标人业绩</w:t>
            </w:r>
            <w:r>
              <w:rPr>
                <w:rFonts w:ascii="宋体" w:hAnsi="宋体"/>
                <w:szCs w:val="21"/>
              </w:rPr>
              <w:t>10</w:t>
            </w:r>
            <w:r>
              <w:rPr>
                <w:rFonts w:hint="eastAsia" w:ascii="宋体" w:hAnsi="宋体"/>
                <w:szCs w:val="21"/>
              </w:rPr>
              <w:t>分</w:t>
            </w:r>
          </w:p>
        </w:tc>
        <w:tc>
          <w:tcPr>
            <w:tcW w:w="6520" w:type="dxa"/>
            <w:vAlign w:val="center"/>
          </w:tcPr>
          <w:p>
            <w:pPr>
              <w:rPr>
                <w:rFonts w:ascii="宋体" w:hAnsi="宋体"/>
                <w:szCs w:val="21"/>
              </w:rPr>
            </w:pPr>
            <w:r>
              <w:rPr>
                <w:rFonts w:hint="eastAsia" w:ascii="宋体" w:hAnsi="宋体"/>
                <w:szCs w:val="21"/>
              </w:rPr>
              <w:t>提供自202</w:t>
            </w:r>
            <w:r>
              <w:rPr>
                <w:rFonts w:ascii="宋体" w:hAnsi="宋体"/>
                <w:szCs w:val="21"/>
              </w:rPr>
              <w:t>2</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1日以来的单项合同（需提供中标（成交）通知书、施工合同及工程竣工验收证明材料，时间以工程竣工验收证明材料中的竣工验收合格时间为准。提供的证明材料必须能够有效反映相关数据，否则视作未提供），每提供一个得</w:t>
            </w:r>
            <w:r>
              <w:rPr>
                <w:rFonts w:ascii="宋体" w:hAnsi="宋体"/>
                <w:szCs w:val="21"/>
              </w:rPr>
              <w:t>2</w:t>
            </w:r>
            <w:r>
              <w:rPr>
                <w:rFonts w:hint="eastAsia" w:ascii="宋体" w:hAnsi="宋体"/>
                <w:szCs w:val="21"/>
              </w:rPr>
              <w:t>分，最高得</w:t>
            </w:r>
            <w:r>
              <w:rPr>
                <w:rFonts w:ascii="宋体" w:hAnsi="宋体"/>
                <w:szCs w:val="21"/>
              </w:rPr>
              <w:t>10</w:t>
            </w:r>
            <w:r>
              <w:rPr>
                <w:rFonts w:hint="eastAsia" w:ascii="宋体" w:hAnsi="宋体"/>
                <w:szCs w:val="21"/>
              </w:rPr>
              <w:t>分。（提供加盖供应商公章的中标（成交）通知书、合同及竣工验收报告复印件，并提供中标（成交）通知书、合同及竣工验收报告原件核查，否则此项不得分）。</w:t>
            </w:r>
          </w:p>
        </w:tc>
        <w:tc>
          <w:tcPr>
            <w:tcW w:w="839" w:type="dxa"/>
            <w:vAlign w:val="center"/>
          </w:tcPr>
          <w:p>
            <w:pPr>
              <w:jc w:val="center"/>
              <w:rPr>
                <w:rFonts w:ascii="宋体" w:hAnsi="宋体"/>
                <w:szCs w:val="21"/>
              </w:rPr>
            </w:pPr>
            <w:r>
              <w:rPr>
                <w:rFonts w:ascii="宋体" w:hAnsi="宋体"/>
                <w:szCs w:val="21"/>
              </w:rPr>
              <w:t>10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55" w:type="dxa"/>
            <w:vAlign w:val="center"/>
          </w:tcPr>
          <w:p>
            <w:pPr>
              <w:rPr>
                <w:rFonts w:ascii="宋体" w:hAnsi="宋体"/>
                <w:szCs w:val="21"/>
              </w:rPr>
            </w:pPr>
            <w:r>
              <w:rPr>
                <w:rFonts w:hint="eastAsia" w:ascii="宋体" w:hAnsi="宋体"/>
                <w:szCs w:val="21"/>
              </w:rPr>
              <w:t>4</w:t>
            </w:r>
          </w:p>
        </w:tc>
        <w:tc>
          <w:tcPr>
            <w:tcW w:w="1267" w:type="dxa"/>
            <w:vAlign w:val="center"/>
          </w:tcPr>
          <w:p>
            <w:pPr>
              <w:rPr>
                <w:rFonts w:ascii="宋体" w:hAnsi="宋体"/>
                <w:szCs w:val="21"/>
              </w:rPr>
            </w:pPr>
            <w:r>
              <w:rPr>
                <w:rFonts w:hint="eastAsia" w:ascii="宋体" w:hAnsi="宋体"/>
                <w:szCs w:val="21"/>
              </w:rPr>
              <w:t>样品</w:t>
            </w:r>
            <w:r>
              <w:rPr>
                <w:rFonts w:ascii="宋体" w:hAnsi="宋体"/>
                <w:szCs w:val="21"/>
              </w:rPr>
              <w:t>10</w:t>
            </w:r>
            <w:r>
              <w:rPr>
                <w:rFonts w:hint="eastAsia" w:ascii="宋体" w:hAnsi="宋体"/>
                <w:szCs w:val="21"/>
              </w:rPr>
              <w:t>分</w:t>
            </w:r>
          </w:p>
        </w:tc>
        <w:tc>
          <w:tcPr>
            <w:tcW w:w="6520" w:type="dxa"/>
            <w:vAlign w:val="center"/>
          </w:tcPr>
          <w:p>
            <w:pPr>
              <w:rPr>
                <w:rFonts w:ascii="宋体" w:hAnsi="宋体"/>
                <w:szCs w:val="21"/>
              </w:rPr>
            </w:pPr>
            <w:r>
              <w:rPr>
                <w:rFonts w:hint="eastAsia" w:ascii="宋体" w:hAnsi="宋体"/>
                <w:szCs w:val="21"/>
              </w:rPr>
              <w:t>对投标人所提供的样品情况（所用材质、产品性能、技术参数等方面）</w:t>
            </w:r>
          </w:p>
          <w:p>
            <w:pPr>
              <w:rPr>
                <w:rFonts w:ascii="宋体" w:hAnsi="宋体"/>
                <w:szCs w:val="21"/>
              </w:rPr>
            </w:pPr>
            <w:r>
              <w:rPr>
                <w:rFonts w:hint="eastAsia" w:ascii="宋体" w:hAnsi="宋体"/>
                <w:szCs w:val="21"/>
              </w:rPr>
              <w:t>进行评分：主要材料</w:t>
            </w:r>
            <w:r>
              <w:rPr>
                <w:rFonts w:ascii="宋体" w:hAnsi="宋体"/>
                <w:szCs w:val="21"/>
              </w:rPr>
              <w:t>1、</w:t>
            </w:r>
            <w:r>
              <w:rPr>
                <w:rFonts w:hint="eastAsia" w:ascii="宋体" w:hAnsi="宋体"/>
                <w:szCs w:val="21"/>
              </w:rPr>
              <w:t>主梁H300*150*6.5*9；</w:t>
            </w:r>
            <w:r>
              <w:rPr>
                <w:rFonts w:ascii="宋体" w:hAnsi="宋体"/>
                <w:szCs w:val="21"/>
              </w:rPr>
              <w:t>2、</w:t>
            </w:r>
            <w:r>
              <w:rPr>
                <w:rFonts w:hint="eastAsia" w:ascii="宋体" w:hAnsi="宋体"/>
                <w:szCs w:val="21"/>
              </w:rPr>
              <w:t>次梁H250*125*6*9；3、菱形花纹钢板，厚度5mm；</w:t>
            </w:r>
            <w:r>
              <w:rPr>
                <w:rFonts w:ascii="宋体" w:hAnsi="宋体"/>
                <w:szCs w:val="21"/>
              </w:rPr>
              <w:t>4、</w:t>
            </w:r>
            <w:r>
              <w:rPr>
                <w:rFonts w:hint="eastAsia" w:ascii="宋体" w:hAnsi="宋体"/>
                <w:szCs w:val="21"/>
              </w:rPr>
              <w:t>地胶，厚度3mm；</w:t>
            </w:r>
          </w:p>
          <w:p>
            <w:pPr>
              <w:rPr>
                <w:rFonts w:ascii="宋体" w:hAnsi="宋体"/>
                <w:szCs w:val="21"/>
              </w:rPr>
            </w:pPr>
            <w:r>
              <w:rPr>
                <w:rFonts w:hint="eastAsia" w:ascii="宋体" w:hAnsi="宋体"/>
                <w:szCs w:val="21"/>
              </w:rPr>
              <w:t>样品的整体功能（包括：实用性、功能性等）、选用材质、工艺水平及质量等内容，与采购文件项目需求符合度高，得</w:t>
            </w:r>
            <w:r>
              <w:rPr>
                <w:rFonts w:ascii="宋体" w:hAnsi="宋体"/>
                <w:szCs w:val="21"/>
              </w:rPr>
              <w:t>10</w:t>
            </w:r>
            <w:r>
              <w:rPr>
                <w:rFonts w:hint="eastAsia" w:ascii="宋体" w:hAnsi="宋体"/>
                <w:szCs w:val="21"/>
              </w:rPr>
              <w:t>分；基本达到要求，实用，得</w:t>
            </w:r>
            <w:r>
              <w:rPr>
                <w:rFonts w:ascii="宋体" w:hAnsi="宋体"/>
                <w:szCs w:val="21"/>
              </w:rPr>
              <w:t>7</w:t>
            </w:r>
            <w:r>
              <w:rPr>
                <w:rFonts w:hint="eastAsia" w:ascii="宋体" w:hAnsi="宋体"/>
                <w:szCs w:val="21"/>
              </w:rPr>
              <w:t>分；存在瑕疵、做工略毛糙，得</w:t>
            </w:r>
            <w:r>
              <w:rPr>
                <w:rFonts w:ascii="宋体" w:hAnsi="宋体"/>
                <w:szCs w:val="21"/>
              </w:rPr>
              <w:t>3</w:t>
            </w:r>
            <w:r>
              <w:rPr>
                <w:rFonts w:hint="eastAsia" w:ascii="宋体" w:hAnsi="宋体"/>
                <w:szCs w:val="21"/>
              </w:rPr>
              <w:t>分；符合度低、做工粗糙、有明显瑕疵的不得分。</w:t>
            </w:r>
          </w:p>
          <w:p>
            <w:pPr>
              <w:rPr>
                <w:rFonts w:ascii="宋体" w:hAnsi="宋体"/>
                <w:szCs w:val="21"/>
              </w:rPr>
            </w:pPr>
            <w:r>
              <w:rPr>
                <w:rFonts w:hint="eastAsia" w:ascii="宋体" w:hAnsi="宋体"/>
                <w:szCs w:val="21"/>
              </w:rPr>
              <w:t>注：如出现下列任何一种情况，该项均不得分。1、不提供样品或提供的样品不全的；2、样品粘贴设置投标人单位名称、标志或有其他明显特殊标志且未采取措施遮盖标志的。</w:t>
            </w:r>
          </w:p>
          <w:p>
            <w:pPr>
              <w:rPr>
                <w:rFonts w:ascii="宋体" w:hAnsi="宋体"/>
                <w:szCs w:val="21"/>
              </w:rPr>
            </w:pPr>
            <w:r>
              <w:rPr>
                <w:rFonts w:hint="eastAsia" w:ascii="宋体" w:hAnsi="宋体"/>
                <w:szCs w:val="21"/>
              </w:rPr>
              <w:t>（所有样品费用由供应商承担，中标样品将作为中标后供货质量对比样本封存。</w:t>
            </w:r>
            <w:r>
              <w:rPr>
                <w:rFonts w:hint="eastAsia" w:ascii="宋体" w:hAnsi="宋体"/>
                <w:b/>
                <w:bCs/>
                <w:szCs w:val="21"/>
              </w:rPr>
              <w:t>提供不小于20cm的样品</w:t>
            </w:r>
            <w:r>
              <w:rPr>
                <w:rFonts w:hint="eastAsia" w:ascii="宋体" w:hAnsi="宋体"/>
                <w:szCs w:val="21"/>
              </w:rPr>
              <w:t>）</w:t>
            </w:r>
          </w:p>
        </w:tc>
        <w:tc>
          <w:tcPr>
            <w:tcW w:w="839" w:type="dxa"/>
            <w:vAlign w:val="center"/>
          </w:tcPr>
          <w:p>
            <w:pPr>
              <w:jc w:val="center"/>
              <w:rPr>
                <w:rFonts w:ascii="宋体" w:hAnsi="宋体"/>
                <w:szCs w:val="21"/>
              </w:rPr>
            </w:pPr>
            <w:r>
              <w:rPr>
                <w:rFonts w:ascii="宋体" w:hAnsi="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55" w:type="dxa"/>
            <w:vMerge w:val="restart"/>
            <w:vAlign w:val="center"/>
          </w:tcPr>
          <w:p>
            <w:pPr>
              <w:rPr>
                <w:rFonts w:ascii="宋体" w:hAnsi="宋体"/>
                <w:szCs w:val="21"/>
              </w:rPr>
            </w:pPr>
            <w:r>
              <w:rPr>
                <w:rFonts w:hint="eastAsia" w:ascii="宋体" w:hAnsi="宋体"/>
                <w:szCs w:val="21"/>
              </w:rPr>
              <w:t>5</w:t>
            </w:r>
          </w:p>
        </w:tc>
        <w:tc>
          <w:tcPr>
            <w:tcW w:w="1267" w:type="dxa"/>
            <w:vMerge w:val="restart"/>
            <w:vAlign w:val="center"/>
          </w:tcPr>
          <w:p>
            <w:pPr>
              <w:rPr>
                <w:rFonts w:ascii="宋体" w:hAnsi="宋体"/>
                <w:szCs w:val="21"/>
              </w:rPr>
            </w:pPr>
            <w:r>
              <w:rPr>
                <w:rFonts w:ascii="宋体" w:hAnsi="宋体"/>
                <w:szCs w:val="21"/>
              </w:rPr>
              <w:t>施工</w:t>
            </w:r>
            <w:r>
              <w:rPr>
                <w:rFonts w:hint="eastAsia" w:ascii="宋体" w:hAnsi="宋体"/>
                <w:szCs w:val="21"/>
              </w:rPr>
              <w:t>方案</w:t>
            </w:r>
            <w:r>
              <w:rPr>
                <w:rFonts w:ascii="宋体" w:hAnsi="宋体"/>
                <w:szCs w:val="21"/>
              </w:rPr>
              <w:t>50</w:t>
            </w:r>
            <w:r>
              <w:rPr>
                <w:rFonts w:hint="eastAsia" w:ascii="宋体" w:hAnsi="宋体"/>
                <w:szCs w:val="21"/>
              </w:rPr>
              <w:t>分</w:t>
            </w:r>
          </w:p>
        </w:tc>
        <w:tc>
          <w:tcPr>
            <w:tcW w:w="6520" w:type="dxa"/>
            <w:vAlign w:val="center"/>
          </w:tcPr>
          <w:p>
            <w:pPr>
              <w:spacing w:line="276" w:lineRule="auto"/>
              <w:rPr>
                <w:rFonts w:ascii="宋体" w:hAnsi="宋体"/>
                <w:szCs w:val="21"/>
              </w:rPr>
            </w:pPr>
            <w:r>
              <w:rPr>
                <w:rFonts w:hint="eastAsia" w:ascii="宋体" w:hAnsi="宋体" w:cs="仿宋"/>
                <w:szCs w:val="21"/>
              </w:rPr>
              <w:t>评委根据供应商对本项目的了解程度、重点、难点和关键点的分析情况进行综合评分，项目了解、重点、难点和关键点分析全面、准确，可操作性强的得</w:t>
            </w:r>
            <w:r>
              <w:rPr>
                <w:rFonts w:ascii="宋体" w:hAnsi="宋体" w:cs="仿宋"/>
                <w:szCs w:val="21"/>
              </w:rPr>
              <w:t>10</w:t>
            </w:r>
            <w:r>
              <w:rPr>
                <w:rFonts w:hint="eastAsia" w:ascii="宋体" w:hAnsi="宋体" w:cs="仿宋"/>
                <w:szCs w:val="21"/>
              </w:rPr>
              <w:t>分；项目了解、重点、难点和关键点分析较为全面，可操作性良好的得</w:t>
            </w:r>
            <w:r>
              <w:rPr>
                <w:rFonts w:ascii="宋体" w:hAnsi="宋体" w:cs="仿宋"/>
                <w:szCs w:val="21"/>
              </w:rPr>
              <w:t>7</w:t>
            </w:r>
            <w:r>
              <w:rPr>
                <w:rFonts w:hint="eastAsia" w:ascii="宋体" w:hAnsi="宋体" w:cs="仿宋"/>
                <w:szCs w:val="21"/>
              </w:rPr>
              <w:t>分；项目了解、重点、难点和关键点分析一般的得</w:t>
            </w:r>
            <w:r>
              <w:rPr>
                <w:rFonts w:ascii="宋体" w:hAnsi="宋体" w:cs="仿宋"/>
                <w:szCs w:val="21"/>
              </w:rPr>
              <w:t>3</w:t>
            </w:r>
            <w:r>
              <w:rPr>
                <w:rFonts w:hint="eastAsia" w:ascii="宋体" w:hAnsi="宋体" w:cs="仿宋"/>
                <w:szCs w:val="21"/>
              </w:rPr>
              <w:t>分；未提供不得分。</w:t>
            </w:r>
          </w:p>
        </w:tc>
        <w:tc>
          <w:tcPr>
            <w:tcW w:w="839" w:type="dxa"/>
            <w:vAlign w:val="center"/>
          </w:tcPr>
          <w:p>
            <w:pPr>
              <w:widowControl/>
              <w:spacing w:line="360" w:lineRule="auto"/>
              <w:jc w:val="center"/>
              <w:rPr>
                <w:rFonts w:ascii="宋体" w:hAnsi="宋体"/>
                <w:szCs w:val="21"/>
              </w:rPr>
            </w:pPr>
            <w:r>
              <w:rPr>
                <w:rFonts w:ascii="宋体" w:hAnsi="宋体" w:cs="仿宋"/>
                <w:kern w:val="0"/>
                <w:szCs w:val="21"/>
              </w:rPr>
              <w:t>10</w:t>
            </w:r>
            <w:r>
              <w:rPr>
                <w:rFonts w:hint="eastAsia" w:ascii="宋体" w:hAnsi="宋体" w:cs="仿宋"/>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55" w:type="dxa"/>
            <w:vMerge w:val="continue"/>
            <w:vAlign w:val="center"/>
          </w:tcPr>
          <w:p>
            <w:pPr>
              <w:rPr>
                <w:rFonts w:ascii="宋体" w:hAnsi="宋体"/>
                <w:szCs w:val="21"/>
              </w:rPr>
            </w:pPr>
          </w:p>
        </w:tc>
        <w:tc>
          <w:tcPr>
            <w:tcW w:w="1267" w:type="dxa"/>
            <w:vMerge w:val="continue"/>
            <w:vAlign w:val="center"/>
          </w:tcPr>
          <w:p>
            <w:pPr>
              <w:rPr>
                <w:rFonts w:ascii="宋体" w:hAnsi="宋体"/>
                <w:szCs w:val="21"/>
              </w:rPr>
            </w:pPr>
          </w:p>
        </w:tc>
        <w:tc>
          <w:tcPr>
            <w:tcW w:w="6520" w:type="dxa"/>
            <w:vAlign w:val="center"/>
          </w:tcPr>
          <w:p>
            <w:pPr>
              <w:spacing w:line="276" w:lineRule="auto"/>
              <w:rPr>
                <w:rFonts w:ascii="宋体" w:hAnsi="宋体"/>
                <w:szCs w:val="21"/>
              </w:rPr>
            </w:pPr>
            <w:r>
              <w:rPr>
                <w:rFonts w:hint="eastAsia" w:ascii="宋体" w:hAnsi="宋体" w:cs="仿宋"/>
                <w:szCs w:val="21"/>
              </w:rPr>
              <w:t>评委根据投标文件提供的施工组织方案（包括但不限于方案设计、施工部署、施工准备、施工工艺、质量保证措施、施工进度计划和工期保证措施等内容）进行综合评分，上述方案充分结合项目实际情况，施工工艺先进，科学性、合理性和可操作性强的得</w:t>
            </w:r>
            <w:r>
              <w:rPr>
                <w:rFonts w:ascii="宋体" w:hAnsi="宋体" w:cs="仿宋"/>
                <w:szCs w:val="21"/>
              </w:rPr>
              <w:t>10</w:t>
            </w:r>
            <w:r>
              <w:rPr>
                <w:rFonts w:hint="eastAsia" w:ascii="宋体" w:hAnsi="宋体" w:cs="仿宋"/>
                <w:szCs w:val="21"/>
              </w:rPr>
              <w:t>分；上述方案基本结合项目需求，具有一定的先进性、科学性、合理性和可操作性的得</w:t>
            </w:r>
            <w:r>
              <w:rPr>
                <w:rFonts w:ascii="宋体" w:hAnsi="宋体" w:cs="仿宋"/>
                <w:szCs w:val="21"/>
              </w:rPr>
              <w:t>7</w:t>
            </w:r>
            <w:r>
              <w:rPr>
                <w:rFonts w:hint="eastAsia" w:ascii="宋体" w:hAnsi="宋体" w:cs="仿宋"/>
                <w:szCs w:val="21"/>
              </w:rPr>
              <w:t>分；上述方案施工工艺一般，科学性、合理性和可操作性一般的得</w:t>
            </w:r>
            <w:r>
              <w:rPr>
                <w:rFonts w:ascii="宋体" w:hAnsi="宋体" w:cs="仿宋"/>
                <w:szCs w:val="21"/>
              </w:rPr>
              <w:t>3</w:t>
            </w:r>
            <w:r>
              <w:rPr>
                <w:rFonts w:hint="eastAsia" w:ascii="宋体" w:hAnsi="宋体" w:cs="仿宋"/>
                <w:szCs w:val="21"/>
              </w:rPr>
              <w:t>分；未提供不得分。</w:t>
            </w:r>
          </w:p>
        </w:tc>
        <w:tc>
          <w:tcPr>
            <w:tcW w:w="839" w:type="dxa"/>
            <w:vAlign w:val="center"/>
          </w:tcPr>
          <w:p>
            <w:pPr>
              <w:widowControl/>
              <w:spacing w:line="360" w:lineRule="auto"/>
              <w:jc w:val="center"/>
              <w:rPr>
                <w:rFonts w:ascii="宋体" w:hAnsi="宋体"/>
                <w:szCs w:val="21"/>
              </w:rPr>
            </w:pPr>
            <w:r>
              <w:rPr>
                <w:rFonts w:ascii="宋体" w:hAnsi="宋体" w:cs="仿宋"/>
                <w:kern w:val="0"/>
                <w:szCs w:val="21"/>
              </w:rPr>
              <w:t>10</w:t>
            </w:r>
            <w:r>
              <w:rPr>
                <w:rFonts w:hint="eastAsia" w:ascii="宋体" w:hAnsi="宋体" w:cs="仿宋"/>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55" w:type="dxa"/>
            <w:vMerge w:val="continue"/>
            <w:vAlign w:val="center"/>
          </w:tcPr>
          <w:p>
            <w:pPr>
              <w:rPr>
                <w:rFonts w:ascii="宋体" w:hAnsi="宋体"/>
                <w:szCs w:val="21"/>
              </w:rPr>
            </w:pPr>
          </w:p>
        </w:tc>
        <w:tc>
          <w:tcPr>
            <w:tcW w:w="1267" w:type="dxa"/>
            <w:vMerge w:val="continue"/>
            <w:vAlign w:val="center"/>
          </w:tcPr>
          <w:p>
            <w:pPr>
              <w:rPr>
                <w:rFonts w:ascii="宋体" w:hAnsi="宋体"/>
                <w:szCs w:val="21"/>
              </w:rPr>
            </w:pPr>
          </w:p>
        </w:tc>
        <w:tc>
          <w:tcPr>
            <w:tcW w:w="6520" w:type="dxa"/>
            <w:vAlign w:val="center"/>
          </w:tcPr>
          <w:p>
            <w:pPr>
              <w:spacing w:line="276" w:lineRule="auto"/>
              <w:rPr>
                <w:rFonts w:ascii="宋体" w:hAnsi="宋体"/>
                <w:szCs w:val="21"/>
              </w:rPr>
            </w:pPr>
            <w:r>
              <w:rPr>
                <w:rFonts w:hint="eastAsia" w:ascii="宋体" w:hAnsi="宋体" w:cs="仿宋"/>
                <w:szCs w:val="21"/>
              </w:rPr>
              <w:t>评委根据投标文件提供的劳动力、机械设备和材料投入计划及其保证措施等方面进行综合评分，上述内容全面合理、科学可行的得</w:t>
            </w:r>
            <w:r>
              <w:rPr>
                <w:rFonts w:ascii="宋体" w:hAnsi="宋体" w:cs="仿宋"/>
                <w:szCs w:val="21"/>
              </w:rPr>
              <w:t>10</w:t>
            </w:r>
            <w:r>
              <w:rPr>
                <w:rFonts w:hint="eastAsia" w:ascii="宋体" w:hAnsi="宋体" w:cs="仿宋"/>
                <w:szCs w:val="21"/>
              </w:rPr>
              <w:t>分；上述内容较合理、较科学的得</w:t>
            </w:r>
            <w:r>
              <w:rPr>
                <w:rFonts w:ascii="宋体" w:hAnsi="宋体" w:cs="仿宋"/>
                <w:szCs w:val="21"/>
              </w:rPr>
              <w:t>7</w:t>
            </w:r>
            <w:r>
              <w:rPr>
                <w:rFonts w:hint="eastAsia" w:ascii="宋体" w:hAnsi="宋体" w:cs="仿宋"/>
                <w:szCs w:val="21"/>
              </w:rPr>
              <w:t>分；上述内容具有的全面性、科学性、合理性与可行性一般的得</w:t>
            </w:r>
            <w:r>
              <w:rPr>
                <w:rFonts w:ascii="宋体" w:hAnsi="宋体" w:cs="仿宋"/>
                <w:szCs w:val="21"/>
              </w:rPr>
              <w:t>3</w:t>
            </w:r>
            <w:r>
              <w:rPr>
                <w:rFonts w:hint="eastAsia" w:ascii="宋体" w:hAnsi="宋体" w:cs="仿宋"/>
                <w:szCs w:val="21"/>
              </w:rPr>
              <w:t>分；未提供不得分。</w:t>
            </w:r>
          </w:p>
        </w:tc>
        <w:tc>
          <w:tcPr>
            <w:tcW w:w="839" w:type="dxa"/>
            <w:vAlign w:val="center"/>
          </w:tcPr>
          <w:p>
            <w:pPr>
              <w:widowControl/>
              <w:spacing w:line="360" w:lineRule="auto"/>
              <w:jc w:val="center"/>
              <w:rPr>
                <w:rFonts w:ascii="宋体" w:hAnsi="宋体"/>
                <w:szCs w:val="21"/>
              </w:rPr>
            </w:pPr>
            <w:r>
              <w:rPr>
                <w:rFonts w:ascii="宋体" w:hAnsi="宋体" w:cs="仿宋"/>
                <w:kern w:val="0"/>
                <w:szCs w:val="21"/>
              </w:rPr>
              <w:t>10</w:t>
            </w:r>
            <w:r>
              <w:rPr>
                <w:rFonts w:hint="eastAsia" w:ascii="宋体" w:hAnsi="宋体" w:cs="仿宋"/>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55" w:type="dxa"/>
            <w:vMerge w:val="continue"/>
            <w:vAlign w:val="center"/>
          </w:tcPr>
          <w:p>
            <w:pPr>
              <w:rPr>
                <w:rFonts w:ascii="宋体" w:hAnsi="宋体"/>
                <w:szCs w:val="21"/>
              </w:rPr>
            </w:pPr>
          </w:p>
        </w:tc>
        <w:tc>
          <w:tcPr>
            <w:tcW w:w="1267" w:type="dxa"/>
            <w:vMerge w:val="continue"/>
            <w:vAlign w:val="center"/>
          </w:tcPr>
          <w:p>
            <w:pPr>
              <w:rPr>
                <w:rFonts w:ascii="宋体" w:hAnsi="宋体"/>
                <w:szCs w:val="21"/>
              </w:rPr>
            </w:pPr>
          </w:p>
        </w:tc>
        <w:tc>
          <w:tcPr>
            <w:tcW w:w="6520" w:type="dxa"/>
            <w:vAlign w:val="center"/>
          </w:tcPr>
          <w:p>
            <w:pPr>
              <w:spacing w:line="276" w:lineRule="auto"/>
              <w:rPr>
                <w:rFonts w:ascii="宋体" w:hAnsi="宋体"/>
                <w:szCs w:val="21"/>
              </w:rPr>
            </w:pPr>
            <w:r>
              <w:rPr>
                <w:rFonts w:hint="eastAsia" w:ascii="宋体" w:hAnsi="宋体" w:cs="仿宋"/>
                <w:szCs w:val="21"/>
              </w:rPr>
              <w:t>评委根据投标文件提供的安全保障措施和安全文明服务保障措施的科学性、合理性及可操作性等进行综合评分，上述内容全面合理、科学可行的得</w:t>
            </w:r>
            <w:r>
              <w:rPr>
                <w:rFonts w:ascii="宋体" w:hAnsi="宋体" w:cs="仿宋"/>
                <w:szCs w:val="21"/>
              </w:rPr>
              <w:t>10</w:t>
            </w:r>
            <w:r>
              <w:rPr>
                <w:rFonts w:hint="eastAsia" w:ascii="宋体" w:hAnsi="宋体" w:cs="仿宋"/>
                <w:szCs w:val="21"/>
              </w:rPr>
              <w:t>分；上述内容较合理、较科学的得</w:t>
            </w:r>
            <w:r>
              <w:rPr>
                <w:rFonts w:ascii="宋体" w:hAnsi="宋体" w:cs="仿宋"/>
                <w:szCs w:val="21"/>
              </w:rPr>
              <w:t>7</w:t>
            </w:r>
            <w:r>
              <w:rPr>
                <w:rFonts w:hint="eastAsia" w:ascii="宋体" w:hAnsi="宋体" w:cs="仿宋"/>
                <w:szCs w:val="21"/>
              </w:rPr>
              <w:t>分；上述内容具有的全面性、科学性、合理性与可行性一般的得</w:t>
            </w:r>
            <w:r>
              <w:rPr>
                <w:rFonts w:ascii="宋体" w:hAnsi="宋体" w:cs="仿宋"/>
                <w:szCs w:val="21"/>
              </w:rPr>
              <w:t>3</w:t>
            </w:r>
            <w:r>
              <w:rPr>
                <w:rFonts w:hint="eastAsia" w:ascii="宋体" w:hAnsi="宋体" w:cs="仿宋"/>
                <w:szCs w:val="21"/>
              </w:rPr>
              <w:t>分；未提供不得分。</w:t>
            </w:r>
          </w:p>
        </w:tc>
        <w:tc>
          <w:tcPr>
            <w:tcW w:w="839" w:type="dxa"/>
            <w:vAlign w:val="center"/>
          </w:tcPr>
          <w:p>
            <w:pPr>
              <w:widowControl/>
              <w:spacing w:line="360" w:lineRule="auto"/>
              <w:jc w:val="center"/>
              <w:rPr>
                <w:rFonts w:ascii="宋体" w:hAnsi="宋体"/>
                <w:szCs w:val="21"/>
              </w:rPr>
            </w:pPr>
            <w:r>
              <w:rPr>
                <w:rFonts w:ascii="宋体" w:hAnsi="宋体" w:cs="仿宋"/>
                <w:kern w:val="0"/>
                <w:szCs w:val="21"/>
              </w:rPr>
              <w:t>10</w:t>
            </w:r>
            <w:r>
              <w:rPr>
                <w:rFonts w:hint="eastAsia" w:ascii="宋体" w:hAnsi="宋体" w:cs="仿宋"/>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55" w:type="dxa"/>
            <w:vMerge w:val="continue"/>
            <w:vAlign w:val="center"/>
          </w:tcPr>
          <w:p>
            <w:pPr>
              <w:rPr>
                <w:rFonts w:ascii="宋体" w:hAnsi="宋体"/>
                <w:szCs w:val="21"/>
              </w:rPr>
            </w:pPr>
          </w:p>
        </w:tc>
        <w:tc>
          <w:tcPr>
            <w:tcW w:w="1267" w:type="dxa"/>
            <w:vMerge w:val="continue"/>
            <w:vAlign w:val="center"/>
          </w:tcPr>
          <w:p>
            <w:pPr>
              <w:rPr>
                <w:rFonts w:ascii="宋体" w:hAnsi="宋体"/>
                <w:szCs w:val="21"/>
              </w:rPr>
            </w:pPr>
          </w:p>
        </w:tc>
        <w:tc>
          <w:tcPr>
            <w:tcW w:w="6520" w:type="dxa"/>
            <w:vAlign w:val="center"/>
          </w:tcPr>
          <w:p>
            <w:pPr>
              <w:spacing w:line="276" w:lineRule="auto"/>
              <w:rPr>
                <w:rFonts w:ascii="宋体" w:hAnsi="宋体"/>
                <w:szCs w:val="21"/>
              </w:rPr>
            </w:pPr>
            <w:r>
              <w:rPr>
                <w:rFonts w:hint="eastAsia" w:ascii="宋体" w:hAnsi="宋体" w:cs="仿宋"/>
                <w:szCs w:val="21"/>
              </w:rPr>
              <w:t>评委根据供应商对本项目的服务承诺进行综合评分，服务承诺全面、准确，可操作性强的得</w:t>
            </w:r>
            <w:r>
              <w:rPr>
                <w:rFonts w:ascii="宋体" w:hAnsi="宋体" w:cs="仿宋"/>
                <w:szCs w:val="21"/>
              </w:rPr>
              <w:t>10</w:t>
            </w:r>
            <w:r>
              <w:rPr>
                <w:rFonts w:hint="eastAsia" w:ascii="宋体" w:hAnsi="宋体" w:cs="仿宋"/>
                <w:szCs w:val="21"/>
              </w:rPr>
              <w:t>分；服务承诺较为全面，可操作性良好的得</w:t>
            </w:r>
            <w:r>
              <w:rPr>
                <w:rFonts w:ascii="宋体" w:hAnsi="宋体" w:cs="仿宋"/>
                <w:szCs w:val="21"/>
              </w:rPr>
              <w:t>7</w:t>
            </w:r>
            <w:r>
              <w:rPr>
                <w:rFonts w:hint="eastAsia" w:ascii="宋体" w:hAnsi="宋体" w:cs="仿宋"/>
                <w:szCs w:val="21"/>
              </w:rPr>
              <w:t>分；服务承诺一般的得</w:t>
            </w:r>
            <w:r>
              <w:rPr>
                <w:rFonts w:ascii="宋体" w:hAnsi="宋体" w:cs="仿宋"/>
                <w:szCs w:val="21"/>
              </w:rPr>
              <w:t>3</w:t>
            </w:r>
            <w:r>
              <w:rPr>
                <w:rFonts w:hint="eastAsia" w:ascii="宋体" w:hAnsi="宋体" w:cs="仿宋"/>
                <w:szCs w:val="21"/>
              </w:rPr>
              <w:t>分；未提供不得分。</w:t>
            </w:r>
          </w:p>
        </w:tc>
        <w:tc>
          <w:tcPr>
            <w:tcW w:w="839" w:type="dxa"/>
            <w:vAlign w:val="center"/>
          </w:tcPr>
          <w:p>
            <w:pPr>
              <w:widowControl/>
              <w:spacing w:line="360" w:lineRule="auto"/>
              <w:jc w:val="center"/>
              <w:rPr>
                <w:rFonts w:ascii="宋体" w:hAnsi="宋体"/>
                <w:szCs w:val="21"/>
              </w:rPr>
            </w:pPr>
            <w:r>
              <w:rPr>
                <w:rFonts w:ascii="宋体" w:hAnsi="宋体" w:cs="仿宋"/>
                <w:kern w:val="0"/>
                <w:szCs w:val="21"/>
              </w:rPr>
              <w:t>10</w:t>
            </w:r>
            <w:r>
              <w:rPr>
                <w:rFonts w:hint="eastAsia" w:ascii="宋体" w:hAnsi="宋体" w:cs="仿宋"/>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55" w:type="dxa"/>
            <w:vAlign w:val="center"/>
          </w:tcPr>
          <w:p>
            <w:pPr>
              <w:rPr>
                <w:rFonts w:ascii="宋体" w:hAnsi="宋体"/>
                <w:szCs w:val="21"/>
              </w:rPr>
            </w:pPr>
            <w:r>
              <w:rPr>
                <w:rFonts w:ascii="宋体" w:hAnsi="宋体"/>
                <w:szCs w:val="21"/>
              </w:rPr>
              <w:t>5</w:t>
            </w:r>
          </w:p>
        </w:tc>
        <w:tc>
          <w:tcPr>
            <w:tcW w:w="1267" w:type="dxa"/>
            <w:vAlign w:val="center"/>
          </w:tcPr>
          <w:p>
            <w:pPr>
              <w:jc w:val="center"/>
              <w:rPr>
                <w:rFonts w:ascii="宋体" w:hAnsi="宋体"/>
                <w:szCs w:val="21"/>
              </w:rPr>
            </w:pPr>
            <w:r>
              <w:rPr>
                <w:rFonts w:hint="eastAsia" w:ascii="宋体" w:hAnsi="宋体"/>
                <w:szCs w:val="21"/>
              </w:rPr>
              <w:t>合计</w:t>
            </w:r>
          </w:p>
        </w:tc>
        <w:tc>
          <w:tcPr>
            <w:tcW w:w="6520" w:type="dxa"/>
            <w:vAlign w:val="center"/>
          </w:tcPr>
          <w:p>
            <w:pPr>
              <w:rPr>
                <w:rFonts w:ascii="宋体" w:hAnsi="宋体"/>
                <w:szCs w:val="21"/>
              </w:rPr>
            </w:pPr>
          </w:p>
        </w:tc>
        <w:tc>
          <w:tcPr>
            <w:tcW w:w="839" w:type="dxa"/>
            <w:vAlign w:val="center"/>
          </w:tcPr>
          <w:p>
            <w:pPr>
              <w:rPr>
                <w:rFonts w:ascii="宋体" w:hAnsi="宋体"/>
                <w:szCs w:val="21"/>
              </w:rPr>
            </w:pPr>
            <w:r>
              <w:rPr>
                <w:rFonts w:hint="eastAsia" w:ascii="宋体" w:hAnsi="宋体"/>
                <w:szCs w:val="21"/>
              </w:rPr>
              <w:t>100分</w:t>
            </w:r>
          </w:p>
        </w:tc>
      </w:tr>
    </w:tbl>
    <w:p>
      <w:pPr>
        <w:spacing w:line="360" w:lineRule="auto"/>
        <w:ind w:firstLine="422" w:firstLineChars="200"/>
        <w:rPr>
          <w:rFonts w:ascii="宋体" w:hAnsi="宋体"/>
          <w:b/>
          <w:szCs w:val="21"/>
          <w:lang w:bidi="zh-CN"/>
        </w:rPr>
      </w:pPr>
    </w:p>
    <w:p>
      <w:pPr>
        <w:spacing w:line="360" w:lineRule="auto"/>
        <w:ind w:firstLine="422" w:firstLineChars="200"/>
        <w:rPr>
          <w:rFonts w:ascii="宋体" w:hAnsi="宋体"/>
          <w:b/>
          <w:szCs w:val="21"/>
          <w:lang w:bidi="zh-CN"/>
        </w:rPr>
      </w:pPr>
      <w:r>
        <w:rPr>
          <w:rFonts w:ascii="宋体" w:hAnsi="宋体"/>
          <w:b/>
          <w:szCs w:val="21"/>
          <w:lang w:bidi="zh-CN"/>
        </w:rPr>
        <w:t>注：</w:t>
      </w:r>
      <w:r>
        <w:rPr>
          <w:rFonts w:hint="eastAsia" w:ascii="宋体" w:hAnsi="宋体"/>
          <w:b/>
          <w:szCs w:val="21"/>
          <w:lang w:bidi="zh-CN"/>
        </w:rPr>
        <w:t>（1）</w:t>
      </w:r>
      <w:r>
        <w:rPr>
          <w:rFonts w:ascii="宋体" w:hAnsi="宋体"/>
          <w:b/>
          <w:szCs w:val="21"/>
          <w:lang w:bidi="zh-CN"/>
        </w:rPr>
        <w:t>评分标准中要求提供原件的，供应商须提供相关原件或公证件，否则与之对应项不得分。</w:t>
      </w:r>
    </w:p>
    <w:p>
      <w:pPr>
        <w:spacing w:line="360" w:lineRule="auto"/>
        <w:ind w:firstLine="738" w:firstLineChars="350"/>
        <w:rPr>
          <w:rFonts w:ascii="宋体" w:hAnsi="宋体"/>
          <w:b/>
          <w:szCs w:val="21"/>
          <w:lang w:bidi="zh-CN"/>
        </w:rPr>
      </w:pPr>
      <w:r>
        <w:rPr>
          <w:rFonts w:hint="eastAsia" w:ascii="宋体" w:hAnsi="宋体"/>
          <w:b/>
          <w:szCs w:val="21"/>
          <w:lang w:bidi="zh-CN"/>
        </w:rPr>
        <w:t>（2）响应</w:t>
      </w:r>
      <w:r>
        <w:rPr>
          <w:rFonts w:ascii="宋体" w:hAnsi="宋体"/>
          <w:b/>
          <w:szCs w:val="21"/>
          <w:lang w:bidi="zh-CN"/>
        </w:rPr>
        <w:t>文件的正本和副本中均需提供相关原件的复印件。</w:t>
      </w:r>
    </w:p>
    <w:p>
      <w:pPr>
        <w:spacing w:line="360" w:lineRule="auto"/>
        <w:ind w:firstLine="738" w:firstLineChars="350"/>
        <w:rPr>
          <w:rFonts w:ascii="宋体" w:hAnsi="宋体"/>
          <w:b/>
          <w:szCs w:val="21"/>
        </w:rPr>
      </w:pPr>
      <w:r>
        <w:rPr>
          <w:rFonts w:hint="eastAsia" w:ascii="宋体" w:hAnsi="宋体"/>
          <w:b/>
          <w:szCs w:val="21"/>
          <w:lang w:bidi="zh-CN"/>
        </w:rPr>
        <w:t>（3）</w:t>
      </w:r>
      <w:r>
        <w:rPr>
          <w:rFonts w:ascii="宋体" w:hAnsi="宋体"/>
          <w:b/>
          <w:szCs w:val="21"/>
          <w:lang w:bidi="zh-CN"/>
        </w:rPr>
        <w:t>供应商提供的相关证明材料，如弄虚作假，根据《政府采购法》予以处罚。</w:t>
      </w:r>
    </w:p>
    <w:p>
      <w:pPr>
        <w:spacing w:line="360" w:lineRule="auto"/>
        <w:ind w:firstLine="738" w:firstLineChars="350"/>
        <w:rPr>
          <w:rFonts w:ascii="宋体" w:hAnsi="宋体"/>
          <w:b/>
          <w:szCs w:val="21"/>
        </w:rPr>
      </w:pPr>
      <w:r>
        <w:rPr>
          <w:rFonts w:hint="eastAsia" w:ascii="宋体" w:hAnsi="宋体"/>
          <w:b/>
          <w:szCs w:val="21"/>
        </w:rPr>
        <w:t>（4）上述原件或公证件等属于响应文件的组成部分，须在磋商当天随响应文件一起在磋商截止时间前同时递交，若有缺失，将导致对应项不得分且不允许在磋商开始后补正。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3EDF47"/>
    <w:multiLevelType w:val="singleLevel"/>
    <w:tmpl w:val="713EDF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ZmM4ODZmY2YwZTU2MDljY2NhZGFiMjZmZDk1ZTcifQ=="/>
  </w:docVars>
  <w:rsids>
    <w:rsidRoot w:val="00D60D85"/>
    <w:rsid w:val="00004E54"/>
    <w:rsid w:val="00021980"/>
    <w:rsid w:val="0004696E"/>
    <w:rsid w:val="0006094A"/>
    <w:rsid w:val="0008271C"/>
    <w:rsid w:val="000A69FC"/>
    <w:rsid w:val="001011E0"/>
    <w:rsid w:val="0012713F"/>
    <w:rsid w:val="00144567"/>
    <w:rsid w:val="00161793"/>
    <w:rsid w:val="00161EAE"/>
    <w:rsid w:val="001F1E7A"/>
    <w:rsid w:val="002137CE"/>
    <w:rsid w:val="00243B27"/>
    <w:rsid w:val="00255BE6"/>
    <w:rsid w:val="0026442D"/>
    <w:rsid w:val="002A61EA"/>
    <w:rsid w:val="002B423D"/>
    <w:rsid w:val="002B4758"/>
    <w:rsid w:val="002D16CF"/>
    <w:rsid w:val="0031567B"/>
    <w:rsid w:val="00330BD5"/>
    <w:rsid w:val="00343F9C"/>
    <w:rsid w:val="00365719"/>
    <w:rsid w:val="00372503"/>
    <w:rsid w:val="00374BC7"/>
    <w:rsid w:val="0038623C"/>
    <w:rsid w:val="00387A2B"/>
    <w:rsid w:val="003F5A07"/>
    <w:rsid w:val="00470072"/>
    <w:rsid w:val="004762FA"/>
    <w:rsid w:val="004A5624"/>
    <w:rsid w:val="004E49D4"/>
    <w:rsid w:val="00535157"/>
    <w:rsid w:val="00560C81"/>
    <w:rsid w:val="00577D1C"/>
    <w:rsid w:val="00597562"/>
    <w:rsid w:val="005D137D"/>
    <w:rsid w:val="005D6A1C"/>
    <w:rsid w:val="005D7507"/>
    <w:rsid w:val="005F0B94"/>
    <w:rsid w:val="005F0CEA"/>
    <w:rsid w:val="0061016D"/>
    <w:rsid w:val="00634C11"/>
    <w:rsid w:val="006404BD"/>
    <w:rsid w:val="00662994"/>
    <w:rsid w:val="00664B9D"/>
    <w:rsid w:val="00686590"/>
    <w:rsid w:val="006F24A1"/>
    <w:rsid w:val="00701323"/>
    <w:rsid w:val="007303F2"/>
    <w:rsid w:val="00733F37"/>
    <w:rsid w:val="0075514B"/>
    <w:rsid w:val="00775A6F"/>
    <w:rsid w:val="0079092A"/>
    <w:rsid w:val="00795A02"/>
    <w:rsid w:val="007B74B1"/>
    <w:rsid w:val="007D4B13"/>
    <w:rsid w:val="007F7AF6"/>
    <w:rsid w:val="00853515"/>
    <w:rsid w:val="0086238D"/>
    <w:rsid w:val="00874059"/>
    <w:rsid w:val="008A2F9C"/>
    <w:rsid w:val="008A4197"/>
    <w:rsid w:val="008B5189"/>
    <w:rsid w:val="008E07D8"/>
    <w:rsid w:val="008E3CEF"/>
    <w:rsid w:val="008E456A"/>
    <w:rsid w:val="009437DA"/>
    <w:rsid w:val="00944B9D"/>
    <w:rsid w:val="009519E1"/>
    <w:rsid w:val="00980EB9"/>
    <w:rsid w:val="00990DA8"/>
    <w:rsid w:val="009A0747"/>
    <w:rsid w:val="009A2DCC"/>
    <w:rsid w:val="009B5CCD"/>
    <w:rsid w:val="009E702E"/>
    <w:rsid w:val="009F679E"/>
    <w:rsid w:val="009F7707"/>
    <w:rsid w:val="00A01126"/>
    <w:rsid w:val="00A13501"/>
    <w:rsid w:val="00A17566"/>
    <w:rsid w:val="00A1756A"/>
    <w:rsid w:val="00A3074B"/>
    <w:rsid w:val="00A47047"/>
    <w:rsid w:val="00A818F2"/>
    <w:rsid w:val="00AC65AA"/>
    <w:rsid w:val="00B10E4E"/>
    <w:rsid w:val="00B54D07"/>
    <w:rsid w:val="00B70BE0"/>
    <w:rsid w:val="00B73D1B"/>
    <w:rsid w:val="00BD23E2"/>
    <w:rsid w:val="00C45EF0"/>
    <w:rsid w:val="00C478C5"/>
    <w:rsid w:val="00C53D00"/>
    <w:rsid w:val="00C61045"/>
    <w:rsid w:val="00C96CC5"/>
    <w:rsid w:val="00D46F42"/>
    <w:rsid w:val="00D60D85"/>
    <w:rsid w:val="00D66EBF"/>
    <w:rsid w:val="00D71A3E"/>
    <w:rsid w:val="00D731F2"/>
    <w:rsid w:val="00D73BD8"/>
    <w:rsid w:val="00D94065"/>
    <w:rsid w:val="00DB3F7F"/>
    <w:rsid w:val="00DC007D"/>
    <w:rsid w:val="00DC4405"/>
    <w:rsid w:val="00DD2D9B"/>
    <w:rsid w:val="00E01C18"/>
    <w:rsid w:val="00E03926"/>
    <w:rsid w:val="00E104ED"/>
    <w:rsid w:val="00E12397"/>
    <w:rsid w:val="00E1590E"/>
    <w:rsid w:val="00E176BB"/>
    <w:rsid w:val="00E200D9"/>
    <w:rsid w:val="00E23B65"/>
    <w:rsid w:val="00E2577C"/>
    <w:rsid w:val="00E26817"/>
    <w:rsid w:val="00E56874"/>
    <w:rsid w:val="00E74E93"/>
    <w:rsid w:val="00E77F69"/>
    <w:rsid w:val="00E8686C"/>
    <w:rsid w:val="00E93D77"/>
    <w:rsid w:val="00EE1005"/>
    <w:rsid w:val="00EF29EE"/>
    <w:rsid w:val="00F274CD"/>
    <w:rsid w:val="00F27B79"/>
    <w:rsid w:val="00F707FA"/>
    <w:rsid w:val="00F71CC5"/>
    <w:rsid w:val="00F8564D"/>
    <w:rsid w:val="00FB06B2"/>
    <w:rsid w:val="00FC0A2B"/>
    <w:rsid w:val="00FE15EE"/>
    <w:rsid w:val="00FF5CBC"/>
    <w:rsid w:val="3F475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276" w:lineRule="auto"/>
    </w:pPr>
    <w:rPr>
      <w:rFonts w:ascii="宋体" w:hAnsi="宋体"/>
      <w:b/>
      <w:sz w:val="24"/>
    </w:rPr>
  </w:style>
  <w:style w:type="paragraph" w:styleId="3">
    <w:name w:val="Body Text Indent"/>
    <w:basedOn w:val="1"/>
    <w:link w:val="14"/>
    <w:unhideWhenUsed/>
    <w:qFormat/>
    <w:uiPriority w:val="99"/>
    <w:pPr>
      <w:spacing w:after="120"/>
      <w:ind w:left="420" w:leftChars="200"/>
    </w:pPr>
    <w:rPr>
      <w:rFonts w:ascii="Times New Roman" w:hAnsi="Times New Roman"/>
      <w:szCs w:val="22"/>
    </w:rPr>
  </w:style>
  <w:style w:type="paragraph" w:styleId="4">
    <w:name w:val="Balloon Text"/>
    <w:basedOn w:val="1"/>
    <w:link w:val="13"/>
    <w:qFormat/>
    <w:uiPriority w:val="0"/>
    <w:rPr>
      <w:rFonts w:ascii="Times New Roman" w:hAnsi="Times New Roman"/>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uiPriority w:val="99"/>
    <w:rPr>
      <w:sz w:val="18"/>
      <w:szCs w:val="18"/>
    </w:rPr>
  </w:style>
  <w:style w:type="paragraph" w:styleId="11">
    <w:name w:val="List Paragraph"/>
    <w:basedOn w:val="1"/>
    <w:unhideWhenUsed/>
    <w:qFormat/>
    <w:uiPriority w:val="99"/>
    <w:pPr>
      <w:ind w:firstLine="420" w:firstLineChars="200"/>
    </w:pPr>
  </w:style>
  <w:style w:type="paragraph" w:customStyle="1" w:styleId="1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13">
    <w:name w:val="批注框文本 Char"/>
    <w:basedOn w:val="8"/>
    <w:link w:val="4"/>
    <w:qFormat/>
    <w:uiPriority w:val="0"/>
    <w:rPr>
      <w:rFonts w:ascii="Times New Roman" w:hAnsi="Times New Roman" w:eastAsia="宋体" w:cs="Times New Roman"/>
      <w:sz w:val="18"/>
      <w:szCs w:val="18"/>
    </w:rPr>
  </w:style>
  <w:style w:type="character" w:customStyle="1" w:styleId="14">
    <w:name w:val="正文文本缩进 Char"/>
    <w:basedOn w:val="8"/>
    <w:link w:val="3"/>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429</Words>
  <Characters>2448</Characters>
  <Lines>20</Lines>
  <Paragraphs>5</Paragraphs>
  <TotalTime>2088</TotalTime>
  <ScaleCrop>false</ScaleCrop>
  <LinksUpToDate>false</LinksUpToDate>
  <CharactersWithSpaces>2872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2022-07-27T02:07:00Z</dcterms:created>
  <dc:creator>T</dc:creator>
  <cp:lastModifiedBy>季海燕</cp:lastModifiedBy>
  <dcterms:modified xsi:type="dcterms:W3CDTF">2025-05-12T08:50:59Z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E7B744BFA9D84A2C9E2885E3019F70D7_12</vt:lpwstr>
  </property>
</Properties>
</file>