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2E" w:rsidRDefault="001E22E4">
      <w:pPr>
        <w:jc w:val="center"/>
        <w:rPr>
          <w:rFonts w:ascii="宋体" w:hAnsi="宋体" w:cs="宋体"/>
          <w:bCs/>
          <w:sz w:val="44"/>
        </w:rPr>
      </w:pPr>
      <w:r>
        <w:rPr>
          <w:rFonts w:ascii="宋体" w:hAnsi="宋体" w:cs="宋体" w:hint="eastAsia"/>
          <w:bCs/>
          <w:sz w:val="44"/>
        </w:rPr>
        <w:t>南京邮电大学通达学院</w:t>
      </w:r>
      <w:r w:rsidR="00AD6E2E" w:rsidRPr="00AD6E2E">
        <w:rPr>
          <w:rFonts w:ascii="宋体" w:hAnsi="宋体" w:cs="宋体" w:hint="eastAsia"/>
          <w:bCs/>
          <w:sz w:val="44"/>
        </w:rPr>
        <w:t>游泳馆围挡工程</w:t>
      </w:r>
    </w:p>
    <w:p w:rsidR="00015834" w:rsidRDefault="001E22E4">
      <w:pPr>
        <w:jc w:val="center"/>
        <w:rPr>
          <w:rFonts w:ascii="宋体" w:hAnsi="宋体"/>
          <w:spacing w:val="-8"/>
          <w:sz w:val="24"/>
        </w:rPr>
      </w:pPr>
      <w:r>
        <w:rPr>
          <w:rFonts w:ascii="宋体" w:hAnsi="宋体" w:cs="宋体" w:hint="eastAsia"/>
          <w:bCs/>
          <w:sz w:val="44"/>
        </w:rPr>
        <w:t>项目磋商文件</w:t>
      </w:r>
    </w:p>
    <w:p w:rsidR="00015834" w:rsidRDefault="001E22E4">
      <w:pPr>
        <w:pStyle w:val="1"/>
        <w:numPr>
          <w:ilvl w:val="0"/>
          <w:numId w:val="1"/>
        </w:numPr>
      </w:pPr>
      <w:bookmarkStart w:id="0" w:name="_Toc194758350"/>
      <w:bookmarkStart w:id="1" w:name="_Toc194757239"/>
      <w:bookmarkStart w:id="2" w:name="_Toc403722970"/>
      <w:r>
        <w:rPr>
          <w:rFonts w:hint="eastAsia"/>
        </w:rPr>
        <w:t>项目需求</w:t>
      </w:r>
    </w:p>
    <w:p w:rsidR="00015834" w:rsidRPr="00871CD5" w:rsidRDefault="001E22E4">
      <w:pPr>
        <w:adjustRightInd w:val="0"/>
        <w:snapToGrid w:val="0"/>
        <w:spacing w:line="420" w:lineRule="exact"/>
        <w:ind w:firstLine="420"/>
      </w:pPr>
      <w:r>
        <w:rPr>
          <w:rFonts w:ascii="宋体" w:hAnsi="宋体" w:cs="宋体" w:hint="eastAsia"/>
          <w:sz w:val="24"/>
        </w:rPr>
        <w:t>采购需求：</w:t>
      </w:r>
      <w:r w:rsidR="00871CD5" w:rsidRPr="00871CD5">
        <w:rPr>
          <w:rFonts w:ascii="宋体" w:hAnsi="宋体" w:cs="宋体" w:hint="eastAsia"/>
          <w:sz w:val="24"/>
        </w:rPr>
        <w:t>游泳馆围挡工程包括角铁基础带柱，钢柱，镀锌角铁底座，围挡等，详见图纸及工程量清单。</w:t>
      </w:r>
    </w:p>
    <w:bookmarkEnd w:id="0"/>
    <w:bookmarkEnd w:id="1"/>
    <w:bookmarkEnd w:id="2"/>
    <w:p w:rsidR="00015834" w:rsidRDefault="001E22E4">
      <w:pPr>
        <w:pStyle w:val="a6"/>
        <w:spacing w:line="360" w:lineRule="auto"/>
        <w:ind w:firstLineChars="0" w:firstLine="0"/>
        <w:rPr>
          <w:rFonts w:hAnsi="宋体"/>
          <w:b/>
          <w:sz w:val="24"/>
        </w:rPr>
      </w:pPr>
      <w:r>
        <w:rPr>
          <w:rFonts w:hAnsi="宋体" w:hint="eastAsia"/>
          <w:b/>
          <w:sz w:val="24"/>
        </w:rPr>
        <w:t>二、商务要求</w:t>
      </w:r>
    </w:p>
    <w:p w:rsidR="00871CD5" w:rsidRPr="00871CD5" w:rsidRDefault="00871CD5" w:rsidP="00871CD5">
      <w:pPr>
        <w:adjustRightInd w:val="0"/>
        <w:snapToGrid w:val="0"/>
        <w:spacing w:line="440" w:lineRule="exact"/>
        <w:ind w:firstLineChars="150" w:firstLine="360"/>
        <w:rPr>
          <w:rFonts w:ascii="宋体" w:hAnsi="宋体"/>
          <w:kern w:val="0"/>
          <w:sz w:val="24"/>
        </w:rPr>
      </w:pPr>
      <w:r>
        <w:rPr>
          <w:rFonts w:ascii="宋体" w:hAnsi="宋体"/>
          <w:kern w:val="0"/>
          <w:sz w:val="24"/>
        </w:rPr>
        <w:t>1</w:t>
      </w:r>
      <w:r w:rsidRPr="00871CD5">
        <w:rPr>
          <w:rFonts w:ascii="宋体" w:hAnsi="宋体" w:hint="eastAsia"/>
          <w:kern w:val="0"/>
          <w:sz w:val="24"/>
        </w:rPr>
        <w:t>.交付时间：</w:t>
      </w:r>
      <w:r w:rsidR="00821E91">
        <w:rPr>
          <w:rFonts w:ascii="宋体" w:hAnsi="宋体" w:hint="eastAsia"/>
          <w:kern w:val="0"/>
          <w:sz w:val="24"/>
        </w:rPr>
        <w:t>合同签订后</w:t>
      </w:r>
      <w:r w:rsidRPr="00871CD5">
        <w:rPr>
          <w:rFonts w:ascii="宋体" w:hAnsi="宋体" w:hint="eastAsia"/>
          <w:kern w:val="0"/>
          <w:sz w:val="24"/>
        </w:rPr>
        <w:t>30日历天</w:t>
      </w:r>
    </w:p>
    <w:p w:rsidR="00871CD5" w:rsidRDefault="00871CD5" w:rsidP="00871CD5">
      <w:pPr>
        <w:adjustRightInd w:val="0"/>
        <w:snapToGrid w:val="0"/>
        <w:spacing w:line="440" w:lineRule="exact"/>
        <w:ind w:firstLineChars="150" w:firstLine="360"/>
        <w:rPr>
          <w:rFonts w:ascii="宋体" w:hAnsi="宋体"/>
          <w:kern w:val="0"/>
          <w:sz w:val="24"/>
        </w:rPr>
      </w:pPr>
      <w:r>
        <w:rPr>
          <w:rFonts w:ascii="宋体" w:hAnsi="宋体"/>
          <w:kern w:val="0"/>
          <w:sz w:val="24"/>
        </w:rPr>
        <w:t>2</w:t>
      </w:r>
      <w:r w:rsidRPr="00871CD5">
        <w:rPr>
          <w:rFonts w:ascii="宋体" w:hAnsi="宋体" w:hint="eastAsia"/>
          <w:kern w:val="0"/>
          <w:sz w:val="24"/>
        </w:rPr>
        <w:t>.交付地点：游泳馆</w:t>
      </w:r>
    </w:p>
    <w:p w:rsidR="00015834" w:rsidRDefault="001E22E4" w:rsidP="00871CD5">
      <w:pPr>
        <w:adjustRightInd w:val="0"/>
        <w:snapToGrid w:val="0"/>
        <w:spacing w:line="440" w:lineRule="exact"/>
        <w:ind w:firstLineChars="150" w:firstLine="360"/>
        <w:rPr>
          <w:rFonts w:ascii="宋体" w:hAnsi="宋体" w:cs="宋体"/>
          <w:sz w:val="24"/>
        </w:rPr>
      </w:pPr>
      <w:r>
        <w:rPr>
          <w:rFonts w:ascii="宋体" w:hAnsi="宋体" w:hint="eastAsia"/>
          <w:kern w:val="0"/>
          <w:sz w:val="24"/>
        </w:rPr>
        <w:t>3.</w:t>
      </w:r>
      <w:r>
        <w:rPr>
          <w:rFonts w:ascii="宋体" w:hAnsi="宋体" w:cs="宋体" w:hint="eastAsia"/>
          <w:sz w:val="24"/>
        </w:rPr>
        <w:t>质保期及售后服务要求:质保</w:t>
      </w:r>
      <w:r w:rsidR="00871CD5">
        <w:rPr>
          <w:rFonts w:ascii="宋体" w:hAnsi="宋体" w:cs="宋体"/>
          <w:sz w:val="24"/>
        </w:rPr>
        <w:t>2</w:t>
      </w:r>
      <w:r>
        <w:rPr>
          <w:rFonts w:ascii="宋体" w:hAnsi="宋体" w:cs="宋体" w:hint="eastAsia"/>
          <w:sz w:val="24"/>
        </w:rPr>
        <w:t>年</w:t>
      </w:r>
      <w:r>
        <w:rPr>
          <w:rFonts w:ascii="宋体" w:hAnsi="宋体" w:hint="eastAsia"/>
          <w:sz w:val="24"/>
        </w:rPr>
        <w:t>，</w:t>
      </w:r>
      <w:r>
        <w:rPr>
          <w:rFonts w:ascii="宋体" w:hAnsi="宋体" w:hint="eastAsia"/>
          <w:color w:val="000000"/>
          <w:sz w:val="24"/>
        </w:rPr>
        <w:t>质保期</w:t>
      </w:r>
      <w:r>
        <w:rPr>
          <w:rFonts w:ascii="宋体" w:hAnsi="宋体"/>
          <w:color w:val="000000"/>
          <w:sz w:val="24"/>
        </w:rPr>
        <w:t>内因维修产生的一切费用均由中标人承担。</w:t>
      </w:r>
    </w:p>
    <w:p w:rsidR="00015834" w:rsidRDefault="001E22E4">
      <w:pPr>
        <w:spacing w:line="360" w:lineRule="auto"/>
        <w:rPr>
          <w:rFonts w:hAnsi="宋体"/>
          <w:b/>
          <w:sz w:val="24"/>
        </w:rPr>
      </w:pPr>
      <w:r>
        <w:rPr>
          <w:rFonts w:hAnsi="宋体" w:hint="eastAsia"/>
          <w:b/>
          <w:sz w:val="24"/>
        </w:rPr>
        <w:t>三、付款方式：</w:t>
      </w:r>
    </w:p>
    <w:p w:rsidR="00871CD5" w:rsidRPr="00871CD5" w:rsidRDefault="00871CD5" w:rsidP="00871CD5">
      <w:pPr>
        <w:adjustRightInd w:val="0"/>
        <w:snapToGrid w:val="0"/>
        <w:spacing w:line="440" w:lineRule="exact"/>
        <w:ind w:firstLineChars="150" w:firstLine="360"/>
        <w:rPr>
          <w:rFonts w:ascii="宋体" w:hAnsi="宋体"/>
          <w:kern w:val="0"/>
          <w:sz w:val="24"/>
        </w:rPr>
      </w:pPr>
      <w:r w:rsidRPr="00871CD5">
        <w:rPr>
          <w:rFonts w:ascii="宋体" w:hAnsi="宋体" w:hint="eastAsia"/>
          <w:kern w:val="0"/>
          <w:sz w:val="24"/>
        </w:rPr>
        <w:t>本工程无预付款；完工验收合格付至合同价</w:t>
      </w:r>
      <w:r w:rsidR="00CE26E5">
        <w:rPr>
          <w:rFonts w:ascii="宋体" w:hAnsi="宋体" w:hint="eastAsia"/>
          <w:kern w:val="0"/>
          <w:sz w:val="24"/>
        </w:rPr>
        <w:t>70</w:t>
      </w:r>
      <w:r w:rsidRPr="00871CD5">
        <w:rPr>
          <w:rFonts w:ascii="宋体" w:hAnsi="宋体" w:hint="eastAsia"/>
          <w:kern w:val="0"/>
          <w:sz w:val="24"/>
        </w:rPr>
        <w:t>%，经审计后付至审定价扣除审计费的 100 %，须提供正规发票，审计费按校审计相关规定执行。</w:t>
      </w:r>
    </w:p>
    <w:p w:rsidR="00015834" w:rsidRDefault="001E22E4">
      <w:pPr>
        <w:pStyle w:val="a3"/>
        <w:adjustRightInd w:val="0"/>
        <w:snapToGrid w:val="0"/>
        <w:spacing w:line="440" w:lineRule="exact"/>
        <w:rPr>
          <w:rFonts w:ascii="Calibri" w:hAnsi="宋体" w:cs="Times New Roman"/>
          <w:b/>
          <w:sz w:val="24"/>
        </w:rPr>
      </w:pPr>
      <w:r>
        <w:rPr>
          <w:rFonts w:ascii="Calibri" w:hAnsi="宋体" w:cs="Times New Roman" w:hint="eastAsia"/>
          <w:b/>
          <w:sz w:val="24"/>
        </w:rPr>
        <w:t>四、评标方法与评标标准</w:t>
      </w:r>
    </w:p>
    <w:p w:rsidR="00015834" w:rsidRDefault="001E22E4" w:rsidP="00CE26E5">
      <w:pPr>
        <w:tabs>
          <w:tab w:val="left" w:pos="0"/>
          <w:tab w:val="left" w:pos="993"/>
          <w:tab w:val="left" w:pos="1134"/>
        </w:tabs>
        <w:adjustRightInd w:val="0"/>
        <w:snapToGrid w:val="0"/>
        <w:spacing w:beforeLines="50" w:line="440" w:lineRule="exact"/>
        <w:ind w:firstLineChars="200" w:firstLine="480"/>
        <w:rPr>
          <w:rFonts w:ascii="宋体" w:hAnsi="宋体"/>
          <w:bCs/>
          <w:snapToGrid w:val="0"/>
          <w:color w:val="000000"/>
          <w:sz w:val="24"/>
        </w:rPr>
      </w:pPr>
      <w:bookmarkStart w:id="3" w:name="_Toc49090575"/>
      <w:bookmarkStart w:id="4" w:name="_Toc120614281"/>
      <w:bookmarkStart w:id="5" w:name="_Toc26554093"/>
      <w:r>
        <w:rPr>
          <w:rFonts w:ascii="宋体" w:hAnsi="宋体" w:hint="eastAsia"/>
          <w:bCs/>
          <w:snapToGrid w:val="0"/>
          <w:color w:val="000000"/>
          <w:sz w:val="24"/>
        </w:rPr>
        <w:t>一、总则</w:t>
      </w:r>
    </w:p>
    <w:p w:rsidR="00015834" w:rsidRDefault="001E22E4">
      <w:pPr>
        <w:tabs>
          <w:tab w:val="left" w:pos="0"/>
          <w:tab w:val="left" w:pos="993"/>
          <w:tab w:val="left" w:pos="1134"/>
        </w:tabs>
        <w:adjustRightInd w:val="0"/>
        <w:snapToGrid w:val="0"/>
        <w:spacing w:line="440" w:lineRule="exact"/>
        <w:ind w:firstLineChars="200" w:firstLine="480"/>
        <w:rPr>
          <w:rFonts w:ascii="宋体" w:hAnsi="宋体"/>
          <w:bCs/>
          <w:snapToGrid w:val="0"/>
          <w:color w:val="000000"/>
          <w:sz w:val="24"/>
        </w:rPr>
      </w:pPr>
      <w:r>
        <w:rPr>
          <w:rFonts w:ascii="宋体" w:hAnsi="宋体" w:hint="eastAsia"/>
          <w:bCs/>
          <w:snapToGrid w:val="0"/>
          <w:color w:val="000000"/>
          <w:sz w:val="24"/>
        </w:rPr>
        <w:t>本次评标采用综合评分法，即在满足采购文件实质性要求前提下，按照采购文件中规定的评分标准和各项因素进行综合评审后，以评标总得分最高的投标人作为第一中标候选供应商。</w:t>
      </w:r>
      <w:r>
        <w:rPr>
          <w:rFonts w:ascii="宋体" w:hAnsi="宋体" w:cs="宋体"/>
          <w:color w:val="000000"/>
          <w:kern w:val="0"/>
          <w:sz w:val="24"/>
        </w:rPr>
        <w:t>得分相同的，按投标报价由低到高顺序排列。得分且投标报价相同的，按技术服务方案优劣顺序排列</w:t>
      </w:r>
      <w:r>
        <w:rPr>
          <w:rFonts w:ascii="宋体" w:hAnsi="宋体" w:hint="eastAsia"/>
          <w:bCs/>
          <w:snapToGrid w:val="0"/>
          <w:color w:val="000000"/>
          <w:sz w:val="24"/>
        </w:rPr>
        <w:t>本综合评分法采用百分制形式，具体分值详见本细则。</w:t>
      </w:r>
    </w:p>
    <w:p w:rsidR="00871CD5" w:rsidRPr="00871CD5" w:rsidRDefault="001E22E4" w:rsidP="00871CD5">
      <w:pPr>
        <w:tabs>
          <w:tab w:val="left" w:pos="0"/>
          <w:tab w:val="left" w:pos="600"/>
          <w:tab w:val="left" w:pos="993"/>
          <w:tab w:val="left" w:pos="1134"/>
        </w:tabs>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二、评分标准</w:t>
      </w:r>
      <w:bookmarkEnd w:id="3"/>
      <w:bookmarkEnd w:id="4"/>
      <w:bookmarkEnd w:id="5"/>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946"/>
        <w:gridCol w:w="6585"/>
        <w:gridCol w:w="648"/>
      </w:tblGrid>
      <w:tr w:rsidR="00871CD5" w:rsidTr="00D81F59">
        <w:trPr>
          <w:jc w:val="center"/>
        </w:trPr>
        <w:tc>
          <w:tcPr>
            <w:tcW w:w="28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szCs w:val="21"/>
              </w:rPr>
            </w:pPr>
            <w:r>
              <w:rPr>
                <w:rFonts w:ascii="宋体" w:hAnsi="宋体" w:hint="eastAsia"/>
                <w:b/>
                <w:szCs w:val="21"/>
              </w:rPr>
              <w:t>序号</w:t>
            </w:r>
          </w:p>
        </w:tc>
        <w:tc>
          <w:tcPr>
            <w:tcW w:w="549"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szCs w:val="21"/>
              </w:rPr>
            </w:pPr>
            <w:r>
              <w:rPr>
                <w:rFonts w:ascii="宋体" w:hAnsi="宋体" w:hint="eastAsia"/>
                <w:b/>
                <w:szCs w:val="21"/>
              </w:rPr>
              <w:t>评分</w:t>
            </w:r>
          </w:p>
          <w:p w:rsidR="00871CD5" w:rsidRDefault="00871CD5" w:rsidP="00D81F59">
            <w:pPr>
              <w:spacing w:line="360" w:lineRule="auto"/>
              <w:jc w:val="center"/>
              <w:rPr>
                <w:rFonts w:ascii="宋体" w:hAnsi="宋体"/>
                <w:b/>
                <w:szCs w:val="21"/>
              </w:rPr>
            </w:pPr>
            <w:r>
              <w:rPr>
                <w:rFonts w:ascii="宋体" w:hAnsi="宋体" w:hint="eastAsia"/>
                <w:b/>
                <w:szCs w:val="21"/>
              </w:rPr>
              <w:t>因素</w:t>
            </w:r>
          </w:p>
        </w:tc>
        <w:tc>
          <w:tcPr>
            <w:tcW w:w="3785"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szCs w:val="21"/>
              </w:rPr>
            </w:pPr>
            <w:bookmarkStart w:id="6" w:name="_GoBack"/>
            <w:bookmarkEnd w:id="6"/>
            <w:r>
              <w:rPr>
                <w:rFonts w:ascii="宋体" w:hAnsi="宋体" w:hint="eastAsia"/>
                <w:b/>
                <w:szCs w:val="21"/>
              </w:rPr>
              <w:t>评审标准</w:t>
            </w:r>
          </w:p>
        </w:tc>
        <w:tc>
          <w:tcPr>
            <w:tcW w:w="37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szCs w:val="21"/>
              </w:rPr>
            </w:pPr>
            <w:r>
              <w:rPr>
                <w:rFonts w:ascii="宋体" w:hAnsi="宋体" w:hint="eastAsia"/>
                <w:b/>
                <w:szCs w:val="21"/>
              </w:rPr>
              <w:t>分值</w:t>
            </w:r>
          </w:p>
        </w:tc>
      </w:tr>
      <w:tr w:rsidR="00871CD5" w:rsidTr="00D81F59">
        <w:trPr>
          <w:trHeight w:val="90"/>
          <w:jc w:val="center"/>
        </w:trPr>
        <w:tc>
          <w:tcPr>
            <w:tcW w:w="28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bCs/>
                <w:szCs w:val="21"/>
              </w:rPr>
              <w:t>1</w:t>
            </w:r>
          </w:p>
        </w:tc>
        <w:tc>
          <w:tcPr>
            <w:tcW w:w="549"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bCs/>
                <w:szCs w:val="21"/>
              </w:rPr>
              <w:t>价格</w:t>
            </w:r>
          </w:p>
          <w:p w:rsidR="00871CD5" w:rsidRDefault="00871CD5" w:rsidP="00D81F59">
            <w:pPr>
              <w:spacing w:line="360" w:lineRule="auto"/>
              <w:jc w:val="center"/>
              <w:rPr>
                <w:rFonts w:ascii="宋体" w:hAnsi="宋体"/>
                <w:b/>
                <w:bCs/>
                <w:szCs w:val="21"/>
              </w:rPr>
            </w:pPr>
            <w:r>
              <w:rPr>
                <w:rFonts w:ascii="宋体" w:hAnsi="宋体" w:hint="eastAsia"/>
                <w:b/>
                <w:bCs/>
                <w:szCs w:val="21"/>
              </w:rPr>
              <w:t>（30分）</w:t>
            </w:r>
          </w:p>
        </w:tc>
        <w:tc>
          <w:tcPr>
            <w:tcW w:w="3785"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ind w:firstLineChars="200" w:firstLine="420"/>
              <w:rPr>
                <w:rFonts w:ascii="宋体" w:hAnsi="宋体"/>
                <w:szCs w:val="21"/>
              </w:rPr>
            </w:pPr>
            <w:r>
              <w:rPr>
                <w:rFonts w:ascii="宋体" w:hAnsi="宋体" w:hint="eastAsia"/>
                <w:szCs w:val="21"/>
              </w:rPr>
              <w:t>价格分采用低价优先法计算，即满足招标文件要求且投标价格最低的投标报价为评标基准价，其价格分为满分。</w:t>
            </w:r>
          </w:p>
          <w:p w:rsidR="00871CD5" w:rsidRDefault="00871CD5" w:rsidP="00D81F59">
            <w:pPr>
              <w:spacing w:line="360" w:lineRule="auto"/>
              <w:ind w:firstLineChars="200" w:firstLine="420"/>
              <w:rPr>
                <w:rFonts w:ascii="宋体" w:hAnsi="宋体"/>
                <w:szCs w:val="21"/>
              </w:rPr>
            </w:pPr>
            <w:r>
              <w:rPr>
                <w:rFonts w:ascii="宋体" w:hAnsi="宋体" w:hint="eastAsia"/>
                <w:szCs w:val="21"/>
              </w:rPr>
              <w:t>其他供应商的价格分统一按照下列公式计算（小数点保留两位）：</w:t>
            </w:r>
          </w:p>
          <w:p w:rsidR="00871CD5" w:rsidRDefault="00871CD5" w:rsidP="00D81F59">
            <w:pPr>
              <w:spacing w:line="360" w:lineRule="auto"/>
              <w:ind w:firstLineChars="200" w:firstLine="420"/>
              <w:rPr>
                <w:rFonts w:ascii="宋体" w:hAnsi="宋体"/>
                <w:szCs w:val="21"/>
              </w:rPr>
            </w:pPr>
            <w:r>
              <w:rPr>
                <w:rFonts w:ascii="宋体" w:hAnsi="宋体" w:hint="eastAsia"/>
                <w:szCs w:val="21"/>
              </w:rPr>
              <w:t>投标报价得分=(评标基准价／投标报价)×30。</w:t>
            </w:r>
          </w:p>
        </w:tc>
        <w:tc>
          <w:tcPr>
            <w:tcW w:w="37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bCs/>
                <w:szCs w:val="21"/>
              </w:rPr>
              <w:t>30</w:t>
            </w:r>
          </w:p>
        </w:tc>
      </w:tr>
      <w:tr w:rsidR="00871CD5" w:rsidTr="00D81F59">
        <w:trPr>
          <w:trHeight w:val="90"/>
          <w:jc w:val="center"/>
        </w:trPr>
        <w:tc>
          <w:tcPr>
            <w:tcW w:w="28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szCs w:val="21"/>
              </w:rPr>
              <w:t>2.1</w:t>
            </w:r>
          </w:p>
        </w:tc>
        <w:tc>
          <w:tcPr>
            <w:tcW w:w="549" w:type="pct"/>
            <w:vMerge w:val="restart"/>
            <w:tcBorders>
              <w:top w:val="single" w:sz="4" w:space="0" w:color="auto"/>
              <w:left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bCs/>
                <w:szCs w:val="21"/>
              </w:rPr>
              <w:t>技术</w:t>
            </w:r>
          </w:p>
          <w:p w:rsidR="00871CD5" w:rsidRDefault="00871CD5" w:rsidP="00D81F59">
            <w:pPr>
              <w:spacing w:line="360" w:lineRule="auto"/>
              <w:jc w:val="center"/>
              <w:rPr>
                <w:rFonts w:ascii="宋体" w:hAnsi="宋体"/>
                <w:b/>
                <w:bCs/>
                <w:szCs w:val="21"/>
              </w:rPr>
            </w:pPr>
            <w:r>
              <w:rPr>
                <w:rFonts w:ascii="宋体" w:hAnsi="宋体" w:hint="eastAsia"/>
                <w:b/>
                <w:bCs/>
                <w:szCs w:val="21"/>
              </w:rPr>
              <w:t>服务</w:t>
            </w:r>
          </w:p>
          <w:p w:rsidR="00871CD5" w:rsidRDefault="00871CD5" w:rsidP="00D81F59">
            <w:pPr>
              <w:spacing w:line="360" w:lineRule="auto"/>
              <w:jc w:val="center"/>
              <w:rPr>
                <w:rFonts w:ascii="宋体" w:hAnsi="宋体"/>
                <w:b/>
                <w:bCs/>
                <w:szCs w:val="21"/>
              </w:rPr>
            </w:pPr>
            <w:r>
              <w:rPr>
                <w:rFonts w:ascii="宋体" w:hAnsi="宋体" w:hint="eastAsia"/>
                <w:b/>
                <w:bCs/>
                <w:szCs w:val="21"/>
              </w:rPr>
              <w:t>（32分）</w:t>
            </w:r>
          </w:p>
        </w:tc>
        <w:tc>
          <w:tcPr>
            <w:tcW w:w="3785"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ind w:firstLineChars="200" w:firstLine="420"/>
              <w:rPr>
                <w:rFonts w:ascii="宋体" w:hAnsi="宋体"/>
                <w:szCs w:val="21"/>
              </w:rPr>
            </w:pPr>
            <w:r>
              <w:rPr>
                <w:rFonts w:ascii="宋体" w:hAnsi="宋体" w:hint="eastAsia"/>
                <w:szCs w:val="21"/>
              </w:rPr>
              <w:t>评委根据供应商对本项目的了解程度、重点、难点和关键点的分析情况进行综合评分，项目了解、重点、难点和关键点分析全面、准确，可操作性强的得12分；项目了解、重点、难点和关键点分析较为全面，可操作性良好的得6分；项目了解、重点、难点和关键点分析</w:t>
            </w:r>
            <w:r>
              <w:rPr>
                <w:rFonts w:ascii="宋体" w:hAnsi="宋体" w:hint="eastAsia"/>
                <w:szCs w:val="21"/>
              </w:rPr>
              <w:lastRenderedPageBreak/>
              <w:t>一般的3分；项目了解、重点、难点和关键点分析有所欠缺的得1分；未提供不得分。</w:t>
            </w:r>
          </w:p>
        </w:tc>
        <w:tc>
          <w:tcPr>
            <w:tcW w:w="37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bCs/>
                <w:szCs w:val="21"/>
              </w:rPr>
              <w:lastRenderedPageBreak/>
              <w:t>12</w:t>
            </w:r>
          </w:p>
        </w:tc>
      </w:tr>
      <w:tr w:rsidR="00871CD5" w:rsidTr="00D81F59">
        <w:trPr>
          <w:trHeight w:val="90"/>
          <w:jc w:val="center"/>
        </w:trPr>
        <w:tc>
          <w:tcPr>
            <w:tcW w:w="28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szCs w:val="21"/>
              </w:rPr>
              <w:lastRenderedPageBreak/>
              <w:t>2.2</w:t>
            </w:r>
          </w:p>
        </w:tc>
        <w:tc>
          <w:tcPr>
            <w:tcW w:w="549" w:type="pct"/>
            <w:vMerge/>
            <w:tcBorders>
              <w:left w:val="single" w:sz="4" w:space="0" w:color="auto"/>
              <w:right w:val="single" w:sz="4" w:space="0" w:color="auto"/>
            </w:tcBorders>
            <w:vAlign w:val="center"/>
          </w:tcPr>
          <w:p w:rsidR="00871CD5" w:rsidRDefault="00871CD5" w:rsidP="00D81F59">
            <w:pPr>
              <w:pStyle w:val="a9"/>
              <w:ind w:firstLine="0"/>
              <w:rPr>
                <w:rFonts w:ascii="宋体" w:hAnsi="宋体"/>
                <w:b/>
                <w:bCs/>
              </w:rPr>
            </w:pPr>
          </w:p>
        </w:tc>
        <w:tc>
          <w:tcPr>
            <w:tcW w:w="3785"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ind w:firstLineChars="200" w:firstLine="420"/>
              <w:rPr>
                <w:rFonts w:ascii="宋体" w:hAnsi="宋体"/>
                <w:szCs w:val="21"/>
              </w:rPr>
            </w:pPr>
            <w:r>
              <w:rPr>
                <w:rFonts w:ascii="宋体" w:hAnsi="宋体" w:hint="eastAsia"/>
                <w:szCs w:val="21"/>
              </w:rPr>
              <w:t>评委根据投标文件提供的施工组织方案（包括但不限于方案设计、施工部署、施工准备、施工工艺、质量保证措施、施工进度计划和工期保证措施等内容）进行综合评分，上述方案充分结合项目实际情况，施工工艺先进，科学性、合理性和可操作性强的得10分；上述方案基本结合项目需求，具有一定的先进性、科学性、合理性和可操作性的得5分；上述方案施工工艺一般，科学性、合理性和可操作性一般的得3分；科学性、合理性和可操作性有所欠缺的得1分；未提供不得分。</w:t>
            </w:r>
          </w:p>
        </w:tc>
        <w:tc>
          <w:tcPr>
            <w:tcW w:w="37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bCs/>
                <w:szCs w:val="21"/>
              </w:rPr>
              <w:t>10</w:t>
            </w:r>
          </w:p>
        </w:tc>
      </w:tr>
      <w:tr w:rsidR="00871CD5" w:rsidTr="00D81F59">
        <w:trPr>
          <w:trHeight w:val="90"/>
          <w:jc w:val="center"/>
        </w:trPr>
        <w:tc>
          <w:tcPr>
            <w:tcW w:w="28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szCs w:val="21"/>
              </w:rPr>
              <w:t>2.3</w:t>
            </w:r>
          </w:p>
        </w:tc>
        <w:tc>
          <w:tcPr>
            <w:tcW w:w="549" w:type="pct"/>
            <w:vMerge/>
            <w:tcBorders>
              <w:left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p>
        </w:tc>
        <w:tc>
          <w:tcPr>
            <w:tcW w:w="3785"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ind w:firstLineChars="200" w:firstLine="420"/>
              <w:rPr>
                <w:rFonts w:ascii="宋体" w:hAnsi="宋体"/>
                <w:szCs w:val="21"/>
              </w:rPr>
            </w:pPr>
            <w:r>
              <w:rPr>
                <w:rFonts w:ascii="宋体" w:hAnsi="宋体" w:hint="eastAsia"/>
                <w:szCs w:val="21"/>
              </w:rPr>
              <w:t>评委根据投标文件提供的劳动力、机械设备和材料投入计划及其保证措施等方面进行综合评分，上述内容全面合理、科学可行的得10分；上述内容较合理、较科学的得5分；上述内容具有的全面性、科学性、合理性与可行性一般的得3分；上述内容具有的全面性、科学性、合理性与可行性有所欠缺的得1分；未提供不得分。</w:t>
            </w:r>
          </w:p>
        </w:tc>
        <w:tc>
          <w:tcPr>
            <w:tcW w:w="37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bCs/>
                <w:szCs w:val="21"/>
              </w:rPr>
              <w:t>10</w:t>
            </w:r>
          </w:p>
        </w:tc>
      </w:tr>
      <w:tr w:rsidR="00871CD5" w:rsidTr="00D81F59">
        <w:trPr>
          <w:trHeight w:val="90"/>
          <w:jc w:val="center"/>
        </w:trPr>
        <w:tc>
          <w:tcPr>
            <w:tcW w:w="28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szCs w:val="21"/>
              </w:rPr>
              <w:t>2.4</w:t>
            </w:r>
          </w:p>
        </w:tc>
        <w:tc>
          <w:tcPr>
            <w:tcW w:w="549" w:type="pct"/>
            <w:vMerge/>
            <w:tcBorders>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p>
        </w:tc>
        <w:tc>
          <w:tcPr>
            <w:tcW w:w="3785"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ind w:firstLineChars="200" w:firstLine="420"/>
              <w:jc w:val="left"/>
              <w:rPr>
                <w:rFonts w:ascii="宋体" w:hAnsi="宋体"/>
                <w:szCs w:val="21"/>
              </w:rPr>
            </w:pPr>
            <w:r>
              <w:rPr>
                <w:rFonts w:ascii="宋体" w:hAnsi="宋体" w:hint="eastAsia"/>
                <w:szCs w:val="21"/>
              </w:rPr>
              <w:t>评委根据投标文件提供的安全保障措施和安全文明服务保障措施的科学性、合理性及可操作性等进行综合评分，上述内容全面合理、科学可行的得10分；上述内容较合理、较科学的得5分；上述内容具有的全面性、科学性、合理性与可行性一般的得3分；上述内容具有的全面性、科学性、合理性与可行性有所欠缺的得1分；未提供不得分。</w:t>
            </w:r>
          </w:p>
        </w:tc>
        <w:tc>
          <w:tcPr>
            <w:tcW w:w="37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bCs/>
                <w:szCs w:val="21"/>
              </w:rPr>
              <w:t>10</w:t>
            </w:r>
          </w:p>
        </w:tc>
      </w:tr>
      <w:tr w:rsidR="00871CD5" w:rsidTr="00D81F59">
        <w:trPr>
          <w:trHeight w:val="90"/>
          <w:jc w:val="center"/>
        </w:trPr>
        <w:tc>
          <w:tcPr>
            <w:tcW w:w="28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widowControl/>
              <w:spacing w:line="360" w:lineRule="auto"/>
              <w:ind w:right="-24"/>
              <w:jc w:val="center"/>
              <w:rPr>
                <w:rFonts w:ascii="宋体" w:hAnsi="宋体"/>
                <w:b/>
                <w:bCs/>
                <w:szCs w:val="21"/>
              </w:rPr>
            </w:pPr>
            <w:r>
              <w:rPr>
                <w:rFonts w:ascii="宋体" w:hAnsi="宋体" w:hint="eastAsia"/>
                <w:b/>
                <w:szCs w:val="21"/>
              </w:rPr>
              <w:t>3</w:t>
            </w:r>
          </w:p>
        </w:tc>
        <w:tc>
          <w:tcPr>
            <w:tcW w:w="549" w:type="pct"/>
            <w:tcBorders>
              <w:top w:val="single" w:sz="4" w:space="0" w:color="auto"/>
              <w:left w:val="single" w:sz="4" w:space="0" w:color="auto"/>
              <w:right w:val="single" w:sz="4" w:space="0" w:color="auto"/>
            </w:tcBorders>
            <w:vAlign w:val="center"/>
          </w:tcPr>
          <w:p w:rsidR="00871CD5" w:rsidRDefault="00871CD5" w:rsidP="00D81F59">
            <w:pPr>
              <w:spacing w:line="360" w:lineRule="auto"/>
              <w:jc w:val="center"/>
              <w:rPr>
                <w:rFonts w:ascii="宋体" w:hAnsi="宋体"/>
                <w:b/>
                <w:szCs w:val="21"/>
              </w:rPr>
            </w:pPr>
            <w:r>
              <w:rPr>
                <w:rFonts w:ascii="宋体" w:hAnsi="宋体" w:hint="eastAsia"/>
                <w:b/>
                <w:szCs w:val="21"/>
              </w:rPr>
              <w:t>团队</w:t>
            </w:r>
          </w:p>
          <w:p w:rsidR="00871CD5" w:rsidRDefault="00871CD5" w:rsidP="00D81F59">
            <w:pPr>
              <w:spacing w:line="360" w:lineRule="auto"/>
              <w:jc w:val="center"/>
              <w:rPr>
                <w:rFonts w:ascii="宋体" w:hAnsi="宋体"/>
                <w:b/>
                <w:szCs w:val="21"/>
              </w:rPr>
            </w:pPr>
            <w:r>
              <w:rPr>
                <w:rFonts w:ascii="宋体" w:hAnsi="宋体" w:hint="eastAsia"/>
                <w:b/>
                <w:szCs w:val="21"/>
              </w:rPr>
              <w:t>情况</w:t>
            </w:r>
          </w:p>
          <w:p w:rsidR="00871CD5" w:rsidRDefault="00871CD5" w:rsidP="00D81F59">
            <w:pPr>
              <w:spacing w:line="360" w:lineRule="auto"/>
              <w:jc w:val="center"/>
              <w:rPr>
                <w:rFonts w:ascii="宋体" w:hAnsi="宋体"/>
                <w:b/>
                <w:bCs/>
                <w:szCs w:val="21"/>
              </w:rPr>
            </w:pPr>
            <w:r>
              <w:rPr>
                <w:rFonts w:ascii="宋体" w:hAnsi="宋体" w:hint="eastAsia"/>
                <w:b/>
                <w:szCs w:val="21"/>
              </w:rPr>
              <w:t>（8分）</w:t>
            </w:r>
          </w:p>
        </w:tc>
        <w:tc>
          <w:tcPr>
            <w:tcW w:w="3785"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adjustRightInd w:val="0"/>
              <w:snapToGrid w:val="0"/>
              <w:spacing w:line="360" w:lineRule="auto"/>
              <w:ind w:firstLineChars="200" w:firstLine="420"/>
              <w:rPr>
                <w:rFonts w:ascii="宋体" w:hAnsi="宋体"/>
                <w:szCs w:val="21"/>
              </w:rPr>
            </w:pPr>
            <w:r>
              <w:rPr>
                <w:rFonts w:ascii="宋体" w:hAnsi="宋体" w:hint="eastAsia"/>
                <w:szCs w:val="21"/>
              </w:rPr>
              <w:t>评委根据供应商针对本项目投入的团队成员构成情况进行综合评分，人员配置合理充沛、团队架构清晰、分工明确的得8分；人员配置较为合理充沛，团队架构较为清晰，分工较为明确的得5分；人员配置基本合理充沛，团队架构基本清晰，分工基本明确的得3分；人员配置有所欠缺得1分；未提供不得分。</w:t>
            </w:r>
          </w:p>
        </w:tc>
        <w:tc>
          <w:tcPr>
            <w:tcW w:w="37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autoSpaceDE w:val="0"/>
              <w:autoSpaceDN w:val="0"/>
              <w:adjustRightInd w:val="0"/>
              <w:spacing w:line="360" w:lineRule="auto"/>
              <w:jc w:val="center"/>
              <w:rPr>
                <w:rFonts w:ascii="宋体" w:hAnsi="宋体"/>
                <w:b/>
                <w:bCs/>
                <w:szCs w:val="21"/>
              </w:rPr>
            </w:pPr>
            <w:r>
              <w:rPr>
                <w:rFonts w:ascii="宋体" w:hAnsi="宋体" w:hint="eastAsia"/>
                <w:b/>
                <w:bCs/>
                <w:szCs w:val="21"/>
              </w:rPr>
              <w:t>8</w:t>
            </w:r>
          </w:p>
        </w:tc>
      </w:tr>
      <w:tr w:rsidR="00871CD5" w:rsidTr="00D81F59">
        <w:trPr>
          <w:trHeight w:val="90"/>
          <w:jc w:val="center"/>
        </w:trPr>
        <w:tc>
          <w:tcPr>
            <w:tcW w:w="288" w:type="pct"/>
            <w:tcBorders>
              <w:top w:val="single" w:sz="4" w:space="0" w:color="auto"/>
              <w:left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bCs/>
                <w:szCs w:val="21"/>
              </w:rPr>
              <w:t>4</w:t>
            </w:r>
          </w:p>
        </w:tc>
        <w:tc>
          <w:tcPr>
            <w:tcW w:w="549" w:type="pct"/>
            <w:tcBorders>
              <w:left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bCs/>
                <w:szCs w:val="21"/>
              </w:rPr>
              <w:t>售后服务</w:t>
            </w:r>
          </w:p>
          <w:p w:rsidR="00871CD5" w:rsidRDefault="00871CD5" w:rsidP="00D81F59">
            <w:pPr>
              <w:pStyle w:val="a9"/>
              <w:ind w:firstLine="0"/>
              <w:rPr>
                <w:rFonts w:ascii="宋体" w:hAnsi="宋体"/>
                <w:b/>
                <w:bCs/>
              </w:rPr>
            </w:pPr>
            <w:r>
              <w:rPr>
                <w:rFonts w:ascii="宋体" w:hAnsi="宋体" w:hint="eastAsia"/>
                <w:b/>
                <w:bCs/>
              </w:rPr>
              <w:t>（8分）</w:t>
            </w:r>
          </w:p>
        </w:tc>
        <w:tc>
          <w:tcPr>
            <w:tcW w:w="3785" w:type="pct"/>
            <w:tcBorders>
              <w:top w:val="single" w:sz="4" w:space="0" w:color="auto"/>
              <w:left w:val="single" w:sz="4" w:space="0" w:color="auto"/>
              <w:right w:val="single" w:sz="4" w:space="0" w:color="auto"/>
            </w:tcBorders>
            <w:vAlign w:val="center"/>
          </w:tcPr>
          <w:p w:rsidR="00871CD5" w:rsidRDefault="00871CD5" w:rsidP="00D81F59">
            <w:pPr>
              <w:spacing w:line="360" w:lineRule="auto"/>
              <w:ind w:firstLineChars="200" w:firstLine="420"/>
              <w:rPr>
                <w:rFonts w:ascii="宋体" w:hAnsi="宋体"/>
                <w:szCs w:val="21"/>
              </w:rPr>
            </w:pPr>
            <w:r>
              <w:rPr>
                <w:rFonts w:ascii="宋体" w:hAnsi="宋体" w:hint="eastAsia"/>
                <w:szCs w:val="21"/>
              </w:rPr>
              <w:t>评委根据投标文件提供的售后服务方案（包括但不限于售后服务体系、服务内容、故障解决方案、专业技术人员保障及响应时间等内容）进行综合评分，上述方案全面具体、科学合理、操作可行的得8分；上述方案较具体、较合理、具有一定可操作性的得5分；上述方案全面性、科学性、操作性一般的得3分；未提供不得分。</w:t>
            </w:r>
          </w:p>
        </w:tc>
        <w:tc>
          <w:tcPr>
            <w:tcW w:w="37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spacing w:line="360" w:lineRule="auto"/>
              <w:jc w:val="center"/>
              <w:rPr>
                <w:rFonts w:ascii="宋体" w:hAnsi="宋体"/>
                <w:b/>
                <w:bCs/>
                <w:szCs w:val="21"/>
              </w:rPr>
            </w:pPr>
            <w:r>
              <w:rPr>
                <w:rFonts w:ascii="宋体" w:hAnsi="宋体" w:hint="eastAsia"/>
                <w:b/>
                <w:bCs/>
                <w:szCs w:val="21"/>
              </w:rPr>
              <w:t>8</w:t>
            </w:r>
          </w:p>
        </w:tc>
      </w:tr>
      <w:tr w:rsidR="00871CD5" w:rsidTr="00D81F59">
        <w:trPr>
          <w:jc w:val="center"/>
        </w:trPr>
        <w:tc>
          <w:tcPr>
            <w:tcW w:w="288" w:type="pct"/>
            <w:tcBorders>
              <w:top w:val="single" w:sz="4" w:space="0" w:color="auto"/>
              <w:left w:val="single" w:sz="4" w:space="0" w:color="auto"/>
              <w:right w:val="single" w:sz="4" w:space="0" w:color="auto"/>
            </w:tcBorders>
            <w:vAlign w:val="center"/>
          </w:tcPr>
          <w:p w:rsidR="00871CD5" w:rsidRDefault="00871CD5" w:rsidP="00D81F59">
            <w:pPr>
              <w:widowControl/>
              <w:spacing w:line="360" w:lineRule="auto"/>
              <w:ind w:right="-24"/>
              <w:jc w:val="center"/>
              <w:rPr>
                <w:rFonts w:ascii="宋体" w:hAnsi="宋体"/>
                <w:b/>
                <w:bCs/>
                <w:szCs w:val="21"/>
              </w:rPr>
            </w:pPr>
            <w:r>
              <w:rPr>
                <w:rFonts w:ascii="宋体" w:hAnsi="宋体" w:hint="eastAsia"/>
                <w:b/>
                <w:szCs w:val="21"/>
              </w:rPr>
              <w:lastRenderedPageBreak/>
              <w:t>5</w:t>
            </w:r>
          </w:p>
        </w:tc>
        <w:tc>
          <w:tcPr>
            <w:tcW w:w="549" w:type="pct"/>
            <w:tcBorders>
              <w:left w:val="single" w:sz="4" w:space="0" w:color="auto"/>
              <w:right w:val="single" w:sz="4" w:space="0" w:color="auto"/>
            </w:tcBorders>
            <w:vAlign w:val="center"/>
          </w:tcPr>
          <w:p w:rsidR="00871CD5" w:rsidRDefault="00871CD5" w:rsidP="00D81F59">
            <w:pPr>
              <w:pStyle w:val="a9"/>
              <w:ind w:firstLine="0"/>
              <w:rPr>
                <w:rFonts w:ascii="宋体" w:hAnsi="宋体"/>
                <w:b/>
                <w:bCs/>
              </w:rPr>
            </w:pPr>
            <w:r>
              <w:rPr>
                <w:rFonts w:ascii="宋体" w:hAnsi="宋体" w:hint="eastAsia"/>
                <w:b/>
                <w:bCs/>
              </w:rPr>
              <w:t>企业资信</w:t>
            </w:r>
          </w:p>
        </w:tc>
        <w:tc>
          <w:tcPr>
            <w:tcW w:w="3785" w:type="pct"/>
            <w:tcBorders>
              <w:top w:val="single" w:sz="4" w:space="0" w:color="auto"/>
              <w:left w:val="single" w:sz="4" w:space="0" w:color="auto"/>
              <w:right w:val="single" w:sz="4" w:space="0" w:color="auto"/>
            </w:tcBorders>
            <w:vAlign w:val="center"/>
          </w:tcPr>
          <w:p w:rsidR="00871CD5" w:rsidRDefault="00871CD5" w:rsidP="00D81F59">
            <w:pPr>
              <w:autoSpaceDE w:val="0"/>
              <w:autoSpaceDN w:val="0"/>
              <w:adjustRightInd w:val="0"/>
              <w:spacing w:line="360" w:lineRule="auto"/>
              <w:rPr>
                <w:rFonts w:ascii="宋体" w:hAnsi="宋体"/>
                <w:szCs w:val="21"/>
              </w:rPr>
            </w:pPr>
            <w:r>
              <w:rPr>
                <w:rFonts w:ascii="宋体" w:hAnsi="宋体" w:hint="eastAsia"/>
                <w:szCs w:val="21"/>
              </w:rPr>
              <w:t>企业具备完善的体系认证及AAA资信等级。公司具备质量管理体系证书的得2分，未提供不得分；具备职业健康安全管理体系证书的得2分，未提供不得分；具备环境管理体系证书的得2分，未提供不得分；具备信用等级AAA证书的得3分，未提供不得分；具备重合同守信用证书的得3分，未提供不得分。</w:t>
            </w:r>
          </w:p>
        </w:tc>
        <w:tc>
          <w:tcPr>
            <w:tcW w:w="37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autoSpaceDE w:val="0"/>
              <w:autoSpaceDN w:val="0"/>
              <w:adjustRightInd w:val="0"/>
              <w:spacing w:line="360" w:lineRule="auto"/>
              <w:jc w:val="center"/>
              <w:rPr>
                <w:rFonts w:ascii="宋体" w:hAnsi="宋体"/>
                <w:b/>
                <w:bCs/>
                <w:szCs w:val="21"/>
              </w:rPr>
            </w:pPr>
            <w:r>
              <w:rPr>
                <w:rFonts w:ascii="宋体" w:hAnsi="宋体" w:hint="eastAsia"/>
                <w:b/>
                <w:bCs/>
                <w:szCs w:val="21"/>
              </w:rPr>
              <w:t>12</w:t>
            </w:r>
          </w:p>
        </w:tc>
      </w:tr>
      <w:tr w:rsidR="00871CD5" w:rsidTr="00D81F59">
        <w:trPr>
          <w:jc w:val="center"/>
        </w:trPr>
        <w:tc>
          <w:tcPr>
            <w:tcW w:w="4622" w:type="pct"/>
            <w:gridSpan w:val="3"/>
            <w:tcBorders>
              <w:top w:val="single" w:sz="4" w:space="0" w:color="auto"/>
              <w:left w:val="single" w:sz="4" w:space="0" w:color="auto"/>
              <w:bottom w:val="single" w:sz="4" w:space="0" w:color="auto"/>
              <w:right w:val="single" w:sz="4" w:space="0" w:color="auto"/>
            </w:tcBorders>
            <w:vAlign w:val="center"/>
          </w:tcPr>
          <w:p w:rsidR="00871CD5" w:rsidRDefault="00871CD5" w:rsidP="00D81F59">
            <w:pPr>
              <w:widowControl/>
              <w:spacing w:line="360" w:lineRule="auto"/>
              <w:jc w:val="center"/>
              <w:rPr>
                <w:rFonts w:ascii="宋体" w:hAnsi="宋体"/>
                <w:szCs w:val="21"/>
              </w:rPr>
            </w:pPr>
            <w:r>
              <w:rPr>
                <w:rFonts w:ascii="宋体" w:hAnsi="宋体" w:hint="eastAsia"/>
                <w:b/>
                <w:bCs/>
                <w:szCs w:val="21"/>
              </w:rPr>
              <w:t>合计总分</w:t>
            </w:r>
          </w:p>
        </w:tc>
        <w:tc>
          <w:tcPr>
            <w:tcW w:w="378" w:type="pct"/>
            <w:tcBorders>
              <w:top w:val="single" w:sz="4" w:space="0" w:color="auto"/>
              <w:left w:val="single" w:sz="4" w:space="0" w:color="auto"/>
              <w:bottom w:val="single" w:sz="4" w:space="0" w:color="auto"/>
              <w:right w:val="single" w:sz="4" w:space="0" w:color="auto"/>
            </w:tcBorders>
            <w:vAlign w:val="center"/>
          </w:tcPr>
          <w:p w:rsidR="00871CD5" w:rsidRDefault="00871CD5" w:rsidP="00D81F59">
            <w:pPr>
              <w:widowControl/>
              <w:spacing w:line="360" w:lineRule="auto"/>
              <w:jc w:val="center"/>
              <w:rPr>
                <w:rFonts w:ascii="宋体" w:hAnsi="宋体"/>
                <w:b/>
                <w:bCs/>
                <w:szCs w:val="21"/>
              </w:rPr>
            </w:pPr>
            <w:r>
              <w:rPr>
                <w:rFonts w:ascii="宋体" w:hAnsi="宋体" w:hint="eastAsia"/>
                <w:b/>
                <w:bCs/>
                <w:szCs w:val="21"/>
              </w:rPr>
              <w:t>100</w:t>
            </w:r>
          </w:p>
        </w:tc>
      </w:tr>
    </w:tbl>
    <w:p w:rsidR="00871CD5" w:rsidRDefault="00871CD5" w:rsidP="00871CD5">
      <w:pPr>
        <w:tabs>
          <w:tab w:val="left" w:pos="0"/>
          <w:tab w:val="left" w:pos="600"/>
          <w:tab w:val="left" w:pos="1134"/>
        </w:tabs>
        <w:adjustRightInd w:val="0"/>
        <w:snapToGrid w:val="0"/>
        <w:spacing w:line="440" w:lineRule="exact"/>
      </w:pPr>
    </w:p>
    <w:p w:rsidR="00015834" w:rsidRDefault="00015834">
      <w:pPr>
        <w:ind w:firstLineChars="200" w:firstLine="420"/>
      </w:pPr>
    </w:p>
    <w:sectPr w:rsidR="00015834" w:rsidSect="004335A9">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A7E" w:rsidRDefault="00C77A7E" w:rsidP="00AD6E2E">
      <w:r>
        <w:separator/>
      </w:r>
    </w:p>
  </w:endnote>
  <w:endnote w:type="continuationSeparator" w:id="1">
    <w:p w:rsidR="00C77A7E" w:rsidRDefault="00C77A7E" w:rsidP="00AD6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A7E" w:rsidRDefault="00C77A7E" w:rsidP="00AD6E2E">
      <w:r>
        <w:separator/>
      </w:r>
    </w:p>
  </w:footnote>
  <w:footnote w:type="continuationSeparator" w:id="1">
    <w:p w:rsidR="00C77A7E" w:rsidRDefault="00C77A7E" w:rsidP="00AD6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EDF47"/>
    <w:multiLevelType w:val="singleLevel"/>
    <w:tmpl w:val="713EDF4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B932CE2"/>
    <w:rsid w:val="00015834"/>
    <w:rsid w:val="00162615"/>
    <w:rsid w:val="001E22E4"/>
    <w:rsid w:val="004335A9"/>
    <w:rsid w:val="00821E91"/>
    <w:rsid w:val="00871CD5"/>
    <w:rsid w:val="00AD6E2E"/>
    <w:rsid w:val="00C77A7E"/>
    <w:rsid w:val="00C95E1F"/>
    <w:rsid w:val="00CE26E5"/>
    <w:rsid w:val="00F93AEA"/>
    <w:rsid w:val="0B932CE2"/>
    <w:rsid w:val="11E055AD"/>
    <w:rsid w:val="36D579A3"/>
    <w:rsid w:val="5A243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4335A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4335A9"/>
    <w:pPr>
      <w:spacing w:line="276" w:lineRule="auto"/>
    </w:pPr>
    <w:rPr>
      <w:rFonts w:ascii="宋体" w:hAnsi="宋体"/>
      <w:b/>
      <w:sz w:val="24"/>
    </w:rPr>
  </w:style>
  <w:style w:type="paragraph" w:styleId="a3">
    <w:name w:val="Plain Text"/>
    <w:basedOn w:val="a"/>
    <w:uiPriority w:val="99"/>
    <w:qFormat/>
    <w:rsid w:val="004335A9"/>
    <w:rPr>
      <w:rFonts w:ascii="宋体" w:hAnsi="Courier New" w:cs="Courier New"/>
    </w:rPr>
  </w:style>
  <w:style w:type="table" w:styleId="a4">
    <w:name w:val="Table Grid"/>
    <w:basedOn w:val="a1"/>
    <w:qFormat/>
    <w:rsid w:val="004335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正文 A"/>
    <w:uiPriority w:val="99"/>
    <w:qFormat/>
    <w:rsid w:val="004335A9"/>
    <w:pPr>
      <w:widowControl w:val="0"/>
      <w:pBdr>
        <w:top w:val="none" w:sz="0" w:space="31" w:color="FFFFFF"/>
        <w:left w:val="none" w:sz="0" w:space="31" w:color="FFFFFF"/>
        <w:bottom w:val="none" w:sz="0" w:space="31" w:color="FFFFFF"/>
        <w:right w:val="none" w:sz="0" w:space="31" w:color="FFFFFF"/>
      </w:pBdr>
      <w:jc w:val="both"/>
    </w:pPr>
    <w:rPr>
      <w:rFonts w:ascii="Calibri" w:eastAsia="宋体" w:hAnsi="Calibri" w:cs="Calibri"/>
      <w:color w:val="000000"/>
      <w:kern w:val="2"/>
      <w:sz w:val="21"/>
      <w:szCs w:val="21"/>
      <w:lang w:val="zh-TW" w:eastAsia="zh-TW"/>
    </w:rPr>
  </w:style>
  <w:style w:type="paragraph" w:customStyle="1" w:styleId="AA">
    <w:name w:val="正文 A A"/>
    <w:uiPriority w:val="99"/>
    <w:qFormat/>
    <w:rsid w:val="004335A9"/>
    <w:pPr>
      <w:widowControl w:val="0"/>
      <w:pBdr>
        <w:top w:val="none" w:sz="0" w:space="31" w:color="FFFFFF"/>
        <w:left w:val="none" w:sz="0" w:space="31" w:color="FFFFFF"/>
        <w:bottom w:val="none" w:sz="0" w:space="31" w:color="FFFFFF"/>
        <w:right w:val="none" w:sz="0" w:space="31" w:color="FFFFFF"/>
      </w:pBdr>
      <w:spacing w:line="360" w:lineRule="auto"/>
      <w:ind w:firstLine="200"/>
      <w:jc w:val="both"/>
    </w:pPr>
    <w:rPr>
      <w:rFonts w:ascii="Arial Unicode MS" w:eastAsia="Arial Unicode MS" w:hAnsi="Arial Unicode MS" w:cs="Arial Unicode MS"/>
      <w:color w:val="000000"/>
      <w:kern w:val="2"/>
      <w:sz w:val="24"/>
      <w:szCs w:val="24"/>
    </w:rPr>
  </w:style>
  <w:style w:type="paragraph" w:styleId="a6">
    <w:name w:val="List Paragraph"/>
    <w:basedOn w:val="a"/>
    <w:uiPriority w:val="99"/>
    <w:unhideWhenUsed/>
    <w:qFormat/>
    <w:rsid w:val="004335A9"/>
    <w:pPr>
      <w:ind w:firstLineChars="200" w:firstLine="420"/>
    </w:pPr>
  </w:style>
  <w:style w:type="paragraph" w:styleId="a7">
    <w:name w:val="header"/>
    <w:basedOn w:val="a"/>
    <w:link w:val="Char"/>
    <w:rsid w:val="00AD6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D6E2E"/>
    <w:rPr>
      <w:rFonts w:ascii="Calibri" w:eastAsia="宋体" w:hAnsi="Calibri" w:cs="Times New Roman"/>
      <w:kern w:val="2"/>
      <w:sz w:val="18"/>
      <w:szCs w:val="18"/>
    </w:rPr>
  </w:style>
  <w:style w:type="paragraph" w:styleId="a8">
    <w:name w:val="footer"/>
    <w:basedOn w:val="a"/>
    <w:link w:val="Char0"/>
    <w:rsid w:val="00AD6E2E"/>
    <w:pPr>
      <w:tabs>
        <w:tab w:val="center" w:pos="4153"/>
        <w:tab w:val="right" w:pos="8306"/>
      </w:tabs>
      <w:snapToGrid w:val="0"/>
      <w:jc w:val="left"/>
    </w:pPr>
    <w:rPr>
      <w:sz w:val="18"/>
      <w:szCs w:val="18"/>
    </w:rPr>
  </w:style>
  <w:style w:type="character" w:customStyle="1" w:styleId="Char0">
    <w:name w:val="页脚 Char"/>
    <w:basedOn w:val="a0"/>
    <w:link w:val="a8"/>
    <w:rsid w:val="00AD6E2E"/>
    <w:rPr>
      <w:rFonts w:ascii="Calibri" w:eastAsia="宋体" w:hAnsi="Calibri" w:cs="Times New Roman"/>
      <w:kern w:val="2"/>
      <w:sz w:val="18"/>
      <w:szCs w:val="18"/>
    </w:rPr>
  </w:style>
  <w:style w:type="paragraph" w:customStyle="1" w:styleId="a9">
    <w:name w:val="首行缩进"/>
    <w:basedOn w:val="a"/>
    <w:qFormat/>
    <w:rsid w:val="00871CD5"/>
    <w:pPr>
      <w:tabs>
        <w:tab w:val="left" w:pos="1002"/>
      </w:tabs>
      <w:autoSpaceDE w:val="0"/>
      <w:autoSpaceDN w:val="0"/>
      <w:adjustRightInd w:val="0"/>
      <w:spacing w:line="360" w:lineRule="auto"/>
      <w:ind w:firstLine="720"/>
      <w:jc w:val="left"/>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ZNN</dc:creator>
  <cp:lastModifiedBy>admin</cp:lastModifiedBy>
  <cp:revision>6</cp:revision>
  <dcterms:created xsi:type="dcterms:W3CDTF">2021-11-24T03:01:00Z</dcterms:created>
  <dcterms:modified xsi:type="dcterms:W3CDTF">2021-11-26T07:30:00Z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