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before="100" w:beforeAutospacing="1" w:line="400" w:lineRule="exact"/>
        <w:ind w:left="383"/>
        <w:jc w:val="left"/>
        <w:rPr>
          <w:rFonts w:asciiTheme="minorEastAsia" w:hAnsiTheme="minorEastAsia"/>
          <w:sz w:val="24"/>
        </w:rPr>
      </w:pPr>
      <w:r>
        <w:rPr>
          <w:rFonts w:asciiTheme="minorEastAsia" w:hAnsiTheme="minorEastAsia"/>
          <w:sz w:val="24"/>
        </w:rPr>
        <w:t>附件：</w:t>
      </w:r>
    </w:p>
    <w:p>
      <w:pPr>
        <w:shd w:val="clear" w:color="auto" w:fill="FFFFFF"/>
        <w:adjustRightInd w:val="0"/>
        <w:snapToGrid w:val="0"/>
        <w:spacing w:before="100" w:beforeAutospacing="1" w:line="276" w:lineRule="auto"/>
        <w:ind w:left="383"/>
        <w:jc w:val="left"/>
        <w:rPr>
          <w:rFonts w:asciiTheme="minorEastAsia" w:hAnsiTheme="minorEastAsia"/>
          <w:b/>
          <w:sz w:val="24"/>
        </w:rPr>
      </w:pPr>
      <w:bookmarkStart w:id="0" w:name="_Toc502231067"/>
      <w:bookmarkStart w:id="1" w:name="_Toc502231124"/>
      <w:bookmarkStart w:id="2" w:name="_Toc26159"/>
      <w:r>
        <w:rPr>
          <w:rFonts w:asciiTheme="minorEastAsia" w:hAnsiTheme="minorEastAsia"/>
          <w:b/>
          <w:sz w:val="24"/>
        </w:rPr>
        <w:t>注：如供应商确认前来，</w:t>
      </w:r>
      <w:r>
        <w:rPr>
          <w:rFonts w:hint="eastAsia" w:asciiTheme="minorEastAsia" w:hAnsiTheme="minorEastAsia"/>
          <w:b/>
          <w:sz w:val="24"/>
        </w:rPr>
        <w:t>2023年</w:t>
      </w:r>
      <w:r>
        <w:rPr>
          <w:rFonts w:asciiTheme="minorEastAsia" w:hAnsiTheme="minorEastAsia"/>
          <w:b/>
          <w:sz w:val="24"/>
        </w:rPr>
        <w:t>6</w:t>
      </w:r>
      <w:r>
        <w:rPr>
          <w:rFonts w:hint="eastAsia" w:asciiTheme="minorEastAsia" w:hAnsiTheme="minorEastAsia"/>
          <w:b/>
          <w:sz w:val="24"/>
        </w:rPr>
        <w:t>月</w:t>
      </w:r>
      <w:r>
        <w:rPr>
          <w:rFonts w:asciiTheme="minorEastAsia" w:hAnsiTheme="minorEastAsia"/>
          <w:b/>
          <w:sz w:val="24"/>
        </w:rPr>
        <w:t>13</w:t>
      </w:r>
      <w:r>
        <w:rPr>
          <w:rFonts w:hint="eastAsia" w:asciiTheme="minorEastAsia" w:hAnsiTheme="minorEastAsia"/>
          <w:b/>
          <w:sz w:val="24"/>
        </w:rPr>
        <w:t>日上午</w:t>
      </w:r>
      <w:r>
        <w:rPr>
          <w:rFonts w:asciiTheme="minorEastAsia" w:hAnsiTheme="minorEastAsia"/>
          <w:b/>
          <w:sz w:val="24"/>
        </w:rPr>
        <w:t>9</w:t>
      </w:r>
      <w:r>
        <w:rPr>
          <w:rFonts w:hint="eastAsia" w:asciiTheme="minorEastAsia" w:hAnsiTheme="minorEastAsia"/>
          <w:b/>
          <w:sz w:val="24"/>
        </w:rPr>
        <w:t>:00前关注“南京邮电大学通达学院保卫处”微信公众号，进入访客系统填写相关信息，访问部门选择“工会”，否则无法进入学院。</w:t>
      </w:r>
      <w:r>
        <w:rPr>
          <w:rFonts w:asciiTheme="minorEastAsia" w:hAnsiTheme="minorEastAsia"/>
          <w:b/>
          <w:sz w:val="24"/>
        </w:rPr>
        <w:t>感谢您的配合。</w:t>
      </w:r>
    </w:p>
    <w:p>
      <w:pPr>
        <w:spacing w:line="400" w:lineRule="exact"/>
        <w:jc w:val="left"/>
        <w:rPr>
          <w:rFonts w:ascii="黑体" w:hAnsi="黑体" w:eastAsia="黑体"/>
          <w:sz w:val="30"/>
          <w:szCs w:val="30"/>
        </w:rPr>
      </w:pPr>
      <w:r>
        <w:rPr>
          <w:rFonts w:hint="eastAsia" w:ascii="黑体" w:hAnsi="黑体" w:eastAsia="黑体"/>
          <w:sz w:val="30"/>
          <w:szCs w:val="30"/>
        </w:rPr>
        <w:t>一、服务需求：</w:t>
      </w:r>
    </w:p>
    <w:p>
      <w:pPr>
        <w:snapToGrid w:val="0"/>
        <w:spacing w:line="400" w:lineRule="exact"/>
        <w:ind w:firstLine="600" w:firstLineChars="250"/>
        <w:rPr>
          <w:rFonts w:ascii="宋体" w:hAnsi="宋体"/>
          <w:bCs/>
          <w:sz w:val="24"/>
        </w:rPr>
      </w:pPr>
      <w:r>
        <w:rPr>
          <w:rFonts w:hint="eastAsia" w:ascii="宋体" w:hAnsi="宋体"/>
          <w:bCs/>
          <w:sz w:val="24"/>
        </w:rPr>
        <w:t>1. 乙方为甲方组织经验丰富且有执业资质的医师、检验师及护理工作人员为甲方员工进行健康检查。</w:t>
      </w:r>
    </w:p>
    <w:p>
      <w:pPr>
        <w:snapToGrid w:val="0"/>
        <w:spacing w:line="400" w:lineRule="exact"/>
        <w:ind w:firstLine="600" w:firstLineChars="250"/>
        <w:rPr>
          <w:rFonts w:ascii="宋体" w:hAnsi="宋体"/>
          <w:bCs/>
          <w:sz w:val="24"/>
        </w:rPr>
      </w:pPr>
      <w:r>
        <w:rPr>
          <w:rFonts w:hint="eastAsia" w:ascii="宋体" w:hAnsi="宋体"/>
          <w:bCs/>
          <w:sz w:val="24"/>
        </w:rPr>
        <w:t>2. 乙方向甲方教职工提供书面体检报告壹份（密封）。</w:t>
      </w:r>
    </w:p>
    <w:p>
      <w:pPr>
        <w:snapToGrid w:val="0"/>
        <w:spacing w:line="400" w:lineRule="exact"/>
        <w:ind w:firstLine="600" w:firstLineChars="250"/>
        <w:rPr>
          <w:rFonts w:ascii="宋体" w:hAnsi="宋体"/>
          <w:bCs/>
          <w:sz w:val="24"/>
        </w:rPr>
      </w:pPr>
      <w:r>
        <w:rPr>
          <w:rFonts w:hint="eastAsia" w:ascii="宋体" w:hAnsi="宋体"/>
          <w:bCs/>
          <w:sz w:val="24"/>
        </w:rPr>
        <w:t>3. 体检完成之后，乙方将针对甲方员工的体检结果，根据甲方的通知，在合理时间内为甲方员工安排专家对体检结果进行讲解，并提供健康管理改进方案，如需要，乙方还为甲方提供办理医疗转诊服务。</w:t>
      </w:r>
    </w:p>
    <w:p>
      <w:pPr>
        <w:snapToGrid w:val="0"/>
        <w:spacing w:line="400" w:lineRule="exact"/>
        <w:ind w:firstLine="600" w:firstLineChars="250"/>
        <w:rPr>
          <w:rFonts w:ascii="宋体" w:hAnsi="宋体"/>
          <w:bCs/>
          <w:sz w:val="24"/>
        </w:rPr>
      </w:pPr>
      <w:r>
        <w:rPr>
          <w:rFonts w:hint="eastAsia" w:ascii="宋体" w:hAnsi="宋体"/>
          <w:bCs/>
          <w:sz w:val="24"/>
        </w:rPr>
        <w:t>4. 乙方负责对甲方员工的个人信息和体检结果做好保密工作。</w:t>
      </w:r>
    </w:p>
    <w:p>
      <w:pPr>
        <w:snapToGrid w:val="0"/>
        <w:spacing w:line="400" w:lineRule="exact"/>
        <w:ind w:firstLine="600" w:firstLineChars="250"/>
        <w:rPr>
          <w:rFonts w:ascii="宋体" w:hAnsi="宋体"/>
          <w:bCs/>
          <w:sz w:val="24"/>
        </w:rPr>
      </w:pPr>
      <w:r>
        <w:rPr>
          <w:rFonts w:hint="eastAsia" w:ascii="宋体" w:hAnsi="宋体"/>
          <w:bCs/>
          <w:sz w:val="24"/>
        </w:rPr>
        <w:t>5. 乙方为甲方体检员工建立个人健康档案。</w:t>
      </w:r>
    </w:p>
    <w:p>
      <w:pPr>
        <w:spacing w:line="400" w:lineRule="exact"/>
        <w:jc w:val="left"/>
        <w:rPr>
          <w:rFonts w:ascii="黑体" w:hAnsi="黑体" w:eastAsia="黑体"/>
          <w:sz w:val="30"/>
          <w:szCs w:val="30"/>
        </w:rPr>
      </w:pPr>
      <w:r>
        <w:rPr>
          <w:rFonts w:hint="eastAsia" w:ascii="黑体" w:hAnsi="黑体" w:eastAsia="黑体"/>
          <w:sz w:val="30"/>
          <w:szCs w:val="30"/>
        </w:rPr>
        <w:t>二、体检套餐内容</w:t>
      </w:r>
    </w:p>
    <w:tbl>
      <w:tblPr>
        <w:tblStyle w:val="3"/>
        <w:tblW w:w="8671" w:type="dxa"/>
        <w:tblInd w:w="113" w:type="dxa"/>
        <w:tblLayout w:type="autofit"/>
        <w:tblCellMar>
          <w:top w:w="0" w:type="dxa"/>
          <w:left w:w="108" w:type="dxa"/>
          <w:bottom w:w="0" w:type="dxa"/>
          <w:right w:w="108" w:type="dxa"/>
        </w:tblCellMar>
      </w:tblPr>
      <w:tblGrid>
        <w:gridCol w:w="1960"/>
        <w:gridCol w:w="4272"/>
        <w:gridCol w:w="738"/>
        <w:gridCol w:w="850"/>
        <w:gridCol w:w="851"/>
      </w:tblGrid>
      <w:tr>
        <w:tblPrEx>
          <w:tblCellMar>
            <w:top w:w="0" w:type="dxa"/>
            <w:left w:w="108" w:type="dxa"/>
            <w:bottom w:w="0" w:type="dxa"/>
            <w:right w:w="108" w:type="dxa"/>
          </w:tblCellMar>
        </w:tblPrEx>
        <w:trPr>
          <w:trHeight w:val="285" w:hRule="atLeast"/>
        </w:trPr>
        <w:tc>
          <w:tcPr>
            <w:tcW w:w="1960" w:type="dxa"/>
            <w:tcBorders>
              <w:top w:val="single" w:color="auto" w:sz="4" w:space="0"/>
              <w:left w:val="single" w:color="auto" w:sz="4" w:space="0"/>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第一类</w:t>
            </w:r>
          </w:p>
        </w:tc>
        <w:tc>
          <w:tcPr>
            <w:tcW w:w="4272" w:type="dxa"/>
            <w:tcBorders>
              <w:top w:val="single" w:color="auto" w:sz="4" w:space="0"/>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普查项目</w:t>
            </w:r>
          </w:p>
        </w:tc>
        <w:tc>
          <w:tcPr>
            <w:tcW w:w="738" w:type="dxa"/>
            <w:tcBorders>
              <w:top w:val="single" w:color="auto" w:sz="4" w:space="0"/>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男</w:t>
            </w:r>
          </w:p>
        </w:tc>
        <w:tc>
          <w:tcPr>
            <w:tcW w:w="850" w:type="dxa"/>
            <w:tcBorders>
              <w:top w:val="single" w:color="auto" w:sz="4" w:space="0"/>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女未婚</w:t>
            </w:r>
          </w:p>
        </w:tc>
        <w:tc>
          <w:tcPr>
            <w:tcW w:w="851" w:type="dxa"/>
            <w:tcBorders>
              <w:top w:val="single" w:color="auto" w:sz="4" w:space="0"/>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女已婚</w:t>
            </w:r>
          </w:p>
        </w:tc>
      </w:tr>
      <w:tr>
        <w:tblPrEx>
          <w:tblCellMar>
            <w:top w:w="0" w:type="dxa"/>
            <w:left w:w="108" w:type="dxa"/>
            <w:bottom w:w="0" w:type="dxa"/>
            <w:right w:w="108" w:type="dxa"/>
          </w:tblCellMar>
        </w:tblPrEx>
        <w:trPr>
          <w:trHeight w:val="28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一般检查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身高、体重、血压、体重指数</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3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眼科检查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外眼及视力+眼底检查</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469"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耳鼻咽喉科</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耳鼻咽喉科</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416"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内科</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检查心肺、肝脾、腹部等</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273"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外科</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皮肤、淋巴结、甲状腺、脊柱、关节、乳腺等</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000000" w:fill="305496"/>
            <w:noWrap/>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第二类</w:t>
            </w:r>
          </w:p>
        </w:tc>
        <w:tc>
          <w:tcPr>
            <w:tcW w:w="4272" w:type="dxa"/>
            <w:tcBorders>
              <w:top w:val="nil"/>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检验项目</w:t>
            </w:r>
          </w:p>
        </w:tc>
        <w:tc>
          <w:tcPr>
            <w:tcW w:w="738"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color w:val="FFFFFF"/>
                <w:kern w:val="0"/>
                <w:sz w:val="18"/>
                <w:szCs w:val="18"/>
              </w:rPr>
            </w:pPr>
            <w:r>
              <w:rPr>
                <w:rFonts w:hint="eastAsia" w:ascii="宋体" w:hAnsi="宋体" w:cs="宋体"/>
                <w:color w:val="FFFFFF"/>
                <w:kern w:val="0"/>
                <w:sz w:val="18"/>
                <w:szCs w:val="18"/>
              </w:rPr>
              <w:t>　</w:t>
            </w:r>
          </w:p>
        </w:tc>
        <w:tc>
          <w:tcPr>
            <w:tcW w:w="850"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color w:val="FFFFFF"/>
                <w:kern w:val="0"/>
                <w:sz w:val="18"/>
                <w:szCs w:val="18"/>
              </w:rPr>
            </w:pPr>
            <w:r>
              <w:rPr>
                <w:rFonts w:hint="eastAsia" w:ascii="宋体" w:hAnsi="宋体" w:cs="宋体"/>
                <w:color w:val="FFFFFF"/>
                <w:kern w:val="0"/>
                <w:sz w:val="18"/>
                <w:szCs w:val="18"/>
              </w:rPr>
              <w:t>　</w:t>
            </w:r>
          </w:p>
        </w:tc>
        <w:tc>
          <w:tcPr>
            <w:tcW w:w="851"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color w:val="FFFFFF"/>
                <w:kern w:val="0"/>
                <w:sz w:val="18"/>
                <w:szCs w:val="18"/>
              </w:rPr>
            </w:pPr>
            <w:r>
              <w:rPr>
                <w:rFonts w:hint="eastAsia" w:ascii="宋体" w:hAnsi="宋体" w:cs="宋体"/>
                <w:color w:val="FFFFFF"/>
                <w:kern w:val="0"/>
                <w:sz w:val="18"/>
                <w:szCs w:val="18"/>
              </w:rPr>
              <w:t>　</w:t>
            </w:r>
          </w:p>
        </w:tc>
      </w:tr>
      <w:tr>
        <w:tblPrEx>
          <w:tblCellMar>
            <w:top w:w="0" w:type="dxa"/>
            <w:left w:w="108" w:type="dxa"/>
            <w:bottom w:w="0" w:type="dxa"/>
            <w:right w:w="108" w:type="dxa"/>
          </w:tblCellMar>
        </w:tblPrEx>
        <w:trPr>
          <w:trHeight w:val="285" w:hRule="atLeast"/>
        </w:trPr>
        <w:tc>
          <w:tcPr>
            <w:tcW w:w="19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尿常规</w:t>
            </w: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1、隐血</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2、尿液颜色</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3、尿酸碱度</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4、尿液结晶</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5、尿亚硝酸盐</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6、尿葡萄糖</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7、尿比重</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8、尿液透明度</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9、尿蛋白质</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10、尿胆红素</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11、尿胆原</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12、尿酮体</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13、尿白细胞</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14、尿白细胞镜检</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15、尿红细胞镜检</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16、镜检其它</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17、尿液管型</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rPr>
          <w:trHeight w:val="285" w:hRule="atLeast"/>
        </w:trPr>
        <w:tc>
          <w:tcPr>
            <w:tcW w:w="19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血常规</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1、血小板</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2、血小板分布宽度</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3、平均血小板体积</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4、PCT</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5、红细胞</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6、血红蛋白</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7、红细胞压积</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8、红细胞平均体积</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9、平均血红蛋白量</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rPr>
          <w:trHeight w:val="357"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10、平均血红蛋白浓度</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rPr>
          <w:trHeight w:val="26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11、红细胞分布宽度标准差SD</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12、RDW-CV</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13、白细胞</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14、中性细胞比率</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15、淋巴细胞比率</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371"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16、嗜酸性粒细胞比率</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63"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17、嗜碱性粒细胞比率</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18、单核细胞比率</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19、淋巴细胞数</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20、嗜酸性粒细胞</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21、嗜碱性粒细胞</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22、单核细胞</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23、中性细胞数</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rPr>
          <w:trHeight w:val="315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肝功五项</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丙氨酸氨基转移酶ALT、天门冬氨酸氨基转移酶AST、γ-谷氨酰转肽酶γ-GT、总胆红素TBIL、AST/ALT）</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615" w:hRule="atLeast"/>
        </w:trPr>
        <w:tc>
          <w:tcPr>
            <w:tcW w:w="1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肾功检测</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1、肌酐CREA</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67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2、尿素UR</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900"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3、尿酸UA</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900" w:hRule="atLeast"/>
        </w:trPr>
        <w:tc>
          <w:tcPr>
            <w:tcW w:w="1960"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r>
              <w:rPr>
                <w:rFonts w:ascii="等线" w:hAnsi="等线" w:eastAsia="等线" w:cs="宋体"/>
                <w:kern w:val="0"/>
                <w:sz w:val="20"/>
                <w:szCs w:val="20"/>
              </w:rPr>
              <w:t>甲状腺功能筛查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ascii="Arial" w:hAnsi="Arial" w:cs="Arial"/>
                <w:color w:val="333333"/>
                <w:sz w:val="20"/>
                <w:szCs w:val="20"/>
                <w:shd w:val="clear" w:color="auto" w:fill="FFFFFF"/>
              </w:rPr>
              <w:t>主要项目：</w:t>
            </w:r>
            <w:r>
              <w:rPr>
                <w:rFonts w:hint="eastAsia" w:ascii="Arial" w:hAnsi="Arial" w:cs="Arial"/>
                <w:color w:val="333333"/>
                <w:sz w:val="20"/>
                <w:szCs w:val="20"/>
                <w:shd w:val="clear" w:color="auto" w:fill="FFFFFF"/>
              </w:rPr>
              <w:t>三碘甲状腺原氨酸T3、甲状腺素T4、促甲状腺素TSH</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153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血脂检测</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血脂五项（甘油三脂TG、总胆固醇CHOL、高密度脂蛋白胆固醇HDL-C、低密度脂蛋白胆固醇LDL-C 动脉硬化指数）</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血糖检测</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空腹血糖GLU</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血糖检测</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糖化血红蛋白HbA1c</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肝炎病毒检测</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乙肝两对半（定性）</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甲胎蛋白AFP</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癌胚抗原CEA</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402"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总前列腺特异性抗原PSA</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　</w:t>
            </w:r>
          </w:p>
        </w:tc>
      </w:tr>
      <w:tr>
        <w:tblPrEx>
          <w:tblCellMar>
            <w:top w:w="0" w:type="dxa"/>
            <w:left w:w="108" w:type="dxa"/>
            <w:bottom w:w="0" w:type="dxa"/>
            <w:right w:w="108" w:type="dxa"/>
          </w:tblCellMar>
        </w:tblPrEx>
        <w:trPr>
          <w:trHeight w:val="408"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FPSA游离前列腺特异性抗原F-PSA（男）</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　</w:t>
            </w:r>
          </w:p>
        </w:tc>
      </w:tr>
      <w:tr>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CA724（胃癌标志物）</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CA125（卵巢癌标志物）</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CA153(乳腺癌标志物)</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CA199(消化系统肿瘤标志物）</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44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血清铁蛋白</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rPr>
          <w:trHeight w:val="285" w:hRule="atLeast"/>
        </w:trPr>
        <w:tc>
          <w:tcPr>
            <w:tcW w:w="1960" w:type="dxa"/>
            <w:tcBorders>
              <w:top w:val="nil"/>
              <w:left w:val="single" w:color="auto" w:sz="4" w:space="0"/>
              <w:bottom w:val="single" w:color="auto" w:sz="4" w:space="0"/>
              <w:right w:val="single" w:color="auto" w:sz="4" w:space="0"/>
            </w:tcBorders>
            <w:shd w:val="clear" w:color="000000" w:fill="305496"/>
            <w:noWrap/>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第三类</w:t>
            </w:r>
          </w:p>
        </w:tc>
        <w:tc>
          <w:tcPr>
            <w:tcW w:w="4272" w:type="dxa"/>
            <w:tcBorders>
              <w:top w:val="nil"/>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影像科项目</w:t>
            </w:r>
          </w:p>
        </w:tc>
        <w:tc>
          <w:tcPr>
            <w:tcW w:w="738"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0"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1"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彩超检查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彩超（肝胆胰脾双肾）</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彩超检查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彩超（双侧乳腺）（女）</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彩超检查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彩超（经腹子宫及双侧附件）（女）</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彩超检查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彩超（阴式子宫附件）（女已婚）</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73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彩超检查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彩超（前列腺）</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彩超检查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彩超（甲状腺）</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75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放射检查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CT（胸部）</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000000" w:fill="305496"/>
            <w:noWrap/>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第四类</w:t>
            </w:r>
          </w:p>
        </w:tc>
        <w:tc>
          <w:tcPr>
            <w:tcW w:w="4272" w:type="dxa"/>
            <w:tcBorders>
              <w:top w:val="nil"/>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功能科项目</w:t>
            </w:r>
          </w:p>
        </w:tc>
        <w:tc>
          <w:tcPr>
            <w:tcW w:w="738"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0"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1"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功能类检测</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静态心电图检查（12导联同步）</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000000" w:fill="305496"/>
            <w:noWrap/>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第五类</w:t>
            </w:r>
          </w:p>
        </w:tc>
        <w:tc>
          <w:tcPr>
            <w:tcW w:w="4272" w:type="dxa"/>
            <w:tcBorders>
              <w:top w:val="nil"/>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妇科项目</w:t>
            </w:r>
          </w:p>
        </w:tc>
        <w:tc>
          <w:tcPr>
            <w:tcW w:w="738"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0"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1"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r>
      <w:tr>
        <w:tblPrEx>
          <w:tblCellMar>
            <w:top w:w="0" w:type="dxa"/>
            <w:left w:w="108" w:type="dxa"/>
            <w:bottom w:w="0" w:type="dxa"/>
            <w:right w:w="108" w:type="dxa"/>
          </w:tblCellMar>
        </w:tblPrEx>
        <w:trPr>
          <w:trHeight w:val="43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妇科检查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妇科检查</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54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妇科检查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xml:space="preserve">白带常规  </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妇科检查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TCT薄层液基细胞学检测</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000000" w:fill="305496"/>
            <w:noWrap/>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第六类</w:t>
            </w:r>
          </w:p>
        </w:tc>
        <w:tc>
          <w:tcPr>
            <w:tcW w:w="4272" w:type="dxa"/>
            <w:tcBorders>
              <w:top w:val="nil"/>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早餐</w:t>
            </w:r>
          </w:p>
        </w:tc>
        <w:tc>
          <w:tcPr>
            <w:tcW w:w="738"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0"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1"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营养早餐</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早餐</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bl>
    <w:p>
      <w:pPr>
        <w:spacing w:line="400" w:lineRule="exact"/>
        <w:jc w:val="left"/>
        <w:rPr>
          <w:rFonts w:ascii="黑体" w:hAnsi="黑体" w:eastAsia="黑体"/>
          <w:sz w:val="30"/>
          <w:szCs w:val="30"/>
        </w:rPr>
      </w:pPr>
    </w:p>
    <w:p>
      <w:pPr>
        <w:spacing w:line="400" w:lineRule="exact"/>
        <w:jc w:val="left"/>
        <w:rPr>
          <w:rFonts w:ascii="黑体" w:hAnsi="黑体" w:eastAsia="黑体"/>
          <w:sz w:val="30"/>
          <w:szCs w:val="30"/>
        </w:rPr>
      </w:pPr>
      <w:r>
        <w:rPr>
          <w:rFonts w:hint="eastAsia" w:ascii="黑体" w:hAnsi="黑体" w:eastAsia="黑体"/>
          <w:sz w:val="30"/>
          <w:szCs w:val="30"/>
        </w:rPr>
        <w:t>三、报价</w:t>
      </w:r>
      <w:r>
        <w:rPr>
          <w:rFonts w:ascii="黑体" w:hAnsi="黑体" w:eastAsia="黑体"/>
          <w:sz w:val="30"/>
          <w:szCs w:val="30"/>
        </w:rPr>
        <w:t>要求：</w:t>
      </w:r>
    </w:p>
    <w:p>
      <w:pPr>
        <w:pStyle w:val="2"/>
        <w:spacing w:line="400" w:lineRule="exact"/>
        <w:ind w:firstLine="480" w:firstLineChars="200"/>
        <w:rPr>
          <w:bCs/>
          <w:color w:val="000000"/>
          <w:highlight w:val="green"/>
        </w:rPr>
      </w:pPr>
      <w:r>
        <w:rPr>
          <w:rFonts w:hint="eastAsia"/>
          <w:bCs/>
          <w:color w:val="000000"/>
        </w:rPr>
        <w:t>按两个分项分别报价：1、在职男性套餐单价；2、在职女性套餐单价；暂定体检人数2</w:t>
      </w:r>
      <w:r>
        <w:rPr>
          <w:bCs/>
          <w:color w:val="000000"/>
        </w:rPr>
        <w:t>40</w:t>
      </w:r>
      <w:r>
        <w:rPr>
          <w:rFonts w:hint="eastAsia"/>
          <w:bCs/>
          <w:color w:val="000000"/>
        </w:rPr>
        <w:t>人（男性约</w:t>
      </w:r>
      <w:r>
        <w:rPr>
          <w:bCs/>
          <w:color w:val="000000"/>
        </w:rPr>
        <w:t>80人，女性约160人）</w:t>
      </w:r>
      <w:r>
        <w:rPr>
          <w:rFonts w:hint="eastAsia"/>
          <w:bCs/>
          <w:color w:val="000000"/>
        </w:rPr>
        <w:t>，</w:t>
      </w:r>
      <w:bookmarkStart w:id="3" w:name="_GoBack"/>
      <w:r>
        <w:rPr>
          <w:rFonts w:hint="eastAsia"/>
          <w:bCs/>
          <w:color w:val="000000"/>
          <w:highlight w:val="none"/>
        </w:rPr>
        <w:t>本次招标总价限为</w:t>
      </w:r>
      <w:r>
        <w:rPr>
          <w:bCs/>
          <w:color w:val="000000"/>
          <w:highlight w:val="none"/>
        </w:rPr>
        <w:t>9</w:t>
      </w:r>
      <w:r>
        <w:rPr>
          <w:rFonts w:hint="eastAsia"/>
          <w:bCs/>
          <w:color w:val="000000"/>
          <w:highlight w:val="none"/>
        </w:rPr>
        <w:t>万</w:t>
      </w:r>
      <w:r>
        <w:rPr>
          <w:bCs/>
          <w:color w:val="000000"/>
          <w:highlight w:val="none"/>
        </w:rPr>
        <w:t>6</w:t>
      </w:r>
      <w:r>
        <w:rPr>
          <w:rFonts w:hint="eastAsia"/>
          <w:bCs/>
          <w:color w:val="000000"/>
          <w:highlight w:val="none"/>
        </w:rPr>
        <w:t>千元人民币/年，总价超</w:t>
      </w:r>
      <w:r>
        <w:rPr>
          <w:bCs/>
          <w:color w:val="000000"/>
          <w:highlight w:val="none"/>
        </w:rPr>
        <w:t>9</w:t>
      </w:r>
      <w:r>
        <w:rPr>
          <w:rFonts w:hint="eastAsia"/>
          <w:bCs/>
          <w:color w:val="000000"/>
          <w:highlight w:val="none"/>
        </w:rPr>
        <w:t>万</w:t>
      </w:r>
      <w:r>
        <w:rPr>
          <w:bCs/>
          <w:color w:val="000000"/>
          <w:highlight w:val="none"/>
        </w:rPr>
        <w:t>6</w:t>
      </w:r>
      <w:r>
        <w:rPr>
          <w:rFonts w:hint="eastAsia"/>
          <w:bCs/>
          <w:color w:val="000000"/>
          <w:highlight w:val="none"/>
        </w:rPr>
        <w:t>千元人民币/年的为无效投标。</w:t>
      </w:r>
      <w:bookmarkEnd w:id="3"/>
    </w:p>
    <w:bookmarkEnd w:id="0"/>
    <w:bookmarkEnd w:id="1"/>
    <w:bookmarkEnd w:id="2"/>
    <w:p>
      <w:pPr>
        <w:spacing w:line="400" w:lineRule="exact"/>
        <w:jc w:val="left"/>
        <w:rPr>
          <w:rFonts w:ascii="黑体" w:hAnsi="黑体" w:eastAsia="黑体"/>
          <w:sz w:val="30"/>
          <w:szCs w:val="30"/>
        </w:rPr>
      </w:pPr>
      <w:r>
        <w:rPr>
          <w:rFonts w:hint="eastAsia" w:ascii="黑体" w:hAnsi="黑体" w:eastAsia="黑体"/>
          <w:sz w:val="30"/>
          <w:szCs w:val="30"/>
        </w:rPr>
        <w:t>四、商务条款</w:t>
      </w:r>
    </w:p>
    <w:p>
      <w:pPr>
        <w:tabs>
          <w:tab w:val="left" w:pos="0"/>
          <w:tab w:val="left" w:pos="993"/>
          <w:tab w:val="left" w:pos="1134"/>
        </w:tabs>
        <w:adjustRightInd w:val="0"/>
        <w:snapToGrid w:val="0"/>
        <w:spacing w:before="156" w:beforeLines="50"/>
        <w:ind w:firstLine="480" w:firstLineChars="200"/>
        <w:rPr>
          <w:rFonts w:ascii="宋体" w:hAnsi="宋体"/>
          <w:bCs/>
          <w:snapToGrid w:val="0"/>
          <w:sz w:val="24"/>
        </w:rPr>
      </w:pPr>
      <w:r>
        <w:rPr>
          <w:rFonts w:ascii="宋体" w:hAnsi="宋体"/>
          <w:bCs/>
          <w:snapToGrid w:val="0"/>
          <w:sz w:val="24"/>
        </w:rPr>
        <w:t>服务地点</w:t>
      </w:r>
      <w:r>
        <w:rPr>
          <w:rFonts w:hint="eastAsia" w:ascii="宋体" w:hAnsi="宋体"/>
          <w:bCs/>
          <w:snapToGrid w:val="0"/>
          <w:sz w:val="24"/>
        </w:rPr>
        <w:t>：扬州</w:t>
      </w:r>
    </w:p>
    <w:p>
      <w:pPr>
        <w:tabs>
          <w:tab w:val="left" w:pos="0"/>
          <w:tab w:val="left" w:pos="993"/>
          <w:tab w:val="left" w:pos="1134"/>
        </w:tabs>
        <w:adjustRightInd w:val="0"/>
        <w:snapToGrid w:val="0"/>
        <w:spacing w:before="156" w:beforeLines="50"/>
        <w:ind w:firstLine="480" w:firstLineChars="200"/>
        <w:rPr>
          <w:rFonts w:ascii="宋体" w:hAnsi="宋体"/>
          <w:bCs/>
          <w:snapToGrid w:val="0"/>
          <w:sz w:val="24"/>
        </w:rPr>
      </w:pPr>
      <w:r>
        <w:rPr>
          <w:rFonts w:hint="eastAsia" w:ascii="宋体" w:hAnsi="宋体"/>
          <w:bCs/>
          <w:snapToGrid w:val="0"/>
          <w:sz w:val="24"/>
        </w:rPr>
        <w:t>服务</w:t>
      </w:r>
      <w:r>
        <w:rPr>
          <w:rFonts w:ascii="宋体" w:hAnsi="宋体"/>
          <w:bCs/>
          <w:snapToGrid w:val="0"/>
          <w:sz w:val="24"/>
        </w:rPr>
        <w:t>时间</w:t>
      </w:r>
      <w:r>
        <w:rPr>
          <w:rFonts w:hint="eastAsia" w:ascii="宋体" w:hAnsi="宋体"/>
          <w:bCs/>
          <w:snapToGrid w:val="0"/>
          <w:sz w:val="24"/>
        </w:rPr>
        <w:t>：按采购人需求</w:t>
      </w:r>
    </w:p>
    <w:p>
      <w:pPr>
        <w:tabs>
          <w:tab w:val="left" w:pos="0"/>
          <w:tab w:val="left" w:pos="993"/>
          <w:tab w:val="left" w:pos="1134"/>
        </w:tabs>
        <w:adjustRightInd w:val="0"/>
        <w:snapToGrid w:val="0"/>
        <w:spacing w:before="156" w:beforeLines="50"/>
        <w:ind w:firstLine="480" w:firstLineChars="200"/>
        <w:rPr>
          <w:rFonts w:ascii="宋体" w:hAnsi="宋体"/>
          <w:bCs/>
          <w:snapToGrid w:val="0"/>
          <w:sz w:val="24"/>
        </w:rPr>
      </w:pPr>
      <w:r>
        <w:rPr>
          <w:rFonts w:ascii="宋体" w:hAnsi="宋体"/>
          <w:bCs/>
          <w:snapToGrid w:val="0"/>
          <w:sz w:val="24"/>
        </w:rPr>
        <w:t>结算</w:t>
      </w:r>
      <w:r>
        <w:rPr>
          <w:rFonts w:hint="eastAsia" w:ascii="宋体" w:hAnsi="宋体"/>
          <w:bCs/>
          <w:snapToGrid w:val="0"/>
          <w:sz w:val="24"/>
        </w:rPr>
        <w:t>方式：甲方体检服务费用最终按实际体检人数和实际体检项目结算。</w:t>
      </w:r>
    </w:p>
    <w:p>
      <w:pPr>
        <w:tabs>
          <w:tab w:val="left" w:pos="0"/>
          <w:tab w:val="left" w:pos="993"/>
          <w:tab w:val="left" w:pos="1134"/>
        </w:tabs>
        <w:adjustRightInd w:val="0"/>
        <w:snapToGrid w:val="0"/>
        <w:spacing w:before="156" w:beforeLines="50"/>
        <w:ind w:firstLine="480" w:firstLineChars="200"/>
        <w:rPr>
          <w:rFonts w:ascii="宋体" w:hAnsi="宋体"/>
          <w:bCs/>
          <w:snapToGrid w:val="0"/>
          <w:sz w:val="24"/>
        </w:rPr>
      </w:pPr>
      <w:r>
        <w:rPr>
          <w:rFonts w:hint="eastAsia" w:ascii="宋体" w:hAnsi="宋体"/>
          <w:bCs/>
          <w:snapToGrid w:val="0"/>
          <w:sz w:val="24"/>
        </w:rPr>
        <w:t xml:space="preserve">结算周期：检后结算（体检时间≤3个月） </w:t>
      </w:r>
    </w:p>
    <w:p>
      <w:pPr>
        <w:tabs>
          <w:tab w:val="left" w:pos="0"/>
          <w:tab w:val="left" w:pos="993"/>
          <w:tab w:val="left" w:pos="1134"/>
        </w:tabs>
        <w:adjustRightInd w:val="0"/>
        <w:snapToGrid w:val="0"/>
        <w:spacing w:before="156" w:beforeLines="50"/>
        <w:ind w:firstLine="480" w:firstLineChars="200"/>
        <w:rPr>
          <w:rFonts w:ascii="宋体" w:hAnsi="宋体"/>
          <w:bCs/>
          <w:snapToGrid w:val="0"/>
          <w:sz w:val="24"/>
        </w:rPr>
      </w:pPr>
      <w:r>
        <w:rPr>
          <w:rFonts w:hint="eastAsia" w:ascii="宋体" w:hAnsi="宋体"/>
          <w:bCs/>
          <w:snapToGrid w:val="0"/>
          <w:sz w:val="24"/>
        </w:rPr>
        <w:t>结算要求：每个结算周期后的五（5）个工作日内对体检服务费用进行结算，采购人收到发票后的十五个工作日内支付服务费。</w:t>
      </w:r>
    </w:p>
    <w:p>
      <w:pPr>
        <w:tabs>
          <w:tab w:val="left" w:pos="0"/>
          <w:tab w:val="left" w:pos="993"/>
          <w:tab w:val="left" w:pos="1134"/>
        </w:tabs>
        <w:adjustRightInd w:val="0"/>
        <w:snapToGrid w:val="0"/>
        <w:spacing w:before="156" w:beforeLines="50"/>
        <w:ind w:firstLine="480" w:firstLineChars="200"/>
        <w:rPr>
          <w:rFonts w:ascii="宋体" w:hAnsi="宋体"/>
          <w:bCs/>
          <w:snapToGrid w:val="0"/>
          <w:sz w:val="24"/>
        </w:rPr>
      </w:pPr>
      <w:r>
        <w:rPr>
          <w:rFonts w:hint="eastAsia" w:ascii="宋体" w:hAnsi="宋体"/>
          <w:bCs/>
          <w:snapToGrid w:val="0"/>
          <w:sz w:val="24"/>
        </w:rPr>
        <w:t>投标货币：</w:t>
      </w:r>
      <w:r>
        <w:rPr>
          <w:rFonts w:ascii="宋体" w:hAnsi="宋体"/>
          <w:bCs/>
          <w:snapToGrid w:val="0"/>
          <w:sz w:val="24"/>
        </w:rPr>
        <w:t>本项目以人民币报价。</w:t>
      </w:r>
    </w:p>
    <w:p>
      <w:pPr>
        <w:tabs>
          <w:tab w:val="left" w:pos="0"/>
          <w:tab w:val="left" w:pos="993"/>
          <w:tab w:val="left" w:pos="1134"/>
        </w:tabs>
        <w:adjustRightInd w:val="0"/>
        <w:snapToGrid w:val="0"/>
        <w:spacing w:before="156" w:beforeLines="50"/>
        <w:ind w:firstLine="480" w:firstLineChars="200"/>
        <w:rPr>
          <w:rFonts w:ascii="宋体" w:hAnsi="宋体"/>
          <w:bCs/>
          <w:snapToGrid w:val="0"/>
          <w:sz w:val="24"/>
        </w:rPr>
      </w:pPr>
      <w:r>
        <w:rPr>
          <w:rFonts w:hint="eastAsia" w:ascii="宋体" w:hAnsi="宋体"/>
          <w:bCs/>
          <w:snapToGrid w:val="0"/>
          <w:sz w:val="24"/>
        </w:rPr>
        <w:t>本项目招标采购有效期为两年，合同一年一签，采购人将依据中标人履行合同的情况决定是否续签。</w:t>
      </w:r>
    </w:p>
    <w:p>
      <w:pPr>
        <w:spacing w:line="400" w:lineRule="exact"/>
        <w:jc w:val="left"/>
        <w:rPr>
          <w:rFonts w:ascii="黑体" w:hAnsi="黑体" w:eastAsia="黑体"/>
          <w:sz w:val="30"/>
          <w:szCs w:val="30"/>
        </w:rPr>
      </w:pPr>
      <w:r>
        <w:rPr>
          <w:rFonts w:hint="eastAsia" w:ascii="黑体" w:hAnsi="黑体" w:eastAsia="黑体"/>
          <w:sz w:val="30"/>
          <w:szCs w:val="30"/>
        </w:rPr>
        <w:t>五、评标办法及开标一览表</w:t>
      </w:r>
    </w:p>
    <w:p>
      <w:pPr>
        <w:tabs>
          <w:tab w:val="left" w:pos="0"/>
          <w:tab w:val="left" w:pos="993"/>
          <w:tab w:val="left" w:pos="1134"/>
        </w:tabs>
        <w:adjustRightInd w:val="0"/>
        <w:snapToGrid w:val="0"/>
        <w:spacing w:before="156" w:beforeLines="50" w:line="400" w:lineRule="exact"/>
        <w:ind w:firstLine="480" w:firstLineChars="200"/>
        <w:rPr>
          <w:rFonts w:ascii="宋体" w:hAnsi="宋体"/>
          <w:bCs/>
          <w:snapToGrid w:val="0"/>
          <w:sz w:val="24"/>
        </w:rPr>
      </w:pPr>
      <w:r>
        <w:rPr>
          <w:rFonts w:hint="eastAsia" w:ascii="宋体" w:hAnsi="宋体"/>
          <w:bCs/>
          <w:snapToGrid w:val="0"/>
          <w:sz w:val="24"/>
        </w:rPr>
        <w:t>（一）总则</w:t>
      </w:r>
    </w:p>
    <w:p>
      <w:pPr>
        <w:tabs>
          <w:tab w:val="left" w:pos="0"/>
          <w:tab w:val="left" w:pos="993"/>
          <w:tab w:val="left" w:pos="1134"/>
        </w:tabs>
        <w:adjustRightInd w:val="0"/>
        <w:snapToGrid w:val="0"/>
        <w:spacing w:line="400" w:lineRule="exact"/>
        <w:ind w:firstLine="480" w:firstLineChars="200"/>
        <w:rPr>
          <w:rFonts w:ascii="宋体" w:hAnsi="宋体"/>
          <w:bCs/>
          <w:snapToGrid w:val="0"/>
          <w:sz w:val="24"/>
        </w:rPr>
      </w:pPr>
      <w:r>
        <w:rPr>
          <w:rFonts w:hint="eastAsia" w:ascii="宋体" w:hAnsi="宋体"/>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本综合评分法采用百分制形式，具体分值详见本细则。</w:t>
      </w:r>
    </w:p>
    <w:p>
      <w:pPr>
        <w:tabs>
          <w:tab w:val="left" w:pos="0"/>
          <w:tab w:val="left" w:pos="600"/>
          <w:tab w:val="left" w:pos="993"/>
          <w:tab w:val="left" w:pos="1134"/>
        </w:tabs>
        <w:adjustRightInd w:val="0"/>
        <w:snapToGrid w:val="0"/>
        <w:spacing w:line="400" w:lineRule="exact"/>
        <w:ind w:firstLine="480" w:firstLineChars="200"/>
        <w:rPr>
          <w:rFonts w:ascii="宋体" w:hAnsi="宋体"/>
          <w:sz w:val="24"/>
        </w:rPr>
      </w:pPr>
      <w:r>
        <w:rPr>
          <w:rFonts w:hint="eastAsia" w:ascii="宋体" w:hAnsi="宋体"/>
          <w:sz w:val="24"/>
        </w:rPr>
        <w:t>（二）评分标准</w:t>
      </w:r>
    </w:p>
    <w:p>
      <w:pPr>
        <w:tabs>
          <w:tab w:val="left" w:pos="0"/>
          <w:tab w:val="left" w:pos="600"/>
          <w:tab w:val="left" w:pos="1134"/>
        </w:tabs>
        <w:adjustRightInd w:val="0"/>
        <w:snapToGrid w:val="0"/>
        <w:spacing w:line="400" w:lineRule="exact"/>
        <w:ind w:left="567"/>
        <w:rPr>
          <w:rFonts w:ascii="黑体" w:eastAsia="黑体"/>
          <w:b/>
          <w:bCs/>
          <w:sz w:val="28"/>
          <w:szCs w:val="28"/>
        </w:rPr>
      </w:pPr>
      <w:r>
        <w:rPr>
          <w:rFonts w:hint="eastAsia" w:ascii="宋体" w:hAnsi="宋体"/>
          <w:b/>
          <w:bCs/>
          <w:sz w:val="24"/>
        </w:rPr>
        <w:t>1.投标报价（40分）</w:t>
      </w:r>
    </w:p>
    <w:p>
      <w:pPr>
        <w:adjustRightInd w:val="0"/>
        <w:snapToGrid w:val="0"/>
        <w:spacing w:line="400" w:lineRule="exact"/>
        <w:ind w:firstLine="480" w:firstLineChars="200"/>
        <w:rPr>
          <w:rFonts w:ascii="宋体" w:hAnsi="宋体"/>
          <w:bCs/>
          <w:color w:val="000000"/>
          <w:sz w:val="24"/>
        </w:rPr>
      </w:pPr>
      <w:r>
        <w:rPr>
          <w:rFonts w:hint="eastAsia" w:ascii="宋体" w:hAnsi="宋体"/>
          <w:bCs/>
          <w:color w:val="000000"/>
          <w:sz w:val="24"/>
        </w:rPr>
        <w:t>按两个分项分别报价：1、男性套餐单价；2、女性套餐单价。</w:t>
      </w:r>
    </w:p>
    <w:p>
      <w:pPr>
        <w:adjustRightInd w:val="0"/>
        <w:snapToGrid w:val="0"/>
        <w:spacing w:line="400" w:lineRule="exact"/>
        <w:ind w:firstLine="480" w:firstLineChars="200"/>
        <w:rPr>
          <w:rFonts w:ascii="宋体" w:hAnsi="宋体" w:cs="宋体"/>
          <w:sz w:val="24"/>
        </w:rPr>
      </w:pPr>
      <w:r>
        <w:rPr>
          <w:rFonts w:hint="eastAsia" w:ascii="宋体" w:hAnsi="宋体"/>
          <w:bCs/>
          <w:color w:val="000000"/>
          <w:sz w:val="24"/>
        </w:rPr>
        <w:t>每个分项各占20分，满足采购文件要求且投标价格最低的分项投标报价为此分项评标基准价，其价格为满分20分。其他投标人的分项价格分统一按下列公式计算：分项得分=（分项评标基准价/投标报价）×20。数值取小数点后一位。将两个分项得分相加即为投标报价总得分。</w:t>
      </w:r>
    </w:p>
    <w:p>
      <w:pPr>
        <w:tabs>
          <w:tab w:val="left" w:pos="0"/>
          <w:tab w:val="left" w:pos="600"/>
          <w:tab w:val="left" w:pos="993"/>
          <w:tab w:val="left" w:pos="1134"/>
        </w:tabs>
        <w:adjustRightInd w:val="0"/>
        <w:snapToGrid w:val="0"/>
        <w:spacing w:line="400" w:lineRule="exact"/>
        <w:rPr>
          <w:rFonts w:ascii="宋体" w:hAnsi="宋体"/>
          <w:b/>
          <w:bCs/>
          <w:sz w:val="24"/>
        </w:rPr>
      </w:pPr>
      <w:r>
        <w:rPr>
          <w:rFonts w:hint="eastAsia" w:ascii="宋体" w:hAnsi="宋体"/>
          <w:b/>
          <w:bCs/>
          <w:sz w:val="24"/>
        </w:rPr>
        <w:t xml:space="preserve">    2.服务质量评价（</w:t>
      </w:r>
      <w:r>
        <w:rPr>
          <w:rFonts w:ascii="宋体" w:hAnsi="宋体"/>
          <w:b/>
          <w:bCs/>
          <w:sz w:val="24"/>
        </w:rPr>
        <w:t>30</w:t>
      </w:r>
      <w:r>
        <w:rPr>
          <w:rFonts w:hint="eastAsia" w:ascii="宋体" w:hAnsi="宋体"/>
          <w:b/>
          <w:bCs/>
          <w:sz w:val="24"/>
        </w:rPr>
        <w:t xml:space="preserve">分）               </w:t>
      </w:r>
    </w:p>
    <w:p>
      <w:pPr>
        <w:spacing w:line="400" w:lineRule="exact"/>
        <w:ind w:firstLine="240" w:firstLineChars="100"/>
        <w:rPr>
          <w:rFonts w:ascii="宋体" w:hAnsi="宋体" w:cs="宋体"/>
          <w:sz w:val="24"/>
        </w:rPr>
      </w:pPr>
      <w:r>
        <w:rPr>
          <w:rFonts w:hint="eastAsia" w:ascii="宋体" w:hAnsi="宋体" w:cs="宋体"/>
          <w:sz w:val="24"/>
        </w:rPr>
        <w:t xml:space="preserve"> 投标单位对体检预约方式、每日安排体检总人数（不限于我校）、大流量应对方案、应急处理预案、达不到服务承诺的赔偿措施等</w:t>
      </w:r>
      <w:r>
        <w:rPr>
          <w:rFonts w:ascii="宋体" w:hAnsi="宋体" w:cs="宋体"/>
          <w:sz w:val="24"/>
        </w:rPr>
        <w:t>8</w:t>
      </w:r>
      <w:r>
        <w:rPr>
          <w:rFonts w:hint="eastAsia" w:ascii="宋体" w:hAnsi="宋体" w:cs="宋体"/>
          <w:sz w:val="24"/>
        </w:rPr>
        <w:t>项内容作出详细说明，评标委员会根据投标单位提供材料的合理性和可操作性进行评分，</w:t>
      </w:r>
      <w:r>
        <w:rPr>
          <w:rFonts w:ascii="宋体" w:hAnsi="宋体" w:cs="宋体"/>
          <w:sz w:val="24"/>
        </w:rPr>
        <w:t>8</w:t>
      </w:r>
      <w:r>
        <w:rPr>
          <w:rFonts w:hint="eastAsia" w:ascii="宋体" w:hAnsi="宋体" w:cs="宋体"/>
          <w:sz w:val="24"/>
        </w:rPr>
        <w:t xml:space="preserve">项得分相加为此项总得分。 </w:t>
      </w:r>
    </w:p>
    <w:p>
      <w:pPr>
        <w:spacing w:line="400" w:lineRule="exact"/>
        <w:ind w:firstLine="480" w:firstLineChars="200"/>
        <w:rPr>
          <w:rFonts w:ascii="宋体" w:hAnsi="宋体" w:cs="宋体"/>
          <w:sz w:val="24"/>
        </w:rPr>
      </w:pPr>
      <w:r>
        <w:rPr>
          <w:rFonts w:hint="eastAsia" w:ascii="宋体" w:hAnsi="宋体" w:cs="宋体"/>
          <w:sz w:val="24"/>
        </w:rPr>
        <w:t>（1）其中投标单位对体检预约方式设置合理，便于操作得3分，一般得2分，差得1分，没有不得分。</w:t>
      </w:r>
    </w:p>
    <w:p>
      <w:pPr>
        <w:spacing w:line="400" w:lineRule="exact"/>
        <w:ind w:firstLine="480" w:firstLineChars="200"/>
        <w:rPr>
          <w:rFonts w:ascii="宋体" w:hAnsi="宋体" w:cs="宋体"/>
          <w:sz w:val="24"/>
        </w:rPr>
      </w:pPr>
      <w:r>
        <w:rPr>
          <w:rFonts w:hint="eastAsia" w:ascii="宋体" w:hAnsi="宋体" w:cs="宋体"/>
          <w:sz w:val="24"/>
        </w:rPr>
        <w:t>（2）每日安排体检总人数（不限于我校），能安排人数较多且安排人数合理得3分，一般得2分，差得1分，没有不得分。</w:t>
      </w:r>
    </w:p>
    <w:p>
      <w:pPr>
        <w:spacing w:line="400" w:lineRule="exact"/>
        <w:ind w:firstLine="480" w:firstLineChars="200"/>
        <w:rPr>
          <w:rFonts w:ascii="宋体" w:hAnsi="宋体" w:cs="宋体"/>
          <w:sz w:val="24"/>
        </w:rPr>
      </w:pPr>
      <w:r>
        <w:rPr>
          <w:rFonts w:hint="eastAsia" w:ascii="宋体" w:hAnsi="宋体" w:cs="宋体"/>
          <w:sz w:val="24"/>
        </w:rPr>
        <w:t>（3）大流量应对方案合理，可操作性强得3分，一般得2分，差得1分，没有不得分。</w:t>
      </w:r>
    </w:p>
    <w:p>
      <w:pPr>
        <w:spacing w:line="400" w:lineRule="exact"/>
        <w:ind w:firstLine="480" w:firstLineChars="200"/>
        <w:rPr>
          <w:rFonts w:ascii="宋体" w:hAnsi="宋体" w:cs="宋体"/>
          <w:sz w:val="24"/>
        </w:rPr>
      </w:pPr>
      <w:r>
        <w:rPr>
          <w:rFonts w:hint="eastAsia" w:ascii="宋体" w:hAnsi="宋体" w:cs="宋体"/>
          <w:sz w:val="24"/>
        </w:rPr>
        <w:t>（4）应急处理预案合理，可操作性强得3分，一般得2分，差得1分，没有不得分。</w:t>
      </w:r>
    </w:p>
    <w:p>
      <w:pPr>
        <w:spacing w:line="400" w:lineRule="exact"/>
        <w:ind w:firstLine="480" w:firstLineChars="200"/>
        <w:rPr>
          <w:rFonts w:ascii="宋体" w:hAnsi="宋体" w:cs="宋体"/>
          <w:sz w:val="24"/>
        </w:rPr>
      </w:pPr>
      <w:r>
        <w:rPr>
          <w:rFonts w:hint="eastAsia" w:ascii="宋体" w:hAnsi="宋体" w:cs="宋体"/>
          <w:sz w:val="24"/>
        </w:rPr>
        <w:t>（5）达不到服务承诺的赔偿措施设置合理得3分，一般得2分，差得1分，没有不得分。</w:t>
      </w:r>
    </w:p>
    <w:p>
      <w:pPr>
        <w:spacing w:line="40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）对清单外项目（自费项目）优惠承诺，根据本单位定价标准为基础，优惠方案最优得5分，一般得3分，差得1分，没有不得分。</w:t>
      </w:r>
    </w:p>
    <w:p>
      <w:pPr>
        <w:spacing w:line="40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）体检结果的跟踪服务方案，可操作性好得5分，一般得3分，差得1分，没有不得分。</w:t>
      </w:r>
    </w:p>
    <w:p>
      <w:pPr>
        <w:spacing w:line="400" w:lineRule="exact"/>
        <w:ind w:firstLine="480" w:firstLineChars="200"/>
        <w:rPr>
          <w:rFonts w:ascii="宋体" w:hAnsi="宋体" w:cs="宋体"/>
          <w:sz w:val="24"/>
        </w:rPr>
      </w:pPr>
      <w:r>
        <w:rPr>
          <w:rFonts w:ascii="宋体" w:hAnsi="宋体" w:cs="宋体"/>
          <w:sz w:val="24"/>
        </w:rPr>
        <w:t>（8</w:t>
      </w:r>
      <w:r>
        <w:rPr>
          <w:rFonts w:hint="eastAsia" w:ascii="宋体" w:hAnsi="宋体" w:cs="宋体"/>
          <w:sz w:val="24"/>
        </w:rPr>
        <w:t>）教职工家属体检方案，可操作性好得5分，一般得3分，差得1分，没有不得分。</w:t>
      </w:r>
    </w:p>
    <w:p>
      <w:pPr>
        <w:spacing w:line="400" w:lineRule="exact"/>
        <w:rPr>
          <w:rFonts w:ascii="宋体" w:hAnsi="宋体" w:cs="宋体"/>
          <w:sz w:val="24"/>
        </w:rPr>
      </w:pPr>
      <w:r>
        <w:rPr>
          <w:rFonts w:hint="eastAsia" w:ascii="宋体" w:hAnsi="宋体" w:cs="宋体"/>
          <w:b/>
          <w:bCs/>
          <w:sz w:val="24"/>
        </w:rPr>
        <w:t xml:space="preserve">    3.</w:t>
      </w:r>
      <w:r>
        <w:rPr>
          <w:rFonts w:hint="eastAsia" w:ascii="宋体" w:hAnsi="宋体"/>
          <w:b/>
          <w:bCs/>
          <w:color w:val="000000"/>
          <w:sz w:val="24"/>
        </w:rPr>
        <w:t>可用于本次体检的大型检查设备数量</w:t>
      </w:r>
      <w:r>
        <w:rPr>
          <w:rFonts w:hint="eastAsia" w:ascii="宋体" w:hAnsi="宋体" w:cs="宋体"/>
          <w:b/>
          <w:bCs/>
          <w:sz w:val="24"/>
        </w:rPr>
        <w:t>（</w:t>
      </w:r>
      <w:r>
        <w:rPr>
          <w:rFonts w:ascii="宋体" w:hAnsi="宋体" w:cs="宋体"/>
          <w:b/>
          <w:bCs/>
          <w:sz w:val="24"/>
        </w:rPr>
        <w:t>20</w:t>
      </w:r>
      <w:r>
        <w:rPr>
          <w:rFonts w:hint="eastAsia" w:ascii="宋体" w:hAnsi="宋体" w:cs="宋体"/>
          <w:b/>
          <w:bCs/>
          <w:sz w:val="24"/>
        </w:rPr>
        <w:t>分）</w:t>
      </w:r>
    </w:p>
    <w:p>
      <w:pPr>
        <w:adjustRightInd w:val="0"/>
        <w:snapToGrid w:val="0"/>
        <w:spacing w:line="400" w:lineRule="exact"/>
        <w:ind w:firstLine="480" w:firstLineChars="200"/>
        <w:rPr>
          <w:rFonts w:ascii="宋体" w:hAnsi="宋体"/>
          <w:bCs/>
          <w:color w:val="000000"/>
          <w:sz w:val="24"/>
        </w:rPr>
      </w:pPr>
      <w:r>
        <w:rPr>
          <w:rFonts w:hint="eastAsia" w:ascii="宋体" w:hAnsi="宋体"/>
          <w:bCs/>
          <w:color w:val="000000"/>
          <w:sz w:val="24"/>
        </w:rPr>
        <w:t xml:space="preserve">3.1 </w:t>
      </w:r>
      <w:r>
        <w:rPr>
          <w:rFonts w:ascii="宋体" w:hAnsi="宋体"/>
          <w:bCs/>
          <w:color w:val="000000"/>
          <w:sz w:val="24"/>
        </w:rPr>
        <w:t>彩色B超</w:t>
      </w:r>
      <w:r>
        <w:rPr>
          <w:rFonts w:hint="eastAsia" w:ascii="宋体" w:hAnsi="宋体"/>
          <w:bCs/>
          <w:color w:val="000000"/>
          <w:sz w:val="24"/>
        </w:rPr>
        <w:t>仪器数（</w:t>
      </w:r>
      <w:r>
        <w:rPr>
          <w:rFonts w:ascii="宋体" w:hAnsi="宋体"/>
          <w:bCs/>
          <w:color w:val="000000"/>
          <w:sz w:val="24"/>
        </w:rPr>
        <w:t>10</w:t>
      </w:r>
      <w:r>
        <w:rPr>
          <w:rFonts w:hint="eastAsia" w:ascii="宋体" w:hAnsi="宋体"/>
          <w:bCs/>
          <w:color w:val="000000"/>
          <w:sz w:val="24"/>
        </w:rPr>
        <w:t>分）。根据各投标单位承诺的用于本次体检的彩色</w:t>
      </w:r>
      <w:r>
        <w:rPr>
          <w:rFonts w:ascii="宋体" w:hAnsi="宋体"/>
          <w:bCs/>
          <w:color w:val="000000"/>
          <w:sz w:val="24"/>
        </w:rPr>
        <w:t>B超仪器</w:t>
      </w:r>
      <w:r>
        <w:rPr>
          <w:rFonts w:hint="eastAsia" w:ascii="宋体" w:hAnsi="宋体"/>
          <w:bCs/>
          <w:color w:val="000000"/>
          <w:sz w:val="24"/>
        </w:rPr>
        <w:t>的数量进行评分，一台得</w:t>
      </w:r>
      <w:r>
        <w:rPr>
          <w:rFonts w:ascii="宋体" w:hAnsi="宋体"/>
          <w:bCs/>
          <w:color w:val="000000"/>
          <w:sz w:val="24"/>
        </w:rPr>
        <w:t>1</w:t>
      </w:r>
      <w:r>
        <w:rPr>
          <w:rFonts w:hint="eastAsia" w:ascii="宋体" w:hAnsi="宋体"/>
          <w:bCs/>
          <w:color w:val="000000"/>
          <w:sz w:val="24"/>
        </w:rPr>
        <w:t>分，一台以上每多一台加</w:t>
      </w:r>
      <w:r>
        <w:rPr>
          <w:rFonts w:ascii="宋体" w:hAnsi="宋体"/>
          <w:bCs/>
          <w:color w:val="000000"/>
          <w:sz w:val="24"/>
        </w:rPr>
        <w:t>1</w:t>
      </w:r>
      <w:r>
        <w:rPr>
          <w:rFonts w:hint="eastAsia" w:ascii="宋体" w:hAnsi="宋体"/>
          <w:bCs/>
          <w:color w:val="000000"/>
          <w:sz w:val="24"/>
        </w:rPr>
        <w:t>分，本项最高</w:t>
      </w:r>
      <w:r>
        <w:rPr>
          <w:rFonts w:ascii="宋体" w:hAnsi="宋体"/>
          <w:bCs/>
          <w:color w:val="000000"/>
          <w:sz w:val="24"/>
        </w:rPr>
        <w:t>10</w:t>
      </w:r>
      <w:r>
        <w:rPr>
          <w:rFonts w:hint="eastAsia" w:ascii="宋体" w:hAnsi="宋体"/>
          <w:bCs/>
          <w:color w:val="000000"/>
          <w:sz w:val="24"/>
        </w:rPr>
        <w:t>分。</w:t>
      </w:r>
    </w:p>
    <w:p>
      <w:pPr>
        <w:adjustRightInd w:val="0"/>
        <w:snapToGrid w:val="0"/>
        <w:spacing w:line="400" w:lineRule="exact"/>
        <w:ind w:firstLine="480" w:firstLineChars="200"/>
        <w:rPr>
          <w:rFonts w:ascii="宋体" w:hAnsi="宋体"/>
          <w:bCs/>
          <w:color w:val="000000"/>
          <w:sz w:val="24"/>
        </w:rPr>
      </w:pPr>
      <w:r>
        <w:rPr>
          <w:rFonts w:hint="eastAsia" w:ascii="宋体" w:hAnsi="宋体"/>
          <w:bCs/>
          <w:color w:val="000000"/>
          <w:sz w:val="24"/>
        </w:rPr>
        <w:t>3.2 CT仪器数（</w:t>
      </w:r>
      <w:r>
        <w:rPr>
          <w:rFonts w:ascii="宋体" w:hAnsi="宋体"/>
          <w:bCs/>
          <w:color w:val="000000"/>
          <w:sz w:val="24"/>
        </w:rPr>
        <w:t>10</w:t>
      </w:r>
      <w:r>
        <w:rPr>
          <w:rFonts w:hint="eastAsia" w:ascii="宋体" w:hAnsi="宋体"/>
          <w:bCs/>
          <w:color w:val="000000"/>
          <w:sz w:val="24"/>
        </w:rPr>
        <w:t>分）。根据各投标单位承诺的用于本次体检的CT的数量进行评分，一台得</w:t>
      </w:r>
      <w:r>
        <w:rPr>
          <w:rFonts w:ascii="宋体" w:hAnsi="宋体"/>
          <w:bCs/>
          <w:color w:val="000000"/>
          <w:sz w:val="24"/>
        </w:rPr>
        <w:t>5</w:t>
      </w:r>
      <w:r>
        <w:rPr>
          <w:rFonts w:hint="eastAsia" w:ascii="宋体" w:hAnsi="宋体"/>
          <w:bCs/>
          <w:color w:val="000000"/>
          <w:sz w:val="24"/>
        </w:rPr>
        <w:t>分，一台以上每多一台加</w:t>
      </w:r>
      <w:r>
        <w:rPr>
          <w:rFonts w:ascii="宋体" w:hAnsi="宋体"/>
          <w:bCs/>
          <w:color w:val="000000"/>
          <w:sz w:val="24"/>
        </w:rPr>
        <w:t>5</w:t>
      </w:r>
      <w:r>
        <w:rPr>
          <w:rFonts w:hint="eastAsia" w:ascii="宋体" w:hAnsi="宋体"/>
          <w:bCs/>
          <w:color w:val="000000"/>
          <w:sz w:val="24"/>
        </w:rPr>
        <w:t>分，本项最高</w:t>
      </w:r>
      <w:r>
        <w:rPr>
          <w:rFonts w:ascii="宋体" w:hAnsi="宋体"/>
          <w:bCs/>
          <w:color w:val="000000"/>
          <w:sz w:val="24"/>
        </w:rPr>
        <w:t>10</w:t>
      </w:r>
      <w:r>
        <w:rPr>
          <w:rFonts w:hint="eastAsia" w:ascii="宋体" w:hAnsi="宋体"/>
          <w:bCs/>
          <w:color w:val="000000"/>
          <w:sz w:val="24"/>
        </w:rPr>
        <w:t>分。</w:t>
      </w:r>
    </w:p>
    <w:p>
      <w:pPr>
        <w:spacing w:line="400" w:lineRule="exact"/>
        <w:ind w:firstLine="482" w:firstLineChars="200"/>
        <w:rPr>
          <w:rFonts w:ascii="宋体" w:hAnsi="宋体"/>
          <w:b/>
          <w:bCs/>
          <w:color w:val="000000"/>
          <w:sz w:val="24"/>
        </w:rPr>
      </w:pPr>
      <w:r>
        <w:rPr>
          <w:rFonts w:hint="eastAsia" w:ascii="宋体" w:hAnsi="宋体" w:cs="宋体"/>
          <w:b/>
          <w:bCs/>
          <w:sz w:val="24"/>
        </w:rPr>
        <w:t>4.</w:t>
      </w:r>
      <w:r>
        <w:rPr>
          <w:rFonts w:hint="eastAsia" w:ascii="宋体" w:hAnsi="宋体"/>
          <w:b/>
          <w:bCs/>
          <w:color w:val="000000"/>
          <w:sz w:val="24"/>
        </w:rPr>
        <w:t>体检场所面积（</w:t>
      </w:r>
      <w:r>
        <w:rPr>
          <w:rFonts w:ascii="宋体" w:hAnsi="宋体"/>
          <w:b/>
          <w:bCs/>
          <w:color w:val="000000"/>
          <w:sz w:val="24"/>
        </w:rPr>
        <w:t>5</w:t>
      </w:r>
      <w:r>
        <w:rPr>
          <w:rFonts w:hint="eastAsia" w:ascii="宋体" w:hAnsi="宋体"/>
          <w:b/>
          <w:bCs/>
          <w:color w:val="000000"/>
          <w:sz w:val="24"/>
        </w:rPr>
        <w:t>分）</w:t>
      </w:r>
    </w:p>
    <w:p>
      <w:pPr>
        <w:adjustRightInd w:val="0"/>
        <w:snapToGrid w:val="0"/>
        <w:spacing w:line="400" w:lineRule="exact"/>
        <w:ind w:firstLine="480" w:firstLineChars="200"/>
        <w:rPr>
          <w:rFonts w:ascii="宋体" w:hAnsi="宋体"/>
          <w:b/>
          <w:bCs/>
          <w:color w:val="000000"/>
          <w:sz w:val="24"/>
        </w:rPr>
      </w:pPr>
      <w:r>
        <w:rPr>
          <w:rFonts w:hint="eastAsia" w:ascii="宋体" w:hAnsi="宋体"/>
          <w:bCs/>
          <w:color w:val="000000"/>
          <w:sz w:val="24"/>
        </w:rPr>
        <w:t>以5000平方米为评标基准面积，投标单位体检中心面积在5000平方米（含）以上的得</w:t>
      </w:r>
      <w:r>
        <w:rPr>
          <w:rFonts w:ascii="宋体" w:hAnsi="宋体"/>
          <w:bCs/>
          <w:color w:val="000000"/>
          <w:sz w:val="24"/>
        </w:rPr>
        <w:t>5</w:t>
      </w:r>
      <w:r>
        <w:rPr>
          <w:rFonts w:hint="eastAsia" w:ascii="宋体" w:hAnsi="宋体"/>
          <w:bCs/>
          <w:color w:val="000000"/>
          <w:sz w:val="24"/>
        </w:rPr>
        <w:t>分，不足5000平方米的得分统一按下列公式计算：得分=（面积/5000）×</w:t>
      </w:r>
      <w:r>
        <w:rPr>
          <w:rFonts w:ascii="宋体" w:hAnsi="宋体"/>
          <w:bCs/>
          <w:color w:val="000000"/>
          <w:sz w:val="24"/>
        </w:rPr>
        <w:t>5</w:t>
      </w:r>
      <w:r>
        <w:rPr>
          <w:rFonts w:hint="eastAsia" w:ascii="宋体" w:hAnsi="宋体"/>
          <w:bCs/>
          <w:color w:val="000000"/>
          <w:sz w:val="24"/>
        </w:rPr>
        <w:t>，数值取小数点后一位。</w:t>
      </w:r>
    </w:p>
    <w:p>
      <w:pPr>
        <w:spacing w:line="400" w:lineRule="exact"/>
        <w:rPr>
          <w:rFonts w:ascii="宋体" w:hAnsi="宋体" w:cs="宋体"/>
          <w:sz w:val="24"/>
        </w:rPr>
      </w:pPr>
      <w:r>
        <w:rPr>
          <w:rFonts w:hint="eastAsia" w:ascii="宋体" w:hAnsi="宋体" w:cs="宋体"/>
          <w:b/>
          <w:bCs/>
          <w:sz w:val="24"/>
        </w:rPr>
        <w:t xml:space="preserve">    5.业绩分（5分）</w:t>
      </w:r>
    </w:p>
    <w:p>
      <w:pPr>
        <w:spacing w:line="400" w:lineRule="exact"/>
        <w:ind w:firstLine="480" w:firstLineChars="200"/>
        <w:rPr>
          <w:rFonts w:ascii="宋体" w:hAnsi="宋体"/>
          <w:bCs/>
          <w:color w:val="000000"/>
          <w:sz w:val="24"/>
        </w:rPr>
      </w:pPr>
      <w:r>
        <w:rPr>
          <w:rFonts w:hint="eastAsia" w:ascii="宋体" w:hAnsi="宋体"/>
          <w:bCs/>
          <w:color w:val="000000"/>
          <w:sz w:val="24"/>
        </w:rPr>
        <w:t>从20</w:t>
      </w:r>
      <w:r>
        <w:rPr>
          <w:rFonts w:ascii="宋体" w:hAnsi="宋体"/>
          <w:bCs/>
          <w:color w:val="000000"/>
          <w:sz w:val="24"/>
        </w:rPr>
        <w:t>20</w:t>
      </w:r>
      <w:r>
        <w:rPr>
          <w:rFonts w:hint="eastAsia" w:ascii="宋体" w:hAnsi="宋体"/>
          <w:bCs/>
          <w:color w:val="000000"/>
          <w:sz w:val="24"/>
        </w:rPr>
        <w:t>年1月1日起，为超过100人以上的</w:t>
      </w:r>
      <w:r>
        <w:rPr>
          <w:rFonts w:hint="eastAsia" w:ascii="宋体" w:hAnsi="宋体" w:cs="宋体"/>
          <w:kern w:val="0"/>
          <w:sz w:val="24"/>
        </w:rPr>
        <w:t>学校或大型企事业单位</w:t>
      </w:r>
      <w:r>
        <w:rPr>
          <w:rFonts w:hint="eastAsia" w:ascii="宋体" w:hAnsi="宋体"/>
          <w:bCs/>
          <w:color w:val="000000"/>
          <w:sz w:val="24"/>
        </w:rPr>
        <w:t>健康体检（不含学生体检），提供合同或结算明细复印件（复印件主要内容清晰，原件现场备查），有1个得1分，最高5分。</w:t>
      </w:r>
    </w:p>
    <w:p>
      <w:pPr>
        <w:spacing w:line="400" w:lineRule="exact"/>
        <w:ind w:firstLine="472" w:firstLineChars="196"/>
        <w:rPr>
          <w:rFonts w:ascii="宋体" w:hAnsi="宋体" w:cs="宋体"/>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MDZlM2M4NDdjYWZkN2NkNjk3MjM2MGEyYmQ1YzcifQ=="/>
  </w:docVars>
  <w:rsids>
    <w:rsidRoot w:val="376B54E7"/>
    <w:rsid w:val="376B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2023-06-06T07:50:00Z</dcterms:created>
  <dc:creator>季海燕</dc:creator>
  <cp:lastModifiedBy>季海燕</cp:lastModifiedBy>
  <dcterms:modified xsi:type="dcterms:W3CDTF">2023-06-06T07:50:19Z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46CD78AA9F034A788ACE27070A5831CA_11</vt:lpwstr>
  </property>
</Properties>
</file>