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89F">
      <w:pPr>
        <w:adjustRightInd w:val="0"/>
        <w:spacing w:before="120" w:after="120" w:line="360" w:lineRule="auto"/>
        <w:jc w:val="center"/>
        <w:textAlignment w:val="baseline"/>
        <w:rPr>
          <w:rFonts w:ascii="Arial" w:hAnsi="Arial" w:eastAsia="宋体" w:cs="Times New Roman"/>
          <w:b/>
          <w:bCs/>
          <w:kern w:val="0"/>
          <w:sz w:val="36"/>
          <w:szCs w:val="36"/>
        </w:rPr>
      </w:pPr>
    </w:p>
    <w:p w14:paraId="5DEA609E">
      <w:pPr>
        <w:jc w:val="center"/>
        <w:rPr>
          <w:rFonts w:hint="eastAsia" w:ascii="宋体" w:hAnsi="宋体" w:eastAsia="宋体" w:cs="Times New Roman"/>
          <w:color w:val="000000"/>
          <w:sz w:val="36"/>
          <w:szCs w:val="24"/>
        </w:rPr>
      </w:pPr>
      <w:r>
        <w:rPr>
          <w:rFonts w:hint="eastAsia" w:ascii="Times New Roman" w:hAnsi="Times New Roman" w:eastAsia="宋体" w:cs="Times New Roman"/>
          <w:b/>
          <w:bCs/>
          <w:sz w:val="36"/>
          <w:szCs w:val="36"/>
        </w:rPr>
        <w:t xml:space="preserve">                               TDCG2025043</w:t>
      </w:r>
      <w:r>
        <w:rPr>
          <w:rFonts w:ascii="宋体" w:hAnsi="宋体" w:eastAsia="宋体" w:cs="Times New Roman"/>
          <w:b/>
          <w:bCs/>
          <w:color w:val="000000"/>
          <w:sz w:val="36"/>
          <w:szCs w:val="24"/>
        </w:rPr>
        <w:t>号</w:t>
      </w:r>
    </w:p>
    <w:p w14:paraId="3175F82A">
      <w:pPr>
        <w:adjustRightInd w:val="0"/>
        <w:spacing w:before="120" w:after="120" w:line="360" w:lineRule="auto"/>
        <w:jc w:val="center"/>
        <w:textAlignment w:val="baseline"/>
        <w:rPr>
          <w:rFonts w:hint="eastAsia" w:ascii="宋体" w:hAnsi="宋体" w:eastAsia="宋体" w:cs="Times New Roman"/>
          <w:bCs/>
          <w:kern w:val="0"/>
          <w:sz w:val="36"/>
          <w:szCs w:val="36"/>
        </w:rPr>
      </w:pPr>
    </w:p>
    <w:p w14:paraId="34C8DE61">
      <w:pPr>
        <w:adjustRightInd w:val="0"/>
        <w:spacing w:before="120" w:after="120" w:line="360" w:lineRule="auto"/>
        <w:jc w:val="center"/>
        <w:textAlignment w:val="baseline"/>
        <w:rPr>
          <w:rFonts w:hint="eastAsia" w:ascii="宋体" w:hAnsi="宋体" w:eastAsia="宋体" w:cs="Times New Roman"/>
          <w:b/>
          <w:bCs/>
          <w:kern w:val="0"/>
          <w:sz w:val="36"/>
          <w:szCs w:val="36"/>
        </w:rPr>
      </w:pPr>
      <w:r>
        <w:rPr>
          <w:rFonts w:hint="eastAsia" w:ascii="宋体" w:hAnsi="宋体" w:eastAsia="宋体" w:cs="Times New Roman"/>
          <w:b/>
          <w:bCs/>
          <w:kern w:val="0"/>
          <w:sz w:val="36"/>
          <w:szCs w:val="36"/>
        </w:rPr>
        <w:t>2025年-2027年高压配电房服务外包项目</w:t>
      </w:r>
    </w:p>
    <w:p w14:paraId="4AA37BE7">
      <w:pPr>
        <w:adjustRightInd w:val="0"/>
        <w:spacing w:before="120" w:after="120" w:line="360" w:lineRule="auto"/>
        <w:jc w:val="center"/>
        <w:textAlignment w:val="baseline"/>
        <w:rPr>
          <w:rFonts w:hint="eastAsia" w:ascii="宋体" w:hAnsi="宋体" w:eastAsia="宋体" w:cs="Times New Roman"/>
          <w:b/>
          <w:bCs/>
          <w:kern w:val="0"/>
          <w:sz w:val="36"/>
          <w:szCs w:val="36"/>
        </w:rPr>
      </w:pPr>
      <w:r>
        <w:rPr>
          <w:rFonts w:hint="eastAsia" w:ascii="宋体" w:hAnsi="宋体" w:eastAsia="宋体" w:cs="Times New Roman"/>
          <w:b/>
          <w:bCs/>
          <w:kern w:val="0"/>
          <w:sz w:val="36"/>
          <w:szCs w:val="36"/>
        </w:rPr>
        <w:t>竞争性磋商文件</w:t>
      </w:r>
    </w:p>
    <w:p w14:paraId="3DB19B7E">
      <w:pPr>
        <w:adjustRightInd w:val="0"/>
        <w:spacing w:before="120" w:after="120" w:line="360" w:lineRule="auto"/>
        <w:jc w:val="center"/>
        <w:textAlignment w:val="baseline"/>
        <w:rPr>
          <w:rFonts w:hint="eastAsia" w:ascii="宋体" w:hAnsi="宋体" w:eastAsia="宋体" w:cs="Times New Roman"/>
          <w:kern w:val="0"/>
          <w:sz w:val="24"/>
          <w:szCs w:val="24"/>
        </w:rPr>
      </w:pPr>
      <w:r>
        <w:rPr>
          <w:rFonts w:ascii="宋体" w:hAnsi="宋体" w:eastAsia="宋体" w:cs="Times New Roman"/>
          <w:kern w:val="0"/>
          <w:sz w:val="36"/>
          <w:szCs w:val="24"/>
        </w:rPr>
        <w:drawing>
          <wp:anchor distT="0" distB="0" distL="0" distR="0" simplePos="0" relativeHeight="251659264" behindDoc="0" locked="0" layoutInCell="1" allowOverlap="1">
            <wp:simplePos x="0" y="0"/>
            <wp:positionH relativeFrom="column">
              <wp:posOffset>254000</wp:posOffset>
            </wp:positionH>
            <wp:positionV relativeFrom="page">
              <wp:posOffset>3434715</wp:posOffset>
            </wp:positionV>
            <wp:extent cx="5600700" cy="3686175"/>
            <wp:effectExtent l="0" t="0" r="0" b="952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srcRect/>
                    <a:stretch>
                      <a:fillRect/>
                    </a:stretch>
                  </pic:blipFill>
                  <pic:spPr>
                    <a:xfrm>
                      <a:off x="0" y="0"/>
                      <a:ext cx="5600700" cy="3686175"/>
                    </a:xfrm>
                    <a:prstGeom prst="rect">
                      <a:avLst/>
                    </a:prstGeom>
                    <a:noFill/>
                    <a:ln>
                      <a:noFill/>
                    </a:ln>
                  </pic:spPr>
                </pic:pic>
              </a:graphicData>
            </a:graphic>
          </wp:anchor>
        </w:drawing>
      </w:r>
    </w:p>
    <w:p w14:paraId="4042F4C7">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7E25C9BC">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42E77C20">
      <w:pPr>
        <w:spacing w:line="360" w:lineRule="auto"/>
        <w:ind w:firstLine="1432" w:firstLineChars="495"/>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采</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购</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 xml:space="preserve"> 人：</w:t>
      </w:r>
      <w:bookmarkStart w:id="0" w:name="OLE_LINK1"/>
      <w:r>
        <w:rPr>
          <w:rFonts w:hint="eastAsia" w:ascii="宋体" w:hAnsi="宋体" w:eastAsia="宋体" w:cs="Times New Roman"/>
          <w:b/>
          <w:bCs/>
          <w:w w:val="90"/>
          <w:kern w:val="0"/>
          <w:sz w:val="32"/>
          <w:szCs w:val="32"/>
        </w:rPr>
        <w:t>南京邮电大学通达学院</w:t>
      </w:r>
    </w:p>
    <w:bookmarkEnd w:id="0"/>
    <w:p w14:paraId="722C6692">
      <w:pPr>
        <w:spacing w:line="360" w:lineRule="auto"/>
        <w:ind w:firstLine="1157" w:firstLineChars="4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 xml:space="preserve">  采购代理机构</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章</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：江苏唯诚建设咨询有限公司</w:t>
      </w:r>
    </w:p>
    <w:p w14:paraId="5CFE2C31">
      <w:pPr>
        <w:spacing w:line="360" w:lineRule="auto"/>
        <w:ind w:firstLine="1446" w:firstLineChars="5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发</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放</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日</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期：</w:t>
      </w:r>
      <w:bookmarkStart w:id="1" w:name="EB59c3faf64f2a4bd092a206fb1d0c3c03"/>
      <w:r>
        <w:rPr>
          <w:rFonts w:hint="eastAsia" w:ascii="宋体" w:hAnsi="宋体" w:eastAsia="宋体" w:cs="Times New Roman"/>
          <w:b/>
          <w:bCs/>
          <w:w w:val="90"/>
          <w:kern w:val="0"/>
          <w:sz w:val="32"/>
          <w:szCs w:val="32"/>
        </w:rPr>
        <w:t xml:space="preserve"> </w:t>
      </w:r>
      <w:bookmarkEnd w:id="1"/>
      <w:r>
        <w:rPr>
          <w:rFonts w:hint="eastAsia" w:ascii="宋体" w:hAnsi="宋体" w:eastAsia="宋体" w:cs="Times New Roman"/>
          <w:b/>
          <w:bCs/>
          <w:w w:val="90"/>
          <w:kern w:val="0"/>
          <w:sz w:val="32"/>
          <w:szCs w:val="32"/>
        </w:rPr>
        <w:t>2025年10</w:t>
      </w:r>
      <w:r>
        <w:rPr>
          <w:rFonts w:hint="eastAsia" w:ascii="宋体" w:hAnsi="宋体" w:eastAsia="宋体" w:cs="Times New Roman"/>
          <w:b/>
          <w:bCs/>
          <w:color w:val="000000"/>
          <w:w w:val="90"/>
          <w:kern w:val="0"/>
          <w:sz w:val="32"/>
          <w:szCs w:val="32"/>
        </w:rPr>
        <w:t>月</w:t>
      </w:r>
      <w:r>
        <w:rPr>
          <w:rFonts w:hint="eastAsia" w:ascii="宋体" w:hAnsi="宋体" w:cs="Times New Roman"/>
          <w:b/>
          <w:bCs/>
          <w:color w:val="000000"/>
          <w:w w:val="90"/>
          <w:kern w:val="0"/>
          <w:sz w:val="32"/>
          <w:szCs w:val="32"/>
          <w:lang w:val="en-US" w:eastAsia="zh-CN"/>
        </w:rPr>
        <w:t>23</w:t>
      </w:r>
      <w:r>
        <w:rPr>
          <w:rFonts w:hint="eastAsia" w:ascii="宋体" w:hAnsi="宋体" w:eastAsia="宋体" w:cs="Times New Roman"/>
          <w:b/>
          <w:bCs/>
          <w:color w:val="000000"/>
          <w:w w:val="90"/>
          <w:kern w:val="0"/>
          <w:sz w:val="32"/>
          <w:szCs w:val="32"/>
        </w:rPr>
        <w:t>日</w:t>
      </w:r>
    </w:p>
    <w:p w14:paraId="5576634C">
      <w:pPr>
        <w:adjustRightInd w:val="0"/>
        <w:spacing w:before="120" w:after="120" w:line="360" w:lineRule="auto"/>
        <w:jc w:val="left"/>
        <w:textAlignment w:val="baseline"/>
        <w:rPr>
          <w:rFonts w:hint="eastAsia" w:ascii="宋体" w:hAnsi="宋体" w:eastAsia="宋体" w:cs="Times New Roman"/>
          <w:b/>
          <w:kern w:val="0"/>
          <w:sz w:val="52"/>
          <w:szCs w:val="52"/>
        </w:rPr>
      </w:pPr>
    </w:p>
    <w:p w14:paraId="1545306A">
      <w:pPr>
        <w:adjustRightInd w:val="0"/>
        <w:spacing w:before="120" w:after="120" w:line="360" w:lineRule="auto"/>
        <w:jc w:val="left"/>
        <w:textAlignment w:val="baseline"/>
        <w:rPr>
          <w:rFonts w:hint="eastAsia" w:ascii="宋体" w:hAnsi="宋体" w:eastAsia="宋体" w:cs="Times New Roman"/>
          <w:b/>
          <w:kern w:val="0"/>
          <w:sz w:val="52"/>
          <w:szCs w:val="52"/>
        </w:rPr>
      </w:pPr>
    </w:p>
    <w:p w14:paraId="2930DA3A">
      <w:pPr>
        <w:spacing w:line="480" w:lineRule="auto"/>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总 目 录</w:t>
      </w:r>
    </w:p>
    <w:p w14:paraId="5A5C9C5E">
      <w:pPr>
        <w:spacing w:line="480" w:lineRule="auto"/>
        <w:jc w:val="center"/>
        <w:outlineLvl w:val="0"/>
        <w:rPr>
          <w:rFonts w:hint="eastAsia" w:ascii="宋体" w:hAnsi="宋体" w:eastAsia="宋体" w:cs="Times New Roman"/>
          <w:b/>
          <w:sz w:val="32"/>
          <w:szCs w:val="32"/>
        </w:rPr>
      </w:pPr>
    </w:p>
    <w:p w14:paraId="305EA6C4">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第一章    竞争性磋商采购邀请</w:t>
      </w:r>
      <w:r>
        <w:rPr>
          <w:rFonts w:hint="eastAsia" w:ascii="Times New Roman" w:hAnsi="Times New Roman" w:eastAsia="宋体" w:cs="Times New Roman"/>
          <w:szCs w:val="24"/>
        </w:rPr>
        <w:t>…………………………………………………………</w:t>
      </w:r>
      <w:r>
        <w:rPr>
          <w:rFonts w:hint="eastAsia" w:ascii="宋体" w:hAnsi="宋体" w:eastAsia="宋体" w:cs="Times New Roman"/>
          <w:szCs w:val="21"/>
        </w:rPr>
        <w:t xml:space="preserve">3                                         </w:t>
      </w:r>
    </w:p>
    <w:p w14:paraId="5D4335D3">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第二章    磋商须知</w:t>
      </w:r>
      <w:r>
        <w:rPr>
          <w:rFonts w:ascii="宋体" w:hAnsi="宋体" w:eastAsia="宋体" w:cs="Times New Roman"/>
          <w:szCs w:val="21"/>
        </w:rPr>
        <w:t>…………………………</w:t>
      </w:r>
      <w:r>
        <w:rPr>
          <w:rFonts w:hint="eastAsia" w:ascii="宋体" w:hAnsi="宋体" w:eastAsia="宋体" w:cs="Times New Roman"/>
          <w:szCs w:val="21"/>
        </w:rPr>
        <w:t>……………………………………………6</w:t>
      </w:r>
    </w:p>
    <w:p w14:paraId="1A41A512">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第三章    合同条款及格式</w:t>
      </w:r>
      <w:r>
        <w:rPr>
          <w:rFonts w:ascii="宋体" w:hAnsi="宋体" w:eastAsia="宋体" w:cs="Times New Roman"/>
          <w:szCs w:val="21"/>
        </w:rPr>
        <w:t>…………………</w:t>
      </w:r>
      <w:r>
        <w:rPr>
          <w:rFonts w:hint="eastAsia" w:ascii="宋体" w:hAnsi="宋体" w:eastAsia="宋体" w:cs="Times New Roman"/>
          <w:szCs w:val="21"/>
        </w:rPr>
        <w:t>……………………………………………14</w:t>
      </w:r>
    </w:p>
    <w:p w14:paraId="3EBCDB55">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第四章    项目需求</w:t>
      </w:r>
      <w:r>
        <w:rPr>
          <w:rFonts w:ascii="宋体" w:hAnsi="宋体" w:eastAsia="宋体" w:cs="Times New Roman"/>
          <w:szCs w:val="21"/>
        </w:rPr>
        <w:t>…………………………</w:t>
      </w:r>
      <w:r>
        <w:rPr>
          <w:rFonts w:hint="eastAsia" w:ascii="宋体" w:hAnsi="宋体" w:eastAsia="宋体" w:cs="Times New Roman"/>
          <w:szCs w:val="21"/>
        </w:rPr>
        <w:t>……………………………………………18</w:t>
      </w:r>
    </w:p>
    <w:p w14:paraId="0B454B9E">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第五章    评审方法和评审标准</w:t>
      </w:r>
      <w:r>
        <w:rPr>
          <w:rFonts w:ascii="宋体" w:hAnsi="宋体" w:eastAsia="宋体" w:cs="Times New Roman"/>
          <w:szCs w:val="21"/>
        </w:rPr>
        <w:t>……………</w:t>
      </w:r>
      <w:r>
        <w:rPr>
          <w:rFonts w:hint="eastAsia" w:ascii="宋体" w:hAnsi="宋体" w:eastAsia="宋体" w:cs="Times New Roman"/>
          <w:szCs w:val="21"/>
        </w:rPr>
        <w:t>……………………………………………27</w:t>
      </w:r>
    </w:p>
    <w:p w14:paraId="6A137073">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第六章    竞争性磋商响应文件格式</w:t>
      </w:r>
      <w:r>
        <w:rPr>
          <w:rFonts w:ascii="宋体" w:hAnsi="宋体" w:eastAsia="宋体" w:cs="Times New Roman"/>
          <w:szCs w:val="21"/>
        </w:rPr>
        <w:t>………</w:t>
      </w:r>
      <w:r>
        <w:rPr>
          <w:rFonts w:hint="eastAsia" w:ascii="宋体" w:hAnsi="宋体" w:eastAsia="宋体" w:cs="Times New Roman"/>
          <w:szCs w:val="21"/>
        </w:rPr>
        <w:t>……………………………………………29</w:t>
      </w:r>
    </w:p>
    <w:p w14:paraId="4A3E172B">
      <w:pPr>
        <w:tabs>
          <w:tab w:val="left" w:leader="dot" w:pos="8420"/>
        </w:tabs>
        <w:spacing w:line="303" w:lineRule="exact"/>
        <w:ind w:left="360"/>
        <w:rPr>
          <w:rFonts w:hint="eastAsia" w:ascii="宋体" w:hAnsi="宋体" w:eastAsia="宋体" w:cs="宋体"/>
          <w:szCs w:val="21"/>
        </w:rPr>
      </w:pPr>
    </w:p>
    <w:p w14:paraId="36242879">
      <w:pPr>
        <w:spacing w:line="560" w:lineRule="exact"/>
        <w:ind w:firstLine="420" w:firstLineChars="200"/>
        <w:outlineLvl w:val="0"/>
        <w:rPr>
          <w:rFonts w:hint="eastAsia" w:ascii="宋体" w:hAnsi="宋体" w:eastAsia="宋体" w:cs="Times New Roman"/>
          <w:szCs w:val="21"/>
        </w:rPr>
      </w:pPr>
    </w:p>
    <w:p w14:paraId="6D0121BF">
      <w:pPr>
        <w:rPr>
          <w:rFonts w:hint="eastAsia" w:ascii="宋体" w:hAnsi="宋体" w:eastAsia="宋体" w:cs="Times New Roman"/>
          <w:szCs w:val="24"/>
        </w:rPr>
      </w:pPr>
    </w:p>
    <w:p w14:paraId="66CE5CE0">
      <w:pPr>
        <w:rPr>
          <w:rFonts w:hint="eastAsia" w:ascii="宋体" w:hAnsi="宋体" w:eastAsia="宋体" w:cs="Times New Roman"/>
          <w:szCs w:val="24"/>
        </w:rPr>
      </w:pPr>
      <w:r>
        <w:rPr>
          <w:rFonts w:ascii="宋体" w:hAnsi="宋体" w:eastAsia="宋体" w:cs="Times New Roman"/>
          <w:szCs w:val="24"/>
        </w:rPr>
        <w:br w:type="page"/>
      </w:r>
    </w:p>
    <w:p w14:paraId="537043EC">
      <w:pPr>
        <w:keepNext/>
        <w:spacing w:after="240" w:afterLines="100"/>
        <w:jc w:val="center"/>
        <w:outlineLvl w:val="0"/>
        <w:rPr>
          <w:rFonts w:hint="eastAsia" w:ascii="宋体" w:hAnsi="宋体" w:eastAsia="宋体" w:cs="Times New Roman"/>
          <w:b/>
          <w:sz w:val="36"/>
          <w:szCs w:val="36"/>
        </w:rPr>
      </w:pPr>
      <w:r>
        <w:rPr>
          <w:rFonts w:hint="eastAsia" w:ascii="宋体" w:hAnsi="宋体" w:eastAsia="宋体" w:cs="Times New Roman"/>
          <w:b/>
          <w:sz w:val="36"/>
          <w:szCs w:val="36"/>
        </w:rPr>
        <w:t>第一章 竞争性磋商采购邀请</w:t>
      </w:r>
    </w:p>
    <w:p w14:paraId="129D7575">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bookmarkStart w:id="2" w:name="OLE_LINK3"/>
      <w:bookmarkStart w:id="3" w:name="OLE_LINK4"/>
      <w:r>
        <w:rPr>
          <w:rFonts w:hint="eastAsia" w:ascii="宋体" w:hAnsi="宋体" w:cs="宋体"/>
          <w:szCs w:val="21"/>
        </w:rPr>
        <w:t>项目概况</w:t>
      </w:r>
    </w:p>
    <w:p w14:paraId="24C68A4D">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u w:val="single"/>
        </w:rPr>
        <w:t>南京邮电大学通达学院2025年-2027年高压配电房服务外包项目</w:t>
      </w:r>
      <w:r>
        <w:rPr>
          <w:rFonts w:hint="eastAsia" w:ascii="宋体" w:hAnsi="宋体" w:cs="宋体"/>
          <w:szCs w:val="21"/>
        </w:rPr>
        <w:t>招标项目的潜在投标人应在</w:t>
      </w:r>
      <w:r>
        <w:rPr>
          <w:rFonts w:hint="eastAsia" w:ascii="宋体" w:hAnsi="宋体" w:cs="宋体"/>
          <w:szCs w:val="21"/>
          <w:u w:val="single"/>
        </w:rPr>
        <w:t xml:space="preserve">南京邮电大学采购招标管理办公室和通达学院采购招标信息网 </w:t>
      </w:r>
      <w:r>
        <w:rPr>
          <w:rFonts w:hint="eastAsia" w:ascii="宋体" w:hAnsi="宋体" w:cs="宋体"/>
          <w:szCs w:val="21"/>
        </w:rPr>
        <w:t>查看招标公告，并于</w:t>
      </w:r>
      <w:r>
        <w:rPr>
          <w:rFonts w:hint="eastAsia" w:ascii="宋体" w:hAnsi="宋体" w:cs="宋体"/>
          <w:szCs w:val="21"/>
          <w:u w:val="single"/>
        </w:rPr>
        <w:t>2025年</w:t>
      </w:r>
      <w:r>
        <w:rPr>
          <w:rFonts w:hint="eastAsia" w:ascii="宋体" w:hAnsi="宋体" w:cs="宋体"/>
          <w:bCs/>
          <w:szCs w:val="21"/>
          <w:u w:val="single"/>
        </w:rPr>
        <w:t>1</w:t>
      </w:r>
      <w:r>
        <w:rPr>
          <w:rFonts w:hint="eastAsia" w:ascii="宋体" w:hAnsi="宋体" w:cs="宋体"/>
          <w:bCs/>
          <w:szCs w:val="21"/>
          <w:u w:val="single"/>
          <w:lang w:val="en-US" w:eastAsia="zh-CN"/>
        </w:rPr>
        <w:t>1</w:t>
      </w:r>
      <w:r>
        <w:rPr>
          <w:rFonts w:hint="eastAsia" w:ascii="宋体" w:hAnsi="宋体" w:cs="宋体"/>
          <w:bCs/>
          <w:szCs w:val="21"/>
          <w:u w:val="single"/>
        </w:rPr>
        <w:t>月</w:t>
      </w:r>
      <w:r>
        <w:rPr>
          <w:rFonts w:hint="eastAsia" w:ascii="宋体" w:hAnsi="宋体" w:cs="宋体"/>
          <w:bCs/>
          <w:szCs w:val="21"/>
          <w:u w:val="single"/>
          <w:lang w:val="en-US" w:eastAsia="zh-CN"/>
        </w:rPr>
        <w:t>3</w:t>
      </w:r>
      <w:r>
        <w:rPr>
          <w:rFonts w:hint="eastAsia" w:ascii="宋体" w:hAnsi="宋体" w:cs="宋体"/>
          <w:bCs/>
          <w:szCs w:val="21"/>
          <w:u w:val="single"/>
        </w:rPr>
        <w:t>日</w:t>
      </w:r>
      <w:r>
        <w:rPr>
          <w:rFonts w:hint="eastAsia" w:ascii="宋体" w:hAnsi="宋体" w:cs="宋体"/>
          <w:bCs/>
          <w:szCs w:val="21"/>
          <w:u w:val="single"/>
          <w:lang w:val="en-US" w:eastAsia="zh-CN"/>
        </w:rPr>
        <w:t>15</w:t>
      </w:r>
      <w:r>
        <w:rPr>
          <w:rFonts w:hint="eastAsia" w:ascii="宋体" w:hAnsi="宋体" w:cs="宋体"/>
          <w:bCs/>
          <w:szCs w:val="21"/>
          <w:u w:val="single"/>
        </w:rPr>
        <w:t>点</w:t>
      </w:r>
      <w:r>
        <w:rPr>
          <w:rFonts w:hint="eastAsia" w:ascii="宋体" w:hAnsi="宋体" w:cs="宋体"/>
          <w:bCs/>
          <w:szCs w:val="21"/>
          <w:u w:val="single"/>
          <w:lang w:val="en-US" w:eastAsia="zh-CN"/>
        </w:rPr>
        <w:t>3</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14:paraId="6BB53CC4">
      <w:pPr>
        <w:spacing w:after="120" w:afterLines="50" w:line="360" w:lineRule="auto"/>
        <w:ind w:firstLine="420" w:firstLineChars="200"/>
        <w:rPr>
          <w:rFonts w:hint="eastAsia" w:ascii="宋体" w:hAnsi="宋体" w:eastAsia="宋体" w:cs="Times New Roman"/>
          <w:szCs w:val="21"/>
        </w:rPr>
      </w:pPr>
    </w:p>
    <w:p w14:paraId="15F5CB0D">
      <w:pPr>
        <w:spacing w:after="120" w:afterLines="50" w:line="360" w:lineRule="auto"/>
        <w:ind w:firstLine="420" w:firstLineChars="200"/>
        <w:rPr>
          <w:rFonts w:hint="eastAsia" w:ascii="宋体" w:hAnsi="宋体" w:eastAsia="宋体" w:cs="Times New Roman"/>
          <w:b/>
          <w:bCs/>
          <w:szCs w:val="21"/>
        </w:rPr>
      </w:pPr>
      <w:r>
        <w:rPr>
          <w:rFonts w:hint="eastAsia" w:ascii="宋体" w:hAnsi="宋体" w:eastAsia="宋体" w:cs="Times New Roman"/>
          <w:szCs w:val="21"/>
        </w:rPr>
        <w:t>一、</w:t>
      </w:r>
      <w:r>
        <w:rPr>
          <w:rFonts w:hint="eastAsia" w:ascii="宋体" w:hAnsi="宋体" w:eastAsia="宋体" w:cs="Times New Roman"/>
          <w:b/>
          <w:bCs/>
          <w:szCs w:val="21"/>
        </w:rPr>
        <w:t>采购项目名称及编号</w:t>
      </w:r>
    </w:p>
    <w:p w14:paraId="7FFB64CE">
      <w:pPr>
        <w:spacing w:line="480" w:lineRule="exact"/>
        <w:ind w:firstLine="420" w:firstLineChars="200"/>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项目名称：南京邮电大学通达学院2025年-2027年高压配电房服务外包项目</w:t>
      </w:r>
    </w:p>
    <w:p w14:paraId="4C3EB747">
      <w:pPr>
        <w:spacing w:line="480" w:lineRule="exact"/>
        <w:ind w:firstLine="420" w:firstLineChars="200"/>
        <w:rPr>
          <w:rFonts w:hint="eastAsia" w:ascii="宋体" w:hAnsi="宋体" w:cs="宋体"/>
          <w:szCs w:val="21"/>
          <w:lang w:val="zh-CN"/>
        </w:rPr>
      </w:pPr>
      <w:r>
        <w:rPr>
          <w:rFonts w:hint="eastAsia" w:ascii="宋体" w:hAnsi="宋体" w:cs="宋体"/>
          <w:szCs w:val="21"/>
        </w:rPr>
        <w:t>2、</w:t>
      </w:r>
      <w:r>
        <w:rPr>
          <w:rFonts w:hint="eastAsia" w:ascii="宋体" w:hAnsi="宋体" w:cs="宋体"/>
          <w:szCs w:val="21"/>
          <w:lang w:val="zh-CN"/>
        </w:rPr>
        <w:t>编    号：TDCG2025043号</w:t>
      </w:r>
    </w:p>
    <w:p w14:paraId="36080582">
      <w:pPr>
        <w:spacing w:line="480" w:lineRule="exact"/>
        <w:ind w:firstLine="420" w:firstLineChars="200"/>
        <w:rPr>
          <w:rFonts w:hint="eastAsia" w:ascii="宋体" w:hAnsi="宋体" w:cs="宋体"/>
          <w:szCs w:val="21"/>
          <w:lang w:val="zh-CN"/>
        </w:rPr>
      </w:pPr>
      <w:r>
        <w:rPr>
          <w:rFonts w:hint="eastAsia" w:ascii="宋体" w:hAnsi="宋体" w:cs="宋体"/>
          <w:szCs w:val="21"/>
          <w:lang w:val="zh-CN"/>
        </w:rPr>
        <w:t>3、采购方式：□竞争性谈判  ☑竞争性磋商 □询价</w:t>
      </w:r>
    </w:p>
    <w:p w14:paraId="3E93EF2B">
      <w:pPr>
        <w:pStyle w:val="24"/>
        <w:ind w:firstLine="420"/>
        <w:rPr>
          <w:rFonts w:hint="eastAsia" w:eastAsia="宋体" w:cs="宋体"/>
          <w:sz w:val="21"/>
          <w:szCs w:val="21"/>
        </w:rPr>
      </w:pPr>
      <w:r>
        <w:rPr>
          <w:rFonts w:hint="eastAsia" w:eastAsia="宋体" w:cs="宋体"/>
          <w:sz w:val="21"/>
          <w:szCs w:val="21"/>
        </w:rPr>
        <w:t>4</w:t>
      </w:r>
      <w:r>
        <w:rPr>
          <w:rFonts w:hint="eastAsia" w:eastAsia="宋体" w:cs="宋体"/>
          <w:sz w:val="21"/>
          <w:szCs w:val="21"/>
          <w:lang w:val="zh-CN"/>
        </w:rPr>
        <w:t>、</w:t>
      </w:r>
      <w:r>
        <w:rPr>
          <w:rFonts w:hint="eastAsia" w:eastAsia="宋体" w:cs="宋体"/>
          <w:sz w:val="21"/>
          <w:szCs w:val="21"/>
        </w:rPr>
        <w:t>采购预</w:t>
      </w:r>
      <w:r>
        <w:rPr>
          <w:rFonts w:hint="eastAsia" w:eastAsia="宋体" w:cs="宋体"/>
          <w:sz w:val="21"/>
          <w:szCs w:val="21"/>
          <w:lang w:val="zh-CN"/>
        </w:rPr>
        <w:t>算：</w:t>
      </w:r>
      <w:r>
        <w:rPr>
          <w:rFonts w:hint="eastAsia" w:eastAsia="宋体" w:cs="宋体"/>
          <w:sz w:val="21"/>
          <w:szCs w:val="21"/>
        </w:rPr>
        <w:t>30.0</w:t>
      </w:r>
      <w:r>
        <w:rPr>
          <w:rFonts w:hint="eastAsia" w:eastAsia="宋体" w:cs="宋体"/>
          <w:sz w:val="21"/>
          <w:szCs w:val="21"/>
        </w:rPr>
        <w:t>5万元/年</w:t>
      </w:r>
      <w:r>
        <w:rPr>
          <w:rFonts w:hint="eastAsia" w:eastAsia="宋体" w:cs="宋体"/>
          <w:sz w:val="21"/>
          <w:szCs w:val="21"/>
        </w:rPr>
        <w:t>（总计</w:t>
      </w:r>
      <w:r>
        <w:rPr>
          <w:rFonts w:hint="eastAsia" w:cs="宋体"/>
          <w:sz w:val="21"/>
          <w:szCs w:val="21"/>
          <w:lang w:val="en-US" w:eastAsia="zh-CN"/>
        </w:rPr>
        <w:t>60.1</w:t>
      </w:r>
      <w:r>
        <w:rPr>
          <w:rFonts w:hint="eastAsia" w:eastAsia="宋体" w:cs="宋体"/>
          <w:sz w:val="21"/>
          <w:szCs w:val="21"/>
        </w:rPr>
        <w:t>万/二年）。</w:t>
      </w:r>
    </w:p>
    <w:p w14:paraId="2F311146">
      <w:pPr>
        <w:spacing w:line="480" w:lineRule="exact"/>
        <w:ind w:firstLine="420" w:firstLineChars="200"/>
        <w:rPr>
          <w:rFonts w:hint="eastAsia" w:ascii="宋体" w:hAnsi="宋体" w:cs="宋体"/>
          <w:szCs w:val="21"/>
        </w:rPr>
      </w:pPr>
      <w:r>
        <w:rPr>
          <w:rFonts w:hint="eastAsia" w:ascii="宋体" w:hAnsi="宋体" w:cs="宋体"/>
          <w:szCs w:val="21"/>
        </w:rPr>
        <w:t>5、最高限价：30.05万元/年，投</w:t>
      </w:r>
      <w:r>
        <w:rPr>
          <w:rFonts w:hint="eastAsia" w:ascii="宋体" w:hAnsi="宋体" w:eastAsia="宋体" w:cs="宋体"/>
          <w:szCs w:val="21"/>
        </w:rPr>
        <w:t>标报价不得高于最高限价否则作废标处理。</w:t>
      </w:r>
    </w:p>
    <w:p w14:paraId="7CD10918">
      <w:pPr>
        <w:spacing w:line="480" w:lineRule="exact"/>
        <w:ind w:firstLine="420" w:firstLineChars="200"/>
        <w:rPr>
          <w:rFonts w:hint="eastAsia" w:ascii="宋体" w:hAnsi="宋体" w:cs="宋体"/>
          <w:szCs w:val="21"/>
        </w:rPr>
      </w:pPr>
      <w:r>
        <w:rPr>
          <w:rFonts w:hint="eastAsia" w:ascii="宋体" w:hAnsi="宋体" w:cs="宋体"/>
          <w:szCs w:val="21"/>
        </w:rPr>
        <w:t>6、采购需求：见磋商文件第四章</w:t>
      </w:r>
    </w:p>
    <w:p w14:paraId="39A09FB4">
      <w:pPr>
        <w:spacing w:line="480" w:lineRule="exact"/>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spacing w:val="-6"/>
          <w:szCs w:val="21"/>
        </w:rPr>
        <w:t>合同履行期限：</w:t>
      </w:r>
      <w:r>
        <w:rPr>
          <w:rFonts w:hint="eastAsia" w:ascii="宋体" w:hAnsi="宋体" w:eastAsia="宋体" w:cs="宋体"/>
          <w:szCs w:val="21"/>
        </w:rPr>
        <w:t>贰年，合同首签壹年，考核合格并经双方商定同意情况下，签订下一年合同。</w:t>
      </w:r>
    </w:p>
    <w:p w14:paraId="264C6BA0">
      <w:pPr>
        <w:spacing w:line="480" w:lineRule="exact"/>
        <w:ind w:firstLine="396" w:firstLineChars="200"/>
        <w:rPr>
          <w:rFonts w:hint="eastAsia" w:ascii="宋体" w:hAnsi="宋体" w:cs="宋体"/>
          <w:spacing w:val="-6"/>
          <w:szCs w:val="21"/>
        </w:rPr>
      </w:pPr>
      <w:r>
        <w:rPr>
          <w:rFonts w:hint="eastAsia" w:ascii="宋体" w:hAnsi="宋体" w:cs="宋体"/>
          <w:spacing w:val="-6"/>
          <w:szCs w:val="21"/>
        </w:rPr>
        <w:t>8、本项目</w:t>
      </w:r>
      <w:r>
        <w:rPr>
          <w:rFonts w:hint="eastAsia" w:ascii="宋体" w:hAnsi="宋体" w:cs="宋体"/>
          <w:spacing w:val="-6"/>
          <w:szCs w:val="21"/>
          <w:u w:val="single"/>
        </w:rPr>
        <w:t>不接受</w:t>
      </w:r>
      <w:r>
        <w:rPr>
          <w:rFonts w:hint="eastAsia" w:ascii="宋体" w:hAnsi="宋体" w:cs="宋体"/>
          <w:spacing w:val="-6"/>
          <w:szCs w:val="21"/>
        </w:rPr>
        <w:t>联合体磋商。</w:t>
      </w:r>
    </w:p>
    <w:p w14:paraId="21F26218">
      <w:pPr>
        <w:spacing w:line="480" w:lineRule="exact"/>
        <w:ind w:firstLine="396" w:firstLineChars="200"/>
        <w:rPr>
          <w:rFonts w:hint="eastAsia" w:ascii="宋体" w:hAnsi="宋体" w:eastAsia="宋体" w:cs="Times New Roman"/>
          <w:szCs w:val="24"/>
        </w:rPr>
      </w:pPr>
      <w:r>
        <w:rPr>
          <w:rFonts w:hint="eastAsia" w:ascii="宋体" w:hAnsi="宋体" w:cs="宋体"/>
          <w:spacing w:val="-6"/>
          <w:szCs w:val="21"/>
        </w:rPr>
        <w:t>9、本项目</w:t>
      </w:r>
      <w:r>
        <w:rPr>
          <w:rFonts w:hint="eastAsia" w:ascii="宋体" w:hAnsi="宋体" w:cs="宋体"/>
          <w:spacing w:val="-6"/>
          <w:szCs w:val="21"/>
          <w:u w:val="single"/>
        </w:rPr>
        <w:t>不接受</w:t>
      </w:r>
      <w:r>
        <w:rPr>
          <w:rFonts w:hint="eastAsia" w:ascii="宋体" w:hAnsi="宋体" w:cs="宋体"/>
          <w:spacing w:val="-6"/>
          <w:szCs w:val="21"/>
        </w:rPr>
        <w:t>进口产品参</w:t>
      </w:r>
      <w:r>
        <w:rPr>
          <w:rFonts w:hint="eastAsia" w:ascii="宋体" w:hAnsi="宋体" w:cs="宋体"/>
          <w:szCs w:val="21"/>
        </w:rPr>
        <w:t>加磋商。</w:t>
      </w:r>
    </w:p>
    <w:p w14:paraId="1F5572C4">
      <w:pPr>
        <w:snapToGrid w:val="0"/>
        <w:spacing w:line="360" w:lineRule="auto"/>
        <w:ind w:firstLine="413" w:firstLineChars="196"/>
        <w:rPr>
          <w:rFonts w:hint="eastAsia" w:ascii="宋体" w:hAnsi="宋体" w:eastAsia="宋体" w:cs="Arial"/>
          <w:b/>
          <w:bCs/>
          <w:color w:val="000000"/>
          <w:szCs w:val="21"/>
        </w:rPr>
      </w:pPr>
      <w:r>
        <w:rPr>
          <w:rFonts w:hint="eastAsia" w:ascii="宋体" w:hAnsi="宋体" w:eastAsia="宋体" w:cs="Times New Roman"/>
          <w:b/>
          <w:bCs/>
          <w:color w:val="000000"/>
          <w:szCs w:val="21"/>
        </w:rPr>
        <w:t>二、</w:t>
      </w:r>
      <w:r>
        <w:rPr>
          <w:rFonts w:hint="eastAsia" w:ascii="宋体" w:hAnsi="宋体" w:eastAsia="宋体" w:cs="Arial"/>
          <w:b/>
          <w:bCs/>
          <w:color w:val="000000"/>
          <w:szCs w:val="21"/>
        </w:rPr>
        <w:t>合格磋商供应商资格要求</w:t>
      </w:r>
    </w:p>
    <w:p w14:paraId="7AB6921E">
      <w:pPr>
        <w:spacing w:line="360" w:lineRule="auto"/>
        <w:ind w:firstLine="396" w:firstLineChars="200"/>
        <w:rPr>
          <w:rFonts w:hint="eastAsia" w:ascii="宋体" w:hAnsi="宋体" w:eastAsia="宋体" w:cs="Arial"/>
          <w:color w:val="000000"/>
          <w:spacing w:val="-6"/>
          <w:szCs w:val="21"/>
        </w:rPr>
      </w:pPr>
      <w:r>
        <w:rPr>
          <w:rFonts w:hint="eastAsia" w:ascii="宋体" w:hAnsi="宋体" w:eastAsia="宋体" w:cs="Arial"/>
          <w:color w:val="000000"/>
          <w:spacing w:val="-6"/>
          <w:szCs w:val="21"/>
        </w:rPr>
        <w:t>（一）</w:t>
      </w:r>
      <w:r>
        <w:rPr>
          <w:rFonts w:ascii="宋体" w:hAnsi="宋体" w:eastAsia="宋体" w:cs="Arial"/>
          <w:color w:val="000000"/>
          <w:spacing w:val="-6"/>
          <w:szCs w:val="21"/>
        </w:rPr>
        <w:t>符合政府采购法第二十二条</w:t>
      </w:r>
      <w:r>
        <w:rPr>
          <w:rFonts w:hint="eastAsia" w:ascii="宋体" w:hAnsi="宋体" w:eastAsia="宋体" w:cs="Arial"/>
          <w:color w:val="000000"/>
          <w:spacing w:val="-6"/>
          <w:szCs w:val="21"/>
        </w:rPr>
        <w:t>第一款</w:t>
      </w:r>
      <w:r>
        <w:rPr>
          <w:rFonts w:ascii="宋体" w:hAnsi="宋体" w:eastAsia="宋体" w:cs="Arial"/>
          <w:color w:val="000000"/>
          <w:spacing w:val="-6"/>
          <w:szCs w:val="21"/>
        </w:rPr>
        <w:t>规定</w:t>
      </w:r>
      <w:r>
        <w:rPr>
          <w:rFonts w:hint="eastAsia" w:ascii="宋体" w:hAnsi="宋体" w:eastAsia="宋体" w:cs="Arial"/>
          <w:color w:val="000000"/>
          <w:spacing w:val="-6"/>
          <w:szCs w:val="21"/>
        </w:rPr>
        <w:t>的条件，并提供下列材料。</w:t>
      </w:r>
    </w:p>
    <w:p w14:paraId="7298E904">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 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64012743">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 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5A5EDF21">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 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w:t>
      </w:r>
    </w:p>
    <w:p w14:paraId="27099932">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 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3D9E1135">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 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税务、银行或社会保险基金管理部门出具的近六个月内任意一份缴纳职工社会保障资金的缴款凭证或缴款证明)</w:t>
      </w:r>
    </w:p>
    <w:p w14:paraId="26B1372B">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 供应商近六个月内任意一份依法纳税的缴款凭证(</w:t>
      </w:r>
      <w:r>
        <w:rPr>
          <w:rFonts w:hint="eastAsia" w:ascii="宋体" w:hAnsi="宋体" w:eastAsia="宋体" w:cs="Arial"/>
          <w:b/>
          <w:bCs/>
          <w:i/>
          <w:iCs/>
          <w:color w:val="000000"/>
          <w:spacing w:val="-6"/>
          <w:szCs w:val="21"/>
          <w:u w:val="single"/>
        </w:rPr>
        <w:t>复印件加盖供应商公章)</w:t>
      </w:r>
    </w:p>
    <w:p w14:paraId="6A77EA99">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7上一年度财务报告（成立不足一年不需提供）</w:t>
      </w:r>
      <w:r>
        <w:rPr>
          <w:rFonts w:hint="eastAsia" w:ascii="宋体" w:hAnsi="宋体" w:eastAsia="宋体" w:cs="Arial"/>
          <w:b/>
          <w:bCs/>
          <w:i/>
          <w:iCs/>
          <w:color w:val="000000"/>
          <w:spacing w:val="-6"/>
          <w:szCs w:val="21"/>
          <w:u w:val="single"/>
        </w:rPr>
        <w:t>(复印件加盖供应商公章)</w:t>
      </w:r>
    </w:p>
    <w:p w14:paraId="2D327043">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8供应商参加本次政府采购活动前3年内在经营活动中没有重大违法记录的书面声明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bookmarkStart w:id="4" w:name="_Toc38985265"/>
    </w:p>
    <w:p w14:paraId="27AFA763">
      <w:pPr>
        <w:spacing w:line="480" w:lineRule="exact"/>
        <w:ind w:firstLine="594" w:firstLineChars="300"/>
        <w:rPr>
          <w:rFonts w:hint="eastAsia" w:ascii="宋体" w:hAnsi="宋体" w:cs="宋体"/>
          <w:b/>
          <w:bCs/>
          <w:szCs w:val="21"/>
        </w:rPr>
      </w:pPr>
      <w:r>
        <w:rPr>
          <w:rFonts w:hint="eastAsia" w:ascii="宋体" w:hAnsi="宋体" w:eastAsia="宋体" w:cs="Arial"/>
          <w:i/>
          <w:iCs/>
          <w:color w:val="000000"/>
          <w:spacing w:val="-6"/>
          <w:szCs w:val="21"/>
          <w:u w:val="single"/>
        </w:rPr>
        <w:t>9 未被“信用中国”网站（www.creditchina.gov.cn）、“中国政府采购网"(www.ccgp.gov.cn)列入失信被执行人、重大税收违法案件当事人名单、政府采购严重违法失信行为记录名单（提供网页截图加盖投标人公章）</w:t>
      </w:r>
      <w:bookmarkEnd w:id="4"/>
    </w:p>
    <w:p w14:paraId="243523E5">
      <w:pPr>
        <w:spacing w:line="480" w:lineRule="exact"/>
        <w:ind w:firstLine="422" w:firstLineChars="200"/>
        <w:rPr>
          <w:rFonts w:hint="eastAsia" w:ascii="宋体" w:hAnsi="宋体" w:cs="宋体"/>
          <w:b/>
          <w:bCs/>
          <w:szCs w:val="21"/>
        </w:rPr>
      </w:pPr>
      <w:r>
        <w:rPr>
          <w:rFonts w:hint="eastAsia" w:ascii="宋体" w:hAnsi="宋体" w:cs="宋体"/>
          <w:b/>
          <w:bCs/>
          <w:szCs w:val="21"/>
        </w:rPr>
        <w:t>注一：</w:t>
      </w:r>
      <w:r>
        <w:rPr>
          <w:rFonts w:hint="eastAsia" w:ascii="宋体" w:hAnsi="宋体"/>
          <w:b/>
          <w:bCs/>
        </w:rPr>
        <w:t>如参加本项目的供应商为新成立公司（成立时间距开标时间不到1年）则无需提供上述5、6、7三项；个体工商户、自然人或事业单位等非企业法人无法提供上述5-7项的，需提供相关证明材料。</w:t>
      </w:r>
    </w:p>
    <w:p w14:paraId="3570EEB9">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cs="宋体"/>
          <w:b/>
          <w:bCs/>
          <w:szCs w:val="21"/>
        </w:rPr>
        <w:t>注二：响应文件的正本和副本中均须提供上述资格证明文件。资格证明文件须清晰可辨，若有缺失或不清晰，将导致投标被拒绝且不允许在开标后补正。</w:t>
      </w:r>
    </w:p>
    <w:p w14:paraId="09DC3E56">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（二）落实政府采购政策需满足的资格要求：</w:t>
      </w:r>
      <w:r>
        <w:rPr>
          <w:rFonts w:hint="eastAsia" w:ascii="宋体" w:hAnsi="宋体" w:eastAsia="宋体" w:cs="Arial"/>
          <w:i/>
          <w:iCs/>
          <w:color w:val="000000"/>
          <w:spacing w:val="-6"/>
          <w:szCs w:val="21"/>
          <w:u w:val="single"/>
        </w:rPr>
        <w:t>无</w:t>
      </w:r>
    </w:p>
    <w:p w14:paraId="77BF6788">
      <w:pPr>
        <w:pStyle w:val="13"/>
        <w:spacing w:line="360" w:lineRule="auto"/>
        <w:ind w:firstLine="396" w:firstLineChars="200"/>
        <w:rPr>
          <w:rFonts w:hint="eastAsia" w:ascii="宋体" w:hAnsi="宋体" w:eastAsia="宋体" w:cs="Arial"/>
          <w:color w:val="000000"/>
          <w:spacing w:val="-6"/>
          <w:sz w:val="21"/>
          <w:szCs w:val="21"/>
        </w:rPr>
      </w:pPr>
      <w:r>
        <w:rPr>
          <w:rFonts w:hint="eastAsia" w:ascii="宋体" w:hAnsi="宋体" w:eastAsia="宋体" w:cs="Arial"/>
          <w:color w:val="000000"/>
          <w:spacing w:val="-6"/>
          <w:sz w:val="21"/>
          <w:szCs w:val="21"/>
        </w:rPr>
        <w:t>（三）本项目的特定资格要求：</w:t>
      </w:r>
    </w:p>
    <w:p w14:paraId="657726E4">
      <w:pPr>
        <w:pStyle w:val="13"/>
        <w:spacing w:line="360" w:lineRule="auto"/>
        <w:ind w:firstLine="594" w:firstLineChars="300"/>
        <w:rPr>
          <w:rFonts w:hint="eastAsia" w:ascii="宋体" w:hAnsi="宋体" w:eastAsia="宋体" w:cs="Arial"/>
          <w:i/>
          <w:iCs/>
          <w:color w:val="000000"/>
          <w:spacing w:val="-6"/>
          <w:sz w:val="21"/>
          <w:szCs w:val="21"/>
          <w:u w:val="single"/>
        </w:rPr>
      </w:pPr>
      <w:r>
        <w:rPr>
          <w:rFonts w:hint="eastAsia" w:ascii="宋体" w:hAnsi="宋体" w:eastAsia="宋体" w:cs="Arial"/>
          <w:i/>
          <w:iCs/>
          <w:color w:val="000000"/>
          <w:spacing w:val="-6"/>
          <w:sz w:val="21"/>
          <w:szCs w:val="21"/>
          <w:u w:val="single"/>
        </w:rPr>
        <w:t>1 承装（修、试）电力设施许可</w:t>
      </w:r>
      <w:r>
        <w:rPr>
          <w:rFonts w:hint="eastAsia" w:ascii="宋体" w:hAnsi="宋体" w:eastAsia="宋体" w:cs="Arial"/>
          <w:i/>
          <w:iCs/>
          <w:color w:val="000000"/>
          <w:spacing w:val="-6"/>
          <w:sz w:val="21"/>
          <w:szCs w:val="21"/>
          <w:highlight w:val="none"/>
          <w:u w:val="single"/>
        </w:rPr>
        <w:t>证三级</w:t>
      </w:r>
      <w:r>
        <w:rPr>
          <w:rFonts w:hint="eastAsia" w:ascii="宋体" w:hAnsi="宋体" w:eastAsia="宋体" w:cs="Arial"/>
          <w:b/>
          <w:bCs/>
          <w:i/>
          <w:iCs/>
          <w:color w:val="000000"/>
          <w:spacing w:val="-6"/>
          <w:sz w:val="21"/>
          <w:szCs w:val="21"/>
          <w:highlight w:val="none"/>
          <w:u w:val="single"/>
        </w:rPr>
        <w:t>（</w:t>
      </w:r>
      <w:r>
        <w:rPr>
          <w:rFonts w:hint="eastAsia" w:ascii="宋体" w:hAnsi="宋体" w:eastAsia="宋体" w:cs="Arial"/>
          <w:b/>
          <w:bCs/>
          <w:i/>
          <w:iCs/>
          <w:color w:val="000000"/>
          <w:spacing w:val="-6"/>
          <w:sz w:val="21"/>
          <w:szCs w:val="21"/>
          <w:u w:val="single"/>
        </w:rPr>
        <w:t>证书复印件加盖供应商公章）</w:t>
      </w:r>
    </w:p>
    <w:p w14:paraId="2EBD71EF">
      <w:pPr>
        <w:widowControl/>
        <w:snapToGrid w:val="0"/>
        <w:spacing w:line="360" w:lineRule="auto"/>
        <w:ind w:firstLine="594" w:firstLineChars="300"/>
        <w:jc w:val="left"/>
        <w:rPr>
          <w:rFonts w:hint="eastAsia" w:ascii="宋体" w:hAnsi="宋体" w:eastAsia="宋体" w:cs="Arial"/>
          <w:color w:val="000000"/>
          <w:spacing w:val="-6"/>
          <w:szCs w:val="21"/>
          <w:highlight w:val="yellow"/>
        </w:rPr>
      </w:pPr>
      <w:r>
        <w:rPr>
          <w:rFonts w:hint="eastAsia" w:ascii="宋体" w:hAnsi="宋体" w:eastAsia="宋体" w:cs="Arial"/>
          <w:i/>
          <w:iCs/>
          <w:color w:val="000000"/>
          <w:spacing w:val="-6"/>
          <w:szCs w:val="21"/>
          <w:u w:val="single"/>
        </w:rPr>
        <w:t>2 拟驻派电工不少于</w:t>
      </w:r>
      <w:r>
        <w:rPr>
          <w:rFonts w:hint="eastAsia" w:ascii="宋体" w:hAnsi="宋体" w:cs="Arial"/>
          <w:i/>
          <w:iCs/>
          <w:color w:val="000000"/>
          <w:spacing w:val="-6"/>
          <w:szCs w:val="21"/>
          <w:u w:val="single"/>
          <w:lang w:val="en-US" w:eastAsia="zh-CN"/>
        </w:rPr>
        <w:t>6</w:t>
      </w:r>
      <w:r>
        <w:rPr>
          <w:rFonts w:hint="eastAsia" w:ascii="宋体" w:hAnsi="宋体" w:eastAsia="宋体" w:cs="Arial"/>
          <w:i/>
          <w:iCs/>
          <w:color w:val="000000"/>
          <w:spacing w:val="-6"/>
          <w:szCs w:val="21"/>
          <w:u w:val="single"/>
        </w:rPr>
        <w:t>人须持有高压电工证</w:t>
      </w:r>
      <w:r>
        <w:rPr>
          <w:rFonts w:hint="eastAsia" w:ascii="宋体" w:hAnsi="宋体" w:cs="Arial"/>
          <w:i/>
          <w:iCs/>
          <w:color w:val="000000"/>
          <w:spacing w:val="-6"/>
          <w:szCs w:val="21"/>
          <w:u w:val="single"/>
          <w:lang w:eastAsia="zh-CN"/>
        </w:rPr>
        <w:t>，</w:t>
      </w:r>
      <w:r>
        <w:rPr>
          <w:rFonts w:hint="eastAsia" w:ascii="宋体" w:hAnsi="宋体" w:cs="Arial"/>
          <w:i/>
          <w:iCs/>
          <w:color w:val="000000"/>
          <w:spacing w:val="-6"/>
          <w:szCs w:val="21"/>
          <w:u w:val="single"/>
          <w:lang w:val="en-US" w:eastAsia="zh-CN"/>
        </w:rPr>
        <w:t>其中至少2人须同时具有低压电工证</w:t>
      </w:r>
      <w:r>
        <w:rPr>
          <w:rFonts w:hint="eastAsia" w:ascii="宋体" w:hAnsi="宋体" w:eastAsia="宋体" w:cs="Arial"/>
          <w:b/>
          <w:bCs/>
          <w:i/>
          <w:iCs/>
          <w:color w:val="000000"/>
          <w:spacing w:val="-6"/>
          <w:szCs w:val="21"/>
          <w:u w:val="single"/>
        </w:rPr>
        <w:t>（证书复印件加盖供应商公章并提供投标人为其缴纳的近六个月内内任意一份的社保证明）</w:t>
      </w:r>
    </w:p>
    <w:p w14:paraId="68AABA83">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（四）拒绝下述供应商参加本次采购活动：</w:t>
      </w:r>
    </w:p>
    <w:p w14:paraId="610EA425">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（1）供应商单位负责人为同一人或者存在直接控股、管理关系的不同供应商，不得参加同一合同项下的政府采购活动。</w:t>
      </w:r>
    </w:p>
    <w:p w14:paraId="0EF088D8">
      <w:pPr>
        <w:widowControl/>
        <w:tabs>
          <w:tab w:val="left" w:pos="985"/>
        </w:tabs>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（2）凡为采购项目提供整体设计、规范编制或者项目管理、监理、检测等服务的供应商，不得再参加该项目的其他采购活动。</w:t>
      </w:r>
    </w:p>
    <w:p w14:paraId="70BF0CFE">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（3）供应商被“信用中国”网站（www.creditchina.gov.cn）、“中国政府采购网"(www.ccgp.gov.cn)列入失信被执行人、重大税收违法案件当事人名单、政府采购严重违法失信行为记录名单。</w:t>
      </w:r>
    </w:p>
    <w:p w14:paraId="01025835">
      <w:pPr>
        <w:tabs>
          <w:tab w:val="left" w:pos="900"/>
        </w:tabs>
        <w:adjustRightInd w:val="0"/>
        <w:snapToGrid w:val="0"/>
        <w:spacing w:line="348" w:lineRule="auto"/>
        <w:ind w:firstLine="420"/>
        <w:rPr>
          <w:rFonts w:hint="eastAsia" w:ascii="宋体" w:hAnsi="宋体" w:cs="宋体"/>
          <w:color w:val="auto"/>
          <w:szCs w:val="21"/>
          <w:lang w:val="zh-CN"/>
        </w:rPr>
      </w:pPr>
      <w:r>
        <w:rPr>
          <w:rFonts w:hint="eastAsia" w:ascii="宋体" w:hAnsi="宋体" w:eastAsia="宋体" w:cs="Arial"/>
          <w:color w:val="000000"/>
          <w:spacing w:val="-6"/>
          <w:szCs w:val="21"/>
        </w:rPr>
        <w:t>（四）集中考察或召开答疑会</w:t>
      </w:r>
      <w:r>
        <w:rPr>
          <w:rFonts w:hint="eastAsia" w:ascii="宋体" w:hAnsi="宋体" w:eastAsia="宋体" w:cs="Arial"/>
          <w:color w:val="auto"/>
          <w:spacing w:val="-6"/>
          <w:szCs w:val="21"/>
        </w:rPr>
        <w:t>：</w:t>
      </w:r>
      <w:r>
        <w:rPr>
          <w:rFonts w:hint="eastAsia" w:ascii="宋体" w:hAnsi="宋体" w:cs="宋体"/>
          <w:color w:val="auto"/>
          <w:szCs w:val="21"/>
          <w:lang w:val="zh-CN"/>
        </w:rPr>
        <w:t>供应商须携带营业执照副本（复印件加盖公章）、法定代表人授权委托书（原件）及身份证原件进行现场查勘。各供应商请务必对项目现场和周围环境进行仔细认真查勘，在随后的采购中，对现场资料和数据所作出的推论、解释和结论及由此造成的后果由供应商负责。查勘时，须充分了解项目位置、交通状况以及工作范围等任何足以影响磋商报价的情况。任何忽视或误解项目基本情况，而使采购人在项目实施过程中蒙受的损失，将由供应商进行赔偿。请供应商仔细踏勘现场，充分考虑投资风险，审慎投资报价。</w:t>
      </w:r>
    </w:p>
    <w:p w14:paraId="5BCB7552">
      <w:pPr>
        <w:tabs>
          <w:tab w:val="left" w:pos="900"/>
        </w:tabs>
        <w:adjustRightInd w:val="0"/>
        <w:snapToGrid w:val="0"/>
        <w:spacing w:line="348" w:lineRule="auto"/>
        <w:ind w:firstLine="420"/>
        <w:rPr>
          <w:rFonts w:hint="eastAsia" w:ascii="宋体" w:hAnsi="宋体" w:cs="宋体"/>
          <w:color w:val="auto"/>
          <w:szCs w:val="21"/>
          <w:lang w:val="zh-CN"/>
        </w:rPr>
      </w:pPr>
      <w:r>
        <w:rPr>
          <w:rFonts w:hint="eastAsia" w:ascii="宋体" w:hAnsi="宋体" w:cs="宋体"/>
          <w:color w:val="auto"/>
          <w:szCs w:val="21"/>
          <w:lang w:val="zh-CN"/>
        </w:rPr>
        <w:t>勘查集合时间：202</w:t>
      </w:r>
      <w:r>
        <w:rPr>
          <w:rFonts w:hint="eastAsia" w:ascii="宋体" w:hAnsi="宋体" w:cs="宋体"/>
          <w:color w:val="auto"/>
          <w:szCs w:val="21"/>
        </w:rPr>
        <w:t>5</w:t>
      </w:r>
      <w:r>
        <w:rPr>
          <w:rFonts w:hint="eastAsia" w:ascii="宋体" w:hAnsi="宋体" w:cs="宋体"/>
          <w:color w:val="auto"/>
          <w:szCs w:val="21"/>
          <w:lang w:val="zh-CN"/>
        </w:rPr>
        <w:t>年</w:t>
      </w:r>
      <w:r>
        <w:rPr>
          <w:rFonts w:hint="eastAsia" w:ascii="宋体" w:hAnsi="宋体" w:cs="宋体"/>
          <w:color w:val="auto"/>
          <w:szCs w:val="21"/>
          <w:lang w:val="en-US" w:eastAsia="zh-CN"/>
        </w:rPr>
        <w:t>10</w:t>
      </w:r>
      <w:r>
        <w:rPr>
          <w:rFonts w:hint="eastAsia" w:ascii="宋体" w:hAnsi="宋体" w:cs="宋体"/>
          <w:color w:val="auto"/>
          <w:szCs w:val="21"/>
          <w:lang w:val="zh-CN"/>
        </w:rPr>
        <w:t>月</w:t>
      </w:r>
      <w:r>
        <w:rPr>
          <w:rFonts w:hint="eastAsia" w:ascii="宋体" w:hAnsi="宋体" w:cs="宋体"/>
          <w:color w:val="auto"/>
          <w:szCs w:val="21"/>
          <w:lang w:val="en-US" w:eastAsia="zh-CN"/>
        </w:rPr>
        <w:t>31</w:t>
      </w:r>
      <w:r>
        <w:rPr>
          <w:rFonts w:hint="eastAsia" w:ascii="宋体" w:hAnsi="宋体" w:cs="宋体"/>
          <w:color w:val="auto"/>
          <w:szCs w:val="21"/>
          <w:lang w:val="zh-CN"/>
        </w:rPr>
        <w:t>日</w:t>
      </w:r>
      <w:r>
        <w:rPr>
          <w:rFonts w:hint="eastAsia" w:ascii="宋体" w:hAnsi="宋体" w:cs="宋体"/>
          <w:color w:val="auto"/>
          <w:szCs w:val="21"/>
          <w:lang w:val="en-US" w:eastAsia="zh-CN"/>
        </w:rPr>
        <w:t>下</w:t>
      </w:r>
      <w:r>
        <w:rPr>
          <w:rFonts w:hint="eastAsia" w:ascii="宋体" w:hAnsi="宋体" w:cs="宋体"/>
          <w:color w:val="auto"/>
          <w:szCs w:val="21"/>
          <w:lang w:val="zh-CN"/>
        </w:rPr>
        <w:t>午</w:t>
      </w:r>
      <w:r>
        <w:rPr>
          <w:rFonts w:hint="eastAsia" w:ascii="宋体" w:hAnsi="宋体" w:cs="宋体"/>
          <w:color w:val="auto"/>
          <w:szCs w:val="21"/>
          <w:lang w:val="en-US" w:eastAsia="zh-CN"/>
        </w:rPr>
        <w:t>15</w:t>
      </w:r>
      <w:r>
        <w:rPr>
          <w:rFonts w:hint="eastAsia" w:ascii="宋体" w:hAnsi="宋体" w:cs="宋体"/>
          <w:color w:val="auto"/>
          <w:szCs w:val="21"/>
          <w:lang w:val="zh-CN"/>
        </w:rPr>
        <w:t>:00</w:t>
      </w:r>
      <w:bookmarkStart w:id="145" w:name="_GoBack"/>
      <w:bookmarkEnd w:id="145"/>
    </w:p>
    <w:p w14:paraId="0FED9378">
      <w:pPr>
        <w:tabs>
          <w:tab w:val="left" w:pos="900"/>
        </w:tabs>
        <w:adjustRightInd w:val="0"/>
        <w:snapToGrid w:val="0"/>
        <w:spacing w:line="348" w:lineRule="auto"/>
        <w:ind w:firstLine="420"/>
        <w:rPr>
          <w:rFonts w:ascii="宋体" w:hAnsi="宋体" w:cs="宋体"/>
          <w:color w:val="auto"/>
          <w:szCs w:val="21"/>
        </w:rPr>
      </w:pPr>
      <w:r>
        <w:rPr>
          <w:rFonts w:hint="eastAsia" w:ascii="宋体" w:hAnsi="宋体" w:cs="宋体"/>
          <w:color w:val="auto"/>
          <w:szCs w:val="21"/>
          <w:lang w:val="zh-CN"/>
        </w:rPr>
        <w:t>勘查集合地点：扬州市邗江区润扬南路33号南京邮电大学通达学院行政楼</w:t>
      </w:r>
      <w:r>
        <w:rPr>
          <w:rFonts w:hint="eastAsia" w:ascii="宋体" w:hAnsi="宋体" w:cs="宋体"/>
          <w:color w:val="auto"/>
          <w:szCs w:val="21"/>
        </w:rPr>
        <w:t>五</w:t>
      </w:r>
      <w:r>
        <w:rPr>
          <w:rFonts w:hint="eastAsia" w:ascii="宋体" w:hAnsi="宋体" w:cs="宋体"/>
          <w:color w:val="auto"/>
          <w:szCs w:val="21"/>
          <w:lang w:val="zh-CN"/>
        </w:rPr>
        <w:t>楼</w:t>
      </w:r>
      <w:r>
        <w:rPr>
          <w:rFonts w:hint="eastAsia" w:ascii="宋体" w:hAnsi="宋体" w:cs="宋体"/>
          <w:color w:val="auto"/>
          <w:szCs w:val="21"/>
        </w:rPr>
        <w:t>507</w:t>
      </w:r>
    </w:p>
    <w:p w14:paraId="0B9C1980">
      <w:pPr>
        <w:tabs>
          <w:tab w:val="left" w:pos="900"/>
        </w:tabs>
        <w:adjustRightInd w:val="0"/>
        <w:snapToGrid w:val="0"/>
        <w:spacing w:line="348"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zh-CN"/>
        </w:rPr>
        <w:t>联系人：</w:t>
      </w:r>
      <w:r>
        <w:rPr>
          <w:rFonts w:hint="eastAsia" w:ascii="宋体" w:hAnsi="宋体" w:cs="宋体"/>
          <w:color w:val="auto"/>
          <w:szCs w:val="21"/>
          <w:lang w:val="en-US" w:eastAsia="zh-CN"/>
        </w:rPr>
        <w:t>王</w:t>
      </w:r>
      <w:r>
        <w:rPr>
          <w:rFonts w:hint="eastAsia" w:ascii="宋体" w:hAnsi="宋体" w:cs="宋体"/>
          <w:color w:val="auto"/>
          <w:szCs w:val="21"/>
          <w:lang w:val="zh-CN"/>
        </w:rPr>
        <w:t>老师</w:t>
      </w:r>
      <w:r>
        <w:rPr>
          <w:rFonts w:hint="eastAsia" w:ascii="宋体" w:hAnsi="宋体" w:cs="宋体"/>
          <w:color w:val="auto"/>
          <w:szCs w:val="21"/>
        </w:rPr>
        <w:t xml:space="preserve"> </w:t>
      </w:r>
      <w:r>
        <w:rPr>
          <w:rFonts w:hint="eastAsia" w:ascii="宋体" w:hAnsi="宋体" w:cs="宋体"/>
          <w:color w:val="auto"/>
          <w:szCs w:val="21"/>
          <w:lang w:val="en-US" w:eastAsia="zh-CN"/>
        </w:rPr>
        <w:t>0514-89716081</w:t>
      </w:r>
    </w:p>
    <w:p w14:paraId="29FAE666">
      <w:pPr>
        <w:tabs>
          <w:tab w:val="left" w:pos="900"/>
        </w:tabs>
        <w:adjustRightInd w:val="0"/>
        <w:snapToGrid w:val="0"/>
        <w:spacing w:line="348" w:lineRule="auto"/>
        <w:ind w:firstLine="420"/>
        <w:rPr>
          <w:rFonts w:hint="eastAsia" w:ascii="宋体" w:hAnsi="宋体" w:cs="宋体"/>
          <w:color w:val="auto"/>
          <w:szCs w:val="21"/>
          <w:lang w:val="zh-CN"/>
        </w:rPr>
      </w:pPr>
      <w:r>
        <w:rPr>
          <w:rFonts w:hint="eastAsia" w:ascii="宋体" w:hAnsi="宋体" w:cs="宋体"/>
          <w:color w:val="auto"/>
          <w:szCs w:val="21"/>
          <w:lang w:val="zh-CN"/>
        </w:rPr>
        <w:t>注：各供应商踏勘原则上仅限一人参加。参加踏勘的法人代表或授权代表必须满足以下条件：</w:t>
      </w:r>
    </w:p>
    <w:p w14:paraId="72F514AF">
      <w:pPr>
        <w:widowControl/>
        <w:tabs>
          <w:tab w:val="left" w:pos="900"/>
        </w:tabs>
        <w:adjustRightInd w:val="0"/>
        <w:snapToGrid w:val="0"/>
        <w:spacing w:line="348" w:lineRule="auto"/>
        <w:ind w:firstLine="420" w:firstLineChars="0"/>
        <w:jc w:val="left"/>
        <w:rPr>
          <w:rFonts w:hint="eastAsia" w:ascii="宋体" w:hAnsi="宋体" w:eastAsia="宋体" w:cs="Arial"/>
          <w:color w:val="auto"/>
          <w:spacing w:val="-6"/>
          <w:szCs w:val="21"/>
        </w:rPr>
      </w:pPr>
      <w:r>
        <w:rPr>
          <w:rFonts w:hint="eastAsia" w:ascii="宋体" w:hAnsi="宋体" w:cs="宋体"/>
          <w:color w:val="auto"/>
          <w:szCs w:val="21"/>
          <w:lang w:val="zh-CN"/>
        </w:rPr>
        <w:t>（1）202</w:t>
      </w:r>
      <w:r>
        <w:rPr>
          <w:rFonts w:hint="eastAsia" w:ascii="宋体" w:hAnsi="宋体" w:cs="宋体"/>
          <w:color w:val="auto"/>
          <w:szCs w:val="21"/>
        </w:rPr>
        <w:t>5</w:t>
      </w:r>
      <w:r>
        <w:rPr>
          <w:rFonts w:hint="eastAsia" w:ascii="宋体" w:hAnsi="宋体" w:cs="宋体"/>
          <w:color w:val="auto"/>
          <w:szCs w:val="21"/>
          <w:lang w:val="zh-CN"/>
        </w:rPr>
        <w:t>年</w:t>
      </w:r>
      <w:r>
        <w:rPr>
          <w:rFonts w:hint="eastAsia" w:ascii="宋体" w:hAnsi="宋体" w:cs="宋体"/>
          <w:color w:val="auto"/>
          <w:szCs w:val="21"/>
          <w:lang w:val="en-US" w:eastAsia="zh-CN"/>
        </w:rPr>
        <w:t>10</w:t>
      </w:r>
      <w:r>
        <w:rPr>
          <w:rFonts w:hint="eastAsia" w:ascii="宋体" w:hAnsi="宋体" w:cs="宋体"/>
          <w:color w:val="auto"/>
          <w:szCs w:val="21"/>
          <w:lang w:val="zh-CN"/>
        </w:rPr>
        <w:t>月</w:t>
      </w:r>
      <w:r>
        <w:rPr>
          <w:rFonts w:hint="eastAsia" w:ascii="宋体" w:hAnsi="宋体" w:cs="宋体"/>
          <w:color w:val="auto"/>
          <w:szCs w:val="21"/>
          <w:lang w:val="en-US" w:eastAsia="zh-CN"/>
        </w:rPr>
        <w:t>30</w:t>
      </w:r>
      <w:r>
        <w:rPr>
          <w:rFonts w:hint="eastAsia" w:ascii="宋体" w:hAnsi="宋体" w:cs="宋体"/>
          <w:color w:val="auto"/>
          <w:szCs w:val="21"/>
          <w:lang w:val="zh-CN"/>
        </w:rPr>
        <w:t>日下午15:00前关注“南京邮电大学通达学院保卫处”微信公众号，进入访客系统填写相关信息，访问部门选择“</w:t>
      </w:r>
      <w:r>
        <w:rPr>
          <w:rFonts w:hint="eastAsia" w:ascii="宋体" w:hAnsi="宋体" w:cs="宋体"/>
          <w:color w:val="auto"/>
          <w:szCs w:val="21"/>
        </w:rPr>
        <w:t>后勤管理</w:t>
      </w:r>
      <w:r>
        <w:rPr>
          <w:rFonts w:hint="eastAsia" w:ascii="宋体" w:hAnsi="宋体" w:cs="宋体"/>
          <w:color w:val="auto"/>
          <w:szCs w:val="21"/>
          <w:lang w:val="zh-CN"/>
        </w:rPr>
        <w:t>处”，否则无法进入。</w:t>
      </w:r>
    </w:p>
    <w:p w14:paraId="759F4E0B">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（五）本项目不接受联合体投标；</w:t>
      </w:r>
    </w:p>
    <w:p w14:paraId="76203A63">
      <w:pPr>
        <w:widowControl/>
        <w:snapToGrid w:val="0"/>
        <w:spacing w:line="360" w:lineRule="auto"/>
        <w:ind w:firstLine="396" w:firstLineChars="200"/>
        <w:jc w:val="left"/>
        <w:rPr>
          <w:rFonts w:hint="eastAsia" w:ascii="宋体" w:hAnsi="宋体" w:eastAsia="宋体" w:cs="Arial"/>
          <w:color w:val="000000"/>
          <w:spacing w:val="-6"/>
          <w:szCs w:val="21"/>
        </w:rPr>
      </w:pPr>
      <w:r>
        <w:rPr>
          <w:rFonts w:hint="eastAsia" w:ascii="宋体" w:hAnsi="宋体" w:eastAsia="宋体" w:cs="Arial"/>
          <w:color w:val="000000"/>
          <w:spacing w:val="-6"/>
          <w:szCs w:val="21"/>
        </w:rPr>
        <w:t>（六）本项目不接受进口产品投标；</w:t>
      </w:r>
    </w:p>
    <w:p w14:paraId="1DDE3FE4">
      <w:pPr>
        <w:spacing w:line="360" w:lineRule="auto"/>
        <w:ind w:firstLine="415" w:firstLineChars="197"/>
        <w:rPr>
          <w:rFonts w:hint="eastAsia" w:ascii="宋体" w:hAnsi="宋体" w:eastAsia="宋体" w:cs="Times New Roman"/>
          <w:b/>
          <w:bCs/>
          <w:szCs w:val="21"/>
        </w:rPr>
      </w:pPr>
      <w:r>
        <w:rPr>
          <w:rFonts w:hint="eastAsia" w:ascii="宋体" w:hAnsi="宋体" w:eastAsia="宋体" w:cs="Times New Roman"/>
          <w:b/>
          <w:bCs/>
          <w:szCs w:val="21"/>
        </w:rPr>
        <w:t>三、</w:t>
      </w:r>
      <w:r>
        <w:rPr>
          <w:rFonts w:hint="eastAsia" w:ascii="宋体" w:hAnsi="宋体" w:cs="宋体"/>
          <w:b/>
          <w:bCs/>
          <w:szCs w:val="21"/>
          <w:lang w:val="en"/>
        </w:rPr>
        <w:t>获取</w:t>
      </w:r>
      <w:r>
        <w:rPr>
          <w:rFonts w:hint="eastAsia" w:ascii="宋体" w:hAnsi="宋体" w:cs="宋体"/>
          <w:b/>
          <w:bCs/>
          <w:szCs w:val="21"/>
        </w:rPr>
        <w:t>磋商</w:t>
      </w:r>
      <w:r>
        <w:rPr>
          <w:rFonts w:hint="eastAsia" w:ascii="宋体" w:hAnsi="宋体" w:cs="宋体"/>
          <w:b/>
          <w:bCs/>
          <w:szCs w:val="21"/>
          <w:lang w:val="en"/>
        </w:rPr>
        <w:t>文件</w:t>
      </w:r>
    </w:p>
    <w:p w14:paraId="43E389B0">
      <w:pPr>
        <w:spacing w:line="360" w:lineRule="auto"/>
        <w:ind w:firstLine="420" w:firstLineChars="200"/>
        <w:rPr>
          <w:rFonts w:hint="eastAsia" w:ascii="宋体" w:hAnsi="宋体" w:cs="宋体"/>
          <w:szCs w:val="21"/>
        </w:rPr>
      </w:pPr>
      <w:r>
        <w:rPr>
          <w:rFonts w:hint="eastAsia" w:ascii="宋体" w:hAnsi="宋体" w:cs="宋体"/>
          <w:szCs w:val="21"/>
        </w:rPr>
        <w:t>时间：2025年10月</w:t>
      </w:r>
      <w:r>
        <w:rPr>
          <w:rFonts w:hint="eastAsia" w:ascii="宋体" w:hAnsi="宋体" w:cs="宋体"/>
          <w:szCs w:val="21"/>
          <w:lang w:val="en-US" w:eastAsia="zh-CN"/>
        </w:rPr>
        <w:t>23</w:t>
      </w:r>
      <w:r>
        <w:rPr>
          <w:rFonts w:hint="eastAsia" w:ascii="宋体" w:hAnsi="宋体" w:cs="宋体"/>
          <w:szCs w:val="21"/>
        </w:rPr>
        <w:t>日至2025年10月</w:t>
      </w:r>
      <w:r>
        <w:rPr>
          <w:rFonts w:hint="eastAsia" w:ascii="宋体" w:hAnsi="宋体" w:cs="宋体"/>
          <w:szCs w:val="21"/>
          <w:lang w:val="en-US" w:eastAsia="zh-CN"/>
        </w:rPr>
        <w:t>30</w:t>
      </w:r>
      <w:r>
        <w:rPr>
          <w:rFonts w:hint="eastAsia" w:ascii="宋体" w:hAnsi="宋体" w:cs="宋体"/>
          <w:szCs w:val="21"/>
        </w:rPr>
        <w:t>日,每天9:00至11:30，14:30至17:30（北京时间，法定节假日除外）</w:t>
      </w:r>
    </w:p>
    <w:p w14:paraId="243F1CB9">
      <w:pPr>
        <w:spacing w:line="360" w:lineRule="auto"/>
        <w:ind w:firstLine="396" w:firstLineChars="200"/>
        <w:rPr>
          <w:rFonts w:hint="eastAsia" w:ascii="宋体" w:hAnsi="宋体" w:eastAsia="宋体" w:cs="Arial"/>
          <w:color w:val="000000"/>
          <w:spacing w:val="-6"/>
          <w:szCs w:val="21"/>
        </w:rPr>
      </w:pPr>
      <w:r>
        <w:rPr>
          <w:rFonts w:hint="eastAsia" w:ascii="宋体" w:hAnsi="宋体" w:eastAsia="宋体" w:cs="Arial"/>
          <w:color w:val="000000"/>
          <w:spacing w:val="-6"/>
          <w:szCs w:val="21"/>
        </w:rPr>
        <w:t>地点：邮箱下载</w:t>
      </w:r>
    </w:p>
    <w:p w14:paraId="585331A6">
      <w:pPr>
        <w:spacing w:line="360" w:lineRule="auto"/>
        <w:ind w:firstLine="396" w:firstLineChars="200"/>
        <w:rPr>
          <w:rFonts w:hint="eastAsia" w:ascii="宋体" w:hAnsi="宋体" w:eastAsia="宋体" w:cs="Arial"/>
          <w:color w:val="000000"/>
          <w:spacing w:val="-6"/>
          <w:szCs w:val="21"/>
        </w:rPr>
      </w:pPr>
      <w:r>
        <w:rPr>
          <w:rFonts w:hint="eastAsia" w:ascii="宋体" w:hAnsi="宋体" w:eastAsia="宋体" w:cs="Arial"/>
          <w:color w:val="000000"/>
          <w:spacing w:val="-6"/>
          <w:szCs w:val="21"/>
        </w:rPr>
        <w:t>方式：供应商如确定参加投标，请如实填写《供应商参加投标确认函》，填写打印后加盖公章，扫描发送至邮箱：2282617126@qq.com（邮件标题为投标人公司全称+所投项目简称，联系电话：13665205389），代理机构将以邮件回复确认，如未收到回复邮件须电话联系代理机构以确认是否收到。投标当日交付《供应商参加投标确认函》原件，如供应商未按上述要求去做，将自行承担所产生的风险。有关本次招标的事项若存在变动或修改，敬请及时关注“南京邮电大学采购招标管理办公室和通达学院采购招标信息网”发布的信息或更正公告。</w:t>
      </w:r>
    </w:p>
    <w:p w14:paraId="266C5C6C">
      <w:pPr>
        <w:spacing w:line="360" w:lineRule="auto"/>
        <w:ind w:firstLine="420" w:firstLineChars="200"/>
        <w:rPr>
          <w:rFonts w:hint="eastAsia" w:ascii="宋体" w:hAnsi="宋体" w:eastAsia="宋体" w:cs="Times New Roman"/>
          <w:b/>
          <w:bCs/>
          <w:color w:val="000000"/>
          <w:szCs w:val="21"/>
        </w:rPr>
      </w:pPr>
      <w:r>
        <w:rPr>
          <w:rFonts w:hint="eastAsia" w:ascii="宋体" w:hAnsi="宋体" w:cs="宋体"/>
          <w:szCs w:val="21"/>
        </w:rPr>
        <w:t>售价：300元，投标时缴纳，售后不退。</w:t>
      </w:r>
    </w:p>
    <w:p w14:paraId="5C0678D0">
      <w:pPr>
        <w:spacing w:after="120" w:afterLines="50" w:line="360" w:lineRule="auto"/>
        <w:ind w:firstLine="514" w:firstLineChars="244"/>
        <w:rPr>
          <w:rFonts w:hint="eastAsia" w:ascii="宋体" w:hAnsi="宋体" w:eastAsia="宋体" w:cs="Times New Roman"/>
          <w:color w:val="000000"/>
          <w:szCs w:val="21"/>
        </w:rPr>
      </w:pPr>
      <w:r>
        <w:rPr>
          <w:rFonts w:hint="eastAsia" w:ascii="宋体" w:hAnsi="宋体" w:eastAsia="宋体" w:cs="Times New Roman"/>
          <w:b/>
          <w:bCs/>
          <w:color w:val="000000"/>
          <w:szCs w:val="21"/>
        </w:rPr>
        <w:t>四、磋商响应文件接收截止时间和地点</w:t>
      </w:r>
    </w:p>
    <w:p w14:paraId="367A8051">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（一）响应文件接收开始时间：2025年</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lang w:val="en"/>
        </w:rPr>
        <w:t>月</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0</w:t>
      </w:r>
      <w:r>
        <w:rPr>
          <w:rFonts w:hint="eastAsia" w:ascii="宋体" w:hAnsi="宋体" w:eastAsia="宋体" w:cs="宋体"/>
          <w:color w:val="000000"/>
          <w:kern w:val="0"/>
          <w:szCs w:val="21"/>
          <w:lang w:val="en"/>
        </w:rPr>
        <w:t xml:space="preserve">0 </w:t>
      </w:r>
    </w:p>
    <w:p w14:paraId="65D82D67">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（二）响应文件接收截止时间：2025年</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lang w:val="en"/>
        </w:rPr>
        <w:t>月</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3</w:t>
      </w:r>
      <w:r>
        <w:rPr>
          <w:rFonts w:hint="eastAsia" w:ascii="宋体" w:hAnsi="宋体" w:eastAsia="宋体" w:cs="宋体"/>
          <w:color w:val="000000"/>
          <w:kern w:val="0"/>
          <w:szCs w:val="21"/>
          <w:lang w:val="en"/>
        </w:rPr>
        <w:t>0，逾期送达将作无效响应处理。</w:t>
      </w:r>
    </w:p>
    <w:p w14:paraId="0ACD6247">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（三）响应文件接收地点：江苏唯诚建设咨询有限公司1920开标室（扬州维扬路106-1号，扬州商城国际大厦19F）。</w:t>
      </w:r>
    </w:p>
    <w:p w14:paraId="3CE9875C">
      <w:pPr>
        <w:widowControl/>
        <w:snapToGrid w:val="0"/>
        <w:spacing w:line="360" w:lineRule="auto"/>
        <w:ind w:firstLine="315"/>
        <w:jc w:val="left"/>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（四）磋商响应文件接收人：曾远洋</w:t>
      </w:r>
    </w:p>
    <w:p w14:paraId="1B556D01">
      <w:pPr>
        <w:spacing w:after="120" w:afterLines="50" w:line="360" w:lineRule="auto"/>
        <w:ind w:firstLine="517" w:firstLineChars="245"/>
        <w:rPr>
          <w:rFonts w:hint="eastAsia" w:ascii="宋体" w:hAnsi="宋体" w:eastAsia="宋体" w:cs="Times New Roman"/>
          <w:b/>
          <w:bCs/>
          <w:color w:val="000000"/>
          <w:szCs w:val="21"/>
        </w:rPr>
      </w:pPr>
      <w:r>
        <w:rPr>
          <w:rFonts w:hint="eastAsia" w:ascii="宋体" w:hAnsi="宋体" w:eastAsia="宋体" w:cs="Times New Roman"/>
          <w:b/>
          <w:bCs/>
          <w:color w:val="000000"/>
          <w:szCs w:val="21"/>
        </w:rPr>
        <w:t>五、磋商响应文件开启信息</w:t>
      </w:r>
    </w:p>
    <w:p w14:paraId="7EC3EDBF">
      <w:pPr>
        <w:widowControl/>
        <w:snapToGrid w:val="0"/>
        <w:spacing w:line="360" w:lineRule="auto"/>
        <w:ind w:firstLine="315"/>
        <w:jc w:val="left"/>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（一）响应文件开启时间：2025年</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rPr>
        <w:t>月</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eastAsia="宋体" w:cs="宋体"/>
          <w:color w:val="000000"/>
          <w:kern w:val="0"/>
          <w:szCs w:val="21"/>
        </w:rPr>
        <w:t>3</w:t>
      </w:r>
      <w:r>
        <w:rPr>
          <w:rFonts w:hint="eastAsia" w:ascii="宋体" w:hAnsi="宋体" w:eastAsia="宋体" w:cs="宋体"/>
          <w:color w:val="000000"/>
          <w:kern w:val="0"/>
          <w:szCs w:val="21"/>
          <w:lang w:val="en"/>
        </w:rPr>
        <w:t>0</w:t>
      </w:r>
    </w:p>
    <w:p w14:paraId="569FAAF1">
      <w:pPr>
        <w:widowControl/>
        <w:snapToGrid w:val="0"/>
        <w:spacing w:line="360" w:lineRule="auto"/>
        <w:ind w:firstLine="315"/>
        <w:jc w:val="left"/>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（二）响应文件开启地点：</w:t>
      </w:r>
      <w:r>
        <w:rPr>
          <w:rFonts w:hint="eastAsia" w:ascii="宋体" w:hAnsi="宋体" w:eastAsia="宋体" w:cs="Times New Roman"/>
          <w:szCs w:val="21"/>
        </w:rPr>
        <w:t>江苏唯诚建设咨询有限公司1920开标室（扬州维扬路106-1号，扬州商城国际大厦19F）</w:t>
      </w:r>
    </w:p>
    <w:p w14:paraId="2D1F5A65">
      <w:pPr>
        <w:widowControl/>
        <w:spacing w:after="120" w:line="360" w:lineRule="auto"/>
        <w:ind w:firstLine="510"/>
        <w:jc w:val="left"/>
        <w:rPr>
          <w:rFonts w:hint="eastAsia" w:ascii="微软雅黑" w:hAnsi="微软雅黑" w:eastAsia="微软雅黑" w:cs="宋体"/>
          <w:color w:val="333333"/>
          <w:kern w:val="0"/>
          <w:szCs w:val="21"/>
          <w:lang w:val="en"/>
        </w:rPr>
      </w:pPr>
      <w:r>
        <w:rPr>
          <w:rFonts w:hint="eastAsia" w:ascii="宋体" w:hAnsi="宋体" w:eastAsia="宋体" w:cs="宋体"/>
          <w:b/>
          <w:bCs/>
          <w:color w:val="000000"/>
          <w:kern w:val="0"/>
          <w:szCs w:val="21"/>
          <w:lang w:val="en"/>
        </w:rPr>
        <w:t>六、本次磋商采购联系事项</w:t>
      </w:r>
    </w:p>
    <w:p w14:paraId="539BD589">
      <w:pPr>
        <w:spacing w:line="360" w:lineRule="auto"/>
        <w:ind w:firstLine="420" w:firstLineChars="200"/>
        <w:rPr>
          <w:rFonts w:hint="eastAsia" w:ascii="宋体" w:hAnsi="宋体" w:cs="宋体"/>
          <w:szCs w:val="21"/>
        </w:rPr>
      </w:pPr>
      <w:r>
        <w:rPr>
          <w:rFonts w:hint="eastAsia" w:ascii="宋体" w:hAnsi="宋体" w:cs="宋体"/>
          <w:szCs w:val="21"/>
        </w:rPr>
        <w:t>1.采购人信息</w:t>
      </w:r>
    </w:p>
    <w:p w14:paraId="7F01B0CC">
      <w:pPr>
        <w:spacing w:line="360" w:lineRule="auto"/>
        <w:ind w:firstLine="420" w:firstLineChars="200"/>
        <w:rPr>
          <w:rFonts w:hint="eastAsia" w:ascii="宋体" w:hAnsi="宋体" w:cs="宋体"/>
          <w:szCs w:val="21"/>
        </w:rPr>
      </w:pPr>
      <w:r>
        <w:rPr>
          <w:rFonts w:hint="eastAsia" w:ascii="宋体" w:hAnsi="宋体" w:cs="宋体"/>
          <w:szCs w:val="21"/>
        </w:rPr>
        <w:t xml:space="preserve">名 称：南京邮电大学通达学院　　 </w:t>
      </w:r>
    </w:p>
    <w:p w14:paraId="6AFC62EA">
      <w:pPr>
        <w:spacing w:line="360" w:lineRule="auto"/>
        <w:ind w:firstLine="420" w:firstLineChars="200"/>
        <w:rPr>
          <w:rFonts w:hint="eastAsia" w:ascii="宋体" w:hAnsi="宋体" w:cs="宋体"/>
          <w:szCs w:val="21"/>
        </w:rPr>
      </w:pPr>
      <w:r>
        <w:rPr>
          <w:rFonts w:hint="eastAsia" w:ascii="宋体" w:hAnsi="宋体" w:cs="宋体"/>
          <w:szCs w:val="21"/>
        </w:rPr>
        <w:t>地址：扬州市润扬南路33号</w:t>
      </w:r>
    </w:p>
    <w:p w14:paraId="61D593EB">
      <w:pPr>
        <w:spacing w:line="360" w:lineRule="auto"/>
        <w:ind w:firstLine="420" w:firstLineChars="200"/>
        <w:rPr>
          <w:rFonts w:hint="eastAsia" w:ascii="宋体" w:hAnsi="宋体" w:cs="宋体"/>
          <w:szCs w:val="21"/>
        </w:rPr>
      </w:pPr>
      <w:bookmarkStart w:id="5" w:name="_Toc28359009"/>
      <w:bookmarkStart w:id="6" w:name="_Toc28359086"/>
      <w:r>
        <w:rPr>
          <w:rFonts w:hint="eastAsia" w:ascii="宋体" w:hAnsi="宋体" w:cs="宋体"/>
          <w:szCs w:val="21"/>
        </w:rPr>
        <w:t>联系人：</w:t>
      </w:r>
      <w:r>
        <w:rPr>
          <w:rFonts w:hint="eastAsia" w:ascii="宋体" w:hAnsi="宋体"/>
          <w:szCs w:val="21"/>
          <w:lang w:val="en"/>
        </w:rPr>
        <w:t>季海燕</w:t>
      </w:r>
      <w:r>
        <w:rPr>
          <w:rFonts w:hint="eastAsia" w:ascii="宋体" w:hAnsi="宋体" w:cs="宋体"/>
          <w:szCs w:val="21"/>
        </w:rPr>
        <w:t xml:space="preserve">           </w:t>
      </w:r>
    </w:p>
    <w:p w14:paraId="206CF555">
      <w:pPr>
        <w:spacing w:line="360" w:lineRule="auto"/>
        <w:ind w:firstLine="420" w:firstLineChars="200"/>
        <w:rPr>
          <w:rFonts w:hint="eastAsia" w:ascii="宋体" w:hAnsi="宋体" w:cs="宋体"/>
          <w:szCs w:val="21"/>
        </w:rPr>
      </w:pPr>
      <w:r>
        <w:rPr>
          <w:rFonts w:hint="eastAsia" w:ascii="宋体" w:hAnsi="宋体" w:cs="宋体"/>
          <w:szCs w:val="21"/>
        </w:rPr>
        <w:t xml:space="preserve">联系方式 ：15195552829  </w:t>
      </w:r>
    </w:p>
    <w:p w14:paraId="47CDD46C">
      <w:pPr>
        <w:spacing w:line="360" w:lineRule="auto"/>
        <w:ind w:firstLine="420" w:firstLineChars="200"/>
        <w:rPr>
          <w:rFonts w:hint="eastAsia" w:ascii="宋体" w:hAnsi="宋体" w:cs="宋体"/>
          <w:szCs w:val="21"/>
        </w:rPr>
      </w:pPr>
      <w:r>
        <w:rPr>
          <w:rFonts w:hint="eastAsia" w:ascii="宋体" w:hAnsi="宋体" w:cs="宋体"/>
          <w:szCs w:val="21"/>
        </w:rPr>
        <w:t>2.采购代理机构信息</w:t>
      </w:r>
      <w:bookmarkEnd w:id="5"/>
      <w:bookmarkEnd w:id="6"/>
    </w:p>
    <w:p w14:paraId="32D17046">
      <w:pPr>
        <w:spacing w:line="360" w:lineRule="auto"/>
        <w:ind w:firstLine="420" w:firstLineChars="200"/>
        <w:rPr>
          <w:rFonts w:hint="eastAsia" w:ascii="宋体" w:hAnsi="宋体" w:cs="宋体"/>
          <w:szCs w:val="21"/>
        </w:rPr>
      </w:pPr>
      <w:r>
        <w:rPr>
          <w:rFonts w:hint="eastAsia" w:ascii="宋体" w:hAnsi="宋体" w:cs="宋体"/>
          <w:szCs w:val="21"/>
        </w:rPr>
        <w:t xml:space="preserve">名    称：江苏唯诚建设咨询有限公司                   </w:t>
      </w:r>
    </w:p>
    <w:p w14:paraId="01D71860">
      <w:pPr>
        <w:spacing w:line="360" w:lineRule="auto"/>
        <w:ind w:firstLine="420" w:firstLineChars="200"/>
        <w:rPr>
          <w:rFonts w:hint="eastAsia" w:ascii="宋体" w:hAnsi="宋体" w:cs="宋体"/>
          <w:szCs w:val="21"/>
        </w:rPr>
      </w:pPr>
      <w:r>
        <w:rPr>
          <w:rFonts w:hint="eastAsia" w:ascii="宋体" w:hAnsi="宋体" w:cs="宋体"/>
          <w:szCs w:val="21"/>
        </w:rPr>
        <w:t xml:space="preserve">地　  址：扬州维扬路106-1号，扬州商城国际大厦19F　　　　　　　　　　　  </w:t>
      </w:r>
    </w:p>
    <w:p w14:paraId="03AA6BB6">
      <w:pPr>
        <w:spacing w:line="360" w:lineRule="auto"/>
        <w:ind w:firstLine="420" w:firstLineChars="200"/>
        <w:rPr>
          <w:rFonts w:hint="eastAsia" w:ascii="宋体" w:hAnsi="宋体" w:cs="宋体"/>
          <w:szCs w:val="21"/>
        </w:rPr>
      </w:pPr>
      <w:r>
        <w:rPr>
          <w:rFonts w:hint="eastAsia" w:ascii="宋体" w:hAnsi="宋体" w:cs="宋体"/>
          <w:szCs w:val="21"/>
        </w:rPr>
        <w:t xml:space="preserve">联系人：曾远洋 13665205389　　　　　　         　　　  </w:t>
      </w:r>
    </w:p>
    <w:p w14:paraId="6F743352">
      <w:pPr>
        <w:adjustRightInd w:val="0"/>
        <w:snapToGrid w:val="0"/>
        <w:spacing w:line="360" w:lineRule="auto"/>
        <w:ind w:firstLine="422" w:firstLineChars="200"/>
        <w:rPr>
          <w:rFonts w:hint="eastAsia" w:ascii="宋体" w:hAnsi="宋体" w:eastAsia="宋体" w:cs="Times New Roman"/>
          <w:color w:val="000000"/>
          <w:szCs w:val="21"/>
        </w:rPr>
      </w:pPr>
      <w:r>
        <w:rPr>
          <w:rFonts w:hint="eastAsia" w:ascii="宋体" w:hAnsi="宋体" w:eastAsia="宋体" w:cs="Times New Roman"/>
          <w:b/>
          <w:bCs/>
          <w:color w:val="000000"/>
          <w:szCs w:val="21"/>
        </w:rPr>
        <w:t>七、本次磋商响应文件制作份数要求</w:t>
      </w:r>
      <w:r>
        <w:rPr>
          <w:rFonts w:hint="eastAsia" w:ascii="宋体" w:hAnsi="宋体"/>
          <w:szCs w:val="21"/>
        </w:rPr>
        <w:t>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电子版壹份(一般应为U盘形式、随纸质正本文件一并提交)。当电子版文件和纸质正本文件不一致时，以纸质正本文件为准。电子版文件用于辅助评标和存档，投标人需承担前述不一致造成的不利后果。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02871E32">
      <w:pPr>
        <w:spacing w:line="360" w:lineRule="auto"/>
        <w:ind w:firstLine="422" w:firstLineChars="200"/>
        <w:rPr>
          <w:rFonts w:hint="eastAsia" w:ascii="宋体" w:hAnsi="宋体" w:eastAsia="宋体" w:cs="Times New Roman"/>
          <w:b/>
          <w:bCs/>
          <w:color w:val="000000"/>
          <w:szCs w:val="21"/>
        </w:rPr>
      </w:pPr>
      <w:r>
        <w:rPr>
          <w:rFonts w:hint="eastAsia" w:ascii="宋体" w:hAnsi="宋体" w:eastAsia="宋体" w:cs="Times New Roman"/>
          <w:b/>
          <w:bCs/>
          <w:color w:val="000000"/>
          <w:szCs w:val="21"/>
        </w:rPr>
        <w:t>八、本次磋商保证金要求：不收取磋商保证金</w:t>
      </w:r>
    </w:p>
    <w:p w14:paraId="6E4DD220">
      <w:pPr>
        <w:numPr>
          <w:ilvl w:val="0"/>
          <w:numId w:val="4"/>
        </w:numPr>
        <w:tabs>
          <w:tab w:val="left" w:pos="900"/>
        </w:tabs>
        <w:spacing w:line="360" w:lineRule="auto"/>
        <w:ind w:firstLine="422" w:firstLineChars="200"/>
        <w:jc w:val="left"/>
        <w:rPr>
          <w:rFonts w:hint="eastAsia" w:ascii="宋体" w:hAnsi="宋体" w:eastAsia="宋体" w:cs="Times New Roman"/>
          <w:b/>
          <w:bCs/>
          <w:color w:val="000000"/>
          <w:szCs w:val="21"/>
        </w:rPr>
      </w:pPr>
      <w:r>
        <w:rPr>
          <w:rFonts w:hint="eastAsia" w:ascii="宋体" w:hAnsi="宋体" w:eastAsia="宋体" w:cs="Times New Roman"/>
          <w:b/>
          <w:bCs/>
          <w:color w:val="000000"/>
          <w:szCs w:val="21"/>
        </w:rPr>
        <w:t>其他说明事项：</w:t>
      </w:r>
    </w:p>
    <w:p w14:paraId="376EA5AB">
      <w:pPr>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（一）</w:t>
      </w:r>
      <w:r>
        <w:rPr>
          <w:rFonts w:hint="eastAsia" w:ascii="宋体" w:hAnsi="宋体" w:eastAsia="宋体" w:cs="Times New Roman"/>
          <w:i/>
          <w:iCs/>
          <w:color w:val="000000"/>
          <w:szCs w:val="21"/>
          <w:u w:val="single"/>
        </w:rPr>
        <w:t>本磋商文件中斜体下划线部分为实质性响应文件，为必须遵守的条件，如不满足将作无效响应文件处理</w:t>
      </w:r>
      <w:r>
        <w:rPr>
          <w:rFonts w:hint="eastAsia" w:ascii="宋体" w:hAnsi="宋体" w:eastAsia="宋体" w:cs="Times New Roman"/>
          <w:color w:val="000000"/>
          <w:szCs w:val="21"/>
        </w:rPr>
        <w:t>。</w:t>
      </w:r>
    </w:p>
    <w:p w14:paraId="03F76376">
      <w:pPr>
        <w:spacing w:line="360" w:lineRule="auto"/>
        <w:ind w:firstLine="420" w:firstLineChars="200"/>
        <w:jc w:val="right"/>
        <w:rPr>
          <w:rFonts w:hint="eastAsia" w:ascii="宋体" w:hAnsi="宋体" w:eastAsia="宋体" w:cs="Times New Roman"/>
          <w:szCs w:val="21"/>
        </w:rPr>
      </w:pPr>
    </w:p>
    <w:p w14:paraId="5F86608E">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江苏唯诚建设咨询有限公司</w:t>
      </w:r>
    </w:p>
    <w:p w14:paraId="1E76C54A">
      <w:pPr>
        <w:wordWrap w:val="0"/>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2025年10月</w:t>
      </w:r>
      <w:r>
        <w:rPr>
          <w:rFonts w:hint="eastAsia" w:ascii="宋体" w:hAnsi="宋体" w:cs="Times New Roman"/>
          <w:szCs w:val="21"/>
          <w:lang w:val="en-US" w:eastAsia="zh-CN"/>
        </w:rPr>
        <w:t>23</w:t>
      </w:r>
      <w:r>
        <w:rPr>
          <w:rFonts w:hint="eastAsia" w:ascii="宋体" w:hAnsi="宋体" w:eastAsia="宋体" w:cs="Times New Roman"/>
          <w:szCs w:val="21"/>
        </w:rPr>
        <w:t>日</w:t>
      </w:r>
    </w:p>
    <w:bookmarkEnd w:id="2"/>
    <w:bookmarkEnd w:id="3"/>
    <w:p w14:paraId="3234FB56">
      <w:pPr>
        <w:spacing w:line="360" w:lineRule="auto"/>
        <w:ind w:firstLine="720" w:firstLineChars="200"/>
        <w:jc w:val="right"/>
        <w:rPr>
          <w:rFonts w:hint="eastAsia" w:ascii="宋体" w:hAnsi="宋体" w:eastAsia="宋体" w:cs="Arial"/>
          <w:bCs/>
          <w:sz w:val="36"/>
          <w:szCs w:val="36"/>
        </w:rPr>
        <w:sectPr>
          <w:headerReference r:id="rId4" w:type="first"/>
          <w:footerReference r:id="rId6" w:type="first"/>
          <w:headerReference r:id="rId3" w:type="default"/>
          <w:footerReference r:id="rId5" w:type="default"/>
          <w:pgSz w:w="11900" w:h="16838"/>
          <w:pgMar w:top="844" w:right="1440" w:bottom="456" w:left="1440" w:header="0" w:footer="0" w:gutter="0"/>
          <w:pgNumType w:start="1"/>
          <w:cols w:space="720" w:num="1"/>
        </w:sectPr>
      </w:pPr>
      <w:bookmarkStart w:id="7" w:name="_Hlt26954810"/>
      <w:bookmarkEnd w:id="7"/>
      <w:bookmarkStart w:id="8" w:name="_Hlt26954907"/>
      <w:bookmarkEnd w:id="8"/>
      <w:bookmarkStart w:id="9" w:name="_Hlt26670330"/>
      <w:bookmarkEnd w:id="9"/>
      <w:bookmarkStart w:id="10" w:name="_Hlt26668836"/>
      <w:bookmarkEnd w:id="10"/>
      <w:bookmarkStart w:id="11" w:name="_Hlt26954824"/>
      <w:bookmarkEnd w:id="11"/>
      <w:bookmarkStart w:id="12" w:name="_Toc513029209"/>
      <w:bookmarkStart w:id="13" w:name="_Toc14577347"/>
      <w:bookmarkStart w:id="14" w:name="_Toc61149549"/>
    </w:p>
    <w:p w14:paraId="0DD6FBC9">
      <w:pPr>
        <w:keepNext/>
        <w:keepLines/>
        <w:spacing w:before="260" w:after="260" w:line="416" w:lineRule="auto"/>
        <w:jc w:val="center"/>
        <w:outlineLvl w:val="1"/>
        <w:rPr>
          <w:rFonts w:hint="eastAsia" w:ascii="宋体" w:hAnsi="宋体" w:eastAsia="宋体" w:cs="Arial"/>
          <w:b/>
          <w:bCs/>
          <w:sz w:val="15"/>
          <w:szCs w:val="15"/>
        </w:rPr>
      </w:pPr>
      <w:r>
        <w:rPr>
          <w:rFonts w:hint="eastAsia" w:ascii="宋体" w:hAnsi="宋体" w:eastAsia="宋体" w:cs="Arial"/>
          <w:b/>
          <w:bCs/>
          <w:sz w:val="36"/>
          <w:szCs w:val="36"/>
        </w:rPr>
        <w:t>第二章  磋商须知</w:t>
      </w:r>
    </w:p>
    <w:p w14:paraId="0F4E45B0">
      <w:pPr>
        <w:spacing w:after="143" w:afterLines="50" w:line="360" w:lineRule="auto"/>
        <w:jc w:val="center"/>
        <w:rPr>
          <w:rFonts w:hint="eastAsia" w:ascii="宋体" w:hAnsi="宋体" w:eastAsia="宋体" w:cs="Times New Roman"/>
          <w:b/>
          <w:bCs/>
          <w:szCs w:val="21"/>
        </w:rPr>
      </w:pPr>
      <w:r>
        <w:rPr>
          <w:rFonts w:hint="eastAsia" w:ascii="宋体" w:hAnsi="宋体" w:eastAsia="宋体" w:cs="Times New Roman"/>
          <w:bCs/>
          <w:szCs w:val="21"/>
        </w:rPr>
        <w:t>（参加竞争性磋商的供应商以下简称“磋商供应商”）</w:t>
      </w:r>
    </w:p>
    <w:bookmarkEnd w:id="12"/>
    <w:bookmarkEnd w:id="13"/>
    <w:bookmarkEnd w:id="14"/>
    <w:p w14:paraId="71755091">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一、总则</w:t>
      </w:r>
    </w:p>
    <w:p w14:paraId="6FBF62E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1、适用范围</w:t>
      </w:r>
    </w:p>
    <w:p w14:paraId="1D91F8E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本竞争性磋商文件（以下简称磋商文件）仅适用此项目。</w:t>
      </w:r>
    </w:p>
    <w:p w14:paraId="5B0DB3A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本项目按照项目分包，分别确定各分包成交供应商。</w:t>
      </w:r>
    </w:p>
    <w:p w14:paraId="6B9C4AD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2、项目采购方式</w:t>
      </w:r>
    </w:p>
    <w:p w14:paraId="7617D89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本次采购采取竞争性磋商的方式。</w:t>
      </w:r>
    </w:p>
    <w:p w14:paraId="1D1704C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3、合格的磋商供应商</w:t>
      </w:r>
    </w:p>
    <w:p w14:paraId="6229948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3.1满足本磋商文件“竞争性磋商采购邀请”中合格磋商供应商资格要求的规定。</w:t>
      </w:r>
    </w:p>
    <w:p w14:paraId="318193D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 满足本磋商文件实质性要求和条件的规定。</w:t>
      </w:r>
    </w:p>
    <w:p w14:paraId="62D1AE1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4、参加磋商费用</w:t>
      </w:r>
    </w:p>
    <w:p w14:paraId="2357E68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4.1参加磋商供应商应自行承担所有与参加磋商有关的费用。不论最终的成交结果如何，江苏唯诚建设咨询有限公司（以下简称代理机构） 在任何情况下均无义务和责任承担这些费用。</w:t>
      </w:r>
    </w:p>
    <w:p w14:paraId="715C5C74">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4.2</w:t>
      </w:r>
      <w:r>
        <w:rPr>
          <w:rFonts w:hint="eastAsia" w:ascii="宋体" w:hAnsi="宋体" w:cs="宋体"/>
          <w:szCs w:val="21"/>
        </w:rPr>
        <w:t>本次采购由成交人在领取成交通知书前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110ED94A">
      <w:pPr>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cs="宋体"/>
          <w:szCs w:val="21"/>
        </w:rPr>
        <w:t>代理服务费以</w:t>
      </w:r>
      <w:r>
        <w:rPr>
          <w:rFonts w:hint="eastAsia" w:ascii="宋体" w:hAnsi="宋体" w:eastAsia="宋体" w:cs="Times New Roman"/>
          <w:color w:val="000000"/>
          <w:szCs w:val="21"/>
        </w:rPr>
        <w:t>人民币支付；</w:t>
      </w:r>
    </w:p>
    <w:p w14:paraId="7F47D3A9">
      <w:pPr>
        <w:spacing w:line="360" w:lineRule="auto"/>
        <w:ind w:firstLine="420" w:firstLineChars="200"/>
        <w:jc w:val="left"/>
        <w:rPr>
          <w:rFonts w:hint="eastAsia" w:ascii="宋体" w:hAnsi="宋体" w:eastAsia="宋体" w:cs="Times New Roman"/>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）支付方式：一次性以电汇、转账、支票、现金等形式支付；</w:t>
      </w:r>
    </w:p>
    <w:p w14:paraId="77934760">
      <w:pPr>
        <w:spacing w:line="360" w:lineRule="auto"/>
        <w:ind w:firstLine="420" w:firstLineChars="200"/>
        <w:jc w:val="left"/>
        <w:rPr>
          <w:rFonts w:ascii="Times New Roman" w:hAnsi="Times New Roman" w:eastAsia="楷体_GB2312" w:cs="Times New Roman"/>
          <w:szCs w:val="24"/>
        </w:rPr>
      </w:pPr>
      <w:bookmarkStart w:id="15" w:name="page7"/>
      <w:bookmarkEnd w:id="15"/>
      <w:r>
        <w:rPr>
          <w:rFonts w:hint="eastAsia" w:ascii="宋体" w:hAnsi="宋体" w:eastAsia="宋体" w:cs="宋体"/>
          <w:szCs w:val="21"/>
        </w:rPr>
        <w:t>（3）</w:t>
      </w:r>
      <w:r>
        <w:rPr>
          <w:rFonts w:ascii="宋体" w:hAnsi="宋体" w:eastAsia="宋体" w:cs="宋体"/>
          <w:szCs w:val="21"/>
        </w:rPr>
        <w:t>费</w:t>
      </w:r>
      <w:r>
        <w:rPr>
          <w:rFonts w:hint="eastAsia" w:ascii="宋体" w:hAnsi="宋体" w:eastAsia="宋体" w:cs="宋体"/>
          <w:szCs w:val="21"/>
        </w:rPr>
        <w:t>用</w:t>
      </w:r>
      <w:r>
        <w:rPr>
          <w:rFonts w:ascii="宋体" w:hAnsi="宋体" w:eastAsia="宋体" w:cs="宋体"/>
          <w:szCs w:val="21"/>
        </w:rPr>
        <w:t>不在报价中单列，包含在总价中</w:t>
      </w:r>
      <w:r>
        <w:rPr>
          <w:rFonts w:hint="eastAsia" w:ascii="宋体" w:hAnsi="宋体" w:eastAsia="宋体" w:cs="宋体"/>
          <w:szCs w:val="21"/>
        </w:rPr>
        <w:t>；</w:t>
      </w:r>
    </w:p>
    <w:p w14:paraId="2D76918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招标代理服务费</w:t>
      </w:r>
      <w:r>
        <w:rPr>
          <w:rFonts w:ascii="宋体" w:hAnsi="宋体" w:eastAsia="宋体" w:cs="宋体"/>
          <w:szCs w:val="21"/>
        </w:rPr>
        <w:t>开户银行：</w:t>
      </w:r>
      <w:r>
        <w:rPr>
          <w:rFonts w:hint="eastAsia" w:ascii="宋体" w:hAnsi="宋体" w:eastAsia="宋体" w:cs="宋体"/>
          <w:szCs w:val="21"/>
        </w:rPr>
        <w:t>江苏银行扬州广陵支行</w:t>
      </w:r>
    </w:p>
    <w:p w14:paraId="70601508">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w:t>
      </w:r>
      <w:r>
        <w:rPr>
          <w:rFonts w:hint="eastAsia" w:ascii="宋体" w:hAnsi="宋体" w:eastAsia="宋体" w:cs="宋体"/>
          <w:szCs w:val="21"/>
        </w:rPr>
        <w:t xml:space="preserve">            </w:t>
      </w:r>
      <w:r>
        <w:rPr>
          <w:rFonts w:ascii="宋体" w:hAnsi="宋体" w:eastAsia="宋体" w:cs="宋体"/>
          <w:szCs w:val="21"/>
        </w:rPr>
        <w:t>开户名称：江苏唯诚建设咨询有限公司</w:t>
      </w:r>
    </w:p>
    <w:p w14:paraId="117B3FA2">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w:t>
      </w:r>
      <w:r>
        <w:rPr>
          <w:rFonts w:hint="eastAsia" w:ascii="宋体" w:hAnsi="宋体" w:eastAsia="宋体" w:cs="宋体"/>
          <w:szCs w:val="21"/>
        </w:rPr>
        <w:t xml:space="preserve">            </w:t>
      </w:r>
      <w:r>
        <w:rPr>
          <w:rFonts w:hint="eastAsia" w:ascii="宋体" w:hAnsi="宋体" w:cs="宋体"/>
          <w:bCs/>
          <w:szCs w:val="21"/>
        </w:rPr>
        <w:t>开户帐号：05000140900000685</w:t>
      </w:r>
    </w:p>
    <w:p w14:paraId="2764C104">
      <w:pPr>
        <w:spacing w:line="360" w:lineRule="auto"/>
        <w:ind w:firstLine="420" w:firstLineChars="200"/>
        <w:jc w:val="left"/>
        <w:rPr>
          <w:rFonts w:ascii="Times New Roman" w:hAnsi="Times New Roman" w:eastAsia="宋体" w:cs="Times New Roman"/>
          <w:szCs w:val="24"/>
        </w:rPr>
      </w:pPr>
      <w:r>
        <w:rPr>
          <w:rFonts w:hint="eastAsia" w:ascii="宋体" w:hAnsi="宋体" w:cs="宋体"/>
          <w:bCs/>
          <w:szCs w:val="21"/>
        </w:rPr>
        <w:t>4.3评委评审费包含招标代理服务费中，无需支付其他费用。</w:t>
      </w:r>
    </w:p>
    <w:p w14:paraId="6F979FED">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5、磋商文件的约束力</w:t>
      </w:r>
    </w:p>
    <w:p w14:paraId="47562A9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供应商一旦下载了本磋商文件并决定参加磋商，即被认为接受了本磋商文件的规定和约束，并且视为自竞争性磋商公告期限届满之日起已经知道或应当知道自身权益是否受到了损害。</w:t>
      </w:r>
    </w:p>
    <w:p w14:paraId="43E0C19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w:t>
      </w:r>
      <w:bookmarkStart w:id="16" w:name="_Toc462564070"/>
      <w:bookmarkStart w:id="17" w:name="_Toc513029211"/>
      <w:bookmarkStart w:id="18" w:name="_Toc20823283"/>
      <w:bookmarkStart w:id="19" w:name="_Toc16938527"/>
      <w:r>
        <w:rPr>
          <w:rFonts w:hint="eastAsia" w:ascii="宋体" w:hAnsi="宋体" w:eastAsia="宋体" w:cs="Times New Roman"/>
          <w:szCs w:val="21"/>
        </w:rPr>
        <w:t>磋商文件的</w:t>
      </w:r>
      <w:bookmarkEnd w:id="16"/>
      <w:bookmarkEnd w:id="17"/>
      <w:bookmarkEnd w:id="18"/>
      <w:bookmarkEnd w:id="19"/>
      <w:r>
        <w:rPr>
          <w:rFonts w:hint="eastAsia" w:ascii="宋体" w:hAnsi="宋体" w:eastAsia="宋体" w:cs="Times New Roman"/>
          <w:szCs w:val="21"/>
        </w:rPr>
        <w:t>询问及修改</w:t>
      </w:r>
    </w:p>
    <w:p w14:paraId="1BA75B7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南京邮电大学采购招标管理办公室和通达学院采购招标信息网上发布更正公告通知所有获取磋商文件的供应商。不足5日的，代理机构应当顺延提交首次响应文件截止时间。</w:t>
      </w:r>
    </w:p>
    <w:p w14:paraId="091B247D">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6.2</w:t>
      </w:r>
      <w:r>
        <w:rPr>
          <w:rFonts w:hint="eastAsia" w:ascii="宋体" w:hAnsi="宋体" w:eastAsia="宋体" w:cs="Times New Roman"/>
          <w:color w:val="000000"/>
          <w:szCs w:val="21"/>
        </w:rPr>
        <w:t>代理机构或采购人可以视采购项目的具体情况，组织供应商进行现场考察或召开磋商前答疑会，但不单独或分别组织只有一个供应商参加的现场考察和答疑会。</w:t>
      </w:r>
    </w:p>
    <w:p w14:paraId="760BD8F4">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7、磋商文件的解释</w:t>
      </w:r>
    </w:p>
    <w:p w14:paraId="7D938F25">
      <w:pPr>
        <w:spacing w:line="360" w:lineRule="auto"/>
        <w:ind w:firstLine="420" w:firstLineChars="200"/>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7.1 本磋商文件由代理机构负责解释。</w:t>
      </w:r>
      <w:bookmarkStart w:id="20" w:name="_Hlt26954828"/>
      <w:bookmarkEnd w:id="20"/>
      <w:bookmarkStart w:id="21" w:name="_Hlt26670348"/>
      <w:bookmarkEnd w:id="21"/>
      <w:bookmarkStart w:id="22" w:name="_Hlt26670354"/>
      <w:bookmarkEnd w:id="22"/>
      <w:bookmarkStart w:id="23" w:name="_Hlt26954832"/>
      <w:bookmarkEnd w:id="23"/>
      <w:bookmarkStart w:id="24" w:name="_Hlt26670345"/>
      <w:bookmarkEnd w:id="24"/>
      <w:bookmarkStart w:id="25" w:name="_Hlt26954830"/>
      <w:bookmarkEnd w:id="25"/>
      <w:bookmarkStart w:id="26" w:name="_Hlt26668969"/>
      <w:bookmarkEnd w:id="26"/>
      <w:bookmarkStart w:id="27" w:name="_Toc61149553"/>
      <w:bookmarkStart w:id="28" w:name="_Toc513029213"/>
      <w:bookmarkStart w:id="29" w:name="_Toc14577351"/>
      <w:bookmarkStart w:id="30" w:name="_Toc462564072"/>
    </w:p>
    <w:p w14:paraId="4D1899FE">
      <w:pPr>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二、磋商响应文件的编制</w:t>
      </w:r>
      <w:bookmarkEnd w:id="27"/>
      <w:bookmarkEnd w:id="28"/>
      <w:bookmarkEnd w:id="29"/>
      <w:bookmarkEnd w:id="30"/>
    </w:p>
    <w:p w14:paraId="56EEAB88">
      <w:pPr>
        <w:tabs>
          <w:tab w:val="left" w:pos="900"/>
        </w:tabs>
        <w:spacing w:line="360" w:lineRule="auto"/>
        <w:ind w:firstLine="420" w:firstLineChars="200"/>
        <w:jc w:val="left"/>
        <w:rPr>
          <w:rFonts w:hint="eastAsia" w:ascii="宋体" w:hAnsi="宋体" w:eastAsia="宋体" w:cs="Times New Roman"/>
          <w:szCs w:val="21"/>
        </w:rPr>
      </w:pPr>
      <w:bookmarkStart w:id="31" w:name="_Toc14577361"/>
      <w:bookmarkStart w:id="32" w:name="_Toc61149561"/>
      <w:bookmarkStart w:id="33" w:name="_Toc513029223"/>
      <w:r>
        <w:rPr>
          <w:rFonts w:hint="eastAsia" w:ascii="宋体" w:hAnsi="宋体" w:eastAsia="宋体" w:cs="Times New Roman"/>
          <w:szCs w:val="21"/>
        </w:rPr>
        <w:t>1、磋商响应文件份数和签署</w:t>
      </w:r>
      <w:bookmarkEnd w:id="31"/>
      <w:bookmarkEnd w:id="32"/>
      <w:bookmarkEnd w:id="33"/>
    </w:p>
    <w:p w14:paraId="084456D6">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1.1磋商供应商应严格按照采购邀请要求准备磋商响应文件（以下简称响应文件），每份响应文件须清楚地标明“正本”或“</w:t>
      </w:r>
      <w:r>
        <w:rPr>
          <w:rFonts w:hint="eastAsia" w:ascii="宋体" w:hAnsi="宋体" w:eastAsia="宋体" w:cs="Times New Roman"/>
          <w:color w:val="000000"/>
          <w:szCs w:val="21"/>
        </w:rPr>
        <w:t>副本”字样。</w:t>
      </w:r>
    </w:p>
    <w:p w14:paraId="21B07B0F">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响应文件的正本和所有的副本均需打印或复印。响应文件正本中，磋商文件要求提供原件的必须按照要求提供，文字材料需打印或用不</w:t>
      </w:r>
      <w:r>
        <w:rPr>
          <w:rFonts w:hint="eastAsia" w:ascii="宋体" w:hAnsi="宋体" w:eastAsia="宋体" w:cs="Times New Roman"/>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14:paraId="1F2C5AB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除磋商供应商对错处做必要修改外，响应文件不得行间插字、涂改或增删。如有修改错漏处，必须由响应文件签署人签字或盖章。</w:t>
      </w:r>
    </w:p>
    <w:p w14:paraId="724FDA74">
      <w:pPr>
        <w:tabs>
          <w:tab w:val="left" w:pos="900"/>
        </w:tabs>
        <w:spacing w:line="360" w:lineRule="auto"/>
        <w:ind w:firstLine="420" w:firstLineChars="200"/>
        <w:jc w:val="left"/>
        <w:rPr>
          <w:rFonts w:hint="eastAsia" w:ascii="宋体" w:hAnsi="宋体" w:eastAsia="宋体" w:cs="Times New Roman"/>
          <w:szCs w:val="21"/>
        </w:rPr>
      </w:pPr>
      <w:bookmarkStart w:id="34" w:name="_Hlt26954834"/>
      <w:bookmarkEnd w:id="34"/>
      <w:bookmarkStart w:id="35" w:name="_Toc61149555"/>
      <w:bookmarkStart w:id="36" w:name="_Toc462564074"/>
      <w:bookmarkStart w:id="37" w:name="_Toc14577353"/>
      <w:bookmarkStart w:id="38" w:name="_Toc513029215"/>
      <w:bookmarkStart w:id="39" w:name="_Toc513029214"/>
      <w:bookmarkStart w:id="40" w:name="_Toc462564073"/>
      <w:bookmarkStart w:id="41" w:name="_Toc14577352"/>
      <w:bookmarkStart w:id="42" w:name="_Toc61149554"/>
      <w:r>
        <w:rPr>
          <w:rFonts w:hint="eastAsia" w:ascii="宋体" w:hAnsi="宋体" w:eastAsia="宋体" w:cs="Times New Roman"/>
          <w:szCs w:val="21"/>
        </w:rPr>
        <w:t>2、响应文件</w:t>
      </w:r>
      <w:bookmarkEnd w:id="35"/>
      <w:bookmarkEnd w:id="36"/>
      <w:bookmarkEnd w:id="37"/>
      <w:bookmarkEnd w:id="38"/>
      <w:r>
        <w:rPr>
          <w:rFonts w:hint="eastAsia" w:ascii="宋体" w:hAnsi="宋体" w:eastAsia="宋体" w:cs="Times New Roman"/>
          <w:szCs w:val="21"/>
        </w:rPr>
        <w:t>编制要求</w:t>
      </w:r>
    </w:p>
    <w:bookmarkEnd w:id="39"/>
    <w:bookmarkEnd w:id="40"/>
    <w:bookmarkEnd w:id="41"/>
    <w:bookmarkEnd w:id="42"/>
    <w:p w14:paraId="535E2E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2.1磋商供应商提交的响应文件以及磋商供应商与代理机构及采购人就有关磋商的所有来往函电均应使用简体中文。磋商文件中既有中文也有外文的，以中文意义为准。</w:t>
      </w:r>
    </w:p>
    <w:p w14:paraId="4C22D16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除技术性能另有规定外，响应文件所使用的度量衡单位，均须采用国家法定计量单位。</w:t>
      </w:r>
    </w:p>
    <w:p w14:paraId="05D47965">
      <w:pPr>
        <w:tabs>
          <w:tab w:val="left" w:pos="900"/>
        </w:tabs>
        <w:spacing w:line="360" w:lineRule="auto"/>
        <w:ind w:firstLine="420" w:firstLineChars="200"/>
        <w:jc w:val="left"/>
        <w:rPr>
          <w:rFonts w:hint="eastAsia" w:ascii="宋体" w:hAnsi="宋体" w:eastAsia="宋体" w:cs="Times New Roman"/>
          <w:szCs w:val="21"/>
        </w:rPr>
      </w:pPr>
      <w:bookmarkStart w:id="43" w:name="_Hlt26670357"/>
      <w:bookmarkEnd w:id="43"/>
      <w:bookmarkStart w:id="44" w:name="_Hlt26954836"/>
      <w:bookmarkEnd w:id="44"/>
      <w:bookmarkStart w:id="45" w:name="_Toc513029219"/>
      <w:bookmarkStart w:id="46" w:name="_Toc61149558"/>
      <w:bookmarkStart w:id="47" w:name="_Toc14577357"/>
      <w:bookmarkStart w:id="48" w:name="_Toc513029217"/>
      <w:bookmarkStart w:id="49" w:name="_Toc14577355"/>
      <w:bookmarkStart w:id="50" w:name="_Toc61149557"/>
      <w:r>
        <w:rPr>
          <w:rFonts w:hint="eastAsia" w:ascii="宋体" w:hAnsi="宋体" w:eastAsia="宋体" w:cs="Times New Roman"/>
          <w:szCs w:val="21"/>
        </w:rPr>
        <w:t>3、参加磋商供应商资格的文件</w:t>
      </w:r>
      <w:bookmarkEnd w:id="45"/>
      <w:bookmarkEnd w:id="46"/>
      <w:bookmarkEnd w:id="47"/>
      <w:r>
        <w:rPr>
          <w:rFonts w:hint="eastAsia" w:ascii="宋体" w:hAnsi="宋体" w:eastAsia="宋体" w:cs="Times New Roman"/>
          <w:szCs w:val="21"/>
        </w:rPr>
        <w:t>证明</w:t>
      </w:r>
    </w:p>
    <w:p w14:paraId="3CE26163">
      <w:pPr>
        <w:tabs>
          <w:tab w:val="left" w:pos="900"/>
        </w:tabs>
        <w:spacing w:line="360" w:lineRule="auto"/>
        <w:ind w:firstLine="420" w:firstLineChars="200"/>
        <w:jc w:val="left"/>
        <w:rPr>
          <w:rFonts w:hint="eastAsia" w:ascii="宋体" w:hAnsi="宋体" w:eastAsia="宋体" w:cs="Times New Roman"/>
          <w:szCs w:val="21"/>
        </w:rPr>
      </w:pPr>
      <w:bookmarkStart w:id="51" w:name="_Hlt26668999"/>
      <w:bookmarkEnd w:id="51"/>
      <w:r>
        <w:rPr>
          <w:rFonts w:hint="eastAsia" w:ascii="宋体" w:hAnsi="宋体" w:eastAsia="宋体" w:cs="Times New Roman"/>
          <w:szCs w:val="21"/>
        </w:rPr>
        <w:t>3.1磋商供应商应提交证明其有资格参加磋商和成交后有能力独立履行合同的文件，并作为其响应文件的一部分。</w:t>
      </w:r>
    </w:p>
    <w:p w14:paraId="7C18C61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3.2磋商供应商除必须具有履行合同所需提供的设备以及服务的能力外，还必须具备相应的财务、技术方面的能力。</w:t>
      </w:r>
    </w:p>
    <w:p w14:paraId="7B1DAD2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3.3磋商供应商应填写并提交磋商文件所附的“资格证明文件”。</w:t>
      </w:r>
    </w:p>
    <w:p w14:paraId="3F4F4E4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4、磋商响应报价</w:t>
      </w:r>
      <w:bookmarkEnd w:id="48"/>
      <w:bookmarkEnd w:id="49"/>
      <w:bookmarkStart w:id="52" w:name="_Hlt26670373"/>
      <w:bookmarkEnd w:id="52"/>
      <w:r>
        <w:rPr>
          <w:rFonts w:hint="eastAsia" w:ascii="宋体" w:hAnsi="宋体" w:eastAsia="宋体" w:cs="Times New Roman"/>
          <w:szCs w:val="21"/>
        </w:rPr>
        <w:t>表</w:t>
      </w:r>
      <w:bookmarkEnd w:id="50"/>
    </w:p>
    <w:p w14:paraId="5D6273A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w:t>
      </w:r>
      <w:r>
        <w:rPr>
          <w:rFonts w:hint="eastAsia" w:ascii="宋体" w:hAnsi="宋体" w:eastAsia="宋体" w:cs="Times New Roman"/>
          <w:color w:val="000000"/>
          <w:szCs w:val="21"/>
        </w:rPr>
        <w:t>磋商供应商应按照磋商文件规定格式填报磋商响应报价表。每项产品或服务只允许有一个报价，任何有选择的报价将不予接受，磋商文件中</w:t>
      </w:r>
      <w:r>
        <w:rPr>
          <w:rFonts w:hint="eastAsia" w:ascii="宋体" w:hAnsi="宋体" w:eastAsia="宋体" w:cs="Times New Roman"/>
          <w:szCs w:val="21"/>
        </w:rPr>
        <w:t>另有规定的按规定执行。</w:t>
      </w:r>
    </w:p>
    <w:p w14:paraId="08A0B89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4.2标的物</w:t>
      </w:r>
    </w:p>
    <w:p w14:paraId="6348241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详见项目需求。</w:t>
      </w:r>
    </w:p>
    <w:p w14:paraId="5E4D50C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4.3有关费用处理</w:t>
      </w:r>
    </w:p>
    <w:p w14:paraId="3C297A5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本次采购磋商供应商的总报价应包括为完成本项目发生的所有费用，本磋商文件中另有规定的除外。</w:t>
      </w:r>
    </w:p>
    <w:p w14:paraId="6912226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4.4其它费用处理</w:t>
      </w:r>
    </w:p>
    <w:p w14:paraId="25EC4C2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磋商文件未列明，而磋商供应商认为必须的费用也须列入报价。</w:t>
      </w:r>
    </w:p>
    <w:p w14:paraId="159D9E4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4.5报价采用的货币</w:t>
      </w:r>
    </w:p>
    <w:p w14:paraId="193C7B2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响应文件中的单价和总价，无特殊规定的采用人民币报价，以元为单位标注。磋商文件中另有规定的按规定执行。</w:t>
      </w:r>
    </w:p>
    <w:p w14:paraId="76C1721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4.6 磋商响应报价表上的价格应按磋商文件规定填写。</w:t>
      </w:r>
    </w:p>
    <w:p w14:paraId="711FC792">
      <w:pPr>
        <w:tabs>
          <w:tab w:val="left" w:pos="900"/>
        </w:tabs>
        <w:spacing w:line="360" w:lineRule="auto"/>
        <w:ind w:firstLine="420" w:firstLineChars="200"/>
        <w:jc w:val="left"/>
        <w:rPr>
          <w:rFonts w:hint="eastAsia" w:ascii="宋体" w:hAnsi="宋体" w:eastAsia="宋体" w:cs="Times New Roman"/>
          <w:szCs w:val="21"/>
        </w:rPr>
      </w:pPr>
      <w:bookmarkStart w:id="53" w:name="_Hlt26670425"/>
      <w:bookmarkEnd w:id="53"/>
      <w:bookmarkStart w:id="54" w:name="_Hlt26954844"/>
      <w:bookmarkEnd w:id="54"/>
      <w:bookmarkStart w:id="55" w:name="_Hlt26668983"/>
      <w:bookmarkEnd w:id="55"/>
      <w:bookmarkStart w:id="56" w:name="_Hlt26954731"/>
      <w:bookmarkEnd w:id="56"/>
      <w:bookmarkStart w:id="57" w:name="_Hlt26954842"/>
      <w:bookmarkEnd w:id="57"/>
      <w:bookmarkStart w:id="58" w:name="_Hlt26670482"/>
      <w:bookmarkEnd w:id="58"/>
      <w:bookmarkStart w:id="59" w:name="_Hlt26954846"/>
      <w:bookmarkEnd w:id="59"/>
      <w:bookmarkStart w:id="60" w:name="_Hlt26670486"/>
      <w:bookmarkEnd w:id="60"/>
      <w:bookmarkStart w:id="61" w:name="_Hlt26670403"/>
      <w:bookmarkEnd w:id="61"/>
      <w:bookmarkStart w:id="62" w:name="_Hlt26954848"/>
      <w:bookmarkEnd w:id="62"/>
      <w:bookmarkStart w:id="63" w:name="_Toc513029221"/>
      <w:bookmarkStart w:id="64" w:name="_Toc14577359"/>
      <w:bookmarkStart w:id="65" w:name="_Toc61149559"/>
      <w:r>
        <w:rPr>
          <w:rFonts w:hint="eastAsia" w:ascii="宋体" w:hAnsi="宋体" w:eastAsia="宋体" w:cs="Times New Roman"/>
          <w:szCs w:val="21"/>
        </w:rPr>
        <w:t>5、项目需求响应方案</w:t>
      </w:r>
    </w:p>
    <w:p w14:paraId="38CE722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5.1提供为完成本项目的总体实施方案。</w:t>
      </w:r>
    </w:p>
    <w:p w14:paraId="12F8DDE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5.2对磋商文件中项目需求的技术与商务条款要求逐项作出应答，并提供依据或说明。</w:t>
      </w:r>
    </w:p>
    <w:p w14:paraId="442EB99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5.3磋商供应商认为需要的其他技术文件或说明。</w:t>
      </w:r>
    </w:p>
    <w:p w14:paraId="3C98540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6、磋商保证金</w:t>
      </w:r>
      <w:bookmarkEnd w:id="63"/>
      <w:bookmarkEnd w:id="64"/>
      <w:bookmarkEnd w:id="65"/>
      <w:r>
        <w:rPr>
          <w:rFonts w:hint="eastAsia" w:ascii="宋体" w:hAnsi="宋体" w:eastAsia="宋体" w:cs="Times New Roman"/>
          <w:szCs w:val="21"/>
        </w:rPr>
        <w:t>：无</w:t>
      </w:r>
    </w:p>
    <w:p w14:paraId="7CC0705B">
      <w:pPr>
        <w:tabs>
          <w:tab w:val="left" w:pos="900"/>
        </w:tabs>
        <w:spacing w:line="360" w:lineRule="auto"/>
        <w:ind w:firstLine="422" w:firstLineChars="200"/>
        <w:jc w:val="left"/>
        <w:rPr>
          <w:rFonts w:hint="eastAsia" w:ascii="宋体" w:hAnsi="宋体" w:eastAsia="宋体" w:cs="Times New Roman"/>
          <w:b/>
          <w:szCs w:val="21"/>
        </w:rPr>
      </w:pPr>
      <w:bookmarkStart w:id="66" w:name="_Hlt26954850"/>
      <w:bookmarkEnd w:id="66"/>
      <w:bookmarkStart w:id="67" w:name="_Hlt26954852"/>
      <w:bookmarkEnd w:id="67"/>
      <w:bookmarkStart w:id="68" w:name="_Hlt26954854"/>
      <w:bookmarkEnd w:id="68"/>
      <w:bookmarkStart w:id="69" w:name="_Hlt26954739"/>
      <w:bookmarkEnd w:id="69"/>
      <w:bookmarkStart w:id="70" w:name="_Hlt26670493"/>
      <w:bookmarkEnd w:id="70"/>
      <w:bookmarkStart w:id="71" w:name="_Hlt26670489"/>
      <w:bookmarkEnd w:id="71"/>
      <w:bookmarkStart w:id="72" w:name="_Hlt26954734"/>
      <w:bookmarkEnd w:id="72"/>
      <w:bookmarkStart w:id="73" w:name="_Hlt26954749"/>
      <w:bookmarkEnd w:id="73"/>
      <w:bookmarkStart w:id="74" w:name="_Toc513029224"/>
      <w:bookmarkStart w:id="75" w:name="_Toc61149562"/>
      <w:bookmarkStart w:id="76" w:name="_Toc14577362"/>
      <w:r>
        <w:rPr>
          <w:rFonts w:hint="eastAsia" w:ascii="宋体" w:hAnsi="宋体" w:eastAsia="宋体" w:cs="Times New Roman"/>
          <w:b/>
          <w:szCs w:val="21"/>
        </w:rPr>
        <w:t>三、响应文件的递交</w:t>
      </w:r>
      <w:bookmarkEnd w:id="74"/>
      <w:bookmarkEnd w:id="75"/>
      <w:bookmarkEnd w:id="76"/>
    </w:p>
    <w:p w14:paraId="2371D9BA">
      <w:pPr>
        <w:tabs>
          <w:tab w:val="left" w:pos="900"/>
        </w:tabs>
        <w:spacing w:line="360" w:lineRule="auto"/>
        <w:ind w:firstLine="420" w:firstLineChars="200"/>
        <w:jc w:val="left"/>
        <w:rPr>
          <w:rFonts w:hint="eastAsia" w:ascii="宋体" w:hAnsi="宋体" w:eastAsia="宋体" w:cs="Times New Roman"/>
          <w:szCs w:val="21"/>
        </w:rPr>
      </w:pPr>
      <w:bookmarkStart w:id="77" w:name="_Hlt26954856"/>
      <w:bookmarkEnd w:id="77"/>
      <w:bookmarkStart w:id="78" w:name="_Toc61149563"/>
      <w:bookmarkStart w:id="79" w:name="_Toc462564084"/>
      <w:bookmarkStart w:id="80" w:name="_Toc513029225"/>
      <w:bookmarkStart w:id="81" w:name="_Toc14577363"/>
      <w:r>
        <w:rPr>
          <w:rFonts w:hint="eastAsia" w:ascii="宋体" w:hAnsi="宋体" w:eastAsia="宋体" w:cs="Times New Roman"/>
          <w:szCs w:val="21"/>
        </w:rPr>
        <w:t>1、响应文件</w:t>
      </w:r>
      <w:bookmarkStart w:id="82" w:name="_Hlt26954743"/>
      <w:bookmarkEnd w:id="82"/>
      <w:r>
        <w:rPr>
          <w:rFonts w:hint="eastAsia" w:ascii="宋体" w:hAnsi="宋体" w:eastAsia="宋体" w:cs="Times New Roman"/>
          <w:szCs w:val="21"/>
        </w:rPr>
        <w:t>的密封和标记</w:t>
      </w:r>
      <w:bookmarkEnd w:id="78"/>
      <w:bookmarkEnd w:id="79"/>
      <w:bookmarkEnd w:id="80"/>
      <w:bookmarkEnd w:id="81"/>
    </w:p>
    <w:p w14:paraId="5EA06AA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1.1磋商供应商应严格按照采购邀请要求的份数准备响应文件，每份响应文件须清楚地标明“正本”或“副本”字样。一旦正本和副本不符，以正本为准。磋商供应商应将响应文件正本和所有副本密封。</w:t>
      </w:r>
    </w:p>
    <w:p w14:paraId="0399AE7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1.2密封的响应文件应：</w:t>
      </w:r>
    </w:p>
    <w:p w14:paraId="7FEE08C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（1）按采购邀请中注明的地址送达规定地点；</w:t>
      </w:r>
    </w:p>
    <w:p w14:paraId="49344E3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（2）注明参加磋商项目名称、磋商文件编号及参加的分包号；</w:t>
      </w:r>
    </w:p>
    <w:p w14:paraId="3AEAA84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（3）密封包装上应写明磋商供应商名称和地址。</w:t>
      </w:r>
    </w:p>
    <w:p w14:paraId="7E3EA94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1.3如果密封包装未按要求密封和加写标记，代理机构对误投或过早启封概不负责。对由此造成提前开封的响应文件，代理机构将予以拒绝，作无效响应处理。</w:t>
      </w:r>
    </w:p>
    <w:p w14:paraId="5A1AF885">
      <w:pPr>
        <w:tabs>
          <w:tab w:val="left" w:pos="900"/>
        </w:tabs>
        <w:spacing w:line="360" w:lineRule="auto"/>
        <w:ind w:firstLine="420" w:firstLineChars="200"/>
        <w:jc w:val="left"/>
        <w:rPr>
          <w:rFonts w:hint="eastAsia" w:ascii="宋体" w:hAnsi="宋体" w:eastAsia="宋体" w:cs="Times New Roman"/>
          <w:szCs w:val="21"/>
        </w:rPr>
      </w:pPr>
      <w:bookmarkStart w:id="83" w:name="_Hlt26670496"/>
      <w:bookmarkEnd w:id="83"/>
      <w:bookmarkStart w:id="84" w:name="_Hlt26954858"/>
      <w:bookmarkEnd w:id="84"/>
      <w:bookmarkStart w:id="85" w:name="_Hlt26954752"/>
      <w:bookmarkEnd w:id="85"/>
      <w:bookmarkStart w:id="86" w:name="_Toc61149564"/>
      <w:bookmarkStart w:id="87" w:name="_Toc513029226"/>
      <w:bookmarkStart w:id="88" w:name="_Toc14577364"/>
      <w:r>
        <w:rPr>
          <w:rFonts w:hint="eastAsia" w:ascii="宋体" w:hAnsi="宋体" w:eastAsia="宋体" w:cs="Times New Roman"/>
          <w:szCs w:val="21"/>
        </w:rPr>
        <w:t>2、</w:t>
      </w:r>
      <w:bookmarkEnd w:id="86"/>
      <w:bookmarkEnd w:id="87"/>
      <w:bookmarkEnd w:id="88"/>
      <w:r>
        <w:rPr>
          <w:rFonts w:hint="eastAsia" w:ascii="宋体" w:hAnsi="宋体" w:eastAsia="宋体" w:cs="Times New Roman"/>
          <w:szCs w:val="21"/>
        </w:rPr>
        <w:t>响应文件开启时间</w:t>
      </w:r>
    </w:p>
    <w:p w14:paraId="55321B4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2.1代理机构收到响应文件的时间不得迟于本磋商文件规定的响应文件接收截止时间。</w:t>
      </w:r>
    </w:p>
    <w:p w14:paraId="3891065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2.2代理机构有权通过修改磋商文件推迟响应文件接收截止时间，</w:t>
      </w:r>
      <w:r>
        <w:rPr>
          <w:rFonts w:hint="eastAsia" w:ascii="宋体" w:hAnsi="宋体" w:eastAsia="宋体" w:cs="Times New Roman"/>
          <w:szCs w:val="21"/>
        </w:rPr>
        <w:t>在此情况下，磋商供应商的所有权利和义务以及受制的响应文件接收截止时间均应以延长后新的响应文件接收截止时间为准。</w:t>
      </w:r>
    </w:p>
    <w:p w14:paraId="027F79F0">
      <w:pPr>
        <w:tabs>
          <w:tab w:val="left" w:pos="900"/>
        </w:tabs>
        <w:spacing w:line="360" w:lineRule="auto"/>
        <w:ind w:firstLine="420" w:firstLineChars="200"/>
        <w:jc w:val="left"/>
        <w:rPr>
          <w:rFonts w:hint="eastAsia" w:ascii="宋体" w:hAnsi="宋体" w:eastAsia="宋体" w:cs="Times New Roman"/>
          <w:szCs w:val="21"/>
        </w:rPr>
      </w:pPr>
      <w:bookmarkStart w:id="89" w:name="_Hlt26954860"/>
      <w:bookmarkEnd w:id="89"/>
      <w:bookmarkStart w:id="90" w:name="_Toc513029227"/>
      <w:bookmarkStart w:id="91" w:name="_Toc14577365"/>
      <w:bookmarkStart w:id="92" w:name="_Toc61149565"/>
      <w:r>
        <w:rPr>
          <w:rFonts w:hint="eastAsia" w:ascii="宋体" w:hAnsi="宋体" w:eastAsia="宋体" w:cs="Times New Roman"/>
          <w:szCs w:val="21"/>
        </w:rPr>
        <w:t>3、迟交的响应文件</w:t>
      </w:r>
      <w:bookmarkEnd w:id="90"/>
      <w:bookmarkEnd w:id="91"/>
      <w:bookmarkEnd w:id="92"/>
    </w:p>
    <w:p w14:paraId="3E3D470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3.1代理机构将拒绝在规定的响应文件接收截止时间后接收任何响应文件。</w:t>
      </w:r>
    </w:p>
    <w:p w14:paraId="5D32C5C6">
      <w:pPr>
        <w:tabs>
          <w:tab w:val="left" w:pos="900"/>
        </w:tabs>
        <w:spacing w:line="360" w:lineRule="auto"/>
        <w:ind w:firstLine="420" w:firstLineChars="200"/>
        <w:jc w:val="left"/>
        <w:rPr>
          <w:rFonts w:hint="eastAsia" w:ascii="宋体" w:hAnsi="宋体" w:eastAsia="宋体" w:cs="Times New Roman"/>
          <w:szCs w:val="21"/>
        </w:rPr>
      </w:pPr>
      <w:bookmarkStart w:id="93" w:name="_Hlt26954862"/>
      <w:bookmarkEnd w:id="93"/>
      <w:bookmarkStart w:id="94" w:name="_Hlt26954754"/>
      <w:bookmarkEnd w:id="94"/>
      <w:bookmarkStart w:id="95" w:name="_Toc14577366"/>
      <w:bookmarkStart w:id="96" w:name="_Toc513029228"/>
      <w:bookmarkStart w:id="97" w:name="_Toc61149566"/>
      <w:r>
        <w:rPr>
          <w:rFonts w:hint="eastAsia" w:ascii="宋体" w:hAnsi="宋体" w:eastAsia="宋体" w:cs="Times New Roman"/>
          <w:szCs w:val="21"/>
        </w:rPr>
        <w:t>4、响应文件</w:t>
      </w:r>
      <w:bookmarkStart w:id="98" w:name="_Hlt26670588"/>
      <w:r>
        <w:rPr>
          <w:rFonts w:hint="eastAsia" w:ascii="宋体" w:hAnsi="宋体" w:eastAsia="宋体" w:cs="Times New Roman"/>
          <w:szCs w:val="21"/>
        </w:rPr>
        <w:t>的修改</w:t>
      </w:r>
      <w:bookmarkEnd w:id="98"/>
      <w:r>
        <w:rPr>
          <w:rFonts w:hint="eastAsia" w:ascii="宋体" w:hAnsi="宋体" w:eastAsia="宋体" w:cs="Times New Roman"/>
          <w:szCs w:val="21"/>
        </w:rPr>
        <w:t>和撤回</w:t>
      </w:r>
      <w:bookmarkEnd w:id="95"/>
      <w:bookmarkEnd w:id="96"/>
      <w:bookmarkEnd w:id="97"/>
    </w:p>
    <w:p w14:paraId="5815F4D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4.1磋商供应商在递交响应文件后，可以修改或撤回其谈判响应文件，但这种修改和撤回，必须在规定的响应文件接收截止时间前，以书面形式送达指定地点。</w:t>
      </w:r>
    </w:p>
    <w:p w14:paraId="76F3C2E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4.2磋商供应商的修改或撤回通知书，应按本文件规定进行编制、密封、标记和发送，并应在封套上加注“修改”和“撤回”字样。</w:t>
      </w:r>
    </w:p>
    <w:p w14:paraId="07D46D1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磋商供应商在提交最后报价之前，可以根据磋商情况退出磋商。</w:t>
      </w:r>
    </w:p>
    <w:p w14:paraId="70F28DA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5、磋商响应有效期</w:t>
      </w:r>
    </w:p>
    <w:p w14:paraId="3FB6EC6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 磋商响应有效期为代理机构规定的响应文件接收截止时间后六十（60）天。磋商响应有效期比规定短的将被视为非实质性响应性而予以拒绝。</w:t>
      </w:r>
    </w:p>
    <w:p w14:paraId="612E459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14:paraId="24B89854">
      <w:pPr>
        <w:tabs>
          <w:tab w:val="left" w:pos="900"/>
        </w:tabs>
        <w:spacing w:line="360" w:lineRule="auto"/>
        <w:ind w:firstLine="422" w:firstLineChars="200"/>
        <w:jc w:val="left"/>
        <w:rPr>
          <w:rFonts w:hint="eastAsia" w:ascii="宋体" w:hAnsi="宋体" w:eastAsia="宋体" w:cs="Times New Roman"/>
          <w:b/>
          <w:szCs w:val="21"/>
        </w:rPr>
      </w:pPr>
      <w:bookmarkStart w:id="99" w:name="_Hlt26954864"/>
      <w:bookmarkEnd w:id="99"/>
      <w:bookmarkStart w:id="100" w:name="_Hlt26670523"/>
      <w:bookmarkEnd w:id="100"/>
      <w:r>
        <w:rPr>
          <w:rFonts w:hint="eastAsia" w:ascii="宋体" w:hAnsi="宋体" w:eastAsia="宋体" w:cs="Times New Roman"/>
          <w:b/>
          <w:szCs w:val="21"/>
        </w:rPr>
        <w:t>四、磋商与评审</w:t>
      </w:r>
    </w:p>
    <w:p w14:paraId="1EDB9487">
      <w:pPr>
        <w:tabs>
          <w:tab w:val="left" w:pos="900"/>
        </w:tabs>
        <w:spacing w:line="360" w:lineRule="auto"/>
        <w:ind w:firstLine="420" w:firstLineChars="200"/>
        <w:jc w:val="left"/>
        <w:rPr>
          <w:rFonts w:hint="eastAsia" w:ascii="宋体" w:hAnsi="宋体" w:eastAsia="宋体" w:cs="Times New Roman"/>
          <w:szCs w:val="21"/>
        </w:rPr>
      </w:pPr>
      <w:bookmarkStart w:id="101" w:name="_Toc16938546"/>
      <w:bookmarkStart w:id="102" w:name="_Toc20823302"/>
      <w:bookmarkStart w:id="103" w:name="_Toc513029230"/>
      <w:r>
        <w:rPr>
          <w:rFonts w:hint="eastAsia" w:ascii="宋体" w:hAnsi="宋体" w:eastAsia="宋体" w:cs="Times New Roman"/>
          <w:szCs w:val="21"/>
        </w:rPr>
        <w:t>1、</w:t>
      </w:r>
      <w:bookmarkEnd w:id="101"/>
      <w:bookmarkEnd w:id="102"/>
      <w:bookmarkEnd w:id="103"/>
      <w:r>
        <w:rPr>
          <w:rFonts w:hint="eastAsia" w:ascii="宋体" w:hAnsi="宋体" w:eastAsia="宋体" w:cs="Times New Roman"/>
          <w:szCs w:val="21"/>
        </w:rPr>
        <w:t>磋商仪式</w:t>
      </w:r>
    </w:p>
    <w:p w14:paraId="7E83540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1.1代理机构将在采购邀请中规定的时间和地点组织磋商开始仪式，仪式由代理机构主持，磋商供应商应委派携带有效证件的代表准时参加，参加仪式的代表需签名以证明其出席。</w:t>
      </w:r>
    </w:p>
    <w:p w14:paraId="3A3B99D0">
      <w:pPr>
        <w:tabs>
          <w:tab w:val="left" w:pos="900"/>
        </w:tabs>
        <w:spacing w:line="360" w:lineRule="auto"/>
        <w:ind w:firstLine="420" w:firstLineChars="200"/>
        <w:jc w:val="left"/>
        <w:rPr>
          <w:rFonts w:hint="eastAsia" w:ascii="宋体" w:hAnsi="宋体" w:eastAsia="宋体" w:cs="Times New Roman"/>
          <w:szCs w:val="21"/>
        </w:rPr>
      </w:pPr>
      <w:bookmarkStart w:id="104" w:name="_Toc513029231"/>
      <w:bookmarkStart w:id="105" w:name="_Toc20823303"/>
      <w:bookmarkStart w:id="106" w:name="_Toc16938547"/>
      <w:r>
        <w:rPr>
          <w:rFonts w:hint="eastAsia" w:ascii="宋体" w:hAnsi="宋体" w:eastAsia="宋体" w:cs="Times New Roman"/>
          <w:szCs w:val="21"/>
        </w:rPr>
        <w:t>2、磋商小组</w:t>
      </w:r>
    </w:p>
    <w:p w14:paraId="4673D78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 磋商开始仪式结束后，代理机构将立即组织磋商小组进行评审。</w:t>
      </w:r>
    </w:p>
    <w:p w14:paraId="0F5CBA4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磋商小组由政府采购评审专家、采购人代表组成，且人员构成符合政府采购有关规定。</w:t>
      </w:r>
    </w:p>
    <w:p w14:paraId="6055E7B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3、磋商评审过程的保密</w:t>
      </w:r>
      <w:bookmarkEnd w:id="104"/>
      <w:bookmarkEnd w:id="105"/>
      <w:bookmarkEnd w:id="106"/>
      <w:r>
        <w:rPr>
          <w:rFonts w:hint="eastAsia" w:ascii="宋体" w:hAnsi="宋体" w:eastAsia="宋体" w:cs="Times New Roman"/>
          <w:szCs w:val="21"/>
        </w:rPr>
        <w:t>与公正</w:t>
      </w:r>
    </w:p>
    <w:p w14:paraId="1B22AC4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3.1磋商小组</w:t>
      </w:r>
      <w:r>
        <w:rPr>
          <w:rFonts w:ascii="宋体" w:hAnsi="宋体" w:eastAsia="宋体" w:cs="Times New Roman"/>
          <w:szCs w:val="21"/>
        </w:rPr>
        <w:t>、采购人和</w:t>
      </w:r>
      <w:r>
        <w:rPr>
          <w:rFonts w:hint="eastAsia" w:ascii="宋体" w:hAnsi="宋体" w:eastAsia="宋体" w:cs="Times New Roman"/>
          <w:szCs w:val="21"/>
        </w:rPr>
        <w:t>代理机构</w:t>
      </w:r>
      <w:r>
        <w:rPr>
          <w:rFonts w:ascii="宋体" w:hAnsi="宋体" w:eastAsia="宋体" w:cs="Times New Roman"/>
          <w:szCs w:val="21"/>
        </w:rPr>
        <w:t>工作人员、相关监督人员等与评审工作有关的人员，对评审情况以及在评审过程中获悉的国家秘密、商业秘密负有保密责任</w:t>
      </w:r>
      <w:r>
        <w:rPr>
          <w:rFonts w:hint="eastAsia" w:ascii="宋体" w:hAnsi="宋体" w:eastAsia="宋体" w:cs="Times New Roman"/>
          <w:szCs w:val="21"/>
        </w:rPr>
        <w:t>。</w:t>
      </w:r>
    </w:p>
    <w:p w14:paraId="425187D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3.2在磋商评审过程中，磋商供应商不得以任何行为影响磋商评审过程，否则其响应文件将被作为无效响应文件。</w:t>
      </w:r>
    </w:p>
    <w:p w14:paraId="5CBEB66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BDD858E">
      <w:pPr>
        <w:tabs>
          <w:tab w:val="left" w:pos="900"/>
        </w:tabs>
        <w:spacing w:line="360" w:lineRule="auto"/>
        <w:ind w:firstLine="420" w:firstLineChars="200"/>
        <w:jc w:val="left"/>
        <w:rPr>
          <w:rFonts w:hint="eastAsia" w:ascii="宋体" w:hAnsi="宋体" w:eastAsia="宋体" w:cs="Times New Roman"/>
          <w:szCs w:val="21"/>
        </w:rPr>
      </w:pPr>
      <w:bookmarkStart w:id="107" w:name="_Toc16938548"/>
      <w:bookmarkStart w:id="108" w:name="_Toc20823304"/>
      <w:bookmarkStart w:id="109" w:name="_Toc513029232"/>
      <w:r>
        <w:rPr>
          <w:rFonts w:hint="eastAsia" w:ascii="宋体" w:hAnsi="宋体" w:eastAsia="宋体" w:cs="Times New Roman"/>
          <w:szCs w:val="21"/>
        </w:rPr>
        <w:t>4、评审过程的澄清</w:t>
      </w:r>
      <w:bookmarkEnd w:id="107"/>
      <w:bookmarkEnd w:id="108"/>
      <w:bookmarkEnd w:id="109"/>
      <w:r>
        <w:rPr>
          <w:rFonts w:hint="eastAsia" w:ascii="宋体" w:hAnsi="宋体" w:eastAsia="宋体" w:cs="Times New Roman"/>
          <w:szCs w:val="21"/>
        </w:rPr>
        <w:t>、说明和更正</w:t>
      </w:r>
    </w:p>
    <w:p w14:paraId="325B4AF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1</w:t>
      </w:r>
      <w:r>
        <w:rPr>
          <w:rFonts w:hint="eastAsia" w:ascii="宋体" w:hAnsi="宋体" w:eastAsia="宋体" w:cs="Times New Roman"/>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AA193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569C8BC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接到磋商小组澄清要求的供应商如未按规定做出澄清，其风险由供应商自行承担。</w:t>
      </w:r>
    </w:p>
    <w:p w14:paraId="6060578A">
      <w:pPr>
        <w:tabs>
          <w:tab w:val="left" w:pos="900"/>
        </w:tabs>
        <w:spacing w:line="360" w:lineRule="auto"/>
        <w:ind w:firstLine="420" w:firstLineChars="200"/>
        <w:jc w:val="left"/>
        <w:rPr>
          <w:rFonts w:hint="eastAsia" w:ascii="宋体" w:hAnsi="宋体" w:eastAsia="宋体" w:cs="Times New Roman"/>
          <w:szCs w:val="21"/>
        </w:rPr>
      </w:pPr>
      <w:bookmarkStart w:id="110" w:name="_Toc20823305"/>
      <w:bookmarkStart w:id="111" w:name="_Toc513029233"/>
      <w:bookmarkStart w:id="112" w:name="_Toc16938549"/>
      <w:r>
        <w:rPr>
          <w:rFonts w:hint="eastAsia" w:ascii="宋体" w:hAnsi="宋体" w:eastAsia="宋体" w:cs="Times New Roman"/>
          <w:szCs w:val="21"/>
        </w:rPr>
        <w:t>5、对响应文件的初审</w:t>
      </w:r>
      <w:bookmarkEnd w:id="110"/>
      <w:bookmarkEnd w:id="111"/>
      <w:bookmarkEnd w:id="112"/>
    </w:p>
    <w:p w14:paraId="0EB6CC8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5.1响应文件初审分为资格性检查和符合性检查。</w:t>
      </w:r>
    </w:p>
    <w:p w14:paraId="6EEA3E4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资格性检查：依据法律法规和磋商文件的规定，采购人对响应文件中的资格证明文件等进行审查，以确定供应商是否具备参加磋商的资格。</w:t>
      </w:r>
    </w:p>
    <w:p w14:paraId="18723E8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符合性检查：依据磋商文件的规定，从响应文件的有效性、完整性和对磋商文件的响应程度进行审查，以确定是否对磋商文件的实质性要求作出响应。</w:t>
      </w:r>
    </w:p>
    <w:p w14:paraId="391F652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5.2在正式磋商之前，磋商小组将首先审查每份响应文件是否实质性响应了磋商文件的要求。实质性响应的响应文件应该是与磋商文件要求的条款、条件和规格相符，没有重大偏离或保留。</w:t>
      </w:r>
    </w:p>
    <w:p w14:paraId="749AE99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2A0C391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 被认定为未实质性响应磋商文件的响应文件的情形</w:t>
      </w:r>
    </w:p>
    <w:p w14:paraId="491B5C8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（1）未按照磋商文件规定要求密封、签署、盖章的；</w:t>
      </w:r>
    </w:p>
    <w:p w14:paraId="08B461C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（2）供应商在报价时采用选择性报价；</w:t>
      </w:r>
    </w:p>
    <w:p w14:paraId="73D42CC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（3）供应商不具备磋商文件中规定资格要求的；</w:t>
      </w:r>
    </w:p>
    <w:p w14:paraId="76973FD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（4）不符合法律、法规和磋商文件中规定的其他实质性要求和条件的；</w:t>
      </w:r>
    </w:p>
    <w:p w14:paraId="3F8B3CB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（5）其他法律、法规及本磋商文件规定的属未实质性响应的响应文件的情形。</w:t>
      </w:r>
    </w:p>
    <w:p w14:paraId="54A4A0C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5.4 未实质性响应磋商文件的响应文件按无效响应处理，磋商小组将予以拒绝，供应商不得通过修改或撤销不合要求的偏离或保留而使其响应文件成为实质性响应的文件。</w:t>
      </w:r>
    </w:p>
    <w:p w14:paraId="7419D2E4">
      <w:pPr>
        <w:tabs>
          <w:tab w:val="left" w:pos="900"/>
        </w:tabs>
        <w:spacing w:line="360" w:lineRule="auto"/>
        <w:ind w:firstLine="420" w:firstLineChars="200"/>
        <w:jc w:val="left"/>
        <w:rPr>
          <w:rFonts w:hint="eastAsia" w:ascii="宋体" w:hAnsi="宋体" w:eastAsia="宋体" w:cs="Times New Roman"/>
          <w:szCs w:val="21"/>
        </w:rPr>
      </w:pPr>
      <w:bookmarkStart w:id="113" w:name="_Toc20823306"/>
      <w:bookmarkStart w:id="114" w:name="_Toc16938550"/>
      <w:bookmarkStart w:id="115" w:name="_Toc513029234"/>
      <w:r>
        <w:rPr>
          <w:rFonts w:hint="eastAsia" w:ascii="宋体" w:hAnsi="宋体" w:eastAsia="宋体" w:cs="Times New Roman"/>
          <w:szCs w:val="21"/>
        </w:rPr>
        <w:t>6、</w:t>
      </w:r>
      <w:bookmarkEnd w:id="113"/>
      <w:bookmarkEnd w:id="114"/>
      <w:bookmarkEnd w:id="115"/>
      <w:r>
        <w:rPr>
          <w:rFonts w:hint="eastAsia" w:ascii="宋体" w:hAnsi="宋体" w:eastAsia="宋体" w:cs="Times New Roman"/>
          <w:szCs w:val="21"/>
        </w:rPr>
        <w:t>磋商程序及评审方法和标准</w:t>
      </w:r>
    </w:p>
    <w:p w14:paraId="792ADDA8">
      <w:pPr>
        <w:tabs>
          <w:tab w:val="left" w:pos="900"/>
        </w:tabs>
        <w:spacing w:line="360" w:lineRule="auto"/>
        <w:ind w:firstLine="420" w:firstLineChars="200"/>
        <w:jc w:val="left"/>
        <w:rPr>
          <w:rFonts w:hint="eastAsia" w:ascii="宋体" w:hAnsi="宋体" w:eastAsia="宋体" w:cs="Times New Roman"/>
          <w:szCs w:val="21"/>
        </w:rPr>
      </w:pPr>
      <w:bookmarkStart w:id="116" w:name="_Toc16938551"/>
      <w:bookmarkStart w:id="117" w:name="_Toc513029235"/>
      <w:bookmarkStart w:id="118" w:name="_Toc20823307"/>
      <w:r>
        <w:rPr>
          <w:rFonts w:hint="eastAsia" w:ascii="宋体" w:hAnsi="宋体" w:eastAsia="宋体" w:cs="Times New Roman"/>
          <w:szCs w:val="21"/>
        </w:rPr>
        <w:t>6.1磋商程序</w:t>
      </w:r>
    </w:p>
    <w:p w14:paraId="34D7C6E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6.1.1 对于通过资格性和符合性审查的供应商，磋商小组所有成员将集中与单一供应商分别进行磋商。</w:t>
      </w:r>
    </w:p>
    <w:p w14:paraId="3512C14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6753336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6.1.2 </w:t>
      </w:r>
      <w:r>
        <w:rPr>
          <w:rFonts w:ascii="宋体" w:hAnsi="宋体" w:eastAsia="宋体" w:cs="Times New Roman"/>
          <w:szCs w:val="21"/>
        </w:rPr>
        <w:t>磋商文件能够详细列明采购标的的技术、服务要求的，磋商结束后，磋商小组</w:t>
      </w:r>
      <w:r>
        <w:rPr>
          <w:rFonts w:hint="eastAsia" w:ascii="宋体" w:hAnsi="宋体" w:eastAsia="宋体" w:cs="Times New Roman"/>
          <w:szCs w:val="21"/>
        </w:rPr>
        <w:t>将</w:t>
      </w:r>
      <w:r>
        <w:rPr>
          <w:rFonts w:ascii="宋体" w:hAnsi="宋体" w:eastAsia="宋体" w:cs="Times New Roman"/>
          <w:szCs w:val="21"/>
        </w:rPr>
        <w:t>要求所有实质性响应的供应商在规定时间内提交最后报价。</w:t>
      </w:r>
    </w:p>
    <w:p w14:paraId="68D0A36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0923EA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最后报价是供应商响应文件的有效组成部分。符合《政府采购竞争性磋商采购方式管理暂行办法》第三条第四项及《财政部关于竞争性磋商采购方式管理暂行办法有关问题的补充通知》（财库[2013]124号）规定情形的，提交最后报价的供应商可以为2家。</w:t>
      </w:r>
    </w:p>
    <w:p w14:paraId="0EA2E14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eastAsia="宋体" w:cs="Times New Roman"/>
          <w:szCs w:val="21"/>
        </w:rPr>
        <w:t>已提交响应文件的供应商，在提交最后报价之前，可以根据磋商情况退出磋商。</w:t>
      </w:r>
    </w:p>
    <w:p w14:paraId="0341993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 评审方法和标准</w:t>
      </w:r>
    </w:p>
    <w:p w14:paraId="474F3BB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6.2.1评审方法。经磋商确定最终采购需求的供应商后，由磋商小组采用综合评分法对供应商的响应文件和最后报价进行综合评分。</w:t>
      </w:r>
    </w:p>
    <w:p w14:paraId="4650CBA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609444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6.2.2评审标准</w:t>
      </w:r>
    </w:p>
    <w:p w14:paraId="52E027A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见本磋商文件第五章规定。</w:t>
      </w:r>
    </w:p>
    <w:p w14:paraId="3152A67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6.3采购活动终止的情况</w:t>
      </w:r>
    </w:p>
    <w:p w14:paraId="6667218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出现下列情形之一的，本次竞争性磋商采购活动将被终止：</w:t>
      </w:r>
    </w:p>
    <w:p w14:paraId="1461FB0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（1）因情况变化，不再符合规定的竞争性磋商采购方式适用情形的；</w:t>
      </w:r>
    </w:p>
    <w:p w14:paraId="0ABC264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（2）出现影响采购公正的违法、违规行为的；</w:t>
      </w:r>
    </w:p>
    <w:p w14:paraId="3EFD610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（3）除本磋商文件第6.1.2条第三款规定的情形外，在采购过程中符合要求的供应商或者报价未超过采购预算的供应商不足3家的。</w:t>
      </w:r>
    </w:p>
    <w:bookmarkEnd w:id="116"/>
    <w:bookmarkEnd w:id="117"/>
    <w:bookmarkEnd w:id="118"/>
    <w:p w14:paraId="70D8284B">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五、成交</w:t>
      </w:r>
    </w:p>
    <w:p w14:paraId="7875DA23">
      <w:pPr>
        <w:tabs>
          <w:tab w:val="left" w:pos="900"/>
        </w:tabs>
        <w:spacing w:line="360" w:lineRule="auto"/>
        <w:ind w:firstLine="420" w:firstLineChars="200"/>
        <w:jc w:val="left"/>
        <w:rPr>
          <w:rFonts w:hint="eastAsia" w:ascii="宋体" w:hAnsi="宋体" w:eastAsia="宋体" w:cs="Times New Roman"/>
          <w:szCs w:val="21"/>
        </w:rPr>
      </w:pPr>
      <w:bookmarkStart w:id="119" w:name="_Toc513029238"/>
      <w:bookmarkStart w:id="120" w:name="_Toc16938554"/>
      <w:bookmarkStart w:id="121" w:name="_Toc20823310"/>
      <w:r>
        <w:rPr>
          <w:rFonts w:hint="eastAsia" w:ascii="宋体" w:hAnsi="宋体" w:eastAsia="宋体" w:cs="Times New Roman"/>
          <w:szCs w:val="21"/>
        </w:rPr>
        <w:t>1、</w:t>
      </w:r>
      <w:bookmarkEnd w:id="119"/>
      <w:r>
        <w:rPr>
          <w:rFonts w:hint="eastAsia" w:ascii="宋体" w:hAnsi="宋体" w:eastAsia="宋体" w:cs="Times New Roman"/>
          <w:szCs w:val="21"/>
        </w:rPr>
        <w:t>确定</w:t>
      </w:r>
      <w:bookmarkEnd w:id="120"/>
      <w:bookmarkEnd w:id="121"/>
      <w:r>
        <w:rPr>
          <w:rFonts w:hint="eastAsia" w:ascii="宋体" w:hAnsi="宋体" w:eastAsia="宋体" w:cs="Times New Roman"/>
          <w:szCs w:val="21"/>
        </w:rPr>
        <w:t>成交单位</w:t>
      </w:r>
    </w:p>
    <w:p w14:paraId="31F376F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磋商小组根据综合评分情况，按照评审得分由高到低顺序推荐3名或以上成交候选供应商，并编写评审报告。符合本文件第6.1.2条情形的，可以推荐2家成交候选供应商。评审得分相同的，按照技术指标优劣顺序推荐。</w:t>
      </w:r>
    </w:p>
    <w:p w14:paraId="48F6DE1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1.2采购人根据磋商小推荐的组成交候选人确定成交供应商。采购人确定成交供应商后，代理机构将在</w:t>
      </w:r>
      <w:r>
        <w:rPr>
          <w:rFonts w:hint="eastAsia" w:ascii="宋体" w:hAnsi="宋体" w:eastAsia="宋体" w:cs="Arial"/>
          <w:color w:val="000000"/>
          <w:spacing w:val="-6"/>
          <w:szCs w:val="21"/>
        </w:rPr>
        <w:t>南京邮电大学采购招标管理办公室和通达学院采购招标信息网</w:t>
      </w:r>
      <w:r>
        <w:rPr>
          <w:rFonts w:hint="eastAsia" w:ascii="宋体" w:hAnsi="宋体" w:eastAsia="宋体" w:cs="Times New Roman"/>
          <w:szCs w:val="21"/>
        </w:rPr>
        <w:t>发布成交结果公告，公告期限为1个工作日。</w:t>
      </w:r>
    </w:p>
    <w:p w14:paraId="101CC86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1.3若有充分证据证明，成交供应商出现下列情况之一的，一经查实，将被取消成交资格：</w:t>
      </w:r>
    </w:p>
    <w:p w14:paraId="55E0B9E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（1）提供虚假材料谋取成交的；</w:t>
      </w:r>
    </w:p>
    <w:p w14:paraId="6587447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（2）与评审专家、采购人、其他供应商或者代理机构工作人员恶意串通的；</w:t>
      </w:r>
    </w:p>
    <w:p w14:paraId="356A9F7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（3）向评审专家、采购人或代理机构工作人员行贿或者提供其他不正当利益的；</w:t>
      </w:r>
    </w:p>
    <w:p w14:paraId="4166AA9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（4）恶意竞争，最终总报价明显低于其自身合理成本且又无法提供证明的；</w:t>
      </w:r>
    </w:p>
    <w:p w14:paraId="3A7ECE0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（5）不满足本磋商文件规定的实质性要求，但在评审过程中又未被磋商小组发现的；</w:t>
      </w:r>
    </w:p>
    <w:p w14:paraId="4845787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（6）成交后无正当理由拒不与采购人签订政府采购合同或者未按照磋商文件确定的事项签订政府采购合同；</w:t>
      </w:r>
    </w:p>
    <w:p w14:paraId="119265B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（7）将政府采购合同转包；</w:t>
      </w:r>
    </w:p>
    <w:p w14:paraId="0E816AA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（8）法律、法规、规章规定的属于成交无效的其他情形。</w:t>
      </w:r>
    </w:p>
    <w:p w14:paraId="6512782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2、质疑处理</w:t>
      </w:r>
    </w:p>
    <w:p w14:paraId="5C4083DE">
      <w:pPr>
        <w:tabs>
          <w:tab w:val="left" w:pos="900"/>
        </w:tabs>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2.1磋商供应商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6658A1D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上述应知其权益受到损害之日，是指：</w:t>
      </w:r>
    </w:p>
    <w:p w14:paraId="592790C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对可以质疑的磋商文件提出质疑的，为收到磋商文件之日或者磋商文件公告期限届满之日；</w:t>
      </w:r>
    </w:p>
    <w:p w14:paraId="599A430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对采购过程提出质疑的，为各采购程序环节结束之日；</w:t>
      </w:r>
    </w:p>
    <w:p w14:paraId="2F4CB32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对成交结果提出质疑的，为成交结果公告期限届满之日。</w:t>
      </w:r>
    </w:p>
    <w:p w14:paraId="04D0A959">
      <w:pPr>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2.2质疑必须由磋商供应商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07E509A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2.3未参加磋商采购活动的供应商或在磋商采购活动中自身权益未受到损害的供应商所提出的质疑不予受理。</w:t>
      </w:r>
    </w:p>
    <w:p w14:paraId="1926232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2.4质疑函应当包括下列内容：</w:t>
      </w:r>
    </w:p>
    <w:p w14:paraId="7FEA806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（1）质疑供应商的名称、地址、邮编、联系人、联系电话；</w:t>
      </w:r>
    </w:p>
    <w:p w14:paraId="12F800C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（2）具体的质疑事项及明确的请求；</w:t>
      </w:r>
    </w:p>
    <w:p w14:paraId="79D6900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（3）认为自己合法权益受到损害或可能受到损害的相关证据材料；</w:t>
      </w:r>
    </w:p>
    <w:p w14:paraId="2541541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（4）提起质疑的日期；</w:t>
      </w:r>
    </w:p>
    <w:p w14:paraId="3233793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22C1BB1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2.5代理机构收到质疑函后，将对质疑的形式和内容进行审查，如质疑函内容、格式不符合规定，代理机构将告知质疑人进行补正。</w:t>
      </w:r>
    </w:p>
    <w:p w14:paraId="7C7CD89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2.6质疑人应当在法定质疑期限内进行补正并重新提交质疑函，拒不补正或者在法定期限内未重新提交质疑函的，为无效质疑，代理机构有权不予受理。</w:t>
      </w:r>
    </w:p>
    <w:p w14:paraId="4E8BFA0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2.7对于内容、格式符合规定的质疑函，代理机构将在收到参加谈判供应商的书面质疑后七个工作日内作出答复，并以书面形式通知质疑供应商和其他相关供应商，答复的内容不涉及商业秘密。</w:t>
      </w:r>
    </w:p>
    <w:p w14:paraId="28D4168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2.8供应商提出书面质疑必须有理、有据，不得恶意质疑或提交虚假质疑。否则，一经查实，代理机构有权依据政府采购的有关规定，报请政府采购监管部门对该供应商进行相应的行政处罚。</w:t>
      </w:r>
    </w:p>
    <w:p w14:paraId="18F833B2">
      <w:pPr>
        <w:tabs>
          <w:tab w:val="left" w:pos="900"/>
        </w:tabs>
        <w:spacing w:line="360" w:lineRule="auto"/>
        <w:ind w:firstLine="422" w:firstLineChars="200"/>
        <w:jc w:val="left"/>
        <w:rPr>
          <w:rFonts w:hint="eastAsia" w:ascii="宋体" w:hAnsi="宋体" w:eastAsia="宋体" w:cs="Times New Roman"/>
          <w:b/>
          <w:szCs w:val="21"/>
        </w:rPr>
      </w:pPr>
      <w:bookmarkStart w:id="122" w:name="_Toc513029237"/>
      <w:bookmarkStart w:id="123" w:name="_Toc20823309"/>
      <w:bookmarkStart w:id="124" w:name="_Toc16938553"/>
      <w:r>
        <w:rPr>
          <w:rFonts w:hint="eastAsia" w:ascii="宋体" w:hAnsi="宋体" w:eastAsia="宋体" w:cs="Times New Roman"/>
          <w:b/>
          <w:szCs w:val="21"/>
        </w:rPr>
        <w:t>六、合同签订相关事项</w:t>
      </w:r>
    </w:p>
    <w:p w14:paraId="58D49D5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1、签订合同</w:t>
      </w:r>
    </w:p>
    <w:p w14:paraId="08BE67E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l成交供应商确定后，代理机构将向成交供应商发出成交通知书。成交供应商应按成交通知书规定的时间、地点,按照磋商文件确定的事项与采购人签订政府购买服务合同，且不得迟于成交通知书发出之日起三十日内，由此给采购人造成损失的，成交供应商还应承担赔偿责任。</w:t>
      </w:r>
    </w:p>
    <w:p w14:paraId="06310D8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磋商文件、成交供应商的响应文件及磋商采购过程中有关澄清、承诺文件均应作为合同附件。</w:t>
      </w:r>
    </w:p>
    <w:p w14:paraId="7823756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 签订合同后，</w:t>
      </w:r>
      <w:r>
        <w:rPr>
          <w:rFonts w:hint="eastAsia" w:ascii="宋体" w:hAnsi="宋体" w:eastAsia="宋体" w:cs="Times New Roman"/>
          <w:i/>
          <w:szCs w:val="21"/>
          <w:u w:val="single"/>
        </w:rPr>
        <w:t>成交供应商不得将成交产品或服务进行转包。</w:t>
      </w:r>
      <w:r>
        <w:rPr>
          <w:rFonts w:hint="eastAsia" w:ascii="宋体" w:hAnsi="宋体" w:eastAsia="宋体" w:cs="Times New Roman"/>
          <w:szCs w:val="21"/>
        </w:rPr>
        <w:t>未经采购人同意，成交供应商也不得采用分包的形式履行合同，否则采购人有权终止合同，成交供应商的履约保证金将不予退还。转包或分包造成采购人损失的，成交供应商应承担相应赔偿责任。</w:t>
      </w:r>
    </w:p>
    <w:bookmarkEnd w:id="122"/>
    <w:bookmarkEnd w:id="123"/>
    <w:bookmarkEnd w:id="124"/>
    <w:p w14:paraId="76E612A7">
      <w:pPr>
        <w:spacing w:line="360" w:lineRule="auto"/>
        <w:ind w:firstLine="422" w:firstLineChars="200"/>
        <w:outlineLvl w:val="3"/>
        <w:rPr>
          <w:rFonts w:hint="eastAsia" w:ascii="宋体" w:hAnsi="宋体" w:eastAsia="宋体" w:cs="Times New Roman"/>
          <w:bCs/>
          <w:kern w:val="0"/>
          <w:szCs w:val="21"/>
        </w:rPr>
      </w:pPr>
      <w:bookmarkStart w:id="125" w:name="_Toc497133092"/>
      <w:bookmarkStart w:id="126" w:name="_Toc267251510"/>
      <w:bookmarkStart w:id="127" w:name="_Toc267251513"/>
      <w:bookmarkStart w:id="128" w:name="_Toc267251511"/>
      <w:bookmarkStart w:id="129" w:name="_Toc267251509"/>
      <w:bookmarkStart w:id="130" w:name="_Toc267251514"/>
      <w:bookmarkStart w:id="131" w:name="_Toc267251515"/>
      <w:r>
        <w:rPr>
          <w:rFonts w:hint="eastAsia" w:ascii="宋体" w:hAnsi="宋体" w:eastAsia="宋体" w:cs="Times New Roman"/>
          <w:b/>
          <w:bCs/>
          <w:kern w:val="0"/>
          <w:szCs w:val="21"/>
        </w:rPr>
        <w:t>七、履约保证金</w:t>
      </w:r>
    </w:p>
    <w:p w14:paraId="764A169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1.1</w:t>
      </w:r>
      <w:r>
        <w:rPr>
          <w:rFonts w:hint="eastAsia" w:ascii="宋体" w:hAnsi="宋体" w:eastAsia="宋体" w:cs="Times New Roman"/>
          <w:bCs/>
          <w:szCs w:val="21"/>
        </w:rPr>
        <w:t>中标供应商在收到中标通知书后，中标</w:t>
      </w:r>
      <w:r>
        <w:rPr>
          <w:rFonts w:hint="eastAsia" w:ascii="宋体" w:hAnsi="宋体" w:eastAsia="宋体" w:cs="Times New Roman"/>
          <w:szCs w:val="21"/>
        </w:rPr>
        <w:t>供应商应</w:t>
      </w:r>
      <w:r>
        <w:rPr>
          <w:rFonts w:hint="eastAsia" w:ascii="宋体" w:hAnsi="宋体" w:eastAsia="宋体" w:cs="Times New Roman"/>
          <w:color w:val="auto"/>
          <w:szCs w:val="21"/>
        </w:rPr>
        <w:t>缴纳</w:t>
      </w:r>
      <w:r>
        <w:rPr>
          <w:rFonts w:hint="eastAsia" w:ascii="宋体" w:hAnsi="宋体" w:eastAsia="宋体" w:cs="Times New Roman"/>
          <w:color w:val="auto"/>
          <w:szCs w:val="21"/>
          <w:lang w:val="en-US" w:eastAsia="zh-CN"/>
        </w:rPr>
        <w:t>叁</w:t>
      </w:r>
      <w:r>
        <w:rPr>
          <w:rFonts w:hint="eastAsia" w:ascii="宋体" w:hAnsi="宋体" w:eastAsia="宋体" w:cs="Times New Roman"/>
          <w:color w:val="auto"/>
          <w:szCs w:val="21"/>
        </w:rPr>
        <w:t>万元</w:t>
      </w:r>
      <w:r>
        <w:rPr>
          <w:rFonts w:hint="eastAsia" w:ascii="宋体" w:hAnsi="宋体" w:eastAsia="宋体" w:cs="Times New Roman"/>
          <w:szCs w:val="21"/>
        </w:rPr>
        <w:t>整作为履约保证金，履约保证金用以支票、汇票、本票(见索即付)等非现金形式提供。履约保证金用以约束供应商在合同履行中的行为，弥补合同执行中由于自身行为可能给采购人带来的各种损失。如果中标供应商不同意按照规定去做，招标人有权取消本次采购中标决定。</w:t>
      </w:r>
      <w:bookmarkStart w:id="132" w:name="_Toc200451963"/>
    </w:p>
    <w:p w14:paraId="70004C4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bookmarkEnd w:id="132"/>
      <w:r>
        <w:rPr>
          <w:rFonts w:hint="eastAsia" w:ascii="宋体" w:hAnsi="宋体" w:eastAsia="宋体" w:cs="Times New Roman"/>
          <w:szCs w:val="21"/>
        </w:rPr>
        <w:t>2履约保证金的退还：履约保证金在项目合同期满，并做好资产清点和交接工作后，根据考核结果全部或部分退还，不计利息。合同履行结束后，中标单位凭采购人签署的项目验收单或项目验收报告、履约保证金收据原件，前往采购人处办理保证金退还手续。</w:t>
      </w:r>
    </w:p>
    <w:p w14:paraId="45402516">
      <w:pPr>
        <w:keepNext/>
        <w:keepLines/>
        <w:spacing w:before="260" w:after="260" w:line="416" w:lineRule="auto"/>
        <w:jc w:val="center"/>
        <w:outlineLvl w:val="1"/>
        <w:rPr>
          <w:rFonts w:hint="eastAsia" w:ascii="宋体" w:hAnsi="宋体" w:eastAsia="宋体" w:cs="Arial"/>
          <w:b/>
          <w:bCs/>
          <w:sz w:val="36"/>
          <w:szCs w:val="36"/>
        </w:rPr>
      </w:pPr>
    </w:p>
    <w:p w14:paraId="739B7ADB">
      <w:pPr>
        <w:pStyle w:val="25"/>
        <w:rPr>
          <w:rFonts w:hint="eastAsia" w:ascii="宋体" w:hAnsi="宋体" w:cs="Arial"/>
          <w:b/>
          <w:bCs/>
          <w:sz w:val="36"/>
          <w:szCs w:val="36"/>
        </w:rPr>
      </w:pPr>
    </w:p>
    <w:p w14:paraId="76F04DC5">
      <w:pPr>
        <w:keepNext/>
        <w:keepLines/>
        <w:spacing w:line="240" w:lineRule="auto"/>
        <w:jc w:val="both"/>
        <w:outlineLvl w:val="1"/>
        <w:rPr>
          <w:rFonts w:hint="eastAsia" w:ascii="宋体" w:hAnsi="宋体" w:eastAsia="宋体" w:cs="Arial"/>
          <w:b/>
          <w:bCs/>
          <w:sz w:val="36"/>
          <w:szCs w:val="36"/>
        </w:rPr>
      </w:pPr>
    </w:p>
    <w:p w14:paraId="28C66F79">
      <w:pPr>
        <w:keepNext/>
        <w:keepLines/>
        <w:spacing w:line="240" w:lineRule="auto"/>
        <w:jc w:val="both"/>
        <w:outlineLvl w:val="1"/>
        <w:rPr>
          <w:rFonts w:hint="eastAsia" w:ascii="宋体" w:hAnsi="宋体" w:eastAsia="宋体" w:cs="Arial"/>
          <w:b/>
          <w:bCs/>
          <w:sz w:val="36"/>
          <w:szCs w:val="36"/>
        </w:rPr>
      </w:pPr>
    </w:p>
    <w:bookmarkEnd w:id="125"/>
    <w:p w14:paraId="27A4BDEE">
      <w:pPr>
        <w:spacing w:line="360" w:lineRule="auto"/>
        <w:ind w:firstLine="420" w:firstLineChars="200"/>
        <w:rPr>
          <w:rFonts w:ascii="宋体" w:hAnsi="宋体" w:eastAsia="宋体" w:cs="Times New Roman"/>
          <w:szCs w:val="20"/>
        </w:rPr>
      </w:pPr>
      <w:bookmarkStart w:id="133" w:name="_Hlt16619369"/>
      <w:bookmarkEnd w:id="133"/>
    </w:p>
    <w:p w14:paraId="37D27C5C">
      <w:pPr>
        <w:spacing w:line="360" w:lineRule="auto"/>
        <w:ind w:firstLine="420" w:firstLineChars="200"/>
        <w:rPr>
          <w:rFonts w:ascii="宋体" w:hAnsi="宋体" w:eastAsia="宋体" w:cs="Times New Roman"/>
          <w:szCs w:val="20"/>
        </w:rPr>
      </w:pPr>
    </w:p>
    <w:p w14:paraId="1DF4C141">
      <w:pPr>
        <w:spacing w:line="360" w:lineRule="auto"/>
        <w:ind w:firstLine="420" w:firstLineChars="200"/>
        <w:rPr>
          <w:rFonts w:ascii="宋体" w:hAnsi="宋体" w:eastAsia="宋体" w:cs="Times New Roman"/>
          <w:szCs w:val="20"/>
        </w:rPr>
      </w:pPr>
    </w:p>
    <w:p w14:paraId="77F15D76">
      <w:pPr>
        <w:numPr>
          <w:ilvl w:val="0"/>
          <w:numId w:val="5"/>
        </w:numPr>
        <w:shd w:val="clear"/>
        <w:spacing w:line="720" w:lineRule="auto"/>
        <w:ind w:firstLine="723" w:firstLineChars="200"/>
        <w:jc w:val="center"/>
        <w:rPr>
          <w:rFonts w:hint="eastAsia" w:ascii="宋体" w:hAnsi="宋体" w:eastAsia="宋体" w:cs="Arial"/>
          <w:b/>
          <w:bCs/>
          <w:sz w:val="36"/>
          <w:szCs w:val="36"/>
        </w:rPr>
      </w:pPr>
      <w:r>
        <w:rPr>
          <w:rFonts w:hint="eastAsia" w:ascii="宋体" w:hAnsi="宋体" w:eastAsia="宋体" w:cs="Arial"/>
          <w:b/>
          <w:bCs/>
          <w:sz w:val="36"/>
          <w:szCs w:val="36"/>
        </w:rPr>
        <w:t>合同条款及格式</w:t>
      </w:r>
    </w:p>
    <w:p w14:paraId="1C0E0FD0">
      <w:pPr>
        <w:numPr>
          <w:ilvl w:val="0"/>
          <w:numId w:val="0"/>
        </w:numPr>
        <w:spacing w:line="360" w:lineRule="auto"/>
        <w:ind w:firstLine="420" w:firstLineChars="200"/>
        <w:rPr>
          <w:rFonts w:hint="eastAsia" w:ascii="宋体" w:hAnsi="宋体" w:eastAsia="宋体" w:cs="Times New Roman"/>
          <w:szCs w:val="20"/>
        </w:rPr>
      </w:pPr>
      <w:r>
        <w:rPr>
          <w:rFonts w:ascii="宋体" w:hAnsi="宋体" w:eastAsia="宋体" w:cs="Times New Roman"/>
          <w:szCs w:val="20"/>
        </w:rPr>
        <w:t>以下为</w:t>
      </w:r>
      <w:r>
        <w:rPr>
          <w:rFonts w:hint="eastAsia" w:ascii="宋体" w:hAnsi="宋体" w:eastAsia="宋体" w:cs="Times New Roman"/>
          <w:szCs w:val="20"/>
        </w:rPr>
        <w:t>成交</w:t>
      </w:r>
      <w:r>
        <w:rPr>
          <w:rFonts w:ascii="宋体" w:hAnsi="宋体" w:eastAsia="宋体" w:cs="Times New Roman"/>
          <w:szCs w:val="20"/>
        </w:rPr>
        <w:t>后签定本项目合同的通用条款，</w:t>
      </w:r>
      <w:r>
        <w:rPr>
          <w:rFonts w:hint="eastAsia" w:ascii="宋体" w:hAnsi="宋体" w:eastAsia="宋体" w:cs="Times New Roman"/>
          <w:szCs w:val="20"/>
        </w:rPr>
        <w:t>成交</w:t>
      </w:r>
      <w:r>
        <w:rPr>
          <w:rFonts w:ascii="宋体" w:hAnsi="宋体" w:eastAsia="宋体" w:cs="Times New Roman"/>
          <w:szCs w:val="20"/>
        </w:rPr>
        <w:t>供应商不得提出实质性的修改。关于专用条款将由采购人与</w:t>
      </w:r>
      <w:r>
        <w:rPr>
          <w:rFonts w:hint="eastAsia" w:ascii="宋体" w:hAnsi="宋体" w:eastAsia="宋体" w:cs="Times New Roman"/>
          <w:szCs w:val="20"/>
        </w:rPr>
        <w:t>成交</w:t>
      </w:r>
      <w:r>
        <w:rPr>
          <w:rFonts w:ascii="宋体" w:hAnsi="宋体" w:eastAsia="宋体" w:cs="Times New Roman"/>
          <w:szCs w:val="20"/>
        </w:rPr>
        <w:t>供应商结合本项目具体情况协商后补充，但补充内容对招标文件和投标文件以及通用条款，不得作实质性修改。</w:t>
      </w:r>
    </w:p>
    <w:p w14:paraId="754AC0C4">
      <w:pPr>
        <w:rPr>
          <w:rFonts w:hint="eastAsia" w:ascii="宋体" w:hAnsi="宋体" w:eastAsia="宋体" w:cs="Times New Roman"/>
          <w:szCs w:val="20"/>
        </w:rPr>
      </w:pPr>
    </w:p>
    <w:bookmarkEnd w:id="126"/>
    <w:bookmarkEnd w:id="127"/>
    <w:bookmarkEnd w:id="128"/>
    <w:bookmarkEnd w:id="129"/>
    <w:bookmarkEnd w:id="130"/>
    <w:bookmarkEnd w:id="131"/>
    <w:p w14:paraId="3F4F1622">
      <w:pPr>
        <w:spacing w:before="143" w:beforeLines="50" w:after="143" w:afterLines="50"/>
        <w:jc w:val="center"/>
        <w:outlineLvl w:val="0"/>
        <w:rPr>
          <w:rFonts w:hint="default" w:ascii="宋体" w:hAnsi="宋体" w:eastAsia="宋体" w:cs="Times New Roman"/>
          <w:b/>
          <w:bCs/>
          <w:szCs w:val="21"/>
          <w:lang w:val="en-US" w:eastAsia="zh-CN"/>
        </w:rPr>
      </w:pPr>
      <w:r>
        <w:rPr>
          <w:rFonts w:hint="eastAsia" w:ascii="宋体" w:hAnsi="宋体" w:cs="Times New Roman"/>
          <w:b/>
          <w:szCs w:val="21"/>
          <w:lang w:val="en-US" w:eastAsia="zh-CN"/>
        </w:rPr>
        <w:t>南京邮电大学通达学院采购合同</w:t>
      </w:r>
    </w:p>
    <w:p w14:paraId="569683E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项目名称：</w:t>
      </w:r>
      <w:r>
        <w:rPr>
          <w:rFonts w:hint="eastAsia" w:ascii="宋体" w:hAnsi="宋体" w:eastAsia="宋体" w:cs="Times New Roman"/>
          <w:color w:val="000000"/>
          <w:szCs w:val="21"/>
        </w:rPr>
        <w:t>2025年-2027年高压配电房服务外包项目</w:t>
      </w:r>
      <w:r>
        <w:rPr>
          <w:rFonts w:ascii="宋体" w:hAnsi="宋体" w:eastAsia="宋体" w:cs="Times New Roman"/>
          <w:szCs w:val="20"/>
        </w:rPr>
        <w:t xml:space="preserve">     </w:t>
      </w:r>
    </w:p>
    <w:p w14:paraId="2C2E3A8A">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项目编号：</w:t>
      </w:r>
      <w:r>
        <w:rPr>
          <w:rFonts w:hint="eastAsia" w:ascii="宋体" w:hAnsi="宋体" w:eastAsia="宋体" w:cs="Times New Roman"/>
          <w:szCs w:val="20"/>
        </w:rPr>
        <w:t>TDCG2025043</w:t>
      </w:r>
    </w:p>
    <w:p w14:paraId="40D3B903">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甲方（买方）：</w:t>
      </w:r>
      <w:r>
        <w:rPr>
          <w:rFonts w:hint="eastAsia" w:ascii="宋体" w:hAnsi="宋体" w:eastAsia="宋体" w:cs="Times New Roman"/>
          <w:szCs w:val="20"/>
        </w:rPr>
        <w:t>南京邮电大学通达学院</w:t>
      </w:r>
      <w:r>
        <w:rPr>
          <w:rFonts w:ascii="宋体" w:hAnsi="宋体" w:eastAsia="宋体" w:cs="Times New Roman"/>
          <w:szCs w:val="20"/>
        </w:rPr>
        <w:t xml:space="preserve">        </w:t>
      </w:r>
    </w:p>
    <w:p w14:paraId="740D27FE">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乙方（卖方）：</w:t>
      </w:r>
      <w:r>
        <w:rPr>
          <w:rFonts w:ascii="宋体" w:hAnsi="宋体" w:eastAsia="宋体" w:cs="Times New Roman"/>
          <w:szCs w:val="20"/>
          <w:u w:val="single"/>
        </w:rPr>
        <w:t xml:space="preserve">         </w:t>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 xml:space="preserve">     </w:t>
      </w:r>
    </w:p>
    <w:p w14:paraId="6B0001BD">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根据《中华人民共和国民法典》等法律法规的规定，甲乙双方按照本项目竞争性磋商的结果签订本合同。</w:t>
      </w:r>
    </w:p>
    <w:p w14:paraId="4360FE3D">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一、合同标的</w:t>
      </w:r>
    </w:p>
    <w:p w14:paraId="30258459">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乙方根据甲方需求，提供下列服务：依照《电力设备预防性实验规程》（DL/T 596-2021）、《电气设备交接实验标准》（GB50150-2016）及其他相关行业标准、规定等，对配电房设备提供日常的维护、检修、保养和应急抢修，对配电房电气设备进行预防性试验，完成月度、季度、半年度、年度维护、保养项目，并做好维护、巡视、保养记录，并向甲方出具年度维护、保养服务报告。对具有预见性易损坏配件及故障损坏部件的及时更换（材料由招标人提供）；配电房设备故障或事故的应急处置；配电房年度检验、维护、优化等相关工作。对配电房的安全、正常运行负责（包括高压柜、真空断路器、避雷器、变压器、两段高低压母线及系统其它相关设备检测、检修、保养维护、接地检测、安全工器具检测、设备运行安全维护等工作）</w:t>
      </w:r>
    </w:p>
    <w:p w14:paraId="292CE209">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1）1个后勤楼总高压配电房24小时值班管理；</w:t>
      </w:r>
      <w:r>
        <w:rPr>
          <w:rFonts w:hint="eastAsia" w:ascii="宋体" w:hAnsi="宋体" w:cs="Times New Roman"/>
          <w:szCs w:val="20"/>
          <w:lang w:val="en-US" w:eastAsia="zh-CN"/>
        </w:rPr>
        <w:t>3</w:t>
      </w:r>
      <w:r>
        <w:rPr>
          <w:rFonts w:hint="eastAsia" w:ascii="宋体" w:hAnsi="宋体" w:eastAsia="宋体" w:cs="Times New Roman"/>
          <w:szCs w:val="20"/>
        </w:rPr>
        <w:t>个高低压配电房分电房24小时巡查（分别位于第一实验楼高低压电房、教师公寓高低压电房、科技创业园高低压电房）。</w:t>
      </w:r>
    </w:p>
    <w:p w14:paraId="1DDC5B9F">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2）食堂电安全托管。</w:t>
      </w:r>
    </w:p>
    <w:p w14:paraId="1F207EAF">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3）保障全校用电安全，熟悉学校电路布局，维护公共部位的用电设施设备。</w:t>
      </w:r>
    </w:p>
    <w:p w14:paraId="29533E4C">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4) 高压配电柜及高压电缆专业维护。</w:t>
      </w:r>
    </w:p>
    <w:p w14:paraId="5F6F41B2">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5）学院交待的其他电相关工作。</w:t>
      </w:r>
    </w:p>
    <w:p w14:paraId="56D341D5">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6）通过供电局的预防性试验。</w:t>
      </w:r>
    </w:p>
    <w:p w14:paraId="1F720426">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服务内容等要求详见招标文件及响应文件。</w:t>
      </w:r>
    </w:p>
    <w:p w14:paraId="730B1466">
      <w:pPr>
        <w:numPr>
          <w:ilvl w:val="0"/>
          <w:numId w:val="6"/>
        </w:numPr>
        <w:snapToGrid w:val="0"/>
        <w:spacing w:line="360" w:lineRule="auto"/>
        <w:ind w:firstLine="422" w:firstLineChars="200"/>
        <w:rPr>
          <w:rFonts w:hint="eastAsia" w:ascii="宋体" w:hAnsi="宋体" w:eastAsia="宋体" w:cs="Times New Roman"/>
          <w:b/>
          <w:bCs/>
          <w:szCs w:val="20"/>
        </w:rPr>
      </w:pPr>
      <w:r>
        <w:rPr>
          <w:rFonts w:hint="eastAsia" w:ascii="宋体" w:hAnsi="宋体" w:eastAsia="宋体" w:cs="Times New Roman"/>
          <w:b/>
          <w:bCs/>
          <w:szCs w:val="20"/>
        </w:rPr>
        <w:t>合同总金额</w:t>
      </w:r>
    </w:p>
    <w:p w14:paraId="3FF165C7">
      <w:pPr>
        <w:snapToGrid w:val="0"/>
        <w:spacing w:line="360" w:lineRule="auto"/>
        <w:rPr>
          <w:rFonts w:hint="eastAsia" w:ascii="宋体" w:hAnsi="宋体" w:eastAsia="宋体" w:cs="Times New Roman"/>
          <w:szCs w:val="20"/>
        </w:rPr>
      </w:pPr>
      <w:r>
        <w:rPr>
          <w:rFonts w:hint="eastAsia" w:ascii="宋体" w:hAnsi="宋体" w:eastAsia="宋体" w:cs="Times New Roman"/>
          <w:szCs w:val="20"/>
        </w:rPr>
        <w:t xml:space="preserve">    2.1 </w:t>
      </w:r>
      <w:r>
        <w:rPr>
          <w:rFonts w:hint="eastAsia" w:ascii="宋体" w:hAnsi="宋体"/>
          <w:szCs w:val="21"/>
        </w:rPr>
        <w:t>本合同金额为（大写）：_______________________________元人民币（¥_____元）</w:t>
      </w:r>
    </w:p>
    <w:p w14:paraId="11C64B89">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2.2 本合同总金额包括乙方提供的服务及其他有关的为完成本项目发生的所有费用，招标文件中另有规定的除外。</w:t>
      </w:r>
    </w:p>
    <w:p w14:paraId="7B6CC1B4">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2.3 在招标文件未列明，而乙方认为履行本合同必需的费用也包含在合同总金额中。</w:t>
      </w:r>
    </w:p>
    <w:p w14:paraId="3882E599">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2.4 本合同总金额还包含乙方提供的伴随服务/售后服务费用。</w:t>
      </w:r>
    </w:p>
    <w:p w14:paraId="2150B4D0">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三、组成本合同的有关文件</w:t>
      </w:r>
    </w:p>
    <w:p w14:paraId="3A719BB7">
      <w:pPr>
        <w:snapToGrid w:val="0"/>
        <w:spacing w:line="360" w:lineRule="auto"/>
        <w:ind w:firstLine="420" w:firstLineChars="200"/>
        <w:rPr>
          <w:rFonts w:hint="eastAsia" w:ascii="宋体" w:hAnsi="宋体"/>
          <w:szCs w:val="21"/>
        </w:rPr>
      </w:pPr>
      <w:r>
        <w:rPr>
          <w:rFonts w:hint="eastAsia" w:ascii="宋体" w:hAnsi="宋体"/>
          <w:szCs w:val="21"/>
        </w:rPr>
        <w:t>3.1乙方应按采购文件规定的时间向甲方提供服务的有关技术资料。</w:t>
      </w:r>
    </w:p>
    <w:p w14:paraId="44120BD4">
      <w:pPr>
        <w:snapToGrid w:val="0"/>
        <w:spacing w:line="360" w:lineRule="auto"/>
        <w:ind w:firstLine="420" w:firstLineChars="200"/>
        <w:rPr>
          <w:rFonts w:hint="eastAsia" w:ascii="宋体" w:hAnsi="宋体"/>
          <w:szCs w:val="21"/>
        </w:rPr>
      </w:pPr>
      <w:r>
        <w:rPr>
          <w:rFonts w:hint="eastAsia" w:ascii="宋体" w:hAnsi="宋体"/>
          <w:szCs w:val="21"/>
        </w:rPr>
        <w:t>3.2 没有甲方事先书面同意，乙方不得将由甲方提供的有关合同或任何合同条文或资料提供给任何其他人。</w:t>
      </w:r>
    </w:p>
    <w:p w14:paraId="697C6C67">
      <w:pPr>
        <w:snapToGrid w:val="0"/>
        <w:spacing w:line="360" w:lineRule="auto"/>
        <w:ind w:firstLine="420" w:firstLineChars="200"/>
        <w:rPr>
          <w:rFonts w:hint="eastAsia" w:ascii="宋体" w:hAnsi="宋体"/>
          <w:szCs w:val="21"/>
        </w:rPr>
      </w:pPr>
      <w:r>
        <w:rPr>
          <w:rFonts w:hint="eastAsia" w:ascii="宋体" w:hAnsi="宋体"/>
          <w:szCs w:val="21"/>
        </w:rPr>
        <w:t>3.3 关于本项目政府采购的招投标文件或与本次采购活动方式相适应的文件及有关附件是本合同不可分割的组成部分，这些文件包括但不限于：</w:t>
      </w:r>
    </w:p>
    <w:p w14:paraId="7DCA7DDD">
      <w:pPr>
        <w:snapToGrid w:val="0"/>
        <w:spacing w:line="360" w:lineRule="auto"/>
        <w:ind w:firstLine="420" w:firstLineChars="200"/>
        <w:rPr>
          <w:rFonts w:hint="eastAsia" w:ascii="宋体" w:hAnsi="宋体"/>
          <w:szCs w:val="21"/>
        </w:rPr>
      </w:pPr>
      <w:r>
        <w:rPr>
          <w:rFonts w:hint="eastAsia" w:ascii="宋体" w:hAnsi="宋体"/>
          <w:szCs w:val="21"/>
        </w:rPr>
        <w:t>（1）投标响应文件；               （2）投标报价文件；</w:t>
      </w:r>
    </w:p>
    <w:p w14:paraId="1A6A53F9">
      <w:pPr>
        <w:snapToGrid w:val="0"/>
        <w:spacing w:line="360" w:lineRule="auto"/>
        <w:ind w:firstLine="420" w:firstLineChars="200"/>
        <w:rPr>
          <w:rFonts w:hint="eastAsia" w:ascii="宋体" w:hAnsi="宋体"/>
          <w:szCs w:val="21"/>
        </w:rPr>
      </w:pPr>
      <w:r>
        <w:rPr>
          <w:rFonts w:hint="eastAsia" w:ascii="宋体" w:hAnsi="宋体"/>
          <w:szCs w:val="21"/>
        </w:rPr>
        <w:t>（3）项目组人员表                 （4）技术参数、商务条款响应及偏离表；</w:t>
      </w:r>
    </w:p>
    <w:p w14:paraId="1D0C3E75">
      <w:pPr>
        <w:snapToGrid w:val="0"/>
        <w:spacing w:line="360" w:lineRule="auto"/>
        <w:ind w:firstLine="420" w:firstLineChars="200"/>
        <w:rPr>
          <w:rFonts w:hint="eastAsia" w:ascii="宋体" w:hAnsi="宋体"/>
          <w:szCs w:val="21"/>
        </w:rPr>
      </w:pPr>
      <w:r>
        <w:rPr>
          <w:rFonts w:hint="eastAsia" w:ascii="宋体" w:hAnsi="宋体"/>
          <w:szCs w:val="21"/>
        </w:rPr>
        <w:t>（5）服务承诺；                   （6）成交通知书；</w:t>
      </w:r>
    </w:p>
    <w:p w14:paraId="03B85355">
      <w:pPr>
        <w:snapToGrid w:val="0"/>
        <w:spacing w:line="360" w:lineRule="auto"/>
        <w:ind w:firstLine="420" w:firstLineChars="200"/>
        <w:rPr>
          <w:rFonts w:hint="eastAsia" w:ascii="宋体" w:hAnsi="宋体" w:eastAsia="宋体" w:cs="Times New Roman"/>
          <w:szCs w:val="20"/>
        </w:rPr>
      </w:pPr>
      <w:r>
        <w:rPr>
          <w:rFonts w:hint="eastAsia" w:ascii="宋体" w:hAnsi="宋体"/>
          <w:szCs w:val="21"/>
        </w:rPr>
        <w:t>（7）甲乙双方补充协议；           （8）乙方投标时提供的响应文件。</w:t>
      </w:r>
    </w:p>
    <w:p w14:paraId="4DEC21FD">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四、知识产权保证</w:t>
      </w:r>
    </w:p>
    <w:p w14:paraId="25AC8EF9">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乙方保证甲方在使用、接受本合同服务或其任何一部分时，不受第三方提出侵犯其专利权、版权、商标权和工业设计权等知识产权的起诉。一旦出现侵权，由乙方负全部责任。</w:t>
      </w:r>
    </w:p>
    <w:p w14:paraId="316CDC2B">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五、产权保证</w:t>
      </w:r>
    </w:p>
    <w:p w14:paraId="29533093">
      <w:pPr>
        <w:snapToGrid w:val="0"/>
        <w:spacing w:line="360" w:lineRule="auto"/>
        <w:ind w:firstLine="420" w:firstLineChars="200"/>
        <w:rPr>
          <w:rFonts w:hint="eastAsia" w:ascii="宋体" w:hAnsi="宋体" w:eastAsia="宋体" w:cs="Times New Roman"/>
          <w:szCs w:val="20"/>
        </w:rPr>
      </w:pPr>
      <w:r>
        <w:rPr>
          <w:rFonts w:hint="eastAsia" w:ascii="宋体" w:hAnsi="宋体" w:cs="宋体"/>
          <w:szCs w:val="21"/>
        </w:rPr>
        <w:t>乙方保证所交付的服务和服务所涉及的物品所有权无任何抵押、查封等权利瑕疵。</w:t>
      </w:r>
    </w:p>
    <w:p w14:paraId="3EF85953">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六、履约保证金</w:t>
      </w:r>
    </w:p>
    <w:p w14:paraId="39EBA4C4">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6.1本项目收取人民币叁万元整履约保证金，允许乙方自主选择支票、汇票、本票(见索即付)等非现金形式缴纳或提交。</w:t>
      </w:r>
    </w:p>
    <w:p w14:paraId="48F58EF0">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6.2乙方应按中标通知书规定的时间、地点,按照招标文件确定的事项与甲方签订政府采购合同，且不得迟于中标通知书发出之日起三十日内，否则履约保证金将不予退还。</w:t>
      </w:r>
    </w:p>
    <w:p w14:paraId="53EE9C17">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6.3履约保证金用以约束乙方在合同履行中的行为，以及弥补合同履行中由于乙方自身行为可能给甲方带来的各种损失；乙方需根据履约保证金扣除情况及时补足；若履约保证金额不足以弥补乙方违约造成甲方损失的，甲方可继续向乙方主张索赔。</w:t>
      </w:r>
    </w:p>
    <w:p w14:paraId="60846580">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 xml:space="preserve">6.4在本合同期满，并做好资产清点和交接工作后，甲方根据考核结果全部或部分无息退还履约保证金。 </w:t>
      </w:r>
    </w:p>
    <w:p w14:paraId="5A61D981">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七、转包或分包</w:t>
      </w:r>
    </w:p>
    <w:p w14:paraId="1F1E8279">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7.1 本合同禁止转包，本合同范围的服务，应由乙方直接提供的，不得转让他人提供。</w:t>
      </w:r>
    </w:p>
    <w:p w14:paraId="3B469890">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7.2 经甲方同意，乙方可以依法采取分包方式履行合同，但是分包方式履行的，乙方应就采购项目向甲方负全责。</w:t>
      </w:r>
    </w:p>
    <w:p w14:paraId="178B7CCE">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八、服务期限</w:t>
      </w:r>
    </w:p>
    <w:p w14:paraId="7A3C2BD5">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 xml:space="preserve">8.1 </w:t>
      </w:r>
      <w:r>
        <w:rPr>
          <w:rFonts w:hint="eastAsia" w:ascii="宋体" w:hAnsi="宋体" w:eastAsia="宋体" w:cs="Times New Roman"/>
          <w:szCs w:val="20"/>
          <w:lang w:val="en-US" w:eastAsia="zh-CN"/>
        </w:rPr>
        <w:t>本项目</w:t>
      </w:r>
      <w:r>
        <w:rPr>
          <w:rFonts w:hint="eastAsia" w:ascii="宋体" w:hAnsi="宋体" w:eastAsia="宋体" w:cs="Times New Roman"/>
          <w:szCs w:val="20"/>
        </w:rPr>
        <w:t>服务期</w:t>
      </w:r>
      <w:r>
        <w:rPr>
          <w:rFonts w:hint="eastAsia" w:ascii="宋体" w:hAnsi="宋体" w:eastAsia="宋体" w:cs="Times New Roman"/>
          <w:szCs w:val="20"/>
          <w:u w:val="single"/>
        </w:rPr>
        <w:t xml:space="preserve"> </w:t>
      </w:r>
      <w:r>
        <w:rPr>
          <w:rFonts w:hint="eastAsia" w:ascii="宋体" w:hAnsi="宋体" w:eastAsia="宋体" w:cs="Times New Roman"/>
          <w:szCs w:val="20"/>
          <w:u w:val="single"/>
          <w:lang w:val="en-US" w:eastAsia="zh-CN"/>
        </w:rPr>
        <w:t>2</w:t>
      </w:r>
      <w:r>
        <w:rPr>
          <w:rFonts w:hint="eastAsia" w:ascii="宋体" w:hAnsi="宋体" w:eastAsia="宋体" w:cs="Times New Roman"/>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lang w:val="en-US" w:eastAsia="zh-CN"/>
        </w:rPr>
        <w:t>本合同</w:t>
      </w:r>
      <w:r>
        <w:rPr>
          <w:rFonts w:hint="eastAsia" w:ascii="宋体" w:hAnsi="宋体" w:eastAsia="宋体" w:cs="Times New Roman"/>
          <w:szCs w:val="20"/>
          <w:u w:val="single"/>
        </w:rPr>
        <w:t>自2025年  月  日-2026年  月  日止</w:t>
      </w:r>
      <w:r>
        <w:rPr>
          <w:rFonts w:hint="eastAsia" w:ascii="宋体" w:hAnsi="宋体" w:eastAsia="宋体" w:cs="Times New Roman"/>
          <w:szCs w:val="20"/>
        </w:rPr>
        <w:t>。</w:t>
      </w:r>
    </w:p>
    <w:p w14:paraId="7254F5B7">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九、货款支付</w:t>
      </w:r>
    </w:p>
    <w:p w14:paraId="7AB3A2D4">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 xml:space="preserve">9.1 本合同项下所有款项均以人民币支付。 </w:t>
      </w:r>
    </w:p>
    <w:p w14:paraId="1A0B7BC2">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9.2 本合同项下的采购资金由甲方支付，付款前乙方向甲方开具发票。</w:t>
      </w:r>
    </w:p>
    <w:p w14:paraId="27562D43">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9.3 甲方付款方式：</w:t>
      </w:r>
    </w:p>
    <w:p w14:paraId="462D9FBE">
      <w:pPr>
        <w:snapToGrid w:val="0"/>
        <w:spacing w:line="360" w:lineRule="auto"/>
        <w:ind w:firstLine="420" w:firstLineChars="200"/>
        <w:rPr>
          <w:rFonts w:hint="eastAsia" w:ascii="宋体" w:hAnsi="宋体" w:eastAsia="宋体" w:cs="Times New Roman"/>
          <w:szCs w:val="20"/>
        </w:rPr>
      </w:pPr>
      <w:r>
        <w:rPr>
          <w:rFonts w:hint="eastAsia" w:hAnsi="宋体" w:cs="宋体"/>
          <w:bCs/>
          <w:u w:val="single"/>
        </w:rPr>
        <w:t>本采购项目无预付款，合同期内，甲方每半年考核，合格后向乙方支付年服务费的50%，</w:t>
      </w:r>
      <w:r>
        <w:rPr>
          <w:rFonts w:hint="eastAsia" w:ascii="宋体" w:hAnsi="宋体" w:eastAsia="宋体" w:cs="宋体"/>
          <w:bCs/>
          <w:szCs w:val="21"/>
          <w:u w:val="single"/>
        </w:rPr>
        <w:t>每次付款前乙方须提供正规发票，付款不计利息</w:t>
      </w:r>
      <w:r>
        <w:rPr>
          <w:rFonts w:hint="eastAsia" w:ascii="宋体" w:hAnsi="宋体" w:eastAsia="宋体" w:cs="Times New Roman"/>
          <w:szCs w:val="20"/>
        </w:rPr>
        <w:t>。</w:t>
      </w:r>
    </w:p>
    <w:p w14:paraId="6258AF50">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十、税费</w:t>
      </w:r>
    </w:p>
    <w:p w14:paraId="20CE6576">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本合同执行中相关的一切税费均由乙方负担。</w:t>
      </w:r>
    </w:p>
    <w:p w14:paraId="1CF010DC">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十一、质量保证及售后服务</w:t>
      </w:r>
    </w:p>
    <w:p w14:paraId="26496CD8">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11.1 乙方应按招标文件规定及响应文件承诺的技术性能、技术要求、质量标准向甲方提供服务；若无特殊说明，则按国家有关部门最新颁布的标准及规范为准。</w:t>
      </w:r>
    </w:p>
    <w:p w14:paraId="02F1515B">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11.2乙方应保证其提供的服务是全面和规范的，并完全符合招标文件及响应文件。如因乙方提供的服务有瑕疵造成甲方损失的，所需费用由乙方承担。</w:t>
      </w:r>
    </w:p>
    <w:p w14:paraId="7A5D6E7A">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11.3 如在使用过程中发生质量问题，乙方在接到甲方通知后在_________小时内到达甲方现场。</w:t>
      </w:r>
    </w:p>
    <w:p w14:paraId="6B7C5826">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11.4 免费维修期内，乙方应对所提供服务出现的质量及安全问题负责处理解决并承担一切费用。</w:t>
      </w:r>
    </w:p>
    <w:p w14:paraId="22F6A32C">
      <w:pPr>
        <w:snapToGrid w:val="0"/>
        <w:spacing w:line="360" w:lineRule="auto"/>
        <w:ind w:firstLine="422" w:firstLineChars="200"/>
        <w:rPr>
          <w:rFonts w:hint="eastAsia" w:ascii="宋体" w:hAnsi="宋体" w:eastAsia="宋体" w:cs="Times New Roman"/>
          <w:szCs w:val="20"/>
        </w:rPr>
      </w:pPr>
      <w:r>
        <w:rPr>
          <w:rFonts w:hint="eastAsia" w:ascii="宋体" w:hAnsi="宋体" w:eastAsia="宋体" w:cs="Times New Roman"/>
          <w:b/>
          <w:bCs/>
          <w:szCs w:val="20"/>
        </w:rPr>
        <w:t>十二、违约责任</w:t>
      </w:r>
    </w:p>
    <w:p w14:paraId="6092532D">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12.1 甲方无故逾期办理款项支付手续的,甲方应按逾期付款金额每日万分之五向乙方支付违约金。</w:t>
      </w:r>
    </w:p>
    <w:p w14:paraId="14360D7A">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12.2乙方违约，在消除违约情形前，应按本合同项目总额每日万分之五向甲方支付违约金，甲方可以从待付款项中扣除。</w:t>
      </w:r>
    </w:p>
    <w:p w14:paraId="00D16AAF">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12.3乙方因逾期交付服务项目或因其他违约行为，导致甲方解除合同的，乙方应向甲方支付合同总值5%的违约金，如造成甲方损失超过违约金的，超出部分由乙方继续承担赔偿责任。</w:t>
      </w:r>
    </w:p>
    <w:p w14:paraId="1B3D0542">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12.4合同生效后，发现乙方投标属虚假承诺，或经权威部门监测提供的服务不能满足招标文件要求，造成合同无法继续履行的，乙方履约保证金不予退还。</w:t>
      </w:r>
    </w:p>
    <w:p w14:paraId="3FFEAC82">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12.5乙方应保证派遣人员按照招标文件服务标准进行工作，如经招标人发现未能按标服务标准进行工作，每次扣除履约保证金500元。</w:t>
      </w:r>
    </w:p>
    <w:p w14:paraId="722C59E6">
      <w:pPr>
        <w:spacing w:line="360" w:lineRule="auto"/>
        <w:ind w:firstLine="420" w:firstLineChars="200"/>
        <w:jc w:val="left"/>
        <w:rPr>
          <w:highlight w:val="none"/>
        </w:rPr>
      </w:pPr>
      <w:r>
        <w:rPr>
          <w:rFonts w:hint="eastAsia"/>
        </w:rPr>
        <w:t>12.6乙方</w:t>
      </w:r>
      <w:r>
        <w:t>须负责该</w:t>
      </w:r>
      <w:r>
        <w:rPr>
          <w:highlight w:val="none"/>
        </w:rPr>
        <w:t>项目</w:t>
      </w:r>
      <w:r>
        <w:rPr>
          <w:rFonts w:hint="eastAsia"/>
          <w:highlight w:val="none"/>
        </w:rPr>
        <w:t>所有</w:t>
      </w:r>
      <w:r>
        <w:rPr>
          <w:highlight w:val="none"/>
        </w:rPr>
        <w:t>人员的</w:t>
      </w:r>
      <w:r>
        <w:rPr>
          <w:rFonts w:hint="eastAsia"/>
          <w:highlight w:val="none"/>
        </w:rPr>
        <w:t>工资、保险、福利等</w:t>
      </w:r>
      <w:r>
        <w:rPr>
          <w:highlight w:val="none"/>
        </w:rPr>
        <w:t>，负责处理合同服务期内所有劳资纠纷和调解管理纠纷</w:t>
      </w:r>
      <w:r>
        <w:rPr>
          <w:rFonts w:hint="eastAsia"/>
          <w:highlight w:val="none"/>
        </w:rPr>
        <w:t>，若因处置不善对甲方权益造成损失，甲方有权追究乙方责任。</w:t>
      </w:r>
    </w:p>
    <w:p w14:paraId="099CA74C">
      <w:pPr>
        <w:spacing w:line="360" w:lineRule="auto"/>
        <w:ind w:firstLine="420" w:firstLineChars="200"/>
        <w:jc w:val="left"/>
        <w:rPr>
          <w:rFonts w:hint="eastAsia" w:ascii="宋体" w:hAnsi="宋体" w:eastAsia="宋体" w:cs="Times New Roman"/>
          <w:szCs w:val="20"/>
          <w:highlight w:val="none"/>
        </w:rPr>
      </w:pPr>
      <w:r>
        <w:rPr>
          <w:rFonts w:hint="eastAsia"/>
          <w:highlight w:val="none"/>
        </w:rPr>
        <w:t>12.7乙方</w:t>
      </w:r>
      <w:r>
        <w:rPr>
          <w:highlight w:val="none"/>
        </w:rPr>
        <w:t>在维保过程中发生的各种安全事故（包括第三方的人员和设施事故），其后果均由</w:t>
      </w:r>
      <w:r>
        <w:rPr>
          <w:rFonts w:hint="eastAsia"/>
          <w:highlight w:val="none"/>
        </w:rPr>
        <w:t>乙方</w:t>
      </w:r>
      <w:r>
        <w:rPr>
          <w:highlight w:val="none"/>
        </w:rPr>
        <w:t>承担。</w:t>
      </w:r>
      <w:r>
        <w:rPr>
          <w:rFonts w:hint="eastAsia"/>
          <w:highlight w:val="none"/>
        </w:rPr>
        <w:t>乙方人员</w:t>
      </w:r>
      <w:r>
        <w:rPr>
          <w:highlight w:val="none"/>
        </w:rPr>
        <w:t>在岗履行职责期间（包括上下班途中），发生自身的人身伤害、伤亡，均由</w:t>
      </w:r>
      <w:r>
        <w:rPr>
          <w:rFonts w:hint="eastAsia"/>
          <w:highlight w:val="none"/>
        </w:rPr>
        <w:t>乙方</w:t>
      </w:r>
      <w:r>
        <w:rPr>
          <w:highlight w:val="none"/>
        </w:rPr>
        <w:t>负责处理并承担经济和道义上的责任，</w:t>
      </w:r>
      <w:r>
        <w:rPr>
          <w:rFonts w:hint="eastAsia"/>
          <w:highlight w:val="none"/>
        </w:rPr>
        <w:t>甲方</w:t>
      </w:r>
      <w:r>
        <w:rPr>
          <w:highlight w:val="none"/>
        </w:rPr>
        <w:t>不承担任何责任；</w:t>
      </w:r>
    </w:p>
    <w:p w14:paraId="57BA92FE">
      <w:pPr>
        <w:snapToGrid w:val="0"/>
        <w:spacing w:line="360" w:lineRule="auto"/>
        <w:ind w:firstLine="422" w:firstLineChars="200"/>
        <w:rPr>
          <w:rFonts w:hint="eastAsia" w:ascii="宋体" w:hAnsi="宋体" w:eastAsia="宋体" w:cs="Times New Roman"/>
          <w:szCs w:val="20"/>
          <w:highlight w:val="none"/>
        </w:rPr>
      </w:pPr>
      <w:r>
        <w:rPr>
          <w:rFonts w:hint="eastAsia" w:ascii="宋体" w:hAnsi="宋体" w:eastAsia="宋体" w:cs="Times New Roman"/>
          <w:b/>
          <w:bCs/>
          <w:szCs w:val="20"/>
          <w:highlight w:val="none"/>
        </w:rPr>
        <w:t>十三、不可抗力事件处理</w:t>
      </w:r>
    </w:p>
    <w:p w14:paraId="73385C50">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13.1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4ABA9D87">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13.2不可抗力事件发生后，应立即通知对方，并寄送有关权威机构出具的证明。除甲方书面另行要求外，乙方应尽实际可能继续履行合同义务，以及寻求采取合理的方案履行不受不可抗力影响的其他事项。若不可抗力事件延续60天以上，双方应通过友好协商，确定是否继续履行合同。</w:t>
      </w:r>
    </w:p>
    <w:p w14:paraId="2F473A35">
      <w:pPr>
        <w:snapToGrid w:val="0"/>
        <w:spacing w:line="360" w:lineRule="auto"/>
        <w:ind w:firstLine="422" w:firstLineChars="200"/>
        <w:rPr>
          <w:rFonts w:hint="eastAsia" w:ascii="宋体" w:hAnsi="宋体" w:eastAsia="宋体" w:cs="Times New Roman"/>
          <w:b/>
          <w:bCs/>
          <w:szCs w:val="20"/>
        </w:rPr>
      </w:pPr>
      <w:r>
        <w:rPr>
          <w:rFonts w:hint="eastAsia" w:ascii="宋体" w:hAnsi="宋体" w:eastAsia="宋体" w:cs="Times New Roman"/>
          <w:b/>
          <w:bCs/>
          <w:szCs w:val="20"/>
        </w:rPr>
        <w:t>十四</w:t>
      </w:r>
      <w:r>
        <w:rPr>
          <w:rFonts w:ascii="宋体" w:hAnsi="宋体" w:eastAsia="宋体" w:cs="Times New Roman"/>
          <w:b/>
          <w:bCs/>
          <w:szCs w:val="20"/>
        </w:rPr>
        <w:t>、争议解决</w:t>
      </w:r>
    </w:p>
    <w:p w14:paraId="789D873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.1 因服务的品质质量问题发生争议的，可在国家认可的质量检测机构对服务内容质量进行鉴定。服务符合标准的，鉴定费由甲方承担；服务项目不符合质量标准的，鉴定费由乙方承担。</w:t>
      </w:r>
    </w:p>
    <w:p w14:paraId="06AE1AD3">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.2 因履行本合同引起的或与本合同有关的争议，甲、乙双方应首先通过友好协商解决；如果协商不能解决争议，甲乙双方同意采取下列两种方式的第</w:t>
      </w:r>
      <w:r>
        <w:rPr>
          <w:rFonts w:ascii="宋体" w:hAnsi="宋体" w:eastAsia="宋体" w:cs="Times New Roman"/>
          <w:szCs w:val="20"/>
          <w:u w:val="single"/>
        </w:rPr>
        <w:t xml:space="preserve">（ </w:t>
      </w:r>
      <w:r>
        <w:rPr>
          <w:rFonts w:hint="eastAsia" w:ascii="宋体" w:hAnsi="宋体" w:eastAsia="宋体" w:cs="Times New Roman"/>
          <w:szCs w:val="20"/>
          <w:u w:val="single"/>
        </w:rPr>
        <w:t>1</w:t>
      </w:r>
      <w:r>
        <w:rPr>
          <w:rFonts w:ascii="宋体" w:hAnsi="宋体" w:eastAsia="宋体" w:cs="Times New Roman"/>
          <w:szCs w:val="20"/>
          <w:u w:val="single"/>
        </w:rPr>
        <w:t xml:space="preserve"> ）</w:t>
      </w:r>
      <w:r>
        <w:rPr>
          <w:rFonts w:ascii="宋体" w:hAnsi="宋体" w:eastAsia="宋体" w:cs="Times New Roman"/>
          <w:szCs w:val="20"/>
        </w:rPr>
        <w:t>种方式解决争议：</w:t>
      </w:r>
    </w:p>
    <w:p w14:paraId="14C19A62">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（1）向甲方所在地有管辖权的人民法院提起诉讼，适用中华人民共和国法律；</w:t>
      </w:r>
    </w:p>
    <w:p w14:paraId="43C6B33B">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（2）向扬州仲裁委员会按其仲裁规则申请仲裁。</w:t>
      </w:r>
    </w:p>
    <w:p w14:paraId="6881192F">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4</w:t>
      </w:r>
      <w:r>
        <w:rPr>
          <w:rFonts w:ascii="宋体" w:hAnsi="宋体" w:eastAsia="宋体" w:cs="Times New Roman"/>
          <w:szCs w:val="20"/>
        </w:rPr>
        <w:t>.3 若甲乙双方任何一方都没有选择解除合同的，为避免扩大损失，在诉讼或仲裁期间，双方应继续履行。</w:t>
      </w:r>
    </w:p>
    <w:p w14:paraId="02841C03">
      <w:pPr>
        <w:snapToGrid w:val="0"/>
        <w:spacing w:line="360" w:lineRule="auto"/>
        <w:ind w:firstLine="422" w:firstLineChars="200"/>
        <w:rPr>
          <w:rFonts w:hint="eastAsia" w:ascii="宋体" w:hAnsi="宋体" w:eastAsia="宋体" w:cs="Times New Roman"/>
          <w:b/>
          <w:bCs/>
          <w:szCs w:val="20"/>
        </w:rPr>
      </w:pPr>
      <w:r>
        <w:rPr>
          <w:rFonts w:hint="eastAsia" w:ascii="宋体" w:hAnsi="宋体" w:eastAsia="宋体" w:cs="Times New Roman"/>
          <w:b/>
          <w:bCs/>
          <w:szCs w:val="20"/>
        </w:rPr>
        <w:t>十五</w:t>
      </w:r>
      <w:r>
        <w:rPr>
          <w:rFonts w:ascii="宋体" w:hAnsi="宋体" w:eastAsia="宋体" w:cs="Times New Roman"/>
          <w:b/>
          <w:bCs/>
          <w:szCs w:val="20"/>
        </w:rPr>
        <w:t>、合同其它</w:t>
      </w:r>
    </w:p>
    <w:p w14:paraId="1F18691F">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.1 乙方应诚实信用，严格按照竞争性磋商文件要求和投标承诺履行合同，不向甲方进行商业贿赂或者提供不正当利益。</w:t>
      </w:r>
    </w:p>
    <w:p w14:paraId="0832814C">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.2 合同经双方法定代表人或授权代表签字并加盖单位公章后生效。</w:t>
      </w:r>
    </w:p>
    <w:p w14:paraId="07B214A6">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.3本合同未尽事宜，遵照《</w:t>
      </w:r>
      <w:r>
        <w:rPr>
          <w:rFonts w:hint="eastAsia" w:ascii="宋体" w:hAnsi="宋体" w:eastAsia="宋体" w:cs="Times New Roman"/>
          <w:szCs w:val="20"/>
        </w:rPr>
        <w:t>中华人民共和国</w:t>
      </w:r>
      <w:r>
        <w:rPr>
          <w:rFonts w:ascii="宋体" w:hAnsi="宋体" w:eastAsia="宋体" w:cs="Times New Roman"/>
          <w:szCs w:val="20"/>
        </w:rPr>
        <w:t>民法典》有关条文执行。</w:t>
      </w:r>
    </w:p>
    <w:p w14:paraId="621926DE">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5</w:t>
      </w:r>
      <w:r>
        <w:rPr>
          <w:rFonts w:ascii="宋体" w:hAnsi="宋体" w:eastAsia="宋体" w:cs="Times New Roman"/>
          <w:szCs w:val="20"/>
        </w:rPr>
        <w:t>.4 本合同正本一式</w:t>
      </w:r>
      <w:r>
        <w:rPr>
          <w:rFonts w:hint="eastAsia" w:ascii="宋体" w:hAnsi="宋体" w:eastAsia="宋体" w:cs="Times New Roman"/>
          <w:szCs w:val="20"/>
        </w:rPr>
        <w:t>陆</w:t>
      </w:r>
      <w:r>
        <w:rPr>
          <w:rFonts w:ascii="宋体" w:hAnsi="宋体" w:eastAsia="宋体" w:cs="Times New Roman"/>
          <w:szCs w:val="20"/>
        </w:rPr>
        <w:t>份，具有同等法律效力，甲方执</w:t>
      </w:r>
      <w:r>
        <w:rPr>
          <w:rFonts w:hint="eastAsia" w:ascii="宋体" w:hAnsi="宋体" w:eastAsia="宋体" w:cs="Times New Roman"/>
          <w:szCs w:val="20"/>
        </w:rPr>
        <w:t>肆</w:t>
      </w:r>
      <w:r>
        <w:rPr>
          <w:rFonts w:ascii="宋体" w:hAnsi="宋体" w:eastAsia="宋体" w:cs="Times New Roman"/>
          <w:szCs w:val="20"/>
        </w:rPr>
        <w:t>份、乙方</w:t>
      </w:r>
      <w:r>
        <w:rPr>
          <w:rFonts w:hint="eastAsia" w:ascii="宋体" w:hAnsi="宋体" w:eastAsia="宋体" w:cs="Times New Roman"/>
          <w:szCs w:val="20"/>
        </w:rPr>
        <w:t>执贰</w:t>
      </w:r>
      <w:r>
        <w:rPr>
          <w:rFonts w:ascii="宋体" w:hAnsi="宋体" w:eastAsia="宋体" w:cs="Times New Roman"/>
          <w:szCs w:val="20"/>
        </w:rPr>
        <w:t>份。</w:t>
      </w:r>
    </w:p>
    <w:p w14:paraId="657FC1E7">
      <w:pPr>
        <w:snapToGrid w:val="0"/>
        <w:spacing w:line="360" w:lineRule="auto"/>
        <w:ind w:firstLine="420" w:firstLineChars="200"/>
        <w:rPr>
          <w:rFonts w:hint="eastAsia" w:ascii="宋体" w:hAnsi="宋体" w:eastAsia="宋体" w:cs="Times New Roman"/>
          <w:szCs w:val="20"/>
        </w:rPr>
      </w:pPr>
    </w:p>
    <w:p w14:paraId="4696C202">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甲方：                                             乙方：</w:t>
      </w:r>
    </w:p>
    <w:p w14:paraId="35AF0D0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单位名称：南京邮电大学通达学院                     单位名称：</w:t>
      </w:r>
    </w:p>
    <w:p w14:paraId="30086925">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单位地址：扬州市润扬南路33号                      单位地址：</w:t>
      </w:r>
    </w:p>
    <w:p w14:paraId="12CAC5E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法定代表人：                                       法定代表人：</w:t>
      </w:r>
    </w:p>
    <w:p w14:paraId="2ECEE8BC">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委托代理人（签字）：                                委托代理人（签字）：</w:t>
      </w:r>
    </w:p>
    <w:p w14:paraId="7B151FE5">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联系电话：                                         联系电话：                                            </w:t>
      </w:r>
    </w:p>
    <w:p w14:paraId="11145C88">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开户银行：</w:t>
      </w:r>
      <w:r>
        <w:rPr>
          <w:rFonts w:hint="eastAsia" w:ascii="宋体" w:hAnsi="宋体" w:eastAsia="宋体" w:cs="Times New Roman"/>
          <w:szCs w:val="20"/>
          <w:highlight w:val="none"/>
        </w:rPr>
        <w:t xml:space="preserve">江苏银行扬州东城支行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开户银行： </w:t>
      </w:r>
    </w:p>
    <w:p w14:paraId="79A7E7D5">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户名：南京邮电大学通达学院                         户名： </w:t>
      </w:r>
    </w:p>
    <w:p w14:paraId="6080FBB9">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账号：90150188000177163                            账号： </w:t>
      </w:r>
    </w:p>
    <w:p w14:paraId="0F753BF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税号：52320000509200179F                           行号：  </w:t>
      </w:r>
    </w:p>
    <w:p w14:paraId="4540B3A3">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电话：0514-89716081                                项目联系人：</w:t>
      </w:r>
    </w:p>
    <w:p w14:paraId="5A7A85C8">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签约日期（即合同生效日期）：    年   月    日       联系电话：</w:t>
      </w:r>
    </w:p>
    <w:p w14:paraId="1DD5EB33">
      <w:pPr>
        <w:snapToGrid w:val="0"/>
        <w:spacing w:line="360" w:lineRule="auto"/>
        <w:ind w:firstLine="420" w:firstLineChars="200"/>
        <w:rPr>
          <w:rFonts w:hint="eastAsia" w:ascii="宋体" w:hAnsi="宋体" w:eastAsia="宋体" w:cs="Times New Roman"/>
          <w:szCs w:val="20"/>
        </w:rPr>
      </w:pPr>
    </w:p>
    <w:p w14:paraId="66932D79">
      <w:pPr>
        <w:snapToGrid w:val="0"/>
        <w:spacing w:line="360" w:lineRule="auto"/>
        <w:rPr>
          <w:rFonts w:hint="eastAsia" w:ascii="宋体" w:hAnsi="宋体" w:eastAsia="宋体" w:cs="Times New Roman"/>
          <w:szCs w:val="20"/>
        </w:rPr>
        <w:sectPr>
          <w:headerReference r:id="rId7" w:type="default"/>
          <w:footerReference r:id="rId8" w:type="default"/>
          <w:pgSz w:w="11906" w:h="16838"/>
          <w:pgMar w:top="1440" w:right="1247" w:bottom="1440" w:left="1247" w:header="1191" w:footer="907" w:gutter="0"/>
          <w:cols w:space="720" w:num="1"/>
          <w:titlePg/>
          <w:docGrid w:type="lines" w:linePitch="286" w:charSpace="0"/>
        </w:sectPr>
      </w:pPr>
    </w:p>
    <w:p w14:paraId="3747A8EA">
      <w:pPr>
        <w:keepNext/>
        <w:keepLines/>
        <w:numPr>
          <w:ilvl w:val="0"/>
          <w:numId w:val="7"/>
        </w:numPr>
        <w:spacing w:before="260" w:after="260" w:line="360" w:lineRule="auto"/>
        <w:jc w:val="center"/>
        <w:outlineLvl w:val="1"/>
        <w:rPr>
          <w:rFonts w:hint="eastAsia" w:ascii="宋体" w:hAnsi="宋体" w:eastAsia="宋体" w:cs="Arial"/>
          <w:b/>
          <w:bCs/>
          <w:sz w:val="36"/>
          <w:szCs w:val="36"/>
        </w:rPr>
      </w:pPr>
      <w:r>
        <w:rPr>
          <w:rFonts w:hint="eastAsia" w:ascii="宋体" w:hAnsi="宋体" w:eastAsia="宋体" w:cs="Arial"/>
          <w:b/>
          <w:bCs/>
          <w:sz w:val="36"/>
          <w:szCs w:val="36"/>
        </w:rPr>
        <w:t>项目需求</w:t>
      </w:r>
      <w:bookmarkStart w:id="134" w:name="_Toc26554097"/>
      <w:bookmarkStart w:id="135" w:name="_Toc23828480"/>
      <w:bookmarkStart w:id="136" w:name="_Toc61149622"/>
    </w:p>
    <w:p w14:paraId="78D77EF8">
      <w:pPr>
        <w:wordWrap w:val="0"/>
        <w:spacing w:before="187" w:after="187"/>
        <w:ind w:firstLine="422" w:firstLineChars="200"/>
        <w:jc w:val="left"/>
        <w:rPr>
          <w:rFonts w:hint="eastAsia" w:ascii="宋体" w:hAnsi="宋体" w:cs="微软雅黑"/>
          <w:szCs w:val="21"/>
        </w:rPr>
      </w:pPr>
      <w:r>
        <w:rPr>
          <w:rFonts w:hint="eastAsia" w:ascii="宋体" w:hAnsi="宋体" w:cs="微软雅黑"/>
          <w:b/>
          <w:szCs w:val="21"/>
        </w:rPr>
        <w:t>一、采购清单</w:t>
      </w:r>
    </w:p>
    <w:tbl>
      <w:tblPr>
        <w:tblStyle w:val="39"/>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91"/>
        <w:gridCol w:w="4108"/>
        <w:gridCol w:w="3839"/>
      </w:tblGrid>
      <w:tr w14:paraId="0C28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9" w:hRule="atLeast"/>
          <w:jc w:val="center"/>
        </w:trPr>
        <w:tc>
          <w:tcPr>
            <w:tcW w:w="691" w:type="dxa"/>
            <w:tcMar>
              <w:top w:w="20" w:type="dxa"/>
              <w:left w:w="20" w:type="dxa"/>
              <w:bottom w:w="20" w:type="dxa"/>
              <w:right w:w="20" w:type="dxa"/>
            </w:tcMar>
            <w:vAlign w:val="center"/>
          </w:tcPr>
          <w:p w14:paraId="3CD6029E">
            <w:pPr>
              <w:wordWrap w:val="0"/>
              <w:spacing w:line="273" w:lineRule="exact"/>
              <w:jc w:val="center"/>
              <w:rPr>
                <w:rFonts w:hint="eastAsia" w:ascii="宋体" w:hAnsi="宋体" w:cs="微软雅黑"/>
                <w:szCs w:val="21"/>
              </w:rPr>
            </w:pPr>
            <w:r>
              <w:rPr>
                <w:rFonts w:hint="eastAsia" w:ascii="宋体" w:hAnsi="宋体" w:cs="微软雅黑"/>
                <w:b/>
                <w:szCs w:val="21"/>
              </w:rPr>
              <w:t>序号</w:t>
            </w:r>
          </w:p>
        </w:tc>
        <w:tc>
          <w:tcPr>
            <w:tcW w:w="4108" w:type="dxa"/>
            <w:tcMar>
              <w:top w:w="20" w:type="dxa"/>
              <w:left w:w="20" w:type="dxa"/>
              <w:bottom w:w="20" w:type="dxa"/>
              <w:right w:w="20" w:type="dxa"/>
            </w:tcMar>
            <w:vAlign w:val="center"/>
          </w:tcPr>
          <w:p w14:paraId="7E97B499">
            <w:pPr>
              <w:wordWrap w:val="0"/>
              <w:spacing w:line="273" w:lineRule="exact"/>
              <w:jc w:val="center"/>
              <w:rPr>
                <w:rFonts w:hint="eastAsia" w:ascii="宋体" w:hAnsi="宋体" w:cs="微软雅黑"/>
                <w:szCs w:val="21"/>
              </w:rPr>
            </w:pPr>
            <w:r>
              <w:rPr>
                <w:rFonts w:hint="eastAsia" w:ascii="宋体" w:hAnsi="宋体" w:cs="微软雅黑"/>
                <w:b/>
                <w:szCs w:val="21"/>
              </w:rPr>
              <w:t>服务内容</w:t>
            </w:r>
          </w:p>
        </w:tc>
        <w:tc>
          <w:tcPr>
            <w:tcW w:w="3839" w:type="dxa"/>
            <w:tcMar>
              <w:top w:w="20" w:type="dxa"/>
              <w:left w:w="20" w:type="dxa"/>
              <w:bottom w:w="20" w:type="dxa"/>
              <w:right w:w="20" w:type="dxa"/>
            </w:tcMar>
            <w:vAlign w:val="center"/>
          </w:tcPr>
          <w:p w14:paraId="2E6F2BAA">
            <w:pPr>
              <w:wordWrap w:val="0"/>
              <w:spacing w:line="273" w:lineRule="exact"/>
              <w:jc w:val="center"/>
              <w:rPr>
                <w:rFonts w:hint="eastAsia" w:ascii="宋体" w:hAnsi="宋体" w:cs="微软雅黑"/>
                <w:szCs w:val="21"/>
              </w:rPr>
            </w:pPr>
            <w:r>
              <w:rPr>
                <w:rFonts w:hint="eastAsia" w:ascii="宋体" w:hAnsi="宋体" w:cs="微软雅黑"/>
                <w:b/>
                <w:szCs w:val="21"/>
              </w:rPr>
              <w:t>服务期限</w:t>
            </w:r>
          </w:p>
        </w:tc>
      </w:tr>
      <w:tr w14:paraId="0EAB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7" w:hRule="atLeast"/>
          <w:jc w:val="center"/>
        </w:trPr>
        <w:tc>
          <w:tcPr>
            <w:tcW w:w="691" w:type="dxa"/>
            <w:tcMar>
              <w:top w:w="20" w:type="dxa"/>
              <w:left w:w="20" w:type="dxa"/>
              <w:bottom w:w="20" w:type="dxa"/>
              <w:right w:w="20" w:type="dxa"/>
            </w:tcMar>
            <w:vAlign w:val="center"/>
          </w:tcPr>
          <w:p w14:paraId="71DED93D">
            <w:pPr>
              <w:wordWrap w:val="0"/>
              <w:jc w:val="center"/>
              <w:rPr>
                <w:rFonts w:hint="eastAsia" w:ascii="宋体" w:hAnsi="宋体" w:cs="微软雅黑"/>
                <w:szCs w:val="21"/>
              </w:rPr>
            </w:pPr>
            <w:r>
              <w:rPr>
                <w:rFonts w:hint="eastAsia" w:ascii="宋体" w:hAnsi="宋体" w:cs="微软雅黑"/>
                <w:szCs w:val="21"/>
              </w:rPr>
              <w:t>1</w:t>
            </w:r>
          </w:p>
        </w:tc>
        <w:tc>
          <w:tcPr>
            <w:tcW w:w="4108" w:type="dxa"/>
            <w:tcMar>
              <w:top w:w="20" w:type="dxa"/>
              <w:left w:w="20" w:type="dxa"/>
              <w:bottom w:w="20" w:type="dxa"/>
              <w:right w:w="20" w:type="dxa"/>
            </w:tcMar>
            <w:vAlign w:val="center"/>
          </w:tcPr>
          <w:p w14:paraId="17DEF24A">
            <w:pPr>
              <w:wordWrap w:val="0"/>
              <w:spacing w:line="273" w:lineRule="exact"/>
              <w:jc w:val="center"/>
              <w:rPr>
                <w:rFonts w:hint="eastAsia" w:ascii="宋体" w:hAnsi="宋体" w:eastAsia="宋体" w:cs="微软雅黑"/>
                <w:szCs w:val="21"/>
              </w:rPr>
            </w:pPr>
            <w:r>
              <w:rPr>
                <w:rFonts w:hint="eastAsia" w:ascii="宋体" w:hAnsi="宋体" w:cs="微软雅黑"/>
                <w:szCs w:val="21"/>
              </w:rPr>
              <w:t>南京邮电大学通达学院高压配电房服务外包</w:t>
            </w:r>
          </w:p>
        </w:tc>
        <w:tc>
          <w:tcPr>
            <w:tcW w:w="3839" w:type="dxa"/>
            <w:tcMar>
              <w:top w:w="20" w:type="dxa"/>
              <w:left w:w="20" w:type="dxa"/>
              <w:bottom w:w="20" w:type="dxa"/>
              <w:right w:w="20" w:type="dxa"/>
            </w:tcMar>
            <w:vAlign w:val="center"/>
          </w:tcPr>
          <w:p w14:paraId="1598B074">
            <w:pPr>
              <w:wordWrap w:val="0"/>
              <w:spacing w:line="273" w:lineRule="exact"/>
              <w:jc w:val="center"/>
              <w:rPr>
                <w:rFonts w:hint="eastAsia" w:ascii="宋体" w:hAnsi="宋体" w:eastAsia="宋体" w:cs="微软雅黑"/>
                <w:szCs w:val="21"/>
              </w:rPr>
            </w:pPr>
            <w:r>
              <w:rPr>
                <w:rFonts w:hint="eastAsia" w:ascii="宋体" w:hAnsi="宋体" w:cs="微软雅黑"/>
                <w:szCs w:val="21"/>
              </w:rPr>
              <w:t>2025年11月06日至-2027年11月05日</w:t>
            </w:r>
          </w:p>
        </w:tc>
      </w:tr>
    </w:tbl>
    <w:p w14:paraId="7682D50E">
      <w:pPr>
        <w:spacing w:line="360" w:lineRule="auto"/>
        <w:ind w:left="482"/>
        <w:rPr>
          <w:rFonts w:hint="eastAsia" w:ascii="宋体" w:hAnsi="宋体" w:eastAsia="宋体" w:cs="宋体"/>
          <w:b/>
          <w:szCs w:val="21"/>
        </w:rPr>
      </w:pPr>
      <w:r>
        <w:rPr>
          <w:rFonts w:hint="eastAsia" w:ascii="宋体" w:hAnsi="宋体" w:eastAsia="宋体" w:cs="宋体"/>
          <w:b/>
          <w:szCs w:val="21"/>
        </w:rPr>
        <w:t>二、服务范围：</w:t>
      </w:r>
    </w:p>
    <w:p w14:paraId="57F3D20D">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依照《电力设备预防性实验规程》（DL/T 596-2021）、《电气设备交接实验标准》（GB50150-2016）及其他相关行业标准、规定等，对配电房设备提供日常的维护、检修、保养和应急抢修，对配电房电气设备进行预防性试验，完成月度、季度、半年度、年度维护、保养项目，并做好维护、巡视、保养记录，并向</w:t>
      </w:r>
      <w:r>
        <w:rPr>
          <w:rFonts w:hint="eastAsia" w:ascii="宋体" w:hAnsi="宋体" w:eastAsia="宋体" w:cs="宋体"/>
          <w:bCs/>
          <w:szCs w:val="21"/>
          <w:lang w:eastAsia="zh-CN"/>
        </w:rPr>
        <w:t>学校</w:t>
      </w:r>
      <w:r>
        <w:rPr>
          <w:rFonts w:hint="eastAsia" w:ascii="宋体" w:hAnsi="宋体" w:eastAsia="宋体" w:cs="宋体"/>
          <w:bCs/>
          <w:szCs w:val="21"/>
        </w:rPr>
        <w:t>出具年度维护、保养服务报告。对具有预见性易损坏配件及故障损坏部件的及时更换（材料由招标人提供）；配电房设备故障或事故的应急处置；配电房年度检验、维护、优化等相关工作。对配电房的安全、正常运行负责（包括高压柜、真空断路器、避雷器、变压器、两段高低压母线及系统其它相关设备检测、检修、保养维护、接地检测、安全工器具检测、设备运行安全维护等工作）</w:t>
      </w:r>
      <w:r>
        <w:rPr>
          <w:rFonts w:hint="eastAsia" w:ascii="宋体" w:hAnsi="宋体" w:eastAsia="宋体" w:cs="宋体"/>
          <w:bCs/>
          <w:szCs w:val="21"/>
          <w:lang w:eastAsia="zh-CN"/>
        </w:rPr>
        <w:t>。</w:t>
      </w:r>
    </w:p>
    <w:p w14:paraId="1CCEDFD1">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1）1个后勤楼总高压配电房24小时值班管理；</w:t>
      </w:r>
      <w:r>
        <w:rPr>
          <w:rFonts w:hint="eastAsia" w:ascii="宋体" w:hAnsi="宋体" w:cs="Times New Roman"/>
          <w:szCs w:val="20"/>
          <w:lang w:val="en-US" w:eastAsia="zh-CN"/>
        </w:rPr>
        <w:t>3</w:t>
      </w:r>
      <w:r>
        <w:rPr>
          <w:rFonts w:hint="eastAsia" w:ascii="宋体" w:hAnsi="宋体" w:eastAsia="宋体" w:cs="Times New Roman"/>
          <w:szCs w:val="20"/>
        </w:rPr>
        <w:t>个</w:t>
      </w:r>
      <w:r>
        <w:rPr>
          <w:rFonts w:hint="eastAsia" w:ascii="宋体" w:hAnsi="宋体" w:cs="Times New Roman"/>
          <w:szCs w:val="20"/>
          <w:lang w:val="en-US" w:eastAsia="zh-CN"/>
        </w:rPr>
        <w:t>高低</w:t>
      </w:r>
      <w:r>
        <w:rPr>
          <w:rFonts w:hint="eastAsia" w:ascii="宋体" w:hAnsi="宋体" w:eastAsia="宋体" w:cs="Times New Roman"/>
          <w:szCs w:val="20"/>
        </w:rPr>
        <w:t>压配电房分电房</w:t>
      </w:r>
      <w:r>
        <w:rPr>
          <w:rFonts w:hint="eastAsia" w:ascii="宋体" w:hAnsi="宋体" w:cs="Times New Roman"/>
          <w:szCs w:val="20"/>
          <w:lang w:val="en-US" w:eastAsia="zh-CN"/>
        </w:rPr>
        <w:t>定时</w:t>
      </w:r>
      <w:r>
        <w:rPr>
          <w:rFonts w:hint="eastAsia" w:ascii="宋体" w:hAnsi="宋体" w:eastAsia="宋体" w:cs="Times New Roman"/>
          <w:szCs w:val="20"/>
        </w:rPr>
        <w:t>巡查（分别位于第一实验楼高低压电房、教师公寓高低压电房、科技创业园高低压电房）。</w:t>
      </w:r>
    </w:p>
    <w:p w14:paraId="57731AC2">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2）食堂电安全托管。</w:t>
      </w:r>
    </w:p>
    <w:p w14:paraId="6FD3E244">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3）保障全校用电安全，熟悉学校电路布局，维护公共部位的用电设施设备。</w:t>
      </w:r>
    </w:p>
    <w:p w14:paraId="014E9312">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4) 高压配电柜及高压电缆专业维护。</w:t>
      </w:r>
    </w:p>
    <w:p w14:paraId="0EAD88F3">
      <w:pPr>
        <w:snapToGrid w:val="0"/>
        <w:spacing w:line="360" w:lineRule="auto"/>
        <w:ind w:firstLine="420" w:firstLineChars="200"/>
        <w:rPr>
          <w:rFonts w:hint="eastAsia" w:ascii="宋体" w:hAnsi="宋体" w:eastAsia="宋体" w:cs="Times New Roman"/>
          <w:szCs w:val="20"/>
        </w:rPr>
      </w:pPr>
      <w:r>
        <w:rPr>
          <w:rFonts w:hint="eastAsia" w:ascii="宋体" w:hAnsi="宋体" w:eastAsia="宋体" w:cs="Times New Roman"/>
          <w:szCs w:val="20"/>
        </w:rPr>
        <w:t>5）学院交待的其他电相关工作。</w:t>
      </w:r>
    </w:p>
    <w:p w14:paraId="6315ED0A">
      <w:pPr>
        <w:snapToGrid w:val="0"/>
        <w:spacing w:line="360" w:lineRule="auto"/>
        <w:ind w:firstLine="420" w:firstLineChars="200"/>
        <w:rPr>
          <w:rFonts w:hint="eastAsia" w:ascii="宋体" w:hAnsi="宋体" w:eastAsia="宋体" w:cs="宋体"/>
          <w:bCs/>
          <w:szCs w:val="21"/>
        </w:rPr>
      </w:pPr>
      <w:r>
        <w:rPr>
          <w:rFonts w:hint="eastAsia" w:ascii="宋体" w:hAnsi="宋体" w:eastAsia="宋体" w:cs="Times New Roman"/>
          <w:szCs w:val="20"/>
        </w:rPr>
        <w:t>6）通过供电局的预防性试验。</w:t>
      </w:r>
    </w:p>
    <w:p w14:paraId="4821B9EB">
      <w:pPr>
        <w:spacing w:line="360" w:lineRule="auto"/>
        <w:rPr>
          <w:rFonts w:hint="eastAsia" w:ascii="宋体" w:hAnsi="宋体" w:eastAsia="宋体" w:cs="宋体"/>
          <w:b/>
          <w:bCs/>
          <w:szCs w:val="21"/>
        </w:rPr>
      </w:pPr>
      <w:r>
        <w:rPr>
          <w:rFonts w:hint="eastAsia" w:ascii="宋体" w:hAnsi="宋体" w:eastAsia="宋体" w:cs="宋体"/>
          <w:b/>
          <w:bCs/>
          <w:szCs w:val="21"/>
        </w:rPr>
        <w:t>（1）服务内容及工作标准</w:t>
      </w:r>
    </w:p>
    <w:tbl>
      <w:tblPr>
        <w:tblStyle w:val="39"/>
        <w:tblW w:w="9443" w:type="dxa"/>
        <w:jc w:val="center"/>
        <w:tblLayout w:type="autofit"/>
        <w:tblCellMar>
          <w:top w:w="0" w:type="dxa"/>
          <w:left w:w="10" w:type="dxa"/>
          <w:bottom w:w="0" w:type="dxa"/>
          <w:right w:w="10" w:type="dxa"/>
        </w:tblCellMar>
      </w:tblPr>
      <w:tblGrid>
        <w:gridCol w:w="1856"/>
        <w:gridCol w:w="7587"/>
      </w:tblGrid>
      <w:tr w14:paraId="6340BC49">
        <w:tblPrEx>
          <w:tblCellMar>
            <w:top w:w="0" w:type="dxa"/>
            <w:left w:w="10" w:type="dxa"/>
            <w:bottom w:w="0" w:type="dxa"/>
            <w:right w:w="10" w:type="dxa"/>
          </w:tblCellMar>
        </w:tblPrEx>
        <w:trPr>
          <w:jc w:val="center"/>
        </w:trPr>
        <w:tc>
          <w:tcPr>
            <w:tcW w:w="185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36B6D5">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基本要求</w:t>
            </w:r>
          </w:p>
        </w:tc>
        <w:tc>
          <w:tcPr>
            <w:tcW w:w="758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76E131">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工作内容和服务标准</w:t>
            </w:r>
          </w:p>
        </w:tc>
      </w:tr>
      <w:tr w14:paraId="7EC78866">
        <w:tblPrEx>
          <w:tblCellMar>
            <w:top w:w="0" w:type="dxa"/>
            <w:left w:w="10" w:type="dxa"/>
            <w:bottom w:w="0" w:type="dxa"/>
            <w:right w:w="10" w:type="dxa"/>
          </w:tblCellMar>
        </w:tblPrEx>
        <w:trPr>
          <w:trHeight w:val="1180" w:hRule="atLeast"/>
          <w:jc w:val="center"/>
        </w:trPr>
        <w:tc>
          <w:tcPr>
            <w:tcW w:w="185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BBAD63">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高压配电房值班人员24小时值班管理</w:t>
            </w:r>
          </w:p>
        </w:tc>
        <w:tc>
          <w:tcPr>
            <w:tcW w:w="758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A49D815">
            <w:pPr>
              <w:widowControl/>
              <w:adjustRightInd w:val="0"/>
              <w:snapToGrid w:val="0"/>
              <w:spacing w:line="360" w:lineRule="auto"/>
              <w:jc w:val="left"/>
            </w:pPr>
            <w:r>
              <w:rPr>
                <w:rFonts w:hint="eastAsia"/>
              </w:rPr>
              <w:t>一、规范要求：</w:t>
            </w:r>
          </w:p>
          <w:p w14:paraId="4E930438">
            <w:pPr>
              <w:widowControl/>
              <w:adjustRightInd w:val="0"/>
              <w:snapToGrid w:val="0"/>
              <w:spacing w:line="360" w:lineRule="auto"/>
              <w:jc w:val="left"/>
            </w:pPr>
            <w:r>
              <w:rPr>
                <w:rFonts w:hint="eastAsia"/>
              </w:rPr>
              <w:t>1、统一着装，行为举止得体，使用文明规范用语。</w:t>
            </w:r>
          </w:p>
          <w:p w14:paraId="73FD13A5">
            <w:pPr>
              <w:widowControl/>
              <w:adjustRightInd w:val="0"/>
              <w:snapToGrid w:val="0"/>
              <w:spacing w:line="360" w:lineRule="auto"/>
              <w:jc w:val="left"/>
            </w:pPr>
            <w:r>
              <w:rPr>
                <w:rFonts w:hint="eastAsia"/>
              </w:rPr>
              <w:t>2、全天24小时严格坚守岗位，严格遵守操作规程及相关规章制度，听从学校的</w:t>
            </w:r>
            <w:r>
              <w:rPr>
                <w:rFonts w:hint="eastAsia"/>
                <w:lang w:val="en-US" w:eastAsia="zh-CN"/>
              </w:rPr>
              <w:t>+</w:t>
            </w:r>
            <w:r>
              <w:rPr>
                <w:rFonts w:hint="eastAsia"/>
              </w:rPr>
              <w:t>调度与指挥。</w:t>
            </w:r>
          </w:p>
          <w:p w14:paraId="06063932">
            <w:pPr>
              <w:widowControl/>
              <w:adjustRightInd w:val="0"/>
              <w:snapToGrid w:val="0"/>
              <w:spacing w:line="360" w:lineRule="auto"/>
              <w:jc w:val="left"/>
            </w:pPr>
            <w:r>
              <w:rPr>
                <w:rFonts w:hint="eastAsia"/>
              </w:rPr>
              <w:t>3、对高压电器设备进行巡视检查、抄表，巡视周期为两小时一次。</w:t>
            </w:r>
          </w:p>
          <w:p w14:paraId="35A3F61F">
            <w:pPr>
              <w:widowControl/>
              <w:adjustRightInd w:val="0"/>
              <w:snapToGrid w:val="0"/>
              <w:spacing w:line="360" w:lineRule="auto"/>
              <w:jc w:val="left"/>
            </w:pPr>
            <w:r>
              <w:rPr>
                <w:rFonts w:hint="eastAsia"/>
              </w:rPr>
              <w:t>4、高压设备操作时必须由二人同时进行，其中一人担任监护。</w:t>
            </w:r>
          </w:p>
          <w:p w14:paraId="40542000">
            <w:pPr>
              <w:widowControl/>
              <w:adjustRightInd w:val="0"/>
              <w:snapToGrid w:val="0"/>
              <w:spacing w:line="360" w:lineRule="auto"/>
              <w:jc w:val="left"/>
            </w:pPr>
            <w:r>
              <w:rPr>
                <w:rFonts w:hint="eastAsia"/>
              </w:rPr>
              <w:t>5、巡视时不得进行其他工作，不得开柜拉闸断电。</w:t>
            </w:r>
          </w:p>
          <w:p w14:paraId="5927E880">
            <w:pPr>
              <w:widowControl/>
              <w:adjustRightInd w:val="0"/>
              <w:snapToGrid w:val="0"/>
              <w:spacing w:line="360" w:lineRule="auto"/>
              <w:jc w:val="left"/>
            </w:pPr>
            <w:r>
              <w:rPr>
                <w:rFonts w:hint="eastAsia"/>
              </w:rPr>
              <w:t>6、发现异常情况和事故时，应按规定采取相应保护措施，并及时报告学校。如危及人身和设备安全时，可按操作规程先断开有关闸刀或者采取其它现场保护措施，然后及时报告学校或变电所有关部门，不得违章操作。</w:t>
            </w:r>
          </w:p>
          <w:p w14:paraId="4681F625">
            <w:pPr>
              <w:widowControl/>
              <w:adjustRightInd w:val="0"/>
              <w:snapToGrid w:val="0"/>
              <w:spacing w:line="360" w:lineRule="auto"/>
              <w:jc w:val="left"/>
            </w:pPr>
            <w:r>
              <w:rPr>
                <w:rFonts w:hint="eastAsia"/>
              </w:rPr>
              <w:t>7、当高压设备发生接地故障时，室内不得靠近故障点4米以内，进入时必须穿绝缘鞋、戴绝缘手套。（所有防护用品及安全工具由中标方负责提供）</w:t>
            </w:r>
          </w:p>
          <w:p w14:paraId="1EA3F76E">
            <w:pPr>
              <w:widowControl/>
              <w:adjustRightInd w:val="0"/>
              <w:snapToGrid w:val="0"/>
              <w:spacing w:line="360" w:lineRule="auto"/>
              <w:jc w:val="left"/>
            </w:pPr>
            <w:r>
              <w:rPr>
                <w:rFonts w:hint="eastAsia"/>
              </w:rPr>
              <w:t>8、每次巡视情况和发现问题，应及时记录并汇报，故障排除后方可运行，设备故障缺陷等情况必须记录存档。</w:t>
            </w:r>
          </w:p>
          <w:p w14:paraId="168362F1">
            <w:pPr>
              <w:widowControl/>
              <w:adjustRightInd w:val="0"/>
              <w:snapToGrid w:val="0"/>
              <w:spacing w:line="360" w:lineRule="auto"/>
              <w:jc w:val="left"/>
            </w:pPr>
            <w:r>
              <w:rPr>
                <w:rFonts w:hint="eastAsia"/>
              </w:rPr>
              <w:t>9、保持高压设备干净整洁，通风良好，物品摆放整齐。</w:t>
            </w:r>
          </w:p>
          <w:p w14:paraId="50D31D25">
            <w:pPr>
              <w:spacing w:line="360" w:lineRule="auto"/>
              <w:jc w:val="left"/>
            </w:pPr>
            <w:r>
              <w:rPr>
                <w:rFonts w:hint="eastAsia"/>
              </w:rPr>
              <w:t>二、</w:t>
            </w:r>
            <w:r>
              <w:t>设备维护要求：</w:t>
            </w:r>
          </w:p>
          <w:p w14:paraId="058A6F9F">
            <w:pPr>
              <w:spacing w:line="360" w:lineRule="auto"/>
              <w:ind w:firstLine="420" w:firstLineChars="200"/>
              <w:jc w:val="left"/>
            </w:pPr>
            <w:r>
              <w:t>2.1 高压配电柜</w:t>
            </w:r>
          </w:p>
          <w:p w14:paraId="7F174D23">
            <w:pPr>
              <w:spacing w:line="360" w:lineRule="auto"/>
              <w:ind w:firstLine="420" w:firstLineChars="200"/>
              <w:jc w:val="left"/>
            </w:pPr>
            <w:r>
              <w:t>（1）检查母线接头处有无变形，有无放电变黑痕迹，紧固连接螺栓，螺栓若有生锈应予以更换，确保接头连接紧密；检查母线上绝缘子有无松动和损坏；</w:t>
            </w:r>
          </w:p>
          <w:p w14:paraId="27FBA35C">
            <w:pPr>
              <w:spacing w:line="360" w:lineRule="auto"/>
              <w:ind w:firstLine="420" w:firstLineChars="200"/>
              <w:jc w:val="left"/>
            </w:pPr>
            <w:r>
              <w:t>（2）柜内的机械闭锁，电气闭锁应动作准确、可靠，开关小车推拉应灵活，无卡阻现象；</w:t>
            </w:r>
          </w:p>
          <w:p w14:paraId="2BB515C8">
            <w:pPr>
              <w:spacing w:line="360" w:lineRule="auto"/>
              <w:ind w:firstLine="420" w:firstLineChars="200"/>
              <w:jc w:val="left"/>
            </w:pPr>
            <w:r>
              <w:t>（3）柜体的接地应牢固良好；</w:t>
            </w:r>
          </w:p>
          <w:p w14:paraId="39A875AF">
            <w:pPr>
              <w:spacing w:line="360" w:lineRule="auto"/>
              <w:ind w:firstLine="420" w:firstLineChars="200"/>
              <w:jc w:val="left"/>
            </w:pPr>
            <w:r>
              <w:t>（4）柜体的正面各电器仪表等的编号、名称、用途字迹是否清晰或脱落；</w:t>
            </w:r>
          </w:p>
          <w:p w14:paraId="039AD9F6">
            <w:pPr>
              <w:spacing w:line="360" w:lineRule="auto"/>
              <w:ind w:firstLine="420" w:firstLineChars="200"/>
              <w:jc w:val="left"/>
            </w:pPr>
            <w:r>
              <w:t>（5）柜内二次回路的连接件是否应牢固紧接，并应保持清洁干燥；</w:t>
            </w:r>
          </w:p>
          <w:p w14:paraId="2B31B3FD">
            <w:pPr>
              <w:spacing w:line="360" w:lineRule="auto"/>
              <w:ind w:firstLine="420" w:firstLineChars="200"/>
              <w:jc w:val="left"/>
            </w:pPr>
            <w:r>
              <w:t>（6）重要开关断路器定期检测保护是否可靠动作是否灵敏。</w:t>
            </w:r>
          </w:p>
          <w:p w14:paraId="0A47E711">
            <w:pPr>
              <w:spacing w:line="360" w:lineRule="auto"/>
              <w:ind w:firstLine="420" w:firstLineChars="200"/>
              <w:jc w:val="left"/>
            </w:pPr>
            <w:r>
              <w:t>2.2 直流屏（蓄电池）</w:t>
            </w:r>
          </w:p>
          <w:p w14:paraId="746AE5E9">
            <w:pPr>
              <w:spacing w:line="360" w:lineRule="auto"/>
              <w:ind w:firstLine="420" w:firstLineChars="200"/>
              <w:jc w:val="left"/>
            </w:pPr>
            <w:r>
              <w:t>（1）对蓄电池进行恢复性的充放电；</w:t>
            </w:r>
          </w:p>
          <w:p w14:paraId="612B3C40">
            <w:pPr>
              <w:spacing w:line="360" w:lineRule="auto"/>
              <w:ind w:firstLine="420" w:firstLineChars="200"/>
              <w:jc w:val="left"/>
            </w:pPr>
            <w:r>
              <w:t>（2）巡看蓄电池的液面是否符合要求，有无漏液发生；</w:t>
            </w:r>
          </w:p>
          <w:p w14:paraId="43B46569">
            <w:pPr>
              <w:spacing w:line="360" w:lineRule="auto"/>
              <w:ind w:firstLine="420" w:firstLineChars="200"/>
              <w:jc w:val="left"/>
            </w:pPr>
            <w:r>
              <w:t>（3）清除屏内充电机及设备上的灰尘和蓄电池槽表面污垢，连接件上的氧化物；</w:t>
            </w:r>
          </w:p>
          <w:p w14:paraId="1AA4C6E6">
            <w:pPr>
              <w:spacing w:line="360" w:lineRule="auto"/>
              <w:ind w:firstLine="420" w:firstLineChars="200"/>
              <w:jc w:val="left"/>
            </w:pPr>
            <w:r>
              <w:t>（4）对充电机、输出回路进行绝缘测试以及各种特性测试。</w:t>
            </w:r>
          </w:p>
          <w:p w14:paraId="3D564445">
            <w:pPr>
              <w:spacing w:line="360" w:lineRule="auto"/>
              <w:ind w:firstLine="420" w:firstLineChars="200"/>
              <w:jc w:val="left"/>
            </w:pPr>
            <w:r>
              <w:t>2.3 变压器</w:t>
            </w:r>
          </w:p>
          <w:p w14:paraId="220FECDC">
            <w:pPr>
              <w:spacing w:line="360" w:lineRule="auto"/>
              <w:ind w:firstLine="420" w:firstLineChars="200"/>
              <w:jc w:val="left"/>
            </w:pPr>
            <w:r>
              <w:t>（1）变压器套管是否清洁，有无破损、裂纹和放电痕迹；</w:t>
            </w:r>
          </w:p>
          <w:p w14:paraId="3851A282">
            <w:pPr>
              <w:spacing w:line="360" w:lineRule="auto"/>
              <w:ind w:firstLine="420" w:firstLineChars="200"/>
              <w:jc w:val="left"/>
            </w:pPr>
            <w:r>
              <w:t>（2）变压器零部件必须无损伤或移位，接线是否松动、断裂、绝缘件和线圈是否有破损，是否有脏物或异物等；</w:t>
            </w:r>
          </w:p>
          <w:p w14:paraId="25158E20">
            <w:pPr>
              <w:spacing w:line="360" w:lineRule="auto"/>
              <w:ind w:firstLine="420" w:firstLineChars="200"/>
              <w:jc w:val="left"/>
            </w:pPr>
            <w:r>
              <w:t>（3）检查风机、温控设备等能否正常运行；</w:t>
            </w:r>
          </w:p>
          <w:p w14:paraId="416E2BB0">
            <w:pPr>
              <w:spacing w:line="360" w:lineRule="auto"/>
              <w:ind w:firstLine="420" w:firstLineChars="200"/>
              <w:jc w:val="left"/>
            </w:pPr>
            <w:r>
              <w:t>（4）变压器的主附设备的外壳接地是否良好；</w:t>
            </w:r>
          </w:p>
          <w:p w14:paraId="7CF6179C">
            <w:pPr>
              <w:spacing w:line="360" w:lineRule="auto"/>
              <w:ind w:firstLine="420" w:firstLineChars="200"/>
              <w:jc w:val="left"/>
            </w:pPr>
            <w:r>
              <w:t>（5）高低压电缆头的接触情况，螺丝有无松动，接头是否过热；</w:t>
            </w:r>
          </w:p>
          <w:p w14:paraId="3AAD546A">
            <w:pPr>
              <w:spacing w:line="360" w:lineRule="auto"/>
              <w:ind w:firstLine="420" w:firstLineChars="200"/>
              <w:jc w:val="left"/>
            </w:pPr>
            <w:r>
              <w:t>（6）检查所有的紧固件、连接件、标准件是否松动，并重新紧固一次；</w:t>
            </w:r>
          </w:p>
          <w:p w14:paraId="3133E5CA">
            <w:pPr>
              <w:spacing w:line="360" w:lineRule="auto"/>
              <w:ind w:firstLine="420" w:firstLineChars="200"/>
              <w:jc w:val="left"/>
            </w:pPr>
            <w:r>
              <w:t>（7）检查变压器的箱体和铁芯是否可靠接地，穿心螺杆的绝缘是否良好；</w:t>
            </w:r>
          </w:p>
          <w:p w14:paraId="09B03260">
            <w:pPr>
              <w:spacing w:line="360" w:lineRule="auto"/>
              <w:ind w:firstLine="420" w:firstLineChars="200"/>
              <w:jc w:val="left"/>
            </w:pPr>
            <w:r>
              <w:t>（8）套管密封、顶部连接片、密封衬垫的检查，瓷绝缘的检查和清扫。</w:t>
            </w:r>
          </w:p>
          <w:p w14:paraId="08ED24DA">
            <w:pPr>
              <w:spacing w:line="360" w:lineRule="auto"/>
              <w:ind w:firstLine="420" w:firstLineChars="200"/>
              <w:jc w:val="left"/>
            </w:pPr>
            <w:r>
              <w:t>2.4 低压配电柜</w:t>
            </w:r>
          </w:p>
          <w:p w14:paraId="1BA96E3C">
            <w:pPr>
              <w:spacing w:line="360" w:lineRule="auto"/>
              <w:ind w:firstLine="420" w:firstLineChars="200"/>
              <w:jc w:val="left"/>
            </w:pPr>
            <w:r>
              <w:t>（1）观察母排的发热程度，各连接螺丝有否松动；</w:t>
            </w:r>
          </w:p>
          <w:p w14:paraId="37BD6955">
            <w:pPr>
              <w:spacing w:line="360" w:lineRule="auto"/>
              <w:ind w:firstLine="420" w:firstLineChars="200"/>
              <w:jc w:val="left"/>
            </w:pPr>
            <w:r>
              <w:t>（2）测量电容柜的温度，检查容器的外观有无变形，熔断器有无熔断，运行时应无任何声音；</w:t>
            </w:r>
          </w:p>
          <w:p w14:paraId="7ADC7CC9">
            <w:pPr>
              <w:spacing w:line="360" w:lineRule="auto"/>
              <w:ind w:firstLine="420" w:firstLineChars="200"/>
              <w:jc w:val="left"/>
            </w:pPr>
            <w:r>
              <w:t>（3）低压柜的机械闭锁、电气闭锁应动作是否准确、可靠；</w:t>
            </w:r>
          </w:p>
          <w:p w14:paraId="0A98DDF1">
            <w:pPr>
              <w:spacing w:line="360" w:lineRule="auto"/>
              <w:ind w:firstLine="420" w:firstLineChars="200"/>
              <w:jc w:val="left"/>
            </w:pPr>
            <w:r>
              <w:t>（4）配电柜抽屉推拉应灵活、无卡阻现象；</w:t>
            </w:r>
          </w:p>
          <w:p w14:paraId="325020D0">
            <w:pPr>
              <w:spacing w:line="360" w:lineRule="auto"/>
              <w:ind w:firstLine="420" w:firstLineChars="200"/>
              <w:jc w:val="left"/>
            </w:pPr>
            <w:r>
              <w:t>（5）低压柜内设备与各构件间连接应牢固，接头温度是否在允许范围内。</w:t>
            </w:r>
          </w:p>
          <w:p w14:paraId="54DFC24F">
            <w:pPr>
              <w:spacing w:line="360" w:lineRule="auto"/>
              <w:ind w:firstLine="420" w:firstLineChars="200"/>
              <w:jc w:val="left"/>
            </w:pPr>
            <w:r>
              <w:t>2.5 其他</w:t>
            </w:r>
          </w:p>
          <w:p w14:paraId="62050ECB">
            <w:pPr>
              <w:spacing w:line="360" w:lineRule="auto"/>
              <w:ind w:firstLine="420" w:firstLineChars="200"/>
              <w:jc w:val="left"/>
            </w:pPr>
            <w:r>
              <w:t>（1）检查配电房照明和通风是否正常；</w:t>
            </w:r>
          </w:p>
          <w:p w14:paraId="5F9915AB">
            <w:pPr>
              <w:spacing w:line="360" w:lineRule="auto"/>
              <w:ind w:firstLine="420" w:firstLineChars="200"/>
              <w:jc w:val="left"/>
            </w:pPr>
            <w:r>
              <w:t>（2）检查配电房屋面有否漏水，电缆沟是否积水，门窗有否破损；</w:t>
            </w:r>
          </w:p>
          <w:p w14:paraId="73678AE6">
            <w:pPr>
              <w:spacing w:line="360" w:lineRule="auto"/>
              <w:ind w:firstLine="420" w:firstLineChars="200"/>
              <w:jc w:val="left"/>
            </w:pPr>
            <w:r>
              <w:t>（3）检查防鼠挡板是否完整，房内孔洞有否堵死；</w:t>
            </w:r>
          </w:p>
          <w:p w14:paraId="33782D1A">
            <w:pPr>
              <w:spacing w:line="360" w:lineRule="auto"/>
              <w:ind w:firstLine="420" w:firstLineChars="200"/>
              <w:jc w:val="left"/>
            </w:pPr>
            <w:r>
              <w:t>（4）检查配电房门外通道是否畅顺，有否被堵现象。</w:t>
            </w:r>
          </w:p>
          <w:p w14:paraId="1F682755">
            <w:pPr>
              <w:spacing w:line="360" w:lineRule="auto"/>
              <w:ind w:firstLine="420" w:firstLineChars="200"/>
              <w:jc w:val="left"/>
            </w:pPr>
            <w:r>
              <w:t>3．维保计划要求</w:t>
            </w:r>
          </w:p>
          <w:p w14:paraId="1B96E23C">
            <w:pPr>
              <w:spacing w:line="360" w:lineRule="auto"/>
              <w:ind w:firstLine="420" w:firstLineChars="200"/>
              <w:jc w:val="left"/>
            </w:pPr>
            <w:r>
              <w:t>（1）</w:t>
            </w:r>
            <w:r>
              <w:rPr>
                <w:rFonts w:hint="eastAsia"/>
              </w:rPr>
              <w:t>中标单位</w:t>
            </w:r>
            <w:r>
              <w:t>按月、季、年或特殊情况制定的停电维保计划均需提前一个星期报至</w:t>
            </w:r>
            <w:r>
              <w:rPr>
                <w:rFonts w:hint="eastAsia"/>
                <w:lang w:eastAsia="zh-CN"/>
              </w:rPr>
              <w:t>学校</w:t>
            </w:r>
            <w:r>
              <w:t>，停电维保计划均须安排在周末或</w:t>
            </w:r>
            <w:r>
              <w:rPr>
                <w:rFonts w:hint="eastAsia"/>
                <w:lang w:eastAsia="zh-CN"/>
              </w:rPr>
              <w:t>学校</w:t>
            </w:r>
            <w:r>
              <w:t>方便停电的节假日；</w:t>
            </w:r>
          </w:p>
          <w:p w14:paraId="371D93E0">
            <w:pPr>
              <w:spacing w:line="360" w:lineRule="auto"/>
              <w:ind w:firstLine="420" w:firstLineChars="200"/>
              <w:jc w:val="left"/>
            </w:pPr>
            <w:r>
              <w:t>（2）故障抢修为在服务期间的设备事故或设备不正常运行时必要的紧急情况处理；</w:t>
            </w:r>
          </w:p>
          <w:p w14:paraId="725F568F">
            <w:pPr>
              <w:spacing w:line="360" w:lineRule="auto"/>
              <w:ind w:firstLine="420" w:firstLineChars="200"/>
              <w:jc w:val="left"/>
            </w:pPr>
            <w:r>
              <w:t>（3）</w:t>
            </w:r>
            <w:r>
              <w:rPr>
                <w:rFonts w:hint="eastAsia"/>
              </w:rPr>
              <w:t>中标单位</w:t>
            </w:r>
            <w:r>
              <w:t>在做检修维护保养前须提前做好保养计划并报</w:t>
            </w:r>
            <w:r>
              <w:rPr>
                <w:rFonts w:hint="eastAsia"/>
                <w:lang w:eastAsia="zh-CN"/>
              </w:rPr>
              <w:t>学校</w:t>
            </w:r>
            <w:r>
              <w:t>审核；</w:t>
            </w:r>
          </w:p>
          <w:p w14:paraId="3681C1AB">
            <w:pPr>
              <w:spacing w:line="360" w:lineRule="auto"/>
              <w:ind w:firstLine="420" w:firstLineChars="200"/>
              <w:jc w:val="left"/>
            </w:pPr>
            <w:r>
              <w:t>（4）用电高峰期来临前，</w:t>
            </w:r>
            <w:r>
              <w:rPr>
                <w:rFonts w:hint="eastAsia"/>
              </w:rPr>
              <w:t>中标单位</w:t>
            </w:r>
            <w:r>
              <w:t>须预先对配电设备提前维护保养。</w:t>
            </w:r>
          </w:p>
          <w:p w14:paraId="4F8347EA">
            <w:pPr>
              <w:spacing w:line="360" w:lineRule="auto"/>
              <w:ind w:firstLine="420" w:firstLineChars="200"/>
              <w:jc w:val="left"/>
            </w:pPr>
            <w:r>
              <w:t>（5）重大节假日（如：五一、十一、元旦、春节）放假前及学校重要考试、重大活动前，</w:t>
            </w:r>
            <w:r>
              <w:rPr>
                <w:rFonts w:hint="eastAsia"/>
              </w:rPr>
              <w:t>中标单位</w:t>
            </w:r>
            <w:r>
              <w:t>必须对维保设备进行检查、维护和保养，保证所维保的设备处于正常运行状态；</w:t>
            </w:r>
          </w:p>
          <w:p w14:paraId="32940A66">
            <w:pPr>
              <w:spacing w:line="360" w:lineRule="auto"/>
              <w:ind w:firstLine="420" w:firstLineChars="200"/>
              <w:jc w:val="left"/>
            </w:pPr>
            <w:r>
              <w:t>（6）</w:t>
            </w:r>
            <w:r>
              <w:rPr>
                <w:rFonts w:hint="eastAsia"/>
              </w:rPr>
              <w:t>中标单位</w:t>
            </w:r>
            <w:r>
              <w:t>需按《电力设备预防性实验规程》要求向</w:t>
            </w:r>
            <w:r>
              <w:rPr>
                <w:rFonts w:hint="eastAsia"/>
              </w:rPr>
              <w:t>学校</w:t>
            </w:r>
            <w:r>
              <w:t>提供预防性实验方案（含实施计划、实施费用等方案），经由</w:t>
            </w:r>
            <w:r>
              <w:rPr>
                <w:rFonts w:hint="eastAsia"/>
              </w:rPr>
              <w:t>学校</w:t>
            </w:r>
            <w:r>
              <w:t>审核后，由</w:t>
            </w:r>
            <w:r>
              <w:rPr>
                <w:rFonts w:hint="eastAsia"/>
              </w:rPr>
              <w:t>学校确定</w:t>
            </w:r>
            <w:r>
              <w:t>是否由</w:t>
            </w:r>
            <w:r>
              <w:rPr>
                <w:rFonts w:hint="eastAsia"/>
              </w:rPr>
              <w:t>中标单位</w:t>
            </w:r>
            <w:r>
              <w:t>实施，在得到</w:t>
            </w:r>
            <w:r>
              <w:rPr>
                <w:rFonts w:hint="eastAsia"/>
              </w:rPr>
              <w:t>学校</w:t>
            </w:r>
            <w:r>
              <w:t>的书面批示后</w:t>
            </w:r>
            <w:r>
              <w:rPr>
                <w:rFonts w:hint="eastAsia"/>
              </w:rPr>
              <w:t>中标单位</w:t>
            </w:r>
            <w:r>
              <w:t>应严格按照审核后的方案实施；</w:t>
            </w:r>
          </w:p>
          <w:p w14:paraId="51AD53D1">
            <w:pPr>
              <w:spacing w:line="360" w:lineRule="auto"/>
              <w:ind w:firstLine="420" w:firstLineChars="200"/>
              <w:jc w:val="left"/>
            </w:pPr>
            <w:r>
              <w:t>（7）所需更换零配件均由</w:t>
            </w:r>
            <w:r>
              <w:rPr>
                <w:rFonts w:hint="eastAsia"/>
              </w:rPr>
              <w:t>中标单位</w:t>
            </w:r>
            <w:r>
              <w:t>及时提供配件数量、报价、采购方案，经</w:t>
            </w:r>
            <w:r>
              <w:rPr>
                <w:rFonts w:hint="eastAsia"/>
                <w:lang w:eastAsia="zh-CN"/>
              </w:rPr>
              <w:t>学校</w:t>
            </w:r>
            <w:r>
              <w:t>审核后，由</w:t>
            </w:r>
            <w:r>
              <w:rPr>
                <w:rFonts w:hint="eastAsia"/>
              </w:rPr>
              <w:t>学校确定</w:t>
            </w:r>
            <w:r>
              <w:t>是否由</w:t>
            </w:r>
            <w:r>
              <w:rPr>
                <w:rFonts w:hint="eastAsia"/>
              </w:rPr>
              <w:t>中标单位</w:t>
            </w:r>
            <w:r>
              <w:t>采购，在得到</w:t>
            </w:r>
            <w:r>
              <w:rPr>
                <w:rFonts w:hint="eastAsia"/>
                <w:lang w:eastAsia="zh-CN"/>
              </w:rPr>
              <w:t>学校</w:t>
            </w:r>
            <w:r>
              <w:t>的书面批示后</w:t>
            </w:r>
            <w:r>
              <w:rPr>
                <w:rFonts w:hint="eastAsia"/>
              </w:rPr>
              <w:t>中标单位</w:t>
            </w:r>
            <w:r>
              <w:t>应积极安排采购更换。</w:t>
            </w:r>
          </w:p>
          <w:p w14:paraId="62E991CB">
            <w:pPr>
              <w:spacing w:line="360" w:lineRule="auto"/>
              <w:ind w:firstLine="420" w:firstLineChars="200"/>
              <w:jc w:val="left"/>
            </w:pPr>
            <w:r>
              <w:t>（8）检修时间由</w:t>
            </w:r>
            <w:r>
              <w:rPr>
                <w:rFonts w:hint="eastAsia"/>
                <w:lang w:eastAsia="zh-CN"/>
              </w:rPr>
              <w:t>学校</w:t>
            </w:r>
            <w:r>
              <w:t>根据情况分期、分段进行，合理安排。</w:t>
            </w:r>
          </w:p>
          <w:p w14:paraId="205D4114">
            <w:pPr>
              <w:spacing w:line="360" w:lineRule="auto"/>
              <w:ind w:firstLine="420" w:firstLineChars="200"/>
              <w:jc w:val="left"/>
            </w:pPr>
            <w:r>
              <w:t>（9）维保服务严格按照《电力用户变电所运行规程》（DB32/T 1702-2010）执行。</w:t>
            </w:r>
          </w:p>
          <w:p w14:paraId="1FBCD3F8">
            <w:pPr>
              <w:spacing w:line="360" w:lineRule="auto"/>
              <w:jc w:val="left"/>
            </w:pPr>
            <w:r>
              <w:rPr>
                <w:rFonts w:hint="eastAsia"/>
              </w:rPr>
              <w:t>三、</w:t>
            </w:r>
            <w:r>
              <w:t>其他要求</w:t>
            </w:r>
          </w:p>
          <w:p w14:paraId="5E6F5E65">
            <w:pPr>
              <w:spacing w:line="360" w:lineRule="auto"/>
              <w:ind w:firstLine="420" w:firstLineChars="200"/>
              <w:jc w:val="left"/>
              <w:rPr>
                <w:color w:val="auto"/>
                <w:highlight w:val="none"/>
              </w:rPr>
            </w:pPr>
            <w:r>
              <w:t>（</w:t>
            </w:r>
            <w:r>
              <w:rPr>
                <w:color w:val="auto"/>
                <w:highlight w:val="none"/>
              </w:rPr>
              <w:t>1）</w:t>
            </w:r>
            <w:r>
              <w:rPr>
                <w:rFonts w:hint="eastAsia"/>
                <w:color w:val="auto"/>
                <w:highlight w:val="none"/>
              </w:rPr>
              <w:t>中标单位</w:t>
            </w:r>
            <w:r>
              <w:rPr>
                <w:color w:val="auto"/>
                <w:highlight w:val="none"/>
              </w:rPr>
              <w:t>应在服务期内安排维保人员24小时待命，安排专人24小时在配电房值班，确保维保热线24小时畅通；</w:t>
            </w:r>
          </w:p>
          <w:p w14:paraId="3D37EC48">
            <w:pPr>
              <w:spacing w:line="360" w:lineRule="auto"/>
              <w:ind w:firstLine="420" w:firstLineChars="200"/>
              <w:jc w:val="left"/>
              <w:rPr>
                <w:color w:val="auto"/>
                <w:highlight w:val="none"/>
              </w:rPr>
            </w:pPr>
            <w:r>
              <w:rPr>
                <w:color w:val="auto"/>
                <w:highlight w:val="none"/>
              </w:rPr>
              <w:t>（2）接到</w:t>
            </w:r>
            <w:r>
              <w:rPr>
                <w:rFonts w:hint="eastAsia"/>
                <w:color w:val="auto"/>
                <w:highlight w:val="none"/>
              </w:rPr>
              <w:t>学校</w:t>
            </w:r>
            <w:r>
              <w:rPr>
                <w:color w:val="auto"/>
                <w:highlight w:val="none"/>
              </w:rPr>
              <w:t>配电房故障通知后，</w:t>
            </w:r>
            <w:r>
              <w:rPr>
                <w:rFonts w:hint="eastAsia"/>
                <w:color w:val="auto"/>
                <w:highlight w:val="none"/>
              </w:rPr>
              <w:t>中标单位</w:t>
            </w:r>
            <w:r>
              <w:rPr>
                <w:color w:val="auto"/>
                <w:highlight w:val="none"/>
              </w:rPr>
              <w:t>应在</w:t>
            </w:r>
            <w:r>
              <w:rPr>
                <w:rFonts w:hint="eastAsia"/>
                <w:color w:val="auto"/>
                <w:highlight w:val="none"/>
              </w:rPr>
              <w:t>15</w:t>
            </w:r>
            <w:r>
              <w:rPr>
                <w:color w:val="auto"/>
                <w:highlight w:val="none"/>
              </w:rPr>
              <w:t>分钟内做出响应，并安排维保人员在</w:t>
            </w:r>
            <w:r>
              <w:rPr>
                <w:rFonts w:hint="eastAsia"/>
                <w:color w:val="auto"/>
                <w:highlight w:val="none"/>
              </w:rPr>
              <w:t>15分钟</w:t>
            </w:r>
            <w:r>
              <w:rPr>
                <w:color w:val="auto"/>
                <w:highlight w:val="none"/>
              </w:rPr>
              <w:t>内到达现场处理故障，无故未能准时到达，每次扣</w:t>
            </w:r>
            <w:r>
              <w:rPr>
                <w:rFonts w:hint="eastAsia"/>
                <w:color w:val="auto"/>
                <w:highlight w:val="none"/>
              </w:rPr>
              <w:t>履约保证金</w:t>
            </w:r>
            <w:r>
              <w:rPr>
                <w:color w:val="auto"/>
                <w:highlight w:val="none"/>
              </w:rPr>
              <w:t>人民币200元；</w:t>
            </w:r>
          </w:p>
          <w:p w14:paraId="5D6EECF8">
            <w:pPr>
              <w:spacing w:line="360" w:lineRule="auto"/>
              <w:ind w:firstLine="420" w:firstLineChars="200"/>
              <w:jc w:val="left"/>
            </w:pPr>
            <w:r>
              <w:t>（3）</w:t>
            </w:r>
            <w:r>
              <w:rPr>
                <w:rFonts w:hint="eastAsia"/>
              </w:rPr>
              <w:t>中标单位</w:t>
            </w:r>
            <w:r>
              <w:t>若未能在规定的时间内赶到现场达到三次的将自动解除合同，由此造成的损失由</w:t>
            </w:r>
            <w:r>
              <w:rPr>
                <w:rFonts w:hint="eastAsia"/>
              </w:rPr>
              <w:t>中标单位</w:t>
            </w:r>
            <w:r>
              <w:t>承担；</w:t>
            </w:r>
          </w:p>
          <w:p w14:paraId="252EAA47">
            <w:pPr>
              <w:spacing w:line="360" w:lineRule="auto"/>
              <w:ind w:firstLine="420" w:firstLineChars="200"/>
              <w:jc w:val="left"/>
            </w:pPr>
            <w:r>
              <w:t>（4）为保证维保工作的正常运行，</w:t>
            </w:r>
            <w:r>
              <w:rPr>
                <w:rFonts w:hint="eastAsia"/>
              </w:rPr>
              <w:t>中标单位</w:t>
            </w:r>
            <w:r>
              <w:t>应长期备有用于维保所需的备品及相关设备；</w:t>
            </w:r>
          </w:p>
          <w:p w14:paraId="37AC901E">
            <w:pPr>
              <w:spacing w:line="360" w:lineRule="auto"/>
              <w:ind w:firstLine="420" w:firstLineChars="200"/>
              <w:jc w:val="left"/>
            </w:pPr>
            <w:r>
              <w:t>（5）</w:t>
            </w:r>
            <w:r>
              <w:rPr>
                <w:rFonts w:hint="eastAsia"/>
              </w:rPr>
              <w:t>中标单位</w:t>
            </w:r>
            <w:r>
              <w:t>在维保过程中出现的问题，经</w:t>
            </w:r>
            <w:r>
              <w:rPr>
                <w:rFonts w:hint="eastAsia"/>
              </w:rPr>
              <w:t>学校</w:t>
            </w:r>
            <w:r>
              <w:t>多次指出，</w:t>
            </w:r>
            <w:r>
              <w:rPr>
                <w:rFonts w:hint="eastAsia"/>
              </w:rPr>
              <w:t>中标单位</w:t>
            </w:r>
            <w:r>
              <w:t>若不能解决、排除，</w:t>
            </w:r>
            <w:r>
              <w:rPr>
                <w:rFonts w:hint="eastAsia"/>
              </w:rPr>
              <w:t>学校</w:t>
            </w:r>
            <w:r>
              <w:t>有权请第三方修理，由此产生的费用由</w:t>
            </w:r>
            <w:r>
              <w:rPr>
                <w:rFonts w:hint="eastAsia"/>
              </w:rPr>
              <w:t>中标单位</w:t>
            </w:r>
            <w:r>
              <w:t>承担；</w:t>
            </w:r>
          </w:p>
          <w:p w14:paraId="727C64DD">
            <w:pPr>
              <w:spacing w:line="360" w:lineRule="auto"/>
              <w:ind w:firstLine="420" w:firstLineChars="200"/>
              <w:jc w:val="left"/>
            </w:pPr>
            <w:r>
              <w:t>（</w:t>
            </w:r>
            <w:r>
              <w:rPr>
                <w:rFonts w:hint="eastAsia"/>
              </w:rPr>
              <w:t>6</w:t>
            </w:r>
            <w:r>
              <w:t>）</w:t>
            </w:r>
            <w:r>
              <w:rPr>
                <w:rFonts w:hint="eastAsia"/>
              </w:rPr>
              <w:t>中标单位</w:t>
            </w:r>
            <w:r>
              <w:t>每月按合同条款约定内容进行检查，并出具书面维保报告和记录，检查记录由所在职能部门签字确认后，及时将维保、整改意见或方案书面递交给</w:t>
            </w:r>
            <w:r>
              <w:rPr>
                <w:rFonts w:hint="eastAsia"/>
              </w:rPr>
              <w:t>学校</w:t>
            </w:r>
            <w:r>
              <w:t>。</w:t>
            </w:r>
            <w:r>
              <w:rPr>
                <w:rFonts w:hint="eastAsia"/>
              </w:rPr>
              <w:t>中标单位</w:t>
            </w:r>
            <w:r>
              <w:t>每年向</w:t>
            </w:r>
            <w:r>
              <w:rPr>
                <w:rFonts w:hint="eastAsia"/>
              </w:rPr>
              <w:t>学校</w:t>
            </w:r>
            <w:r>
              <w:t>提交一份经职能部门签字后的书面报告，若不能按要求出具书面报告，每次扣</w:t>
            </w:r>
            <w:r>
              <w:rPr>
                <w:rFonts w:hint="eastAsia"/>
                <w:color w:val="auto"/>
                <w:highlight w:val="none"/>
              </w:rPr>
              <w:t>履约保证金</w:t>
            </w:r>
            <w:r>
              <w:t>500元；</w:t>
            </w:r>
          </w:p>
          <w:p w14:paraId="354AB5FC">
            <w:pPr>
              <w:spacing w:line="360" w:lineRule="auto"/>
              <w:ind w:firstLine="420" w:firstLineChars="200"/>
              <w:jc w:val="left"/>
            </w:pPr>
            <w:r>
              <w:t>（</w:t>
            </w:r>
            <w:r>
              <w:rPr>
                <w:rFonts w:hint="eastAsia"/>
              </w:rPr>
              <w:t>7</w:t>
            </w:r>
            <w:r>
              <w:t>）</w:t>
            </w:r>
            <w:r>
              <w:rPr>
                <w:rFonts w:hint="eastAsia"/>
              </w:rPr>
              <w:t>中标单位</w:t>
            </w:r>
            <w:r>
              <w:t>在维保过程中对</w:t>
            </w:r>
            <w:r>
              <w:rPr>
                <w:rFonts w:hint="eastAsia"/>
              </w:rPr>
              <w:t>学校</w:t>
            </w:r>
            <w:r>
              <w:t>设备造成损害的应照价赔偿或及时修复；</w:t>
            </w:r>
          </w:p>
          <w:p w14:paraId="7698D6E8">
            <w:pPr>
              <w:spacing w:line="360" w:lineRule="auto"/>
              <w:ind w:firstLine="420" w:firstLineChars="200"/>
              <w:jc w:val="left"/>
            </w:pPr>
            <w:r>
              <w:t>（</w:t>
            </w:r>
            <w:r>
              <w:rPr>
                <w:rFonts w:hint="eastAsia"/>
              </w:rPr>
              <w:t>8</w:t>
            </w:r>
            <w:r>
              <w:t>）</w:t>
            </w:r>
            <w:r>
              <w:rPr>
                <w:rFonts w:hint="eastAsia"/>
              </w:rPr>
              <w:t>中标单位</w:t>
            </w:r>
            <w:r>
              <w:t>应为维保人员提供必要的劳动保护，并严格按照《中华人民共和国安全生产法》相关规定，做好维保人员岗前、工作中的安全教育工作；</w:t>
            </w:r>
          </w:p>
          <w:p w14:paraId="0746217E">
            <w:pPr>
              <w:spacing w:line="360" w:lineRule="auto"/>
              <w:ind w:firstLine="420" w:firstLineChars="200"/>
              <w:jc w:val="left"/>
            </w:pPr>
            <w:r>
              <w:t>（</w:t>
            </w:r>
            <w:r>
              <w:rPr>
                <w:rFonts w:hint="eastAsia"/>
              </w:rPr>
              <w:t>9</w:t>
            </w:r>
            <w:r>
              <w:t>）合同期间维保人员应该严格遵守</w:t>
            </w:r>
            <w:r>
              <w:rPr>
                <w:rFonts w:hint="eastAsia"/>
              </w:rPr>
              <w:t>学校</w:t>
            </w:r>
            <w:r>
              <w:t>的各项规章制度，</w:t>
            </w:r>
            <w:r>
              <w:rPr>
                <w:rFonts w:hint="eastAsia"/>
              </w:rPr>
              <w:t>学校</w:t>
            </w:r>
            <w:r>
              <w:t>对</w:t>
            </w:r>
            <w:r>
              <w:rPr>
                <w:rFonts w:hint="eastAsia"/>
              </w:rPr>
              <w:t>中标单位</w:t>
            </w:r>
            <w:r>
              <w:t>的工作负有监管与考核的责任；</w:t>
            </w:r>
          </w:p>
          <w:p w14:paraId="506343CB">
            <w:pPr>
              <w:spacing w:line="360" w:lineRule="auto"/>
              <w:ind w:firstLine="420" w:firstLineChars="200"/>
              <w:jc w:val="left"/>
            </w:pPr>
            <w:r>
              <w:t>（</w:t>
            </w:r>
            <w:r>
              <w:rPr>
                <w:rFonts w:hint="eastAsia"/>
              </w:rPr>
              <w:t>10</w:t>
            </w:r>
            <w:r>
              <w:t>）维保结束后</w:t>
            </w:r>
            <w:r>
              <w:rPr>
                <w:rFonts w:hint="eastAsia"/>
              </w:rPr>
              <w:t>中标单位</w:t>
            </w:r>
            <w:r>
              <w:t>负责</w:t>
            </w:r>
            <w:r>
              <w:rPr>
                <w:rFonts w:hint="eastAsia"/>
              </w:rPr>
              <w:t>做好</w:t>
            </w:r>
            <w:r>
              <w:t>与下一任维保单位的交接工作；</w:t>
            </w:r>
          </w:p>
          <w:p w14:paraId="606D8082">
            <w:pPr>
              <w:spacing w:line="360" w:lineRule="auto"/>
              <w:ind w:firstLine="420" w:firstLineChars="200"/>
              <w:jc w:val="left"/>
            </w:pPr>
            <w:r>
              <w:t>（</w:t>
            </w:r>
            <w:r>
              <w:rPr>
                <w:rFonts w:hint="eastAsia"/>
              </w:rPr>
              <w:t>11</w:t>
            </w:r>
            <w:r>
              <w:t>）</w:t>
            </w:r>
            <w:r>
              <w:rPr>
                <w:rFonts w:hint="eastAsia"/>
              </w:rPr>
              <w:t>中标单位</w:t>
            </w:r>
            <w:r>
              <w:t>中标后不得以任何形式分包、转包，如有转包和分包行为，</w:t>
            </w:r>
            <w:r>
              <w:rPr>
                <w:rFonts w:hint="eastAsia"/>
              </w:rPr>
              <w:t>学校</w:t>
            </w:r>
            <w:r>
              <w:t>有权终止合同，并要求</w:t>
            </w:r>
            <w:r>
              <w:rPr>
                <w:rFonts w:hint="eastAsia"/>
              </w:rPr>
              <w:t>中标单位</w:t>
            </w:r>
            <w:r>
              <w:t>承担由此造成的全部损失。</w:t>
            </w:r>
          </w:p>
        </w:tc>
      </w:tr>
      <w:tr w14:paraId="19590F0D">
        <w:tblPrEx>
          <w:tblCellMar>
            <w:top w:w="0" w:type="dxa"/>
            <w:left w:w="10" w:type="dxa"/>
            <w:bottom w:w="0" w:type="dxa"/>
            <w:right w:w="10" w:type="dxa"/>
          </w:tblCellMar>
        </w:tblPrEx>
        <w:trPr>
          <w:trHeight w:val="1" w:hRule="atLeast"/>
          <w:jc w:val="center"/>
        </w:trPr>
        <w:tc>
          <w:tcPr>
            <w:tcW w:w="185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CCB7B2">
            <w:pPr>
              <w:widowControl/>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食堂电托管</w:t>
            </w:r>
          </w:p>
        </w:tc>
        <w:tc>
          <w:tcPr>
            <w:tcW w:w="758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1A2AE12">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1、熟悉食堂电路布局，每周一次对食堂重点区域进行巡查（巡查是否有私拉乱接、用电安全隐患等）并做好安全巡查记录，备查。</w:t>
            </w:r>
          </w:p>
          <w:p w14:paraId="0880D167">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2、协助后勤管理处做好食堂电的对接工作，保障供电安全。</w:t>
            </w:r>
          </w:p>
          <w:p w14:paraId="44A933A2">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3、协助做好食堂节能相关工作。</w:t>
            </w:r>
          </w:p>
        </w:tc>
      </w:tr>
      <w:tr w14:paraId="3EBB261F">
        <w:tblPrEx>
          <w:tblCellMar>
            <w:top w:w="0" w:type="dxa"/>
            <w:left w:w="10" w:type="dxa"/>
            <w:bottom w:w="0" w:type="dxa"/>
            <w:right w:w="10" w:type="dxa"/>
          </w:tblCellMar>
        </w:tblPrEx>
        <w:trPr>
          <w:trHeight w:val="1" w:hRule="atLeast"/>
          <w:jc w:val="center"/>
        </w:trPr>
        <w:tc>
          <w:tcPr>
            <w:tcW w:w="185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93AD19">
            <w:pPr>
              <w:widowControl/>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高压配电柜及高压电缆专业维护</w:t>
            </w:r>
          </w:p>
        </w:tc>
        <w:tc>
          <w:tcPr>
            <w:tcW w:w="758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AE81BAB">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1、10KV，1#配电室1#进线及10KV，10KV，1#配电室2#进线专用线路，对以上2条线路进行日常维护运行管理。</w:t>
            </w:r>
          </w:p>
          <w:p w14:paraId="2354ECBB">
            <w:pPr>
              <w:widowControl/>
              <w:numPr>
                <w:ilvl w:val="0"/>
                <w:numId w:val="8"/>
              </w:numPr>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派遣专业电气人员对专线线路每月进行日常巡视、维护、消缺检修不少于2次，发现线路走廊有开挖及时通知校方。告知开挖方下有10KV供电线路并配走向、深度说明。</w:t>
            </w:r>
          </w:p>
          <w:p w14:paraId="1013F5BF">
            <w:pPr>
              <w:widowControl/>
              <w:numPr>
                <w:ilvl w:val="0"/>
                <w:numId w:val="8"/>
              </w:numPr>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若发生线路和设备故障维护人员接到学校通知后必须15分钟内到达现场，及时组织故障排查，保障教学。工作中因遵守工程建设等用电安全生产有关管理规定，严格按照安全标准组织施工。</w:t>
            </w:r>
          </w:p>
        </w:tc>
      </w:tr>
      <w:tr w14:paraId="69F7D87D">
        <w:tblPrEx>
          <w:tblCellMar>
            <w:top w:w="0" w:type="dxa"/>
            <w:left w:w="10" w:type="dxa"/>
            <w:bottom w:w="0" w:type="dxa"/>
            <w:right w:w="10" w:type="dxa"/>
          </w:tblCellMar>
        </w:tblPrEx>
        <w:trPr>
          <w:trHeight w:val="1" w:hRule="atLeast"/>
          <w:jc w:val="center"/>
        </w:trPr>
        <w:tc>
          <w:tcPr>
            <w:tcW w:w="185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020D7A">
            <w:pPr>
              <w:widowControl/>
              <w:adjustRightInd w:val="0"/>
              <w:snapToGri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其他保障工作</w:t>
            </w:r>
          </w:p>
        </w:tc>
        <w:tc>
          <w:tcPr>
            <w:tcW w:w="758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159A40E">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1、全力配合学院做好开学季、毕业季、四六级、计算机、校庆院庆、运动会及各类考试等重要活动的用电保障工作。</w:t>
            </w:r>
          </w:p>
          <w:p w14:paraId="37A250F2">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2、配合做好学校节能相关工作。</w:t>
            </w:r>
          </w:p>
          <w:p w14:paraId="0F9B611B">
            <w:pPr>
              <w:widowControl/>
              <w:adjustRightInd w:val="0"/>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3、完成学校交办的其他任务(包含但不限于校园路灯及相关照明设备巡查，时间调试，电表检查等）。</w:t>
            </w:r>
          </w:p>
        </w:tc>
      </w:tr>
    </w:tbl>
    <w:p w14:paraId="00A97E4E">
      <w:pPr>
        <w:spacing w:line="360" w:lineRule="auto"/>
        <w:rPr>
          <w:rFonts w:hint="eastAsia" w:ascii="宋体" w:hAnsi="宋体" w:eastAsia="宋体" w:cs="宋体"/>
          <w:b/>
          <w:bCs/>
          <w:szCs w:val="21"/>
        </w:rPr>
      </w:pPr>
      <w:r>
        <w:rPr>
          <w:rFonts w:hint="eastAsia" w:ascii="宋体" w:hAnsi="宋体" w:eastAsia="宋体" w:cs="宋体"/>
          <w:b/>
          <w:bCs/>
          <w:color w:val="auto"/>
          <w:szCs w:val="21"/>
        </w:rPr>
        <w:t>注：中标单位在我校服务工作期间，其员工发生的由于操作失误、意外伤害、身体健康等因素导致的事故，由中标单位承担所有责任，与学校无关。</w:t>
      </w:r>
    </w:p>
    <w:p w14:paraId="5D08EBA4">
      <w:pPr>
        <w:spacing w:line="360" w:lineRule="auto"/>
        <w:rPr>
          <w:rFonts w:hint="eastAsia" w:ascii="宋体" w:hAnsi="宋体" w:eastAsia="宋体" w:cs="宋体"/>
          <w:szCs w:val="21"/>
        </w:rPr>
      </w:pPr>
      <w:r>
        <w:rPr>
          <w:rFonts w:hint="eastAsia" w:ascii="宋体" w:hAnsi="宋体" w:eastAsia="宋体" w:cs="宋体"/>
          <w:b/>
          <w:bCs/>
          <w:szCs w:val="21"/>
        </w:rPr>
        <w:t>（2）人员配备</w:t>
      </w:r>
    </w:p>
    <w:tbl>
      <w:tblPr>
        <w:tblStyle w:val="39"/>
        <w:tblW w:w="9134" w:type="dxa"/>
        <w:jc w:val="center"/>
        <w:tblLayout w:type="autofit"/>
        <w:tblCellMar>
          <w:top w:w="0" w:type="dxa"/>
          <w:left w:w="10" w:type="dxa"/>
          <w:bottom w:w="0" w:type="dxa"/>
          <w:right w:w="10" w:type="dxa"/>
        </w:tblCellMar>
      </w:tblPr>
      <w:tblGrid>
        <w:gridCol w:w="2501"/>
        <w:gridCol w:w="1051"/>
        <w:gridCol w:w="1695"/>
        <w:gridCol w:w="3887"/>
      </w:tblGrid>
      <w:tr w14:paraId="1C21516E">
        <w:tblPrEx>
          <w:tblCellMar>
            <w:top w:w="0" w:type="dxa"/>
            <w:left w:w="10" w:type="dxa"/>
            <w:bottom w:w="0" w:type="dxa"/>
            <w:right w:w="10" w:type="dxa"/>
          </w:tblCellMar>
        </w:tblPrEx>
        <w:trPr>
          <w:trHeight w:val="1" w:hRule="atLeast"/>
          <w:jc w:val="center"/>
        </w:trPr>
        <w:tc>
          <w:tcPr>
            <w:tcW w:w="250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2F957950">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岗位</w:t>
            </w:r>
          </w:p>
        </w:tc>
        <w:tc>
          <w:tcPr>
            <w:tcW w:w="105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3225F21F">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岗位数</w:t>
            </w:r>
          </w:p>
        </w:tc>
        <w:tc>
          <w:tcPr>
            <w:tcW w:w="169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0966B50D">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岗位要求</w:t>
            </w:r>
          </w:p>
        </w:tc>
        <w:tc>
          <w:tcPr>
            <w:tcW w:w="388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5CF9F40">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人员基本要求</w:t>
            </w:r>
          </w:p>
        </w:tc>
      </w:tr>
      <w:tr w14:paraId="69A1313D">
        <w:tblPrEx>
          <w:tblCellMar>
            <w:top w:w="0" w:type="dxa"/>
            <w:left w:w="10" w:type="dxa"/>
            <w:bottom w:w="0" w:type="dxa"/>
            <w:right w:w="10" w:type="dxa"/>
          </w:tblCellMar>
        </w:tblPrEx>
        <w:trPr>
          <w:trHeight w:val="1" w:hRule="atLeast"/>
          <w:jc w:val="center"/>
        </w:trPr>
        <w:tc>
          <w:tcPr>
            <w:tcW w:w="250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00BAAE41">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电工</w:t>
            </w:r>
          </w:p>
        </w:tc>
        <w:tc>
          <w:tcPr>
            <w:tcW w:w="1051"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2466B60A">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169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0D3928E5">
            <w:pPr>
              <w:widowControl/>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24小时值班</w:t>
            </w:r>
          </w:p>
        </w:tc>
        <w:tc>
          <w:tcPr>
            <w:tcW w:w="3887"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D960429">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男，年龄不超过60周岁。身体健康，品行端正、体检合格，须同时持高压与低压电工证。总人数不少于6人。</w:t>
            </w:r>
          </w:p>
        </w:tc>
      </w:tr>
      <w:tr w14:paraId="6DDC2C4F">
        <w:tblPrEx>
          <w:tblCellMar>
            <w:top w:w="0" w:type="dxa"/>
            <w:left w:w="10" w:type="dxa"/>
            <w:bottom w:w="0" w:type="dxa"/>
            <w:right w:w="10" w:type="dxa"/>
          </w:tblCellMar>
        </w:tblPrEx>
        <w:trPr>
          <w:trHeight w:val="1" w:hRule="atLeast"/>
          <w:jc w:val="center"/>
        </w:trPr>
        <w:tc>
          <w:tcPr>
            <w:tcW w:w="9134" w:type="dxa"/>
            <w:gridSpan w:val="4"/>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vAlign w:val="center"/>
          </w:tcPr>
          <w:p w14:paraId="5FE7A0E9">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b/>
                <w:bCs/>
                <w:color w:val="FF0000"/>
                <w:kern w:val="0"/>
                <w:szCs w:val="21"/>
              </w:rPr>
              <w:t>注：周一到周五8:00-17:30中标</w:t>
            </w:r>
            <w:r>
              <w:rPr>
                <w:rFonts w:hint="eastAsia" w:ascii="宋体" w:hAnsi="宋体" w:eastAsia="宋体" w:cs="宋体"/>
                <w:b/>
                <w:bCs/>
                <w:color w:val="FF0000"/>
                <w:kern w:val="0"/>
                <w:szCs w:val="21"/>
                <w:lang w:val="en-US" w:eastAsia="zh-CN"/>
              </w:rPr>
              <w:t>单位</w:t>
            </w:r>
            <w:r>
              <w:rPr>
                <w:rFonts w:hint="eastAsia" w:ascii="宋体" w:hAnsi="宋体" w:eastAsia="宋体" w:cs="宋体"/>
                <w:b/>
                <w:bCs/>
                <w:color w:val="FF0000"/>
                <w:kern w:val="0"/>
                <w:szCs w:val="21"/>
              </w:rPr>
              <w:t>须派一人在岗值班，周一到周五其余时间，周六、周日全天中标</w:t>
            </w:r>
            <w:r>
              <w:rPr>
                <w:rFonts w:hint="eastAsia" w:ascii="宋体" w:hAnsi="宋体" w:eastAsia="宋体" w:cs="宋体"/>
                <w:b/>
                <w:bCs/>
                <w:color w:val="FF0000"/>
                <w:kern w:val="0"/>
                <w:szCs w:val="21"/>
                <w:lang w:val="en-US" w:eastAsia="zh-CN"/>
              </w:rPr>
              <w:t>单位</w:t>
            </w:r>
            <w:r>
              <w:rPr>
                <w:rFonts w:hint="eastAsia" w:ascii="宋体" w:hAnsi="宋体" w:eastAsia="宋体" w:cs="宋体"/>
                <w:b/>
                <w:bCs/>
                <w:color w:val="FF0000"/>
                <w:kern w:val="0"/>
                <w:szCs w:val="21"/>
              </w:rPr>
              <w:t>须确保2人同时在岗。</w:t>
            </w:r>
          </w:p>
        </w:tc>
      </w:tr>
    </w:tbl>
    <w:p w14:paraId="4FC01250">
      <w:pPr>
        <w:numPr>
          <w:ilvl w:val="0"/>
          <w:numId w:val="9"/>
        </w:numPr>
        <w:spacing w:line="360" w:lineRule="auto"/>
      </w:pPr>
      <w:r>
        <w:rPr>
          <w:rFonts w:hint="eastAsia" w:ascii="宋体" w:hAnsi="宋体" w:eastAsia="宋体" w:cs="宋体"/>
          <w:b/>
          <w:szCs w:val="21"/>
        </w:rPr>
        <w:t>设施运行维护与维修</w:t>
      </w:r>
    </w:p>
    <w:p w14:paraId="187620D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1、制定设施设备应急预案并定期演练；</w:t>
      </w:r>
    </w:p>
    <w:p w14:paraId="1478B64F">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2、根据国家相关规定，做好高压配电室24小时值班服务。</w:t>
      </w:r>
    </w:p>
    <w:p w14:paraId="7AC0B128">
      <w:pPr>
        <w:spacing w:line="360" w:lineRule="auto"/>
        <w:rPr>
          <w:rFonts w:hint="eastAsia" w:ascii="宋体" w:hAnsi="宋体" w:eastAsia="宋体" w:cs="宋体"/>
          <w:b/>
          <w:szCs w:val="21"/>
        </w:rPr>
      </w:pPr>
      <w:r>
        <w:rPr>
          <w:rFonts w:hint="eastAsia" w:ascii="宋体" w:hAnsi="宋体" w:eastAsia="宋体" w:cs="宋体"/>
          <w:b/>
          <w:szCs w:val="21"/>
        </w:rPr>
        <w:t>三、商务条款</w:t>
      </w:r>
    </w:p>
    <w:p w14:paraId="79E8F840">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rPr>
        <w:t>1、付款方式：本采购项</w:t>
      </w:r>
      <w:r>
        <w:rPr>
          <w:rFonts w:hint="eastAsia" w:ascii="宋体" w:hAnsi="宋体" w:eastAsia="宋体" w:cs="宋体"/>
          <w:bCs/>
          <w:szCs w:val="21"/>
          <w:highlight w:val="none"/>
        </w:rPr>
        <w:t>目无预付款，合同期内，学校每半年考核，合格后向中标单位支付年服务费的50%，每次付款前中标单位须提供正规发票，付款不计利息。</w:t>
      </w:r>
    </w:p>
    <w:p w14:paraId="4628AC31">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cs="宋体"/>
          <w:spacing w:val="-6"/>
          <w:szCs w:val="21"/>
          <w:highlight w:val="none"/>
        </w:rPr>
        <w:t>合同履行期限：</w:t>
      </w:r>
      <w:r>
        <w:rPr>
          <w:rFonts w:hint="eastAsia" w:ascii="宋体" w:hAnsi="宋体" w:eastAsia="宋体" w:cs="宋体"/>
          <w:szCs w:val="21"/>
          <w:highlight w:val="none"/>
        </w:rPr>
        <w:t>贰年，合同首签壹年，考核合格并经双方商定同意情况下，签订下一年合同。</w:t>
      </w:r>
    </w:p>
    <w:p w14:paraId="076C15AB">
      <w:pPr>
        <w:spacing w:line="360" w:lineRule="auto"/>
        <w:ind w:firstLine="420" w:firstLineChars="200"/>
        <w:rPr>
          <w:rFonts w:hint="eastAsia" w:ascii="宋体" w:hAnsi="宋体" w:eastAsia="宋体" w:cs="宋体"/>
          <w:bCs/>
          <w:szCs w:val="21"/>
          <w:highlight w:val="none"/>
        </w:rPr>
        <w:sectPr>
          <w:pgSz w:w="11906" w:h="16838"/>
          <w:pgMar w:top="1440" w:right="1800" w:bottom="1440" w:left="1800" w:header="1191" w:footer="992" w:gutter="0"/>
          <w:cols w:space="720" w:num="1"/>
          <w:docGrid w:type="lines" w:linePitch="312" w:charSpace="0"/>
        </w:sectPr>
      </w:pPr>
      <w:r>
        <w:rPr>
          <w:rFonts w:hint="eastAsia" w:ascii="宋体" w:hAnsi="宋体" w:eastAsia="宋体" w:cs="宋体"/>
          <w:bCs/>
          <w:szCs w:val="21"/>
          <w:highlight w:val="none"/>
        </w:rPr>
        <w:t>3、履约保证金：中标单位在签订合同前须一次性向学校缴清本项目履约保证金：本项目应交履约保证金人民币叁万元整（¥30000.00元）。合同期满，并做好资产清点和交接工作后，根据考核结果全部或部分（无息）返还至中标单位账户。</w:t>
      </w:r>
    </w:p>
    <w:p w14:paraId="04E12802">
      <w:pPr>
        <w:spacing w:line="360" w:lineRule="auto"/>
        <w:jc w:val="center"/>
        <w:rPr>
          <w:rFonts w:ascii="Calibri" w:hAnsi="Calibri" w:eastAsia="宋体" w:cs="Times New Roman"/>
          <w:b/>
          <w:bCs/>
          <w:kern w:val="44"/>
          <w:sz w:val="36"/>
          <w:szCs w:val="44"/>
        </w:rPr>
      </w:pPr>
      <w:r>
        <w:rPr>
          <w:rFonts w:hint="eastAsia" w:ascii="Calibri" w:hAnsi="Calibri" w:eastAsia="宋体" w:cs="Times New Roman"/>
          <w:b/>
          <w:bCs/>
          <w:kern w:val="44"/>
          <w:sz w:val="36"/>
          <w:szCs w:val="44"/>
        </w:rPr>
        <w:t>南邮通达学院电房考核标准</w:t>
      </w:r>
    </w:p>
    <w:tbl>
      <w:tblPr>
        <w:tblStyle w:val="39"/>
        <w:tblpPr w:leftFromText="180" w:rightFromText="180" w:vertAnchor="text" w:horzAnchor="page" w:tblpXSpec="center" w:tblpY="613"/>
        <w:tblOverlap w:val="never"/>
        <w:tblW w:w="5894" w:type="pct"/>
        <w:jc w:val="center"/>
        <w:tblLayout w:type="fixed"/>
        <w:tblCellMar>
          <w:top w:w="0" w:type="dxa"/>
          <w:left w:w="108" w:type="dxa"/>
          <w:bottom w:w="0" w:type="dxa"/>
          <w:right w:w="108" w:type="dxa"/>
        </w:tblCellMar>
      </w:tblPr>
      <w:tblGrid>
        <w:gridCol w:w="544"/>
        <w:gridCol w:w="455"/>
        <w:gridCol w:w="2087"/>
        <w:gridCol w:w="3493"/>
        <w:gridCol w:w="867"/>
        <w:gridCol w:w="867"/>
        <w:gridCol w:w="867"/>
        <w:gridCol w:w="867"/>
      </w:tblGrid>
      <w:tr w14:paraId="1F742FC4">
        <w:tblPrEx>
          <w:tblCellMar>
            <w:top w:w="0" w:type="dxa"/>
            <w:left w:w="108" w:type="dxa"/>
            <w:bottom w:w="0" w:type="dxa"/>
            <w:right w:w="108" w:type="dxa"/>
          </w:tblCellMar>
        </w:tblPrEx>
        <w:trPr>
          <w:trHeight w:val="270" w:hRule="atLeast"/>
          <w:jc w:val="center"/>
        </w:trPr>
        <w:tc>
          <w:tcPr>
            <w:tcW w:w="10047" w:type="dxa"/>
            <w:gridSpan w:val="8"/>
            <w:tcBorders>
              <w:top w:val="nil"/>
              <w:left w:val="nil"/>
              <w:bottom w:val="nil"/>
              <w:right w:val="nil"/>
            </w:tcBorders>
            <w:noWrap/>
            <w:vAlign w:val="center"/>
          </w:tcPr>
          <w:p w14:paraId="1B252CE5">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受检单位：                      配电室名称：     年    月    日</w:t>
            </w:r>
          </w:p>
        </w:tc>
      </w:tr>
      <w:tr w14:paraId="4B968E12">
        <w:tblPrEx>
          <w:tblCellMar>
            <w:top w:w="0" w:type="dxa"/>
            <w:left w:w="108" w:type="dxa"/>
            <w:bottom w:w="0" w:type="dxa"/>
            <w:right w:w="108" w:type="dxa"/>
          </w:tblCellMar>
        </w:tblPrEx>
        <w:trPr>
          <w:trHeight w:val="272" w:hRule="atLeast"/>
          <w:jc w:val="center"/>
        </w:trPr>
        <w:tc>
          <w:tcPr>
            <w:tcW w:w="544" w:type="dxa"/>
            <w:tcBorders>
              <w:top w:val="single" w:color="000000" w:sz="4" w:space="0"/>
              <w:left w:val="single" w:color="000000" w:sz="4" w:space="0"/>
              <w:bottom w:val="single" w:color="000000" w:sz="4" w:space="0"/>
              <w:right w:val="single" w:color="000000" w:sz="4" w:space="0"/>
            </w:tcBorders>
            <w:noWrap/>
            <w:vAlign w:val="center"/>
          </w:tcPr>
          <w:p w14:paraId="2835319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类别</w:t>
            </w: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2A45BF3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项次</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70742554">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考核项目</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7F81AF5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评分标准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2728EE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标准分数</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B6670F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扣分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8222163">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检查得分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EDB13C9">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扣分原因</w:t>
            </w:r>
          </w:p>
        </w:tc>
      </w:tr>
      <w:tr w14:paraId="54D3F3E4">
        <w:tblPrEx>
          <w:tblCellMar>
            <w:top w:w="0" w:type="dxa"/>
            <w:left w:w="108" w:type="dxa"/>
            <w:bottom w:w="0" w:type="dxa"/>
            <w:right w:w="108" w:type="dxa"/>
          </w:tblCellMar>
        </w:tblPrEx>
        <w:trPr>
          <w:trHeight w:val="88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ign w:val="center"/>
          </w:tcPr>
          <w:p w14:paraId="49AEAD5B">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设备状况</w:t>
            </w: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2A279A97">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0BEB9B8C">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设备完好率</w:t>
            </w:r>
          </w:p>
        </w:tc>
        <w:tc>
          <w:tcPr>
            <w:tcW w:w="3493" w:type="dxa"/>
            <w:tcBorders>
              <w:top w:val="single" w:color="000000" w:sz="4" w:space="0"/>
              <w:left w:val="single" w:color="000000" w:sz="4" w:space="0"/>
              <w:bottom w:val="single" w:color="000000" w:sz="4" w:space="0"/>
              <w:right w:val="single" w:color="000000" w:sz="4" w:space="0"/>
            </w:tcBorders>
            <w:vAlign w:val="center"/>
          </w:tcPr>
          <w:p w14:paraId="2B2256C2">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设备完好率达到98%以上得满分10分，故障停运1台设备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扣1分，设备操作不灵活1台扣0.5分，设备一般缺陷1处，扣0.5分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59CBA7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A2813B3">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D6737F3">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E559F9E">
            <w:pPr>
              <w:spacing w:line="360" w:lineRule="auto"/>
              <w:jc w:val="center"/>
              <w:rPr>
                <w:rFonts w:hint="eastAsia" w:ascii="宋体" w:hAnsi="宋体" w:eastAsia="宋体" w:cs="宋体"/>
                <w:color w:val="000000"/>
                <w:szCs w:val="21"/>
              </w:rPr>
            </w:pPr>
          </w:p>
        </w:tc>
      </w:tr>
      <w:tr w14:paraId="1649E85A">
        <w:tblPrEx>
          <w:tblCellMar>
            <w:top w:w="0" w:type="dxa"/>
            <w:left w:w="108" w:type="dxa"/>
            <w:bottom w:w="0" w:type="dxa"/>
            <w:right w:w="108" w:type="dxa"/>
          </w:tblCellMar>
        </w:tblPrEx>
        <w:trPr>
          <w:trHeight w:val="52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1C43B3B6">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2AE84EC2">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2D5EBF7F">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设备外观</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2A5C4BB5">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安装整齐规范，柜门等有变形扣2分，锈蚀1扣分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32469A7">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F07B336">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B7C51A2">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AC0F32C">
            <w:pPr>
              <w:spacing w:line="360" w:lineRule="auto"/>
              <w:jc w:val="center"/>
              <w:rPr>
                <w:rFonts w:hint="eastAsia" w:ascii="宋体" w:hAnsi="宋体" w:eastAsia="宋体" w:cs="宋体"/>
                <w:color w:val="000000"/>
                <w:szCs w:val="21"/>
              </w:rPr>
            </w:pPr>
          </w:p>
        </w:tc>
      </w:tr>
      <w:tr w14:paraId="0A72CEDE">
        <w:tblPrEx>
          <w:tblCellMar>
            <w:top w:w="0" w:type="dxa"/>
            <w:left w:w="108" w:type="dxa"/>
            <w:bottom w:w="0" w:type="dxa"/>
            <w:right w:w="108" w:type="dxa"/>
          </w:tblCellMar>
        </w:tblPrEx>
        <w:trPr>
          <w:trHeight w:val="72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112F375D">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3D1AD98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5E4DFBAC">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工艺、材料编号与高压开关拒防误操作</w:t>
            </w:r>
          </w:p>
        </w:tc>
        <w:tc>
          <w:tcPr>
            <w:tcW w:w="3493" w:type="dxa"/>
            <w:tcBorders>
              <w:top w:val="single" w:color="000000" w:sz="4" w:space="0"/>
              <w:left w:val="single" w:color="000000" w:sz="4" w:space="0"/>
              <w:bottom w:val="single" w:color="000000" w:sz="4" w:space="0"/>
              <w:right w:val="single" w:color="000000" w:sz="4" w:space="0"/>
            </w:tcBorders>
            <w:vAlign w:val="center"/>
          </w:tcPr>
          <w:p w14:paraId="03178C7D">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设备工艺及材料编号准确，高压开关柜有防误操作装置得满分5分，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每发现一处不合格者扣0.5分，超过10处不得分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F5FE672">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FB2EE57">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65376CE">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B1A8A93">
            <w:pPr>
              <w:spacing w:line="360" w:lineRule="auto"/>
              <w:jc w:val="center"/>
              <w:rPr>
                <w:rFonts w:hint="eastAsia" w:ascii="宋体" w:hAnsi="宋体" w:eastAsia="宋体" w:cs="宋体"/>
                <w:color w:val="000000"/>
                <w:szCs w:val="21"/>
              </w:rPr>
            </w:pPr>
          </w:p>
        </w:tc>
      </w:tr>
      <w:tr w14:paraId="035A066C">
        <w:tblPrEx>
          <w:tblCellMar>
            <w:top w:w="0" w:type="dxa"/>
            <w:left w:w="108" w:type="dxa"/>
            <w:bottom w:w="0" w:type="dxa"/>
            <w:right w:w="108" w:type="dxa"/>
          </w:tblCellMar>
        </w:tblPrEx>
        <w:trPr>
          <w:trHeight w:val="72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54ED4774">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51E207E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4</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379DD69">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导体对地距离、相间距离及二次回路绝缘</w:t>
            </w:r>
          </w:p>
        </w:tc>
        <w:tc>
          <w:tcPr>
            <w:tcW w:w="3493" w:type="dxa"/>
            <w:tcBorders>
              <w:top w:val="single" w:color="000000" w:sz="4" w:space="0"/>
              <w:left w:val="single" w:color="000000" w:sz="4" w:space="0"/>
              <w:bottom w:val="single" w:color="000000" w:sz="4" w:space="0"/>
              <w:right w:val="single" w:color="000000" w:sz="4" w:space="0"/>
            </w:tcBorders>
            <w:vAlign w:val="center"/>
          </w:tcPr>
          <w:p w14:paraId="5A5D3AB7">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导体对地距离、相间距离符合规定，高低压设备及二次回路的绝缘性能良好，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达到者得满分5分，每发现一处不合格者扣0.5分，超过5处不得分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2178036">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03ED19E">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5FC8C4A">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1B21CE8">
            <w:pPr>
              <w:spacing w:line="360" w:lineRule="auto"/>
              <w:jc w:val="center"/>
              <w:rPr>
                <w:rFonts w:hint="eastAsia" w:ascii="宋体" w:hAnsi="宋体" w:eastAsia="宋体" w:cs="宋体"/>
                <w:color w:val="000000"/>
                <w:szCs w:val="21"/>
              </w:rPr>
            </w:pPr>
          </w:p>
        </w:tc>
      </w:tr>
      <w:tr w14:paraId="3758F06B">
        <w:tblPrEx>
          <w:tblCellMar>
            <w:top w:w="0" w:type="dxa"/>
            <w:left w:w="108" w:type="dxa"/>
            <w:bottom w:w="0" w:type="dxa"/>
            <w:right w:w="108" w:type="dxa"/>
          </w:tblCellMar>
        </w:tblPrEx>
        <w:trPr>
          <w:trHeight w:val="76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02ADA293">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57DBE532">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37F7E1A5">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继电保护装置、二次线检查</w:t>
            </w:r>
          </w:p>
        </w:tc>
        <w:tc>
          <w:tcPr>
            <w:tcW w:w="3493" w:type="dxa"/>
            <w:tcBorders>
              <w:top w:val="single" w:color="000000" w:sz="4" w:space="0"/>
              <w:left w:val="single" w:color="000000" w:sz="4" w:space="0"/>
              <w:bottom w:val="single" w:color="000000" w:sz="4" w:space="0"/>
              <w:right w:val="single" w:color="000000" w:sz="4" w:space="0"/>
            </w:tcBorders>
            <w:vAlign w:val="center"/>
          </w:tcPr>
          <w:p w14:paraId="5204CA6C">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二次线安装工艺规范且有标号，继电保护装置符合规程需求，并动作灵敏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可靠达到者得满分5分，每发现一处不合格者扣0.5分，超过5处不得分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D559D20">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92B3063">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EAF65D3">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F248B4A">
            <w:pPr>
              <w:spacing w:line="360" w:lineRule="auto"/>
              <w:jc w:val="center"/>
              <w:rPr>
                <w:rFonts w:hint="eastAsia" w:ascii="宋体" w:hAnsi="宋体" w:eastAsia="宋体" w:cs="宋体"/>
                <w:color w:val="000000"/>
                <w:szCs w:val="21"/>
              </w:rPr>
            </w:pPr>
          </w:p>
        </w:tc>
      </w:tr>
      <w:tr w14:paraId="737B7515">
        <w:tblPrEx>
          <w:tblCellMar>
            <w:top w:w="0" w:type="dxa"/>
            <w:left w:w="108" w:type="dxa"/>
            <w:bottom w:w="0" w:type="dxa"/>
            <w:right w:w="108" w:type="dxa"/>
          </w:tblCellMar>
        </w:tblPrEx>
        <w:trPr>
          <w:trHeight w:val="9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0F386ED8">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4EFDE8E0">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6</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517652F7">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仪表准确率及信号装置</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2C72B181">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仪表、信号装置准确，每发现一处不合格者扣1分，超过5处不灵不准，不得分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C3D93D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A24CCB8">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0653B8B">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E69C9CD">
            <w:pPr>
              <w:spacing w:line="360" w:lineRule="auto"/>
              <w:jc w:val="center"/>
              <w:rPr>
                <w:rFonts w:hint="eastAsia" w:ascii="宋体" w:hAnsi="宋体" w:eastAsia="宋体" w:cs="宋体"/>
                <w:color w:val="000000"/>
                <w:szCs w:val="21"/>
              </w:rPr>
            </w:pPr>
          </w:p>
        </w:tc>
      </w:tr>
      <w:tr w14:paraId="34A49606">
        <w:tblPrEx>
          <w:tblCellMar>
            <w:top w:w="0" w:type="dxa"/>
            <w:left w:w="108" w:type="dxa"/>
            <w:bottom w:w="0" w:type="dxa"/>
            <w:right w:w="108" w:type="dxa"/>
          </w:tblCellMar>
        </w:tblPrEx>
        <w:trPr>
          <w:trHeight w:val="72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65A54425">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3F02673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7</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ADD369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电机控制方式合理、变频器装置闭环运行</w:t>
            </w:r>
          </w:p>
        </w:tc>
        <w:tc>
          <w:tcPr>
            <w:tcW w:w="3493" w:type="dxa"/>
            <w:tcBorders>
              <w:top w:val="single" w:color="000000" w:sz="4" w:space="0"/>
              <w:left w:val="single" w:color="000000" w:sz="4" w:space="0"/>
              <w:bottom w:val="single" w:color="000000" w:sz="4" w:space="0"/>
              <w:right w:val="single" w:color="000000" w:sz="4" w:space="0"/>
            </w:tcBorders>
            <w:vAlign w:val="center"/>
          </w:tcPr>
          <w:p w14:paraId="3A4D26F1">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37KW及以上电机未采用变频、软起、降压启动等方式扣3分，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保用变频器但未闭环运行扣2分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877DF62">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8D41810">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9EFD9DC">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2671DDF">
            <w:pPr>
              <w:spacing w:line="360" w:lineRule="auto"/>
              <w:jc w:val="center"/>
              <w:rPr>
                <w:rFonts w:hint="eastAsia" w:ascii="宋体" w:hAnsi="宋体" w:eastAsia="宋体" w:cs="宋体"/>
                <w:color w:val="000000"/>
                <w:szCs w:val="21"/>
              </w:rPr>
            </w:pPr>
          </w:p>
        </w:tc>
      </w:tr>
      <w:tr w14:paraId="3F0BAB56">
        <w:tblPrEx>
          <w:tblCellMar>
            <w:top w:w="0" w:type="dxa"/>
            <w:left w:w="108" w:type="dxa"/>
            <w:bottom w:w="0" w:type="dxa"/>
            <w:right w:w="108" w:type="dxa"/>
          </w:tblCellMar>
        </w:tblPrEx>
        <w:trPr>
          <w:trHeight w:val="88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611B1D2B">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503538DC">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8</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66F3F194">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绝缘装置、带油充气设备，干燥、冷却、通风、照明系统</w:t>
            </w:r>
          </w:p>
        </w:tc>
        <w:tc>
          <w:tcPr>
            <w:tcW w:w="3493" w:type="dxa"/>
            <w:tcBorders>
              <w:top w:val="single" w:color="000000" w:sz="4" w:space="0"/>
              <w:left w:val="single" w:color="000000" w:sz="4" w:space="0"/>
              <w:bottom w:val="single" w:color="000000" w:sz="4" w:space="0"/>
              <w:right w:val="single" w:color="000000" w:sz="4" w:space="0"/>
            </w:tcBorders>
            <w:vAlign w:val="center"/>
          </w:tcPr>
          <w:p w14:paraId="611EA743">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绝缘支架、座套完整无裂纹，管油设备无渗漏，干燥、冷却、通风、照明系统良好，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室内温度正常得满分5分，每发现一处不合格者扣0.5分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3153723">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BC25039">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B234689">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D74778D">
            <w:pPr>
              <w:spacing w:line="360" w:lineRule="auto"/>
              <w:jc w:val="center"/>
              <w:rPr>
                <w:rFonts w:hint="eastAsia" w:ascii="宋体" w:hAnsi="宋体" w:eastAsia="宋体" w:cs="宋体"/>
                <w:color w:val="000000"/>
                <w:szCs w:val="21"/>
              </w:rPr>
            </w:pPr>
          </w:p>
        </w:tc>
      </w:tr>
      <w:tr w14:paraId="7BBD78D6">
        <w:tblPrEx>
          <w:tblCellMar>
            <w:top w:w="0" w:type="dxa"/>
            <w:left w:w="108" w:type="dxa"/>
            <w:bottom w:w="0" w:type="dxa"/>
            <w:right w:w="108" w:type="dxa"/>
          </w:tblCellMar>
        </w:tblPrEx>
        <w:trPr>
          <w:trHeight w:val="48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77D9C1B3">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3E189D11">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9</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26FDF5F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接地系统</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373D1A9A">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接地装置连接良好，有锈蚀扣2分，损坏扣2分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4F4E80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280A38E">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A25AF71">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9A816FF">
            <w:pPr>
              <w:spacing w:line="360" w:lineRule="auto"/>
              <w:jc w:val="center"/>
              <w:rPr>
                <w:rFonts w:hint="eastAsia" w:ascii="宋体" w:hAnsi="宋体" w:eastAsia="宋体" w:cs="宋体"/>
                <w:color w:val="000000"/>
                <w:szCs w:val="21"/>
              </w:rPr>
            </w:pPr>
          </w:p>
        </w:tc>
      </w:tr>
      <w:tr w14:paraId="291A8A8A">
        <w:tblPrEx>
          <w:tblCellMar>
            <w:top w:w="0" w:type="dxa"/>
            <w:left w:w="108" w:type="dxa"/>
            <w:bottom w:w="0" w:type="dxa"/>
            <w:right w:w="108" w:type="dxa"/>
          </w:tblCellMar>
        </w:tblPrEx>
        <w:trPr>
          <w:trHeight w:val="42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49681E04">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46C7152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15FFEBCF">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设备接点检查</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00EFCD97">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发现接点松动、接触不良一处扣0.5分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8D6869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6BDCF14">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7FA3B21">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D00DEEB">
            <w:pPr>
              <w:spacing w:line="360" w:lineRule="auto"/>
              <w:jc w:val="center"/>
              <w:rPr>
                <w:rFonts w:hint="eastAsia" w:ascii="宋体" w:hAnsi="宋体" w:eastAsia="宋体" w:cs="宋体"/>
                <w:color w:val="000000"/>
                <w:szCs w:val="21"/>
              </w:rPr>
            </w:pPr>
          </w:p>
        </w:tc>
      </w:tr>
      <w:tr w14:paraId="663EE9EB">
        <w:tblPrEx>
          <w:tblCellMar>
            <w:top w:w="0" w:type="dxa"/>
            <w:left w:w="108" w:type="dxa"/>
            <w:bottom w:w="0" w:type="dxa"/>
            <w:right w:w="108" w:type="dxa"/>
          </w:tblCellMar>
        </w:tblPrEx>
        <w:trPr>
          <w:trHeight w:val="48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26537484">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5949A97E">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11</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7BBB3A17">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信号灯、开关指示器等指示装置</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4FF9CB5D">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发现信号灯不亮扣1分、开关指示不到位扣1分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C75B8B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8F0FCB9">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B4C02E5">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29AA797">
            <w:pPr>
              <w:spacing w:line="360" w:lineRule="auto"/>
              <w:jc w:val="center"/>
              <w:rPr>
                <w:rFonts w:hint="eastAsia" w:ascii="宋体" w:hAnsi="宋体" w:eastAsia="宋体" w:cs="宋体"/>
                <w:color w:val="000000"/>
                <w:szCs w:val="21"/>
              </w:rPr>
            </w:pPr>
          </w:p>
        </w:tc>
      </w:tr>
      <w:tr w14:paraId="0607C078">
        <w:tblPrEx>
          <w:tblCellMar>
            <w:top w:w="0" w:type="dxa"/>
            <w:left w:w="108" w:type="dxa"/>
            <w:bottom w:w="0" w:type="dxa"/>
            <w:right w:w="108" w:type="dxa"/>
          </w:tblCellMar>
        </w:tblPrEx>
        <w:trPr>
          <w:trHeight w:val="78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401AA175">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4A3E1E25">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12</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77D1DA7A">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维修工具、安全设施备用配件</w:t>
            </w:r>
          </w:p>
        </w:tc>
        <w:tc>
          <w:tcPr>
            <w:tcW w:w="3493" w:type="dxa"/>
            <w:tcBorders>
              <w:top w:val="single" w:color="000000" w:sz="4" w:space="0"/>
              <w:left w:val="single" w:color="000000" w:sz="4" w:space="0"/>
              <w:bottom w:val="single" w:color="000000" w:sz="4" w:space="0"/>
              <w:right w:val="single" w:color="000000" w:sz="4" w:space="0"/>
            </w:tcBorders>
            <w:vAlign w:val="center"/>
          </w:tcPr>
          <w:p w14:paraId="26A0DEEB">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维修工具、安全设施、保安用品、消防用具、备用配件等齐备完好达到者得满分5分，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每发现一次、处，缺项不齐者扣0.5分，超过10次不得分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A21F9B6">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95F571F">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B58B6DC">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FE0198E">
            <w:pPr>
              <w:spacing w:line="360" w:lineRule="auto"/>
              <w:jc w:val="center"/>
              <w:rPr>
                <w:rFonts w:hint="eastAsia" w:ascii="宋体" w:hAnsi="宋体" w:eastAsia="宋体" w:cs="宋体"/>
                <w:color w:val="000000"/>
                <w:szCs w:val="21"/>
              </w:rPr>
            </w:pPr>
          </w:p>
        </w:tc>
      </w:tr>
      <w:tr w14:paraId="55C20A06">
        <w:tblPrEx>
          <w:tblCellMar>
            <w:top w:w="0" w:type="dxa"/>
            <w:left w:w="108" w:type="dxa"/>
            <w:bottom w:w="0" w:type="dxa"/>
            <w:right w:w="108" w:type="dxa"/>
          </w:tblCellMar>
        </w:tblPrEx>
        <w:trPr>
          <w:trHeight w:val="74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ign w:val="center"/>
          </w:tcPr>
          <w:p w14:paraId="4D08C092">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规范和卫生</w:t>
            </w: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59D95AF6">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13</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12EA4730">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标志系统</w:t>
            </w:r>
          </w:p>
        </w:tc>
        <w:tc>
          <w:tcPr>
            <w:tcW w:w="3493" w:type="dxa"/>
            <w:tcBorders>
              <w:top w:val="single" w:color="000000" w:sz="4" w:space="0"/>
              <w:left w:val="single" w:color="000000" w:sz="4" w:space="0"/>
              <w:bottom w:val="single" w:color="000000" w:sz="4" w:space="0"/>
              <w:right w:val="single" w:color="000000" w:sz="4" w:space="0"/>
            </w:tcBorders>
            <w:vAlign w:val="center"/>
          </w:tcPr>
          <w:p w14:paraId="3D8C53D8">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铭牌警告牌、警戒线明显正确，一次线相序与系统一致，二次线编号符合标准，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全部达到者得满分5分，每发现一处不合格扣0.5分，超过10处不得分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704130F">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44B669F">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0A1FBB1">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1F274C3">
            <w:pPr>
              <w:spacing w:line="360" w:lineRule="auto"/>
              <w:jc w:val="center"/>
              <w:rPr>
                <w:rFonts w:hint="eastAsia" w:ascii="宋体" w:hAnsi="宋体" w:eastAsia="宋体" w:cs="宋体"/>
                <w:color w:val="000000"/>
                <w:szCs w:val="21"/>
              </w:rPr>
            </w:pPr>
          </w:p>
        </w:tc>
      </w:tr>
      <w:tr w14:paraId="3A2946EA">
        <w:tblPrEx>
          <w:tblCellMar>
            <w:top w:w="0" w:type="dxa"/>
            <w:left w:w="108" w:type="dxa"/>
            <w:bottom w:w="0" w:type="dxa"/>
            <w:right w:w="108" w:type="dxa"/>
          </w:tblCellMar>
        </w:tblPrEx>
        <w:trPr>
          <w:trHeight w:val="76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45111A39">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777F785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14</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33F5A67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电缆线敷设、电缆沟及安全</w:t>
            </w:r>
          </w:p>
        </w:tc>
        <w:tc>
          <w:tcPr>
            <w:tcW w:w="3493" w:type="dxa"/>
            <w:tcBorders>
              <w:top w:val="single" w:color="000000" w:sz="4" w:space="0"/>
              <w:left w:val="single" w:color="000000" w:sz="4" w:space="0"/>
              <w:bottom w:val="single" w:color="000000" w:sz="4" w:space="0"/>
              <w:right w:val="single" w:color="000000" w:sz="4" w:space="0"/>
            </w:tcBorders>
            <w:vAlign w:val="center"/>
          </w:tcPr>
          <w:p w14:paraId="48CCBAA1">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电缆线路敷设整齐有标志牌、电缆头不露头不漏油、沟有盖，沟内不积水、不存油、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不透易燃易爆气体，无杂物达到者得满分5分，每发现一处不合格扣0.5分，超过10处不得分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2F043F1">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1FBC09E">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9BCE808">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99CD13A">
            <w:pPr>
              <w:spacing w:line="360" w:lineRule="auto"/>
              <w:jc w:val="center"/>
              <w:rPr>
                <w:rFonts w:hint="eastAsia" w:ascii="宋体" w:hAnsi="宋体" w:eastAsia="宋体" w:cs="宋体"/>
                <w:color w:val="000000"/>
                <w:szCs w:val="21"/>
              </w:rPr>
            </w:pPr>
          </w:p>
        </w:tc>
      </w:tr>
      <w:tr w14:paraId="26D4A7F0">
        <w:tblPrEx>
          <w:tblCellMar>
            <w:top w:w="0" w:type="dxa"/>
            <w:left w:w="108" w:type="dxa"/>
            <w:bottom w:w="0" w:type="dxa"/>
            <w:right w:w="108" w:type="dxa"/>
          </w:tblCellMar>
        </w:tblPrEx>
        <w:trPr>
          <w:trHeight w:val="44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5594140D">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166A8E69">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7264C88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室内放置</w:t>
            </w: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7FA3DDD2">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各种图表、记录本、规章制度、工具材料置放有序，达到者得满分5分，每发现一处不合格扣0.5分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BE541DD">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353F059">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EF87660">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36F41CD">
            <w:pPr>
              <w:spacing w:line="360" w:lineRule="auto"/>
              <w:jc w:val="center"/>
              <w:rPr>
                <w:rFonts w:hint="eastAsia" w:ascii="宋体" w:hAnsi="宋体" w:eastAsia="宋体" w:cs="宋体"/>
                <w:color w:val="000000"/>
                <w:szCs w:val="21"/>
              </w:rPr>
            </w:pPr>
          </w:p>
        </w:tc>
      </w:tr>
      <w:tr w14:paraId="2D332087">
        <w:tblPrEx>
          <w:tblCellMar>
            <w:top w:w="0" w:type="dxa"/>
            <w:left w:w="108" w:type="dxa"/>
            <w:bottom w:w="0" w:type="dxa"/>
            <w:right w:w="108" w:type="dxa"/>
          </w:tblCellMar>
        </w:tblPrEx>
        <w:trPr>
          <w:trHeight w:val="345"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ign w:val="center"/>
          </w:tcPr>
          <w:p w14:paraId="32D1E8FF">
            <w:pPr>
              <w:spacing w:line="360" w:lineRule="auto"/>
              <w:jc w:val="center"/>
              <w:rPr>
                <w:rFonts w:hint="eastAsia" w:ascii="宋体" w:hAnsi="宋体" w:eastAsia="宋体" w:cs="宋体"/>
                <w:color w:val="000000"/>
                <w:szCs w:val="21"/>
              </w:rPr>
            </w:pP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280B0E67">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16</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1DC0B6BC">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环境卫生</w:t>
            </w:r>
          </w:p>
        </w:tc>
        <w:tc>
          <w:tcPr>
            <w:tcW w:w="3493" w:type="dxa"/>
            <w:tcBorders>
              <w:top w:val="single" w:color="000000" w:sz="4" w:space="0"/>
              <w:left w:val="single" w:color="000000" w:sz="4" w:space="0"/>
              <w:bottom w:val="single" w:color="000000" w:sz="4" w:space="0"/>
              <w:right w:val="single" w:color="000000" w:sz="4" w:space="0"/>
            </w:tcBorders>
            <w:vAlign w:val="center"/>
          </w:tcPr>
          <w:p w14:paraId="5A6ACB39">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室外无影响安全的堆积物，室内卫生好，门窗无破损，无小动物可进入的风孔，达到者得满分5分，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每发现一处不合格扣1分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C2663EB">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DA1A464">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8BAC656">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977D335">
            <w:pPr>
              <w:spacing w:line="360" w:lineRule="auto"/>
              <w:jc w:val="center"/>
              <w:rPr>
                <w:rFonts w:hint="eastAsia" w:ascii="宋体" w:hAnsi="宋体" w:eastAsia="宋体" w:cs="宋体"/>
                <w:color w:val="000000"/>
                <w:szCs w:val="21"/>
              </w:rPr>
            </w:pPr>
          </w:p>
        </w:tc>
      </w:tr>
      <w:tr w14:paraId="79561A45">
        <w:tblPrEx>
          <w:tblCellMar>
            <w:top w:w="0" w:type="dxa"/>
            <w:left w:w="108" w:type="dxa"/>
            <w:bottom w:w="0" w:type="dxa"/>
            <w:right w:w="108" w:type="dxa"/>
          </w:tblCellMar>
        </w:tblPrEx>
        <w:trPr>
          <w:trHeight w:val="660" w:hRule="atLeast"/>
          <w:jc w:val="center"/>
        </w:trPr>
        <w:tc>
          <w:tcPr>
            <w:tcW w:w="544" w:type="dxa"/>
            <w:tcBorders>
              <w:top w:val="single" w:color="000000" w:sz="4" w:space="0"/>
              <w:left w:val="single" w:color="000000" w:sz="4" w:space="0"/>
              <w:bottom w:val="single" w:color="000000" w:sz="4" w:space="0"/>
              <w:right w:val="single" w:color="000000" w:sz="4" w:space="0"/>
            </w:tcBorders>
            <w:noWrap/>
            <w:vAlign w:val="center"/>
          </w:tcPr>
          <w:p w14:paraId="745946C6">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基础资料</w:t>
            </w:r>
          </w:p>
        </w:tc>
        <w:tc>
          <w:tcPr>
            <w:tcW w:w="455" w:type="dxa"/>
            <w:tcBorders>
              <w:top w:val="single" w:color="000000" w:sz="4" w:space="0"/>
              <w:left w:val="single" w:color="000000" w:sz="4" w:space="0"/>
              <w:bottom w:val="single" w:color="000000" w:sz="4" w:space="0"/>
              <w:right w:val="single" w:color="000000" w:sz="4" w:space="0"/>
            </w:tcBorders>
            <w:noWrap/>
            <w:vAlign w:val="center"/>
          </w:tcPr>
          <w:p w14:paraId="45730296">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17</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64074DDF">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规章制度、记录、各种图纸</w:t>
            </w:r>
          </w:p>
        </w:tc>
        <w:tc>
          <w:tcPr>
            <w:tcW w:w="3493" w:type="dxa"/>
            <w:tcBorders>
              <w:top w:val="single" w:color="000000" w:sz="4" w:space="0"/>
              <w:left w:val="single" w:color="000000" w:sz="4" w:space="0"/>
              <w:bottom w:val="single" w:color="000000" w:sz="4" w:space="0"/>
              <w:right w:val="single" w:color="000000" w:sz="4" w:space="0"/>
            </w:tcBorders>
            <w:vAlign w:val="center"/>
          </w:tcPr>
          <w:p w14:paraId="458498D8">
            <w:pPr>
              <w:widowControl/>
              <w:spacing w:line="360"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各种规章制度、记录、图纸等资料齐全得10分，每缺一项扣2分，超过3箱不得分，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记录准确、字体规范无涂改，得5分，每发现一处不合格者扣0.2分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CFBEC77">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5BE0C56">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5F9B507">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C4077A0">
            <w:pPr>
              <w:spacing w:line="360" w:lineRule="auto"/>
              <w:jc w:val="center"/>
              <w:rPr>
                <w:rFonts w:hint="eastAsia" w:ascii="宋体" w:hAnsi="宋体" w:eastAsia="宋体" w:cs="宋体"/>
                <w:color w:val="000000"/>
                <w:szCs w:val="21"/>
              </w:rPr>
            </w:pPr>
          </w:p>
        </w:tc>
      </w:tr>
      <w:tr w14:paraId="0CF87639">
        <w:tblPrEx>
          <w:tblCellMar>
            <w:top w:w="0" w:type="dxa"/>
            <w:left w:w="108" w:type="dxa"/>
            <w:bottom w:w="0" w:type="dxa"/>
            <w:right w:w="108" w:type="dxa"/>
          </w:tblCellMar>
        </w:tblPrEx>
        <w:trPr>
          <w:trHeight w:val="580" w:hRule="atLeast"/>
          <w:jc w:val="center"/>
        </w:trPr>
        <w:tc>
          <w:tcPr>
            <w:tcW w:w="999" w:type="dxa"/>
            <w:gridSpan w:val="2"/>
            <w:tcBorders>
              <w:top w:val="single" w:color="000000" w:sz="4" w:space="0"/>
              <w:left w:val="single" w:color="000000" w:sz="4" w:space="0"/>
              <w:bottom w:val="single" w:color="000000" w:sz="4" w:space="0"/>
              <w:right w:val="single" w:color="000000" w:sz="4" w:space="0"/>
            </w:tcBorders>
            <w:noWrap/>
            <w:vAlign w:val="center"/>
          </w:tcPr>
          <w:p w14:paraId="2E4272C5">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总分</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3FD23001">
            <w:pPr>
              <w:spacing w:line="360" w:lineRule="auto"/>
              <w:jc w:val="center"/>
              <w:rPr>
                <w:rFonts w:hint="eastAsia" w:ascii="宋体" w:hAnsi="宋体" w:eastAsia="宋体" w:cs="宋体"/>
                <w:color w:val="000000"/>
                <w:szCs w:val="21"/>
              </w:rPr>
            </w:pPr>
          </w:p>
        </w:tc>
        <w:tc>
          <w:tcPr>
            <w:tcW w:w="3493" w:type="dxa"/>
            <w:tcBorders>
              <w:top w:val="single" w:color="000000" w:sz="4" w:space="0"/>
              <w:left w:val="single" w:color="000000" w:sz="4" w:space="0"/>
              <w:bottom w:val="single" w:color="000000" w:sz="4" w:space="0"/>
              <w:right w:val="single" w:color="000000" w:sz="4" w:space="0"/>
            </w:tcBorders>
            <w:noWrap/>
            <w:vAlign w:val="center"/>
          </w:tcPr>
          <w:p w14:paraId="644F8107">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EEC8FF8">
            <w:pPr>
              <w:widowControl/>
              <w:spacing w:line="360"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100分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4839966">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B8A4A85">
            <w:pPr>
              <w:spacing w:line="360" w:lineRule="auto"/>
              <w:jc w:val="center"/>
              <w:rPr>
                <w:rFonts w:hint="eastAsia" w:ascii="宋体" w:hAnsi="宋体" w:eastAsia="宋体" w:cs="宋体"/>
                <w:color w:val="000000"/>
                <w:szCs w:val="21"/>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825FEDA">
            <w:pPr>
              <w:spacing w:line="360" w:lineRule="auto"/>
              <w:jc w:val="center"/>
              <w:rPr>
                <w:rFonts w:hint="eastAsia" w:ascii="宋体" w:hAnsi="宋体" w:eastAsia="宋体" w:cs="宋体"/>
                <w:color w:val="000000"/>
                <w:szCs w:val="21"/>
              </w:rPr>
            </w:pPr>
          </w:p>
        </w:tc>
      </w:tr>
    </w:tbl>
    <w:p w14:paraId="18F99302">
      <w:pPr>
        <w:pStyle w:val="25"/>
        <w:sectPr>
          <w:pgSz w:w="11906" w:h="16838"/>
          <w:pgMar w:top="1440" w:right="1800" w:bottom="1440" w:left="1800" w:header="1191" w:footer="992" w:gutter="0"/>
          <w:cols w:space="720" w:num="1"/>
          <w:docGrid w:type="lines" w:linePitch="312" w:charSpace="0"/>
        </w:sectPr>
      </w:pPr>
    </w:p>
    <w:p w14:paraId="2D8ACABE">
      <w:pPr>
        <w:tabs>
          <w:tab w:val="left" w:pos="0"/>
        </w:tabs>
        <w:spacing w:line="360" w:lineRule="auto"/>
        <w:jc w:val="left"/>
        <w:rPr>
          <w:rFonts w:hint="eastAsia" w:ascii="宋体" w:hAnsi="宋体" w:eastAsia="宋体" w:cs="Arial"/>
          <w:bCs/>
          <w:sz w:val="36"/>
          <w:szCs w:val="36"/>
        </w:rPr>
      </w:pPr>
      <w:r>
        <w:rPr>
          <w:rFonts w:hint="eastAsia" w:ascii="宋体" w:hAnsi="宋体" w:eastAsia="宋体" w:cs="宋体"/>
          <w:szCs w:val="21"/>
        </w:rPr>
        <w:t xml:space="preserve">                  </w:t>
      </w:r>
      <w:r>
        <w:rPr>
          <w:rFonts w:hint="eastAsia" w:ascii="宋体" w:hAnsi="宋体" w:eastAsia="宋体" w:cs="Arial"/>
          <w:b/>
          <w:bCs/>
          <w:sz w:val="36"/>
          <w:szCs w:val="36"/>
        </w:rPr>
        <w:t>第五章 评审方法和评审标准</w:t>
      </w:r>
    </w:p>
    <w:p w14:paraId="31D08ADC">
      <w:pPr>
        <w:pStyle w:val="102"/>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6A9F07E1">
      <w:pPr>
        <w:ind w:left="420" w:leftChars="200" w:firstLine="420" w:firstLineChars="200"/>
        <w:rPr>
          <w:rFonts w:hint="eastAsia" w:ascii="宋体" w:hAnsi="宋体"/>
          <w:szCs w:val="21"/>
        </w:rPr>
      </w:pPr>
      <w:r>
        <w:rPr>
          <w:rFonts w:hint="eastAsia" w:ascii="宋体" w:hAnsi="宋体" w:eastAsia="宋体" w:cs="宋体"/>
          <w:szCs w:val="21"/>
        </w:rPr>
        <w:t>本次评标采用综合评分法，即在满足采购文件实质性要求前提下，按照采购文件中规定的评分标准和各项因素进行综合评审后，以评标总得分最高的投标人作为中标候选人。得分相同的，按投标报价由低到高顺序排列。得分且投标报价相同的，按技术服务方案优劣顺序排列本综合评分法采用百分制形式，具体分值详见本细则。</w:t>
      </w:r>
    </w:p>
    <w:p w14:paraId="43F8CEDB">
      <w:pPr>
        <w:pStyle w:val="107"/>
        <w:ind w:firstLine="422"/>
      </w:pPr>
      <w:r>
        <w:rPr>
          <w:rFonts w:hint="eastAsia" w:ascii="宋体" w:hAnsi="宋体" w:eastAsia="宋体" w:cs="Times New Roman"/>
          <w:b/>
          <w:szCs w:val="21"/>
        </w:rPr>
        <w:t>二、评分标准</w:t>
      </w:r>
    </w:p>
    <w:tbl>
      <w:tblPr>
        <w:tblStyle w:val="3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055"/>
      </w:tblGrid>
      <w:tr w14:paraId="5E60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107824DC">
            <w:pPr>
              <w:spacing w:line="360" w:lineRule="auto"/>
              <w:ind w:firstLine="210" w:firstLineChars="100"/>
              <w:rPr>
                <w:rFonts w:hint="eastAsia" w:ascii="宋体" w:hAnsi="宋体" w:cs="宋体"/>
                <w:bCs/>
                <w:szCs w:val="21"/>
              </w:rPr>
            </w:pPr>
            <w:r>
              <w:rPr>
                <w:rFonts w:hint="eastAsia" w:ascii="宋体" w:hAnsi="宋体" w:cs="宋体"/>
                <w:bCs/>
                <w:szCs w:val="21"/>
              </w:rPr>
              <w:t>项 目</w:t>
            </w:r>
          </w:p>
        </w:tc>
        <w:tc>
          <w:tcPr>
            <w:tcW w:w="8055" w:type="dxa"/>
            <w:tcBorders>
              <w:top w:val="single" w:color="auto" w:sz="4" w:space="0"/>
              <w:left w:val="single" w:color="auto" w:sz="4" w:space="0"/>
              <w:bottom w:val="single" w:color="auto" w:sz="4" w:space="0"/>
              <w:right w:val="single" w:color="auto" w:sz="4" w:space="0"/>
            </w:tcBorders>
            <w:vAlign w:val="center"/>
          </w:tcPr>
          <w:p w14:paraId="5240FE15">
            <w:pPr>
              <w:spacing w:line="360" w:lineRule="auto"/>
              <w:ind w:firstLine="1955" w:firstLineChars="931"/>
              <w:rPr>
                <w:rFonts w:hint="eastAsia" w:ascii="宋体" w:hAnsi="宋体" w:cs="宋体"/>
                <w:bCs/>
                <w:szCs w:val="21"/>
              </w:rPr>
            </w:pPr>
            <w:r>
              <w:rPr>
                <w:rFonts w:hint="eastAsia" w:ascii="宋体" w:hAnsi="宋体" w:cs="宋体"/>
                <w:bCs/>
                <w:szCs w:val="21"/>
              </w:rPr>
              <w:t>评  分  标  准</w:t>
            </w:r>
          </w:p>
        </w:tc>
      </w:tr>
      <w:tr w14:paraId="2A8E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00" w:type="dxa"/>
            <w:tcBorders>
              <w:top w:val="single" w:color="auto" w:sz="4" w:space="0"/>
              <w:left w:val="single" w:color="auto" w:sz="4" w:space="0"/>
              <w:right w:val="single" w:color="auto" w:sz="4" w:space="0"/>
            </w:tcBorders>
            <w:vAlign w:val="center"/>
          </w:tcPr>
          <w:p w14:paraId="060F1956">
            <w:pPr>
              <w:spacing w:line="360" w:lineRule="auto"/>
              <w:jc w:val="center"/>
              <w:rPr>
                <w:rFonts w:hint="eastAsia" w:ascii="宋体" w:hAnsi="宋体" w:cs="宋体"/>
                <w:bCs/>
                <w:szCs w:val="21"/>
              </w:rPr>
            </w:pPr>
            <w:r>
              <w:rPr>
                <w:rFonts w:hint="eastAsia" w:ascii="宋体" w:hAnsi="宋体" w:cs="宋体"/>
                <w:bCs/>
                <w:szCs w:val="21"/>
              </w:rPr>
              <w:t>价格分</w:t>
            </w:r>
          </w:p>
          <w:p w14:paraId="786DD840">
            <w:pPr>
              <w:spacing w:line="360" w:lineRule="auto"/>
              <w:jc w:val="center"/>
              <w:rPr>
                <w:rFonts w:hint="eastAsia" w:ascii="宋体" w:hAnsi="宋体" w:cs="宋体"/>
                <w:bCs/>
                <w:szCs w:val="21"/>
              </w:rPr>
            </w:pPr>
            <w:r>
              <w:rPr>
                <w:rFonts w:hint="eastAsia" w:ascii="宋体" w:hAnsi="宋体" w:cs="宋体"/>
                <w:bCs/>
                <w:szCs w:val="21"/>
              </w:rPr>
              <w:t>（60分）</w:t>
            </w:r>
          </w:p>
        </w:tc>
        <w:tc>
          <w:tcPr>
            <w:tcW w:w="8055" w:type="dxa"/>
            <w:tcBorders>
              <w:top w:val="single" w:color="auto" w:sz="4" w:space="0"/>
              <w:left w:val="single" w:color="auto" w:sz="4" w:space="0"/>
              <w:bottom w:val="single" w:color="auto" w:sz="4" w:space="0"/>
              <w:right w:val="single" w:color="auto" w:sz="4" w:space="0"/>
            </w:tcBorders>
            <w:vAlign w:val="center"/>
          </w:tcPr>
          <w:p w14:paraId="495EEB3C">
            <w:pPr>
              <w:spacing w:line="360" w:lineRule="auto"/>
            </w:pPr>
            <w:r>
              <w:rPr>
                <w:rFonts w:hint="eastAsia"/>
              </w:rPr>
              <w:t>价格分采用低价优先法计算，即满足采购文件要求且报价最低的投标单位报价为评标基准价，其价格分为满分60分，其它投标人的价格分统一按照以下公式计算：</w:t>
            </w:r>
          </w:p>
          <w:p w14:paraId="76BD7219">
            <w:pPr>
              <w:spacing w:line="360" w:lineRule="auto"/>
              <w:rPr>
                <w:rFonts w:hint="eastAsia"/>
              </w:rPr>
            </w:pPr>
            <w:r>
              <w:rPr>
                <w:rFonts w:hint="eastAsia"/>
              </w:rPr>
              <w:t>投标报价得分=(最低报价/该投标人的投标报价)×60分。</w:t>
            </w:r>
          </w:p>
          <w:p w14:paraId="254EC9B0">
            <w:pPr>
              <w:spacing w:line="360" w:lineRule="auto"/>
              <w:rPr>
                <w:rFonts w:hint="eastAsia" w:ascii="宋体" w:hAnsi="宋体" w:cs="宋体"/>
                <w:szCs w:val="21"/>
              </w:rPr>
            </w:pPr>
            <w:r>
              <w:rPr>
                <w:rFonts w:hint="eastAsia"/>
                <w:lang w:val="en-US" w:eastAsia="zh-CN"/>
              </w:rPr>
              <w:t>注：</w:t>
            </w:r>
            <w:r>
              <w:rPr>
                <w:rFonts w:hint="eastAsia" w:ascii="宋体" w:hAnsi="宋体" w:cs="宋体"/>
                <w:b w:val="0"/>
                <w:bCs/>
                <w:color w:val="000000"/>
                <w:sz w:val="21"/>
                <w:szCs w:val="21"/>
              </w:rPr>
              <w:t>磋商小组认为供应商的报价明显低于其他通过符合性审查供应商的报价，有可能影响产品质量或者不能诚信履约的，将要求其在评标现场合理的时间内提供书面说明，必要时提交相关证明材料；供应商若不能证明其报价合理性的，磋商小组将其作为无效投标处理。</w:t>
            </w:r>
          </w:p>
        </w:tc>
      </w:tr>
      <w:tr w14:paraId="5D9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00" w:type="dxa"/>
            <w:tcBorders>
              <w:top w:val="single" w:color="auto" w:sz="4" w:space="0"/>
              <w:left w:val="single" w:color="auto" w:sz="4" w:space="0"/>
              <w:right w:val="single" w:color="auto" w:sz="4" w:space="0"/>
            </w:tcBorders>
            <w:vAlign w:val="center"/>
          </w:tcPr>
          <w:p w14:paraId="14450F9E">
            <w:pPr>
              <w:spacing w:line="360" w:lineRule="auto"/>
              <w:jc w:val="center"/>
              <w:rPr>
                <w:rFonts w:hint="eastAsia" w:ascii="宋体" w:hAnsi="宋体" w:cs="宋体"/>
                <w:bCs/>
                <w:szCs w:val="21"/>
              </w:rPr>
            </w:pPr>
            <w:r>
              <w:rPr>
                <w:rFonts w:hint="eastAsia" w:ascii="宋体" w:hAnsi="宋体" w:cs="宋体"/>
                <w:bCs/>
                <w:szCs w:val="21"/>
              </w:rPr>
              <w:t>服务方案</w:t>
            </w:r>
          </w:p>
          <w:p w14:paraId="460EFAAE">
            <w:pPr>
              <w:spacing w:line="360" w:lineRule="auto"/>
              <w:jc w:val="center"/>
              <w:rPr>
                <w:rFonts w:hint="eastAsia" w:ascii="宋体" w:hAnsi="宋体" w:cs="宋体"/>
                <w:bCs/>
                <w:szCs w:val="21"/>
              </w:rPr>
            </w:pPr>
            <w:r>
              <w:rPr>
                <w:rFonts w:hint="eastAsia" w:ascii="宋体" w:hAnsi="宋体" w:cs="宋体"/>
                <w:bCs/>
                <w:szCs w:val="21"/>
              </w:rPr>
              <w:t>（24分）</w:t>
            </w:r>
          </w:p>
        </w:tc>
        <w:tc>
          <w:tcPr>
            <w:tcW w:w="8055" w:type="dxa"/>
            <w:tcBorders>
              <w:top w:val="single" w:color="auto" w:sz="4" w:space="0"/>
              <w:left w:val="single" w:color="auto" w:sz="4" w:space="0"/>
              <w:right w:val="single" w:color="auto" w:sz="4" w:space="0"/>
            </w:tcBorders>
            <w:vAlign w:val="center"/>
          </w:tcPr>
          <w:p w14:paraId="610A748E">
            <w:pPr>
              <w:spacing w:line="360" w:lineRule="auto"/>
            </w:pPr>
            <w:r>
              <w:rPr>
                <w:rFonts w:hint="eastAsia"/>
              </w:rPr>
              <w:t>1、服务整体方案（16分）</w:t>
            </w:r>
          </w:p>
          <w:p w14:paraId="75CDF354">
            <w:pPr>
              <w:spacing w:line="360" w:lineRule="auto"/>
            </w:pPr>
            <w:r>
              <w:rPr>
                <w:rFonts w:hint="eastAsia"/>
              </w:rPr>
              <w:t>针对本项目需求和如何满足考核标准的服务方案，方案具体且措施得力得16分；方案基本能够满足学院运行需求且措施较得力得10分；方案较差且措施一般得4分；方案明显不能满足本项目需要且措施不得力或未提供方案的，不得分。</w:t>
            </w:r>
          </w:p>
          <w:p w14:paraId="295AD1E4">
            <w:pPr>
              <w:spacing w:line="360" w:lineRule="auto"/>
            </w:pPr>
            <w:r>
              <w:rPr>
                <w:rFonts w:hint="eastAsia"/>
              </w:rPr>
              <w:t>2、前期进退场接管验收方案（4分）</w:t>
            </w:r>
          </w:p>
          <w:p w14:paraId="42806C8E">
            <w:pPr>
              <w:spacing w:line="360" w:lineRule="auto"/>
            </w:pPr>
            <w:r>
              <w:rPr>
                <w:rFonts w:hint="eastAsia"/>
              </w:rPr>
              <w:t>针对所提供的进退场交接服务方案比较。方案针对性强、完整度高、可行性高的得4分；方案针对性较强、较完整、可行性一般的得2分；方案针对性一般、完整性一般、有可行性的得1分；未提供不得分。</w:t>
            </w:r>
          </w:p>
          <w:p w14:paraId="1B81A89F">
            <w:pPr>
              <w:spacing w:line="360" w:lineRule="auto"/>
            </w:pPr>
            <w:r>
              <w:rPr>
                <w:rFonts w:hint="eastAsia"/>
              </w:rPr>
              <w:t>3、突发事件处理方案（4分）</w:t>
            </w:r>
          </w:p>
          <w:p w14:paraId="751F6EB1">
            <w:pPr>
              <w:spacing w:line="360" w:lineRule="auto"/>
              <w:rPr>
                <w:rFonts w:hint="eastAsia" w:ascii="宋体" w:hAnsi="宋体" w:cs="宋体"/>
                <w:szCs w:val="24"/>
              </w:rPr>
            </w:pPr>
            <w:r>
              <w:rPr>
                <w:rFonts w:hint="eastAsia"/>
              </w:rPr>
              <w:t>针对本项目的特殊性制定的紧急情况处理预案比较。预案科学合理，重点突出，针对性强，措施有效的得4分；预案较合理，针对性较强，措施有效的得2分；预案一般，针对性一般，措施一般的得1分；未提供不得分。</w:t>
            </w:r>
          </w:p>
        </w:tc>
      </w:tr>
      <w:tr w14:paraId="22A3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200" w:type="dxa"/>
            <w:tcBorders>
              <w:left w:val="single" w:color="auto" w:sz="4" w:space="0"/>
              <w:right w:val="single" w:color="auto" w:sz="4" w:space="0"/>
            </w:tcBorders>
            <w:vAlign w:val="center"/>
          </w:tcPr>
          <w:p w14:paraId="0F8F6DF9">
            <w:pPr>
              <w:pStyle w:val="18"/>
              <w:spacing w:line="360" w:lineRule="auto"/>
              <w:ind w:left="0" w:leftChars="0"/>
            </w:pPr>
            <w:r>
              <w:rPr>
                <w:rFonts w:hint="eastAsia"/>
              </w:rPr>
              <w:t>综合实力（16分）</w:t>
            </w:r>
          </w:p>
        </w:tc>
        <w:tc>
          <w:tcPr>
            <w:tcW w:w="8055" w:type="dxa"/>
            <w:tcBorders>
              <w:top w:val="single" w:color="auto" w:sz="4" w:space="0"/>
              <w:left w:val="single" w:color="auto" w:sz="4" w:space="0"/>
              <w:right w:val="single" w:color="auto" w:sz="4" w:space="0"/>
            </w:tcBorders>
            <w:vAlign w:val="center"/>
          </w:tcPr>
          <w:p w14:paraId="6A5C87F4">
            <w:pPr>
              <w:spacing w:line="360" w:lineRule="auto"/>
            </w:pPr>
            <w:r>
              <w:rPr>
                <w:rFonts w:hint="eastAsia"/>
              </w:rPr>
              <w:t>1、体系认证情况（6分）</w:t>
            </w:r>
          </w:p>
          <w:p w14:paraId="29DAA319">
            <w:pPr>
              <w:spacing w:line="360" w:lineRule="auto"/>
            </w:pPr>
            <w:r>
              <w:rPr>
                <w:rFonts w:hint="eastAsia"/>
              </w:rPr>
              <w:t>投标人具有有效的质量管理体系认证、环境管理体系认证、职业健康安全体系认证，且认证范围包含本项目服务范围相关内容，每个得2分，满分得6分（认证证书必须在全国认证认可信息公开服务平台查询为有效状态，须提供证书和查询网页截图）。</w:t>
            </w:r>
          </w:p>
          <w:p w14:paraId="34C1FD13">
            <w:pPr>
              <w:numPr>
                <w:ilvl w:val="0"/>
                <w:numId w:val="10"/>
              </w:numPr>
              <w:spacing w:line="360" w:lineRule="auto"/>
            </w:pPr>
            <w:r>
              <w:rPr>
                <w:rFonts w:hint="eastAsia"/>
              </w:rPr>
              <w:t>业绩证明（10分）</w:t>
            </w:r>
          </w:p>
          <w:p w14:paraId="75714952">
            <w:pPr>
              <w:spacing w:line="360" w:lineRule="auto"/>
            </w:pPr>
            <w:r>
              <w:rPr>
                <w:rFonts w:hint="eastAsia"/>
              </w:rPr>
              <w:t>投标人提供2022年10月1日以来承担的不同单位的类似项目案例，且业主单位服务评价为优秀的，每个合同得2分，最多得10分。</w:t>
            </w:r>
          </w:p>
          <w:p w14:paraId="75A4B173">
            <w:pPr>
              <w:spacing w:line="360" w:lineRule="auto"/>
            </w:pPr>
            <w:r>
              <w:rPr>
                <w:rFonts w:hint="eastAsia"/>
              </w:rPr>
              <w:t>注：日期以合同签订日期为准，提供合同及服务评价复印件加盖公章，否则不得分。提供的证明文件需体现上述要求，否则不得分。</w:t>
            </w:r>
          </w:p>
        </w:tc>
      </w:tr>
      <w:tr w14:paraId="0439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55" w:type="dxa"/>
            <w:gridSpan w:val="2"/>
            <w:tcBorders>
              <w:top w:val="single" w:color="auto" w:sz="4" w:space="0"/>
              <w:left w:val="single" w:color="auto" w:sz="4" w:space="0"/>
              <w:bottom w:val="single" w:color="auto" w:sz="4" w:space="0"/>
              <w:right w:val="single" w:color="auto" w:sz="4" w:space="0"/>
            </w:tcBorders>
            <w:vAlign w:val="center"/>
          </w:tcPr>
          <w:p w14:paraId="425FD519">
            <w:pPr>
              <w:spacing w:line="360" w:lineRule="auto"/>
              <w:jc w:val="center"/>
              <w:rPr>
                <w:rFonts w:hint="eastAsia" w:ascii="宋体" w:hAnsi="宋体" w:cs="宋体"/>
                <w:szCs w:val="21"/>
              </w:rPr>
            </w:pPr>
            <w:r>
              <w:rPr>
                <w:rFonts w:hint="eastAsia" w:ascii="宋体" w:hAnsi="宋体" w:cs="宋体"/>
                <w:szCs w:val="21"/>
              </w:rPr>
              <w:t>合计：100分</w:t>
            </w:r>
          </w:p>
        </w:tc>
      </w:tr>
    </w:tbl>
    <w:p w14:paraId="375FB51C">
      <w:pPr>
        <w:pStyle w:val="107"/>
        <w:ind w:firstLine="420"/>
      </w:pPr>
    </w:p>
    <w:p w14:paraId="1EE4DB6D">
      <w:pPr>
        <w:tabs>
          <w:tab w:val="left" w:pos="780"/>
        </w:tabs>
        <w:ind w:left="420"/>
        <w:rPr>
          <w:rFonts w:ascii="Times New Roman" w:hAnsi="Times New Roman" w:eastAsia="宋体" w:cs="Times New Roman"/>
          <w:szCs w:val="24"/>
        </w:rPr>
      </w:pPr>
    </w:p>
    <w:p w14:paraId="4F6C95FF">
      <w:pPr>
        <w:ind w:firstLine="420"/>
        <w:rPr>
          <w:rFonts w:ascii="楷体_GB2312" w:hAnsi="Times New Roman" w:eastAsia="楷体_GB2312" w:cs="Times New Roman"/>
          <w:sz w:val="32"/>
          <w:szCs w:val="21"/>
        </w:rPr>
      </w:pPr>
    </w:p>
    <w:p w14:paraId="49961291">
      <w:pPr>
        <w:keepNext/>
        <w:keepLines/>
        <w:spacing w:before="260" w:after="260" w:line="360" w:lineRule="auto"/>
        <w:jc w:val="center"/>
        <w:outlineLvl w:val="1"/>
        <w:rPr>
          <w:rFonts w:hint="eastAsia" w:ascii="宋体" w:hAnsi="宋体" w:eastAsia="宋体" w:cs="Arial"/>
          <w:b/>
          <w:bCs/>
          <w:sz w:val="44"/>
          <w:szCs w:val="44"/>
        </w:rPr>
        <w:sectPr>
          <w:pgSz w:w="11906" w:h="16838"/>
          <w:pgMar w:top="1440" w:right="1800" w:bottom="1440" w:left="1800" w:header="1191" w:footer="992" w:gutter="0"/>
          <w:cols w:space="720" w:num="1"/>
          <w:docGrid w:type="lines" w:linePitch="312" w:charSpace="0"/>
        </w:sectPr>
      </w:pPr>
    </w:p>
    <w:p w14:paraId="3C5A6889">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第六章  竞争性磋商响应文件格式</w:t>
      </w:r>
    </w:p>
    <w:p w14:paraId="32559B69">
      <w:pPr>
        <w:keepNext/>
        <w:keepLines/>
        <w:spacing w:before="260" w:after="260" w:line="360" w:lineRule="auto"/>
        <w:jc w:val="center"/>
        <w:outlineLvl w:val="1"/>
        <w:rPr>
          <w:rFonts w:hint="eastAsia" w:ascii="宋体" w:hAnsi="宋体" w:eastAsia="宋体" w:cs="Arial"/>
          <w:b/>
          <w:bCs/>
          <w:sz w:val="44"/>
          <w:szCs w:val="44"/>
        </w:rPr>
      </w:pPr>
    </w:p>
    <w:p w14:paraId="7FE467D3">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 xml:space="preserve"> </w:t>
      </w:r>
    </w:p>
    <w:p w14:paraId="323F10A0">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竞争性磋商响应文件</w:t>
      </w:r>
    </w:p>
    <w:p w14:paraId="19FA9EBF">
      <w:pPr>
        <w:keepNext/>
        <w:keepLines/>
        <w:spacing w:before="260" w:after="260" w:line="480" w:lineRule="auto"/>
        <w:jc w:val="center"/>
        <w:outlineLvl w:val="1"/>
        <w:rPr>
          <w:rFonts w:hint="eastAsia" w:ascii="宋体" w:hAnsi="宋体" w:eastAsia="宋体" w:cs="Arial"/>
          <w:b/>
          <w:bCs/>
          <w:sz w:val="44"/>
          <w:szCs w:val="44"/>
        </w:rPr>
      </w:pPr>
    </w:p>
    <w:p w14:paraId="1DB8FB41">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（正本或副本）</w:t>
      </w:r>
    </w:p>
    <w:p w14:paraId="7FD1EE99">
      <w:pPr>
        <w:keepNext/>
        <w:keepLines/>
        <w:spacing w:before="260" w:after="260" w:line="480" w:lineRule="auto"/>
        <w:jc w:val="center"/>
        <w:outlineLvl w:val="1"/>
        <w:rPr>
          <w:rFonts w:hint="eastAsia" w:ascii="宋体" w:hAnsi="宋体" w:eastAsia="宋体" w:cs="Arial"/>
          <w:b/>
          <w:bCs/>
          <w:sz w:val="44"/>
          <w:szCs w:val="44"/>
        </w:rPr>
      </w:pPr>
    </w:p>
    <w:p w14:paraId="3C79D59B">
      <w:pPr>
        <w:keepNext/>
        <w:keepLines/>
        <w:spacing w:before="260" w:after="260" w:line="480" w:lineRule="auto"/>
        <w:jc w:val="center"/>
        <w:outlineLvl w:val="1"/>
        <w:rPr>
          <w:rFonts w:hint="eastAsia" w:ascii="宋体" w:hAnsi="宋体" w:eastAsia="宋体" w:cs="Arial"/>
          <w:b/>
          <w:bCs/>
          <w:sz w:val="44"/>
          <w:szCs w:val="44"/>
        </w:rPr>
      </w:pPr>
    </w:p>
    <w:p w14:paraId="26B7AB2D">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项目名称：</w:t>
      </w:r>
      <w:r>
        <w:rPr>
          <w:rFonts w:hint="eastAsia" w:ascii="宋体" w:hAnsi="宋体" w:eastAsia="宋体" w:cs="Arial"/>
          <w:bCs/>
          <w:kern w:val="0"/>
          <w:sz w:val="32"/>
          <w:szCs w:val="32"/>
          <w:u w:val="single"/>
        </w:rPr>
        <w:t>2025年-2027年高压配电房服务外包项目</w:t>
      </w:r>
    </w:p>
    <w:p w14:paraId="651AA006">
      <w:pPr>
        <w:tabs>
          <w:tab w:val="left" w:pos="2410"/>
        </w:tabs>
        <w:adjustRightInd w:val="0"/>
        <w:spacing w:before="120" w:after="120" w:line="360" w:lineRule="auto"/>
        <w:ind w:left="1134" w:leftChars="540"/>
        <w:jc w:val="left"/>
        <w:textAlignment w:val="baseline"/>
        <w:rPr>
          <w:rFonts w:hint="eastAsia" w:ascii="宋体" w:hAnsi="宋体" w:eastAsia="宋体" w:cs="Arial"/>
          <w:b/>
          <w:bCs/>
          <w:kern w:val="0"/>
          <w:sz w:val="32"/>
          <w:szCs w:val="32"/>
        </w:rPr>
      </w:pPr>
      <w:r>
        <w:rPr>
          <w:rFonts w:hint="eastAsia" w:ascii="宋体" w:hAnsi="宋体" w:eastAsia="宋体" w:cs="Arial"/>
          <w:bCs/>
          <w:kern w:val="0"/>
          <w:sz w:val="32"/>
          <w:szCs w:val="32"/>
        </w:rPr>
        <w:t>项目编号：</w:t>
      </w:r>
      <w:r>
        <w:rPr>
          <w:rFonts w:hint="eastAsia" w:ascii="宋体" w:hAnsi="宋体" w:eastAsia="宋体" w:cs="Arial"/>
          <w:bCs/>
          <w:kern w:val="0"/>
          <w:sz w:val="32"/>
          <w:szCs w:val="32"/>
          <w:u w:val="single"/>
        </w:rPr>
        <w:t>TDCG2025043号</w:t>
      </w:r>
    </w:p>
    <w:p w14:paraId="1CDC437B">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 xml:space="preserve">磋商供应商名称：               </w:t>
      </w:r>
    </w:p>
    <w:p w14:paraId="2D4BAE0F">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日期：</w:t>
      </w:r>
    </w:p>
    <w:p w14:paraId="0F87BD1A">
      <w:pPr>
        <w:keepNext/>
        <w:keepLines/>
        <w:spacing w:before="260" w:after="260" w:line="360" w:lineRule="auto"/>
        <w:jc w:val="center"/>
        <w:outlineLvl w:val="1"/>
        <w:rPr>
          <w:rFonts w:hint="eastAsia" w:ascii="宋体" w:hAnsi="宋体" w:eastAsia="宋体" w:cs="Times New Roman"/>
          <w:b/>
          <w:sz w:val="28"/>
          <w:szCs w:val="28"/>
        </w:rPr>
      </w:pPr>
      <w:bookmarkStart w:id="137" w:name="_Toc513029281"/>
      <w:bookmarkStart w:id="138" w:name="_Toc120614291"/>
      <w:bookmarkStart w:id="139" w:name="_Toc49090582"/>
      <w:bookmarkStart w:id="140" w:name="_Toc23828483"/>
      <w:bookmarkStart w:id="141" w:name="_Toc26554103"/>
      <w:bookmarkStart w:id="142" w:name="_Toc120614284"/>
      <w:bookmarkStart w:id="143" w:name="_Toc24878535"/>
      <w:bookmarkStart w:id="144" w:name="_Toc22356583"/>
      <w:r>
        <w:rPr>
          <w:rFonts w:ascii="宋体" w:hAnsi="宋体" w:eastAsia="宋体" w:cs="Times New Roman"/>
          <w:b/>
          <w:sz w:val="28"/>
          <w:szCs w:val="28"/>
        </w:rPr>
        <w:br w:type="page"/>
      </w:r>
      <w:r>
        <w:rPr>
          <w:rFonts w:hint="eastAsia" w:ascii="宋体" w:hAnsi="宋体" w:eastAsia="宋体" w:cs="Times New Roman"/>
          <w:b/>
          <w:sz w:val="28"/>
          <w:szCs w:val="28"/>
        </w:rPr>
        <w:t>评分索引表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58F4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3CAC9199">
            <w:pPr>
              <w:widowControl/>
              <w:shd w:val="clear" w:color="auto" w:fill="FFFFFF"/>
              <w:spacing w:line="360" w:lineRule="auto"/>
              <w:ind w:left="420"/>
              <w:contextualSpacing/>
              <w:jc w:val="center"/>
              <w:rPr>
                <w:rFonts w:hint="eastAsia" w:ascii="宋体" w:hAnsi="宋体" w:eastAsia="宋体" w:cs="Times New Roman"/>
                <w:b/>
                <w:bCs/>
                <w:kern w:val="0"/>
                <w:szCs w:val="21"/>
                <w:lang w:bidi="en-US"/>
              </w:rPr>
            </w:pPr>
            <w:r>
              <w:rPr>
                <w:rFonts w:hint="eastAsia" w:ascii="宋体" w:hAnsi="宋体" w:eastAsia="宋体" w:cs="Times New Roman"/>
                <w:b/>
                <w:kern w:val="0"/>
                <w:szCs w:val="21"/>
                <w:lang w:eastAsia="en-US" w:bidi="en-US"/>
              </w:rPr>
              <w:t>评分项目</w:t>
            </w:r>
          </w:p>
        </w:tc>
        <w:tc>
          <w:tcPr>
            <w:tcW w:w="3570" w:type="dxa"/>
          </w:tcPr>
          <w:p w14:paraId="78BB358F">
            <w:pPr>
              <w:spacing w:line="360" w:lineRule="auto"/>
              <w:jc w:val="center"/>
              <w:rPr>
                <w:rFonts w:hint="eastAsia" w:ascii="宋体" w:hAnsi="宋体" w:eastAsia="宋体" w:cs="Times New Roman"/>
                <w:b/>
                <w:szCs w:val="21"/>
              </w:rPr>
            </w:pPr>
            <w:r>
              <w:rPr>
                <w:rFonts w:hint="eastAsia" w:ascii="宋体" w:hAnsi="宋体" w:eastAsia="宋体" w:cs="Times New Roman"/>
                <w:b/>
                <w:kern w:val="0"/>
                <w:szCs w:val="21"/>
                <w:lang w:bidi="en-US"/>
              </w:rPr>
              <w:t>在响应文件中的页码位置</w:t>
            </w:r>
          </w:p>
        </w:tc>
      </w:tr>
      <w:tr w14:paraId="00A5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15204C85">
            <w:pPr>
              <w:widowControl/>
              <w:shd w:val="clear" w:color="auto" w:fill="FFFFFF"/>
              <w:spacing w:line="360" w:lineRule="auto"/>
              <w:ind w:left="420"/>
              <w:contextualSpacing/>
              <w:rPr>
                <w:rFonts w:hint="eastAsia" w:ascii="宋体" w:hAnsi="宋体" w:eastAsia="宋体" w:cs="Times New Roman"/>
                <w:b/>
                <w:kern w:val="0"/>
                <w:szCs w:val="21"/>
                <w:lang w:bidi="en-US"/>
              </w:rPr>
            </w:pPr>
          </w:p>
        </w:tc>
        <w:tc>
          <w:tcPr>
            <w:tcW w:w="3570" w:type="dxa"/>
          </w:tcPr>
          <w:p w14:paraId="0417C895">
            <w:pPr>
              <w:spacing w:line="360" w:lineRule="auto"/>
              <w:rPr>
                <w:rFonts w:hint="eastAsia" w:ascii="宋体" w:hAnsi="宋体" w:eastAsia="宋体" w:cs="Times New Roman"/>
                <w:b/>
                <w:kern w:val="0"/>
                <w:szCs w:val="21"/>
                <w:lang w:bidi="en-US"/>
              </w:rPr>
            </w:pPr>
          </w:p>
        </w:tc>
      </w:tr>
      <w:tr w14:paraId="5759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65648851">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3A24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87AF7C0">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71A7FAD">
            <w:pPr>
              <w:spacing w:line="360" w:lineRule="auto"/>
              <w:rPr>
                <w:rFonts w:hint="eastAsia" w:ascii="宋体" w:hAnsi="宋体" w:eastAsia="宋体" w:cs="Times New Roman"/>
                <w:szCs w:val="21"/>
              </w:rPr>
            </w:pPr>
          </w:p>
        </w:tc>
      </w:tr>
      <w:tr w14:paraId="71E6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89FD65B">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30CF62B">
            <w:pPr>
              <w:spacing w:line="360" w:lineRule="auto"/>
              <w:rPr>
                <w:rFonts w:hint="eastAsia" w:ascii="宋体" w:hAnsi="宋体" w:eastAsia="宋体" w:cs="Times New Roman"/>
                <w:szCs w:val="21"/>
              </w:rPr>
            </w:pPr>
          </w:p>
        </w:tc>
      </w:tr>
      <w:tr w14:paraId="5E34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56D4F046">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9878233">
            <w:pPr>
              <w:spacing w:line="360" w:lineRule="auto"/>
              <w:rPr>
                <w:rFonts w:hint="eastAsia" w:ascii="宋体" w:hAnsi="宋体" w:eastAsia="宋体" w:cs="Times New Roman"/>
                <w:szCs w:val="21"/>
              </w:rPr>
            </w:pPr>
          </w:p>
        </w:tc>
      </w:tr>
      <w:tr w14:paraId="74DC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3DE5786C">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70D5F8C3">
            <w:pPr>
              <w:spacing w:line="360" w:lineRule="auto"/>
              <w:rPr>
                <w:rFonts w:hint="eastAsia" w:ascii="宋体" w:hAnsi="宋体" w:eastAsia="宋体" w:cs="Times New Roman"/>
                <w:szCs w:val="21"/>
              </w:rPr>
            </w:pPr>
          </w:p>
        </w:tc>
      </w:tr>
      <w:tr w14:paraId="082E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CDEE296">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4E3ECA7B">
            <w:pPr>
              <w:spacing w:line="360" w:lineRule="auto"/>
              <w:rPr>
                <w:rFonts w:hint="eastAsia" w:ascii="宋体" w:hAnsi="宋体" w:eastAsia="宋体" w:cs="Times New Roman"/>
                <w:szCs w:val="21"/>
              </w:rPr>
            </w:pPr>
          </w:p>
        </w:tc>
      </w:tr>
      <w:tr w14:paraId="760D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27E5B341">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2778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0532604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36FC24EC">
            <w:pPr>
              <w:spacing w:line="360" w:lineRule="auto"/>
              <w:rPr>
                <w:rFonts w:hint="eastAsia" w:ascii="宋体" w:hAnsi="宋体" w:eastAsia="宋体" w:cs="Times New Roman"/>
                <w:szCs w:val="21"/>
              </w:rPr>
            </w:pPr>
          </w:p>
        </w:tc>
      </w:tr>
      <w:tr w14:paraId="17E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35621AB0">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E12BB40">
            <w:pPr>
              <w:spacing w:line="360" w:lineRule="auto"/>
              <w:rPr>
                <w:rFonts w:hint="eastAsia" w:ascii="宋体" w:hAnsi="宋体" w:eastAsia="宋体" w:cs="Times New Roman"/>
                <w:szCs w:val="21"/>
              </w:rPr>
            </w:pPr>
          </w:p>
        </w:tc>
      </w:tr>
      <w:tr w14:paraId="47B6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7E9F012D">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35A0EB5A">
            <w:pPr>
              <w:spacing w:line="360" w:lineRule="auto"/>
              <w:rPr>
                <w:rFonts w:hint="eastAsia" w:ascii="宋体" w:hAnsi="宋体" w:eastAsia="宋体" w:cs="Times New Roman"/>
                <w:szCs w:val="21"/>
              </w:rPr>
            </w:pPr>
          </w:p>
        </w:tc>
      </w:tr>
      <w:tr w14:paraId="34A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48471381">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9EB7163">
            <w:pPr>
              <w:spacing w:line="360" w:lineRule="auto"/>
              <w:rPr>
                <w:rFonts w:hint="eastAsia" w:ascii="宋体" w:hAnsi="宋体" w:eastAsia="宋体" w:cs="Times New Roman"/>
                <w:szCs w:val="21"/>
              </w:rPr>
            </w:pPr>
          </w:p>
        </w:tc>
      </w:tr>
      <w:tr w14:paraId="5DCB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25AEB90C">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42845AA9">
            <w:pPr>
              <w:spacing w:line="360" w:lineRule="auto"/>
              <w:rPr>
                <w:rFonts w:hint="eastAsia" w:ascii="宋体" w:hAnsi="宋体" w:eastAsia="宋体" w:cs="Times New Roman"/>
                <w:szCs w:val="21"/>
              </w:rPr>
            </w:pPr>
          </w:p>
        </w:tc>
      </w:tr>
      <w:tr w14:paraId="3F9E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1024F935">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0FFA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C912383">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5A8A875B">
            <w:pPr>
              <w:spacing w:line="360" w:lineRule="auto"/>
              <w:rPr>
                <w:rFonts w:hint="eastAsia" w:ascii="宋体" w:hAnsi="宋体" w:eastAsia="宋体" w:cs="Times New Roman"/>
                <w:szCs w:val="21"/>
              </w:rPr>
            </w:pPr>
          </w:p>
        </w:tc>
      </w:tr>
      <w:tr w14:paraId="1624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7C9E3AB9">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484DA31">
            <w:pPr>
              <w:spacing w:line="360" w:lineRule="auto"/>
              <w:rPr>
                <w:rFonts w:hint="eastAsia" w:ascii="宋体" w:hAnsi="宋体" w:eastAsia="宋体" w:cs="Times New Roman"/>
                <w:szCs w:val="21"/>
              </w:rPr>
            </w:pPr>
          </w:p>
        </w:tc>
      </w:tr>
      <w:tr w14:paraId="24A3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4D6E9C95">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49C34137">
            <w:pPr>
              <w:spacing w:line="360" w:lineRule="auto"/>
              <w:rPr>
                <w:rFonts w:hint="eastAsia" w:ascii="宋体" w:hAnsi="宋体" w:eastAsia="宋体" w:cs="Times New Roman"/>
                <w:szCs w:val="21"/>
              </w:rPr>
            </w:pPr>
          </w:p>
        </w:tc>
      </w:tr>
      <w:tr w14:paraId="38EE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348133AA">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31C0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2F29DFCB">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Pr>
          <w:p w14:paraId="5316D2A3">
            <w:pPr>
              <w:spacing w:line="360" w:lineRule="auto"/>
              <w:rPr>
                <w:rFonts w:hint="eastAsia" w:ascii="宋体" w:hAnsi="宋体" w:eastAsia="宋体" w:cs="Times New Roman"/>
                <w:szCs w:val="21"/>
              </w:rPr>
            </w:pPr>
          </w:p>
        </w:tc>
      </w:tr>
      <w:tr w14:paraId="4A1E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4254AF8D">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Borders>
              <w:bottom w:val="single" w:color="auto" w:sz="4" w:space="0"/>
            </w:tcBorders>
          </w:tcPr>
          <w:p w14:paraId="12797CAF">
            <w:pPr>
              <w:spacing w:line="360" w:lineRule="auto"/>
              <w:rPr>
                <w:rFonts w:hint="eastAsia" w:ascii="宋体" w:hAnsi="宋体" w:eastAsia="宋体" w:cs="Times New Roman"/>
                <w:szCs w:val="21"/>
              </w:rPr>
            </w:pPr>
          </w:p>
        </w:tc>
      </w:tr>
    </w:tbl>
    <w:p w14:paraId="506E32C6">
      <w:pPr>
        <w:spacing w:line="360" w:lineRule="auto"/>
        <w:rPr>
          <w:rFonts w:hint="eastAsia" w:ascii="宋体" w:hAnsi="宋体" w:eastAsia="宋体" w:cs="Times New Roman"/>
          <w:color w:val="FF0000"/>
          <w:szCs w:val="24"/>
        </w:rPr>
      </w:pPr>
    </w:p>
    <w:p w14:paraId="3949497D">
      <w:pPr>
        <w:spacing w:line="360" w:lineRule="auto"/>
        <w:jc w:val="center"/>
        <w:rPr>
          <w:rFonts w:hint="eastAsia" w:ascii="宋体" w:hAnsi="宋体" w:eastAsia="宋体" w:cs="Times New Roman"/>
          <w:b/>
          <w:bCs/>
          <w:szCs w:val="21"/>
        </w:rPr>
      </w:pPr>
      <w:r>
        <w:rPr>
          <w:rFonts w:ascii="宋体" w:hAnsi="宋体" w:eastAsia="宋体" w:cs="Times New Roman"/>
          <w:b/>
          <w:color w:val="000000"/>
          <w:sz w:val="32"/>
          <w:szCs w:val="32"/>
        </w:rPr>
        <w:br w:type="page"/>
      </w:r>
      <w:r>
        <w:rPr>
          <w:rFonts w:hint="eastAsia" w:ascii="宋体" w:hAnsi="宋体" w:eastAsia="宋体" w:cs="Times New Roman"/>
          <w:b/>
          <w:bCs/>
          <w:szCs w:val="21"/>
        </w:rPr>
        <w:t>响应文件主要目录</w:t>
      </w:r>
    </w:p>
    <w:p w14:paraId="5BE7B45E">
      <w:pPr>
        <w:spacing w:line="360" w:lineRule="auto"/>
        <w:jc w:val="center"/>
        <w:rPr>
          <w:rFonts w:hint="eastAsia" w:ascii="宋体" w:hAnsi="宋体" w:eastAsia="宋体" w:cs="Times New Roman"/>
          <w:b/>
          <w:bCs/>
          <w:szCs w:val="21"/>
        </w:rPr>
      </w:pPr>
    </w:p>
    <w:p w14:paraId="4B2AD58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一、资格性和符合性检查响应对照表</w:t>
      </w:r>
    </w:p>
    <w:p w14:paraId="4DB1226B">
      <w:pPr>
        <w:spacing w:line="360" w:lineRule="auto"/>
        <w:ind w:firstLine="422" w:firstLineChars="200"/>
        <w:rPr>
          <w:rFonts w:hint="eastAsia" w:ascii="宋体" w:hAnsi="宋体" w:eastAsia="宋体" w:cs="Times New Roman"/>
          <w:bCs/>
          <w:szCs w:val="21"/>
        </w:rPr>
      </w:pPr>
      <w:r>
        <w:rPr>
          <w:rFonts w:hint="eastAsia" w:ascii="宋体" w:hAnsi="宋体" w:eastAsia="宋体" w:cs="Times New Roman"/>
          <w:b/>
          <w:bCs/>
          <w:szCs w:val="21"/>
        </w:rPr>
        <w:t>二</w:t>
      </w:r>
      <w:r>
        <w:rPr>
          <w:rFonts w:hint="eastAsia" w:ascii="宋体" w:hAnsi="宋体" w:eastAsia="宋体" w:cs="Times New Roman"/>
          <w:szCs w:val="21"/>
        </w:rPr>
        <w:t>、</w:t>
      </w:r>
      <w:r>
        <w:rPr>
          <w:rFonts w:hint="eastAsia" w:ascii="宋体" w:hAnsi="宋体" w:eastAsia="宋体" w:cs="Times New Roman"/>
          <w:bCs/>
          <w:szCs w:val="21"/>
        </w:rPr>
        <w:t>资信证明文件</w:t>
      </w:r>
    </w:p>
    <w:p w14:paraId="16EDA53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三、磋商响应函</w:t>
      </w:r>
    </w:p>
    <w:p w14:paraId="3BE599B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四、磋商响应报价表</w:t>
      </w:r>
    </w:p>
    <w:p w14:paraId="5A884D9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五、分项报价表</w:t>
      </w:r>
    </w:p>
    <w:p w14:paraId="03D1AE5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六、技术参数响应及偏离表</w:t>
      </w:r>
    </w:p>
    <w:p w14:paraId="40C8A97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七、商务条款响应及偏离表</w:t>
      </w:r>
    </w:p>
    <w:p w14:paraId="2BC4BA7A">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八</w:t>
      </w:r>
      <w:r>
        <w:rPr>
          <w:rFonts w:hint="eastAsia" w:ascii="宋体" w:hAnsi="宋体" w:eastAsia="宋体" w:cs="Courier New"/>
          <w:szCs w:val="21"/>
        </w:rPr>
        <w:t>、</w:t>
      </w:r>
      <w:r>
        <w:rPr>
          <w:rFonts w:ascii="宋体" w:hAnsi="宋体" w:eastAsia="宋体" w:cs="Courier New"/>
          <w:szCs w:val="21"/>
        </w:rPr>
        <w:t>……</w:t>
      </w:r>
    </w:p>
    <w:p w14:paraId="1D464A2B">
      <w:pPr>
        <w:keepNext/>
        <w:keepLines/>
        <w:spacing w:before="260" w:after="260" w:line="360" w:lineRule="auto"/>
        <w:jc w:val="center"/>
        <w:outlineLvl w:val="1"/>
        <w:rPr>
          <w:rFonts w:hint="eastAsia" w:ascii="宋体" w:hAnsi="宋体" w:eastAsia="幼圆" w:cs="Times New Roman"/>
          <w:color w:val="000000"/>
          <w:sz w:val="32"/>
          <w:szCs w:val="32"/>
        </w:rPr>
      </w:pPr>
    </w:p>
    <w:p w14:paraId="2427F2E3">
      <w:pPr>
        <w:spacing w:line="360" w:lineRule="auto"/>
        <w:jc w:val="center"/>
        <w:rPr>
          <w:rFonts w:hint="eastAsia" w:ascii="宋体" w:hAnsi="宋体" w:eastAsia="宋体" w:cs="Times New Roman"/>
          <w:b/>
          <w:color w:val="000000"/>
          <w:szCs w:val="21"/>
        </w:rPr>
      </w:pPr>
    </w:p>
    <w:p w14:paraId="231C5927">
      <w:pPr>
        <w:spacing w:line="360" w:lineRule="auto"/>
        <w:jc w:val="center"/>
        <w:rPr>
          <w:rFonts w:hint="eastAsia" w:ascii="宋体" w:hAnsi="宋体" w:eastAsia="宋体" w:cs="Times New Roman"/>
          <w:b/>
          <w:color w:val="000000"/>
          <w:szCs w:val="21"/>
        </w:rPr>
      </w:pPr>
    </w:p>
    <w:p w14:paraId="6B79538C">
      <w:pPr>
        <w:spacing w:line="360" w:lineRule="auto"/>
        <w:jc w:val="center"/>
        <w:rPr>
          <w:rFonts w:hint="eastAsia" w:ascii="宋体" w:hAnsi="宋体" w:eastAsia="宋体" w:cs="Times New Roman"/>
          <w:b/>
          <w:color w:val="000000"/>
          <w:szCs w:val="21"/>
        </w:rPr>
      </w:pPr>
    </w:p>
    <w:p w14:paraId="255E5591">
      <w:pPr>
        <w:spacing w:line="360" w:lineRule="auto"/>
        <w:jc w:val="center"/>
        <w:rPr>
          <w:rFonts w:hint="eastAsia" w:ascii="宋体" w:hAnsi="宋体" w:eastAsia="宋体" w:cs="Times New Roman"/>
          <w:b/>
          <w:color w:val="000000"/>
          <w:szCs w:val="21"/>
        </w:rPr>
      </w:pPr>
    </w:p>
    <w:p w14:paraId="0B73CAE4">
      <w:pPr>
        <w:spacing w:line="360" w:lineRule="auto"/>
        <w:jc w:val="center"/>
        <w:rPr>
          <w:rFonts w:hint="eastAsia" w:ascii="宋体" w:hAnsi="宋体" w:eastAsia="宋体" w:cs="Times New Roman"/>
          <w:b/>
          <w:color w:val="000000"/>
          <w:szCs w:val="21"/>
        </w:rPr>
      </w:pPr>
    </w:p>
    <w:p w14:paraId="4432C2B9">
      <w:pPr>
        <w:spacing w:line="360" w:lineRule="auto"/>
        <w:jc w:val="center"/>
        <w:rPr>
          <w:rFonts w:hint="eastAsia" w:ascii="宋体" w:hAnsi="宋体" w:eastAsia="宋体" w:cs="Times New Roman"/>
          <w:b/>
          <w:color w:val="000000"/>
          <w:szCs w:val="21"/>
        </w:rPr>
      </w:pPr>
    </w:p>
    <w:p w14:paraId="36F9DA41">
      <w:pPr>
        <w:spacing w:line="360" w:lineRule="auto"/>
        <w:jc w:val="center"/>
        <w:rPr>
          <w:rFonts w:hint="eastAsia" w:ascii="宋体" w:hAnsi="宋体" w:eastAsia="宋体" w:cs="Times New Roman"/>
          <w:b/>
          <w:color w:val="000000"/>
          <w:szCs w:val="21"/>
        </w:rPr>
      </w:pPr>
    </w:p>
    <w:p w14:paraId="4C28825A">
      <w:pPr>
        <w:spacing w:line="360" w:lineRule="auto"/>
        <w:jc w:val="center"/>
        <w:rPr>
          <w:rFonts w:hint="eastAsia" w:ascii="宋体" w:hAnsi="宋体" w:eastAsia="宋体" w:cs="Times New Roman"/>
          <w:b/>
          <w:color w:val="000000"/>
          <w:szCs w:val="21"/>
        </w:rPr>
      </w:pPr>
    </w:p>
    <w:p w14:paraId="54B0AC1C">
      <w:pPr>
        <w:spacing w:line="360" w:lineRule="auto"/>
        <w:jc w:val="center"/>
        <w:rPr>
          <w:rFonts w:hint="eastAsia" w:ascii="宋体" w:hAnsi="宋体" w:eastAsia="宋体" w:cs="Times New Roman"/>
          <w:b/>
          <w:color w:val="000000"/>
          <w:szCs w:val="21"/>
        </w:rPr>
      </w:pPr>
    </w:p>
    <w:p w14:paraId="5F47BB09">
      <w:pPr>
        <w:spacing w:line="360" w:lineRule="auto"/>
        <w:jc w:val="center"/>
        <w:rPr>
          <w:rFonts w:hint="eastAsia" w:ascii="宋体" w:hAnsi="宋体" w:eastAsia="宋体" w:cs="Times New Roman"/>
          <w:b/>
          <w:color w:val="000000"/>
          <w:szCs w:val="21"/>
        </w:rPr>
      </w:pPr>
    </w:p>
    <w:p w14:paraId="01349AFB">
      <w:pPr>
        <w:spacing w:line="360" w:lineRule="auto"/>
        <w:jc w:val="center"/>
        <w:rPr>
          <w:rFonts w:hint="eastAsia" w:ascii="宋体" w:hAnsi="宋体" w:eastAsia="宋体" w:cs="Times New Roman"/>
          <w:b/>
          <w:color w:val="000000"/>
          <w:szCs w:val="21"/>
        </w:rPr>
      </w:pPr>
    </w:p>
    <w:p w14:paraId="759C51DC">
      <w:pPr>
        <w:spacing w:line="360" w:lineRule="auto"/>
        <w:jc w:val="center"/>
        <w:rPr>
          <w:rFonts w:hint="eastAsia" w:ascii="宋体" w:hAnsi="宋体" w:eastAsia="宋体" w:cs="Times New Roman"/>
          <w:b/>
          <w:color w:val="000000"/>
          <w:szCs w:val="21"/>
        </w:rPr>
      </w:pPr>
    </w:p>
    <w:p w14:paraId="52B8B5AB">
      <w:pPr>
        <w:spacing w:line="360" w:lineRule="auto"/>
        <w:jc w:val="center"/>
        <w:rPr>
          <w:rFonts w:hint="eastAsia" w:ascii="宋体" w:hAnsi="宋体" w:eastAsia="宋体" w:cs="Times New Roman"/>
          <w:b/>
          <w:color w:val="000000"/>
          <w:szCs w:val="21"/>
        </w:rPr>
      </w:pPr>
    </w:p>
    <w:p w14:paraId="2361DA48">
      <w:pPr>
        <w:spacing w:line="360" w:lineRule="auto"/>
        <w:jc w:val="center"/>
        <w:rPr>
          <w:rFonts w:hint="eastAsia" w:ascii="宋体" w:hAnsi="宋体" w:eastAsia="宋体" w:cs="Times New Roman"/>
          <w:b/>
          <w:color w:val="000000"/>
          <w:szCs w:val="21"/>
        </w:rPr>
      </w:pPr>
    </w:p>
    <w:p w14:paraId="173BD76A">
      <w:pPr>
        <w:spacing w:line="360" w:lineRule="auto"/>
        <w:jc w:val="center"/>
        <w:rPr>
          <w:rFonts w:hint="eastAsia" w:ascii="宋体" w:hAnsi="宋体" w:eastAsia="宋体" w:cs="Times New Roman"/>
          <w:b/>
          <w:color w:val="000000"/>
          <w:szCs w:val="21"/>
        </w:rPr>
      </w:pPr>
    </w:p>
    <w:p w14:paraId="314D2B25">
      <w:pPr>
        <w:spacing w:line="360" w:lineRule="auto"/>
        <w:jc w:val="center"/>
        <w:rPr>
          <w:rFonts w:hint="eastAsia" w:ascii="宋体" w:hAnsi="宋体" w:eastAsia="宋体" w:cs="Times New Roman"/>
          <w:b/>
          <w:color w:val="000000"/>
          <w:szCs w:val="21"/>
        </w:rPr>
      </w:pPr>
    </w:p>
    <w:p w14:paraId="58F92175">
      <w:pPr>
        <w:spacing w:line="360" w:lineRule="auto"/>
        <w:jc w:val="center"/>
        <w:rPr>
          <w:rFonts w:hint="eastAsia" w:ascii="宋体" w:hAnsi="宋体" w:eastAsia="宋体" w:cs="Times New Roman"/>
          <w:b/>
          <w:color w:val="000000"/>
          <w:szCs w:val="21"/>
        </w:rPr>
      </w:pPr>
    </w:p>
    <w:p w14:paraId="71CC6467">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一、资格性和符合性检查响应对照表</w:t>
      </w:r>
    </w:p>
    <w:p w14:paraId="7220A136">
      <w:pPr>
        <w:spacing w:line="360" w:lineRule="auto"/>
        <w:ind w:firstLine="309"/>
        <w:rPr>
          <w:rFonts w:hint="eastAsia" w:ascii="宋体" w:hAnsi="宋体" w:eastAsia="宋体" w:cs="Times New Roman"/>
          <w:color w:val="000000"/>
          <w:szCs w:val="21"/>
        </w:rPr>
      </w:pPr>
      <w:r>
        <w:rPr>
          <w:rFonts w:hint="eastAsia" w:ascii="宋体" w:hAnsi="宋体" w:eastAsia="宋体" w:cs="Times New Roman"/>
          <w:color w:val="000000"/>
          <w:szCs w:val="21"/>
        </w:rPr>
        <w:t>磋商供应商全称（加盖公章）：</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20D3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7CA0BC91">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序号</w:t>
            </w:r>
          </w:p>
        </w:tc>
        <w:tc>
          <w:tcPr>
            <w:tcW w:w="5447" w:type="dxa"/>
            <w:vAlign w:val="center"/>
          </w:tcPr>
          <w:p w14:paraId="1ED91716">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资格和符合性检查响应内容</w:t>
            </w:r>
          </w:p>
        </w:tc>
        <w:tc>
          <w:tcPr>
            <w:tcW w:w="1680" w:type="dxa"/>
            <w:vAlign w:val="center"/>
          </w:tcPr>
          <w:p w14:paraId="3D751975">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是否响应</w:t>
            </w:r>
          </w:p>
          <w:p w14:paraId="6A075752">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（填是或者否）</w:t>
            </w:r>
          </w:p>
        </w:tc>
        <w:tc>
          <w:tcPr>
            <w:tcW w:w="1785" w:type="dxa"/>
            <w:vAlign w:val="center"/>
          </w:tcPr>
          <w:p w14:paraId="7CA68F6C">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响应文件中的页码位置</w:t>
            </w:r>
          </w:p>
        </w:tc>
      </w:tr>
      <w:tr w14:paraId="0AFA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61DAE107">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1</w:t>
            </w:r>
          </w:p>
        </w:tc>
        <w:tc>
          <w:tcPr>
            <w:tcW w:w="5447" w:type="dxa"/>
            <w:vAlign w:val="center"/>
          </w:tcPr>
          <w:p w14:paraId="362ECE50">
            <w:pPr>
              <w:spacing w:line="360" w:lineRule="auto"/>
              <w:rPr>
                <w:rFonts w:hint="eastAsia" w:ascii="宋体" w:hAnsi="宋体" w:eastAsia="宋体" w:cs="Times New Roman"/>
                <w:i/>
                <w:iCs/>
                <w:color w:val="000000"/>
                <w:szCs w:val="21"/>
                <w:u w:val="single"/>
              </w:rPr>
            </w:pPr>
          </w:p>
        </w:tc>
        <w:tc>
          <w:tcPr>
            <w:tcW w:w="1680" w:type="dxa"/>
            <w:vAlign w:val="center"/>
          </w:tcPr>
          <w:p w14:paraId="4BF00CAF">
            <w:pPr>
              <w:spacing w:line="360" w:lineRule="auto"/>
              <w:rPr>
                <w:rFonts w:hint="eastAsia" w:ascii="宋体" w:hAnsi="宋体" w:eastAsia="宋体" w:cs="Times New Roman"/>
                <w:color w:val="000000"/>
                <w:szCs w:val="21"/>
              </w:rPr>
            </w:pPr>
          </w:p>
        </w:tc>
        <w:tc>
          <w:tcPr>
            <w:tcW w:w="1785" w:type="dxa"/>
            <w:vAlign w:val="center"/>
          </w:tcPr>
          <w:p w14:paraId="7D46F408">
            <w:pPr>
              <w:spacing w:line="360" w:lineRule="auto"/>
              <w:rPr>
                <w:rFonts w:hint="eastAsia" w:ascii="宋体" w:hAnsi="宋体" w:eastAsia="宋体" w:cs="Times New Roman"/>
                <w:color w:val="000000"/>
                <w:szCs w:val="21"/>
              </w:rPr>
            </w:pPr>
          </w:p>
        </w:tc>
      </w:tr>
      <w:tr w14:paraId="3850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3F4603A0">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2</w:t>
            </w:r>
          </w:p>
        </w:tc>
        <w:tc>
          <w:tcPr>
            <w:tcW w:w="5447" w:type="dxa"/>
            <w:vAlign w:val="center"/>
          </w:tcPr>
          <w:p w14:paraId="0C27793C">
            <w:pPr>
              <w:spacing w:line="360" w:lineRule="auto"/>
              <w:rPr>
                <w:rFonts w:hint="eastAsia" w:ascii="宋体" w:hAnsi="宋体" w:eastAsia="宋体" w:cs="Times New Roman"/>
                <w:i/>
                <w:iCs/>
                <w:color w:val="000000"/>
                <w:szCs w:val="21"/>
                <w:u w:val="single"/>
              </w:rPr>
            </w:pPr>
          </w:p>
        </w:tc>
        <w:tc>
          <w:tcPr>
            <w:tcW w:w="1680" w:type="dxa"/>
            <w:vAlign w:val="center"/>
          </w:tcPr>
          <w:p w14:paraId="6AB9FD9F">
            <w:pPr>
              <w:spacing w:line="360" w:lineRule="auto"/>
              <w:rPr>
                <w:rFonts w:hint="eastAsia" w:ascii="宋体" w:hAnsi="宋体" w:eastAsia="宋体" w:cs="Times New Roman"/>
                <w:color w:val="000000"/>
                <w:szCs w:val="21"/>
              </w:rPr>
            </w:pPr>
          </w:p>
        </w:tc>
        <w:tc>
          <w:tcPr>
            <w:tcW w:w="1785" w:type="dxa"/>
            <w:vAlign w:val="center"/>
          </w:tcPr>
          <w:p w14:paraId="1096C5A5">
            <w:pPr>
              <w:spacing w:line="360" w:lineRule="auto"/>
              <w:rPr>
                <w:rFonts w:hint="eastAsia" w:ascii="宋体" w:hAnsi="宋体" w:eastAsia="宋体" w:cs="Times New Roman"/>
                <w:color w:val="000000"/>
                <w:szCs w:val="21"/>
              </w:rPr>
            </w:pPr>
          </w:p>
        </w:tc>
      </w:tr>
      <w:tr w14:paraId="5DA1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72F88328">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3</w:t>
            </w:r>
          </w:p>
        </w:tc>
        <w:tc>
          <w:tcPr>
            <w:tcW w:w="5447" w:type="dxa"/>
            <w:vAlign w:val="center"/>
          </w:tcPr>
          <w:p w14:paraId="71945799">
            <w:pPr>
              <w:spacing w:line="360" w:lineRule="auto"/>
              <w:rPr>
                <w:rFonts w:hint="eastAsia" w:ascii="宋体" w:hAnsi="宋体" w:eastAsia="宋体" w:cs="Times New Roman"/>
                <w:i/>
                <w:iCs/>
                <w:color w:val="000000"/>
                <w:szCs w:val="21"/>
                <w:u w:val="single"/>
              </w:rPr>
            </w:pPr>
          </w:p>
        </w:tc>
        <w:tc>
          <w:tcPr>
            <w:tcW w:w="1680" w:type="dxa"/>
            <w:vAlign w:val="center"/>
          </w:tcPr>
          <w:p w14:paraId="48849C75">
            <w:pPr>
              <w:spacing w:line="360" w:lineRule="auto"/>
              <w:rPr>
                <w:rFonts w:hint="eastAsia" w:ascii="宋体" w:hAnsi="宋体" w:eastAsia="宋体" w:cs="Times New Roman"/>
                <w:color w:val="000000"/>
                <w:szCs w:val="21"/>
              </w:rPr>
            </w:pPr>
          </w:p>
        </w:tc>
        <w:tc>
          <w:tcPr>
            <w:tcW w:w="1785" w:type="dxa"/>
            <w:vAlign w:val="center"/>
          </w:tcPr>
          <w:p w14:paraId="75E880ED">
            <w:pPr>
              <w:spacing w:line="360" w:lineRule="auto"/>
              <w:rPr>
                <w:rFonts w:hint="eastAsia" w:ascii="宋体" w:hAnsi="宋体" w:eastAsia="宋体" w:cs="Times New Roman"/>
                <w:color w:val="000000"/>
                <w:szCs w:val="21"/>
              </w:rPr>
            </w:pPr>
          </w:p>
        </w:tc>
      </w:tr>
      <w:tr w14:paraId="2148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14:paraId="080F653B">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4</w:t>
            </w:r>
          </w:p>
        </w:tc>
        <w:tc>
          <w:tcPr>
            <w:tcW w:w="5447" w:type="dxa"/>
            <w:vAlign w:val="center"/>
          </w:tcPr>
          <w:p w14:paraId="7025E136">
            <w:pPr>
              <w:spacing w:line="360" w:lineRule="auto"/>
              <w:rPr>
                <w:rFonts w:hint="eastAsia" w:ascii="宋体" w:hAnsi="宋体" w:eastAsia="宋体" w:cs="Times New Roman"/>
                <w:i/>
                <w:iCs/>
                <w:color w:val="000000"/>
                <w:szCs w:val="21"/>
                <w:u w:val="single"/>
              </w:rPr>
            </w:pPr>
          </w:p>
        </w:tc>
        <w:tc>
          <w:tcPr>
            <w:tcW w:w="1680" w:type="dxa"/>
            <w:vAlign w:val="center"/>
          </w:tcPr>
          <w:p w14:paraId="0CA008E0">
            <w:pPr>
              <w:spacing w:line="360" w:lineRule="auto"/>
              <w:rPr>
                <w:rFonts w:hint="eastAsia" w:ascii="宋体" w:hAnsi="宋体" w:eastAsia="宋体" w:cs="Times New Roman"/>
                <w:color w:val="000000"/>
                <w:szCs w:val="21"/>
              </w:rPr>
            </w:pPr>
          </w:p>
        </w:tc>
        <w:tc>
          <w:tcPr>
            <w:tcW w:w="1785" w:type="dxa"/>
            <w:vAlign w:val="center"/>
          </w:tcPr>
          <w:p w14:paraId="07D9D246">
            <w:pPr>
              <w:spacing w:line="360" w:lineRule="auto"/>
              <w:rPr>
                <w:rFonts w:hint="eastAsia" w:ascii="宋体" w:hAnsi="宋体" w:eastAsia="宋体" w:cs="Times New Roman"/>
                <w:color w:val="000000"/>
                <w:szCs w:val="21"/>
              </w:rPr>
            </w:pPr>
          </w:p>
        </w:tc>
      </w:tr>
      <w:tr w14:paraId="627E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14:paraId="3088F95A">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5</w:t>
            </w:r>
          </w:p>
        </w:tc>
        <w:tc>
          <w:tcPr>
            <w:tcW w:w="5447" w:type="dxa"/>
            <w:vAlign w:val="center"/>
          </w:tcPr>
          <w:p w14:paraId="1C187D1E">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388B57B1">
            <w:pPr>
              <w:spacing w:line="360" w:lineRule="auto"/>
              <w:rPr>
                <w:rFonts w:hint="eastAsia" w:ascii="宋体" w:hAnsi="宋体" w:eastAsia="宋体" w:cs="Times New Roman"/>
                <w:color w:val="000000"/>
                <w:szCs w:val="21"/>
              </w:rPr>
            </w:pPr>
          </w:p>
        </w:tc>
        <w:tc>
          <w:tcPr>
            <w:tcW w:w="1785" w:type="dxa"/>
            <w:vAlign w:val="center"/>
          </w:tcPr>
          <w:p w14:paraId="40C9BB53">
            <w:pPr>
              <w:spacing w:line="360" w:lineRule="auto"/>
              <w:rPr>
                <w:rFonts w:hint="eastAsia" w:ascii="宋体" w:hAnsi="宋体" w:eastAsia="宋体" w:cs="Times New Roman"/>
                <w:color w:val="000000"/>
                <w:szCs w:val="21"/>
              </w:rPr>
            </w:pPr>
          </w:p>
        </w:tc>
      </w:tr>
      <w:tr w14:paraId="45EE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07F40C6C">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6</w:t>
            </w:r>
          </w:p>
        </w:tc>
        <w:tc>
          <w:tcPr>
            <w:tcW w:w="5447" w:type="dxa"/>
            <w:vAlign w:val="center"/>
          </w:tcPr>
          <w:p w14:paraId="0EE99555">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77A48988">
            <w:pPr>
              <w:spacing w:line="360" w:lineRule="auto"/>
              <w:rPr>
                <w:rFonts w:hint="eastAsia" w:ascii="宋体" w:hAnsi="宋体" w:eastAsia="宋体" w:cs="Times New Roman"/>
                <w:color w:val="000000"/>
                <w:szCs w:val="21"/>
              </w:rPr>
            </w:pPr>
          </w:p>
        </w:tc>
        <w:tc>
          <w:tcPr>
            <w:tcW w:w="1785" w:type="dxa"/>
            <w:vAlign w:val="center"/>
          </w:tcPr>
          <w:p w14:paraId="455ED1EE">
            <w:pPr>
              <w:spacing w:line="360" w:lineRule="auto"/>
              <w:rPr>
                <w:rFonts w:hint="eastAsia" w:ascii="宋体" w:hAnsi="宋体" w:eastAsia="宋体" w:cs="Times New Roman"/>
                <w:color w:val="000000"/>
                <w:szCs w:val="21"/>
              </w:rPr>
            </w:pPr>
          </w:p>
        </w:tc>
      </w:tr>
      <w:tr w14:paraId="7DC4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14:paraId="7537A109">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7</w:t>
            </w:r>
          </w:p>
        </w:tc>
        <w:tc>
          <w:tcPr>
            <w:tcW w:w="5447" w:type="dxa"/>
            <w:vAlign w:val="center"/>
          </w:tcPr>
          <w:p w14:paraId="16519A77">
            <w:pPr>
              <w:snapToGrid w:val="0"/>
              <w:spacing w:line="360" w:lineRule="auto"/>
              <w:rPr>
                <w:rFonts w:hint="eastAsia" w:ascii="宋体" w:hAnsi="宋体" w:eastAsia="宋体" w:cs="Times New Roman"/>
                <w:i/>
                <w:iCs/>
                <w:color w:val="000000"/>
                <w:szCs w:val="21"/>
                <w:u w:val="single"/>
              </w:rPr>
            </w:pPr>
            <w:r>
              <w:rPr>
                <w:rFonts w:hint="eastAsia" w:ascii="宋体" w:hAnsi="宋体" w:eastAsia="宋体" w:cs="Times New Roman"/>
                <w:i/>
                <w:iCs/>
                <w:color w:val="000000"/>
                <w:szCs w:val="21"/>
                <w:u w:val="single"/>
              </w:rPr>
              <w:t>磋商文件中的其他实质性要求</w:t>
            </w:r>
          </w:p>
        </w:tc>
        <w:tc>
          <w:tcPr>
            <w:tcW w:w="1680" w:type="dxa"/>
            <w:vAlign w:val="center"/>
          </w:tcPr>
          <w:p w14:paraId="480609AA">
            <w:pPr>
              <w:spacing w:line="360" w:lineRule="auto"/>
              <w:rPr>
                <w:rFonts w:hint="eastAsia" w:ascii="宋体" w:hAnsi="宋体" w:eastAsia="宋体" w:cs="Times New Roman"/>
                <w:color w:val="000000"/>
                <w:szCs w:val="21"/>
              </w:rPr>
            </w:pPr>
          </w:p>
        </w:tc>
        <w:tc>
          <w:tcPr>
            <w:tcW w:w="1785" w:type="dxa"/>
            <w:vAlign w:val="center"/>
          </w:tcPr>
          <w:p w14:paraId="507251F7">
            <w:pPr>
              <w:spacing w:line="360" w:lineRule="auto"/>
              <w:rPr>
                <w:rFonts w:hint="eastAsia" w:ascii="宋体" w:hAnsi="宋体" w:eastAsia="宋体" w:cs="Times New Roman"/>
                <w:color w:val="000000"/>
                <w:szCs w:val="21"/>
              </w:rPr>
            </w:pPr>
          </w:p>
        </w:tc>
      </w:tr>
    </w:tbl>
    <w:p w14:paraId="5932F1F5">
      <w:pPr>
        <w:spacing w:line="360" w:lineRule="auto"/>
        <w:ind w:firstLine="420" w:firstLineChars="200"/>
        <w:rPr>
          <w:rFonts w:hint="eastAsia" w:ascii="宋体" w:hAnsi="宋体" w:eastAsia="宋体" w:cs="Times New Roman"/>
          <w:szCs w:val="21"/>
        </w:rPr>
      </w:pPr>
    </w:p>
    <w:p w14:paraId="3A58D633">
      <w:pPr>
        <w:snapToGrid w:val="0"/>
        <w:spacing w:before="50" w:after="50"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1766EF5C">
      <w:pPr>
        <w:snapToGrid w:val="0"/>
        <w:spacing w:before="50" w:after="50" w:line="360" w:lineRule="auto"/>
        <w:rPr>
          <w:rFonts w:hint="eastAsia" w:ascii="宋体" w:hAnsi="宋体" w:eastAsia="宋体" w:cs="Times New Roman"/>
          <w:szCs w:val="21"/>
        </w:rPr>
      </w:pPr>
    </w:p>
    <w:p w14:paraId="053C403E">
      <w:pPr>
        <w:spacing w:line="360" w:lineRule="auto"/>
        <w:jc w:val="center"/>
        <w:rPr>
          <w:rFonts w:hint="eastAsia" w:ascii="宋体" w:hAnsi="宋体" w:eastAsia="宋体" w:cs="Times New Roman"/>
          <w:b/>
          <w:color w:val="000000"/>
          <w:szCs w:val="21"/>
        </w:rPr>
      </w:pPr>
    </w:p>
    <w:p w14:paraId="127BD813">
      <w:pPr>
        <w:spacing w:line="360" w:lineRule="auto"/>
        <w:jc w:val="center"/>
        <w:rPr>
          <w:rFonts w:hint="eastAsia" w:ascii="宋体" w:hAnsi="宋体" w:eastAsia="宋体" w:cs="Times New Roman"/>
          <w:b/>
          <w:color w:val="000000"/>
          <w:szCs w:val="21"/>
        </w:rPr>
      </w:pPr>
    </w:p>
    <w:p w14:paraId="2EDE3EE5">
      <w:pPr>
        <w:spacing w:line="360" w:lineRule="auto"/>
        <w:jc w:val="center"/>
        <w:rPr>
          <w:rFonts w:hint="eastAsia" w:ascii="宋体" w:hAnsi="宋体" w:eastAsia="宋体" w:cs="Times New Roman"/>
          <w:b/>
          <w:color w:val="000000"/>
          <w:szCs w:val="21"/>
        </w:rPr>
      </w:pPr>
    </w:p>
    <w:p w14:paraId="7DC90C29">
      <w:pPr>
        <w:spacing w:line="360" w:lineRule="auto"/>
        <w:jc w:val="center"/>
        <w:rPr>
          <w:rFonts w:hint="eastAsia" w:ascii="宋体" w:hAnsi="宋体" w:eastAsia="宋体" w:cs="Times New Roman"/>
          <w:b/>
          <w:color w:val="000000"/>
          <w:szCs w:val="21"/>
        </w:rPr>
      </w:pPr>
    </w:p>
    <w:p w14:paraId="6F77267E">
      <w:pPr>
        <w:spacing w:line="360" w:lineRule="auto"/>
        <w:jc w:val="center"/>
        <w:rPr>
          <w:rFonts w:hint="eastAsia" w:ascii="宋体" w:hAnsi="宋体" w:eastAsia="宋体" w:cs="Times New Roman"/>
          <w:b/>
          <w:color w:val="000000"/>
          <w:szCs w:val="21"/>
        </w:rPr>
      </w:pPr>
    </w:p>
    <w:p w14:paraId="403244FC">
      <w:pPr>
        <w:spacing w:line="360" w:lineRule="auto"/>
        <w:jc w:val="center"/>
        <w:rPr>
          <w:rFonts w:hint="eastAsia" w:ascii="宋体" w:hAnsi="宋体" w:eastAsia="宋体" w:cs="Times New Roman"/>
          <w:b/>
          <w:color w:val="000000"/>
          <w:szCs w:val="21"/>
        </w:rPr>
      </w:pPr>
    </w:p>
    <w:p w14:paraId="68844D39">
      <w:pPr>
        <w:spacing w:line="360" w:lineRule="auto"/>
        <w:jc w:val="center"/>
        <w:rPr>
          <w:rFonts w:hint="eastAsia" w:ascii="宋体" w:hAnsi="宋体" w:eastAsia="宋体" w:cs="Times New Roman"/>
          <w:b/>
          <w:color w:val="000000"/>
          <w:szCs w:val="21"/>
        </w:rPr>
      </w:pPr>
    </w:p>
    <w:p w14:paraId="15EF5518">
      <w:pPr>
        <w:spacing w:line="360" w:lineRule="auto"/>
        <w:rPr>
          <w:rFonts w:hint="eastAsia" w:ascii="宋体" w:hAnsi="宋体" w:eastAsia="宋体" w:cs="Times New Roman"/>
          <w:b/>
          <w:color w:val="000000"/>
          <w:szCs w:val="21"/>
        </w:rPr>
      </w:pPr>
    </w:p>
    <w:p w14:paraId="346924F4">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二、资信证明文件</w:t>
      </w:r>
    </w:p>
    <w:p w14:paraId="4E38C028">
      <w:pPr>
        <w:snapToGrid w:val="0"/>
        <w:spacing w:before="50" w:after="50" w:line="360" w:lineRule="auto"/>
        <w:rPr>
          <w:rFonts w:hint="eastAsia" w:ascii="宋体" w:hAnsi="宋体" w:eastAsia="宋体" w:cs="Times New Roman"/>
          <w:b/>
          <w:bCs/>
          <w:szCs w:val="21"/>
        </w:rPr>
      </w:pPr>
      <w:r>
        <w:rPr>
          <w:rFonts w:hint="eastAsia" w:ascii="宋体" w:hAnsi="宋体" w:eastAsia="宋体" w:cs="Times New Roman"/>
          <w:szCs w:val="21"/>
        </w:rPr>
        <w:t xml:space="preserve">   </w:t>
      </w:r>
      <w:r>
        <w:rPr>
          <w:rFonts w:hint="eastAsia" w:ascii="宋体" w:hAnsi="宋体" w:eastAsia="宋体" w:cs="Times New Roman"/>
          <w:b/>
          <w:bCs/>
          <w:szCs w:val="21"/>
        </w:rPr>
        <w:t>1、实质性资格证明文件目录</w:t>
      </w:r>
    </w:p>
    <w:p w14:paraId="071FBB80">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 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0D341B85">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 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7AEF4938">
      <w:pPr>
        <w:widowControl/>
        <w:snapToGrid w:val="0"/>
        <w:spacing w:line="360" w:lineRule="auto"/>
        <w:ind w:right="315"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 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 xml:space="preserve">； </w:t>
      </w:r>
    </w:p>
    <w:p w14:paraId="540FE1EB">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 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04E97438">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 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(税务、银行或社会保险基金管理部门出具的近六个月内任意一份缴纳职工社会保障资金的缴款凭证或缴款证明)</w:t>
      </w:r>
    </w:p>
    <w:p w14:paraId="39D8714B">
      <w:pPr>
        <w:widowControl/>
        <w:snapToGrid w:val="0"/>
        <w:spacing w:line="360" w:lineRule="auto"/>
        <w:ind w:firstLine="525"/>
        <w:jc w:val="left"/>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 供应商近六个月内任意一份依法纳税的缴款凭证</w:t>
      </w:r>
      <w:r>
        <w:rPr>
          <w:rFonts w:hint="eastAsia" w:ascii="宋体" w:hAnsi="宋体" w:eastAsia="宋体" w:cs="Arial"/>
          <w:b/>
          <w:bCs/>
          <w:i/>
          <w:iCs/>
          <w:color w:val="000000"/>
          <w:spacing w:val="-6"/>
          <w:szCs w:val="21"/>
          <w:u w:val="single"/>
        </w:rPr>
        <w:t>(复印件加盖供应商公章)</w:t>
      </w:r>
    </w:p>
    <w:p w14:paraId="453999D4">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 7上一年度财务报告（成立不足一年不需提供）</w:t>
      </w:r>
      <w:r>
        <w:rPr>
          <w:rFonts w:hint="eastAsia" w:ascii="宋体" w:hAnsi="宋体" w:eastAsia="宋体" w:cs="Arial"/>
          <w:b/>
          <w:bCs/>
          <w:i/>
          <w:iCs/>
          <w:color w:val="000000"/>
          <w:spacing w:val="-6"/>
          <w:szCs w:val="21"/>
          <w:u w:val="single"/>
        </w:rPr>
        <w:t>(复印件加盖供应商公章)</w:t>
      </w:r>
    </w:p>
    <w:p w14:paraId="0BE59B0E">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8供应商参加本次政府采购活动前3年内在经营活动中没有重大违法记录的书面声明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p>
    <w:p w14:paraId="4D6D794D">
      <w:pPr>
        <w:widowControl/>
        <w:snapToGrid w:val="0"/>
        <w:spacing w:line="360" w:lineRule="auto"/>
        <w:ind w:firstLine="525"/>
        <w:jc w:val="left"/>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9)未被“信用中国”网站（www.creditchina.gov.cn）、“中国政府采购网"(www.ccgp.gov.cn)列入失信被执行人、重大税收违法案件当事人名单、政府采购严重违法失信行为记录名单（提供网页截图加盖投标人公章）</w:t>
      </w:r>
    </w:p>
    <w:p w14:paraId="6509EF1E">
      <w:pPr>
        <w:widowControl/>
        <w:snapToGrid w:val="0"/>
        <w:spacing w:line="360" w:lineRule="auto"/>
        <w:ind w:firstLine="422" w:firstLineChars="200"/>
        <w:jc w:val="left"/>
        <w:rPr>
          <w:rFonts w:hint="eastAsia" w:ascii="宋体" w:hAnsi="宋体" w:eastAsia="宋体" w:cs="Arial"/>
          <w:color w:val="000000"/>
          <w:spacing w:val="-6"/>
          <w:szCs w:val="21"/>
        </w:rPr>
      </w:pPr>
      <w:r>
        <w:rPr>
          <w:rFonts w:hint="eastAsia" w:ascii="宋体" w:hAnsi="宋体" w:eastAsia="宋体" w:cs="Times New Roman"/>
          <w:b/>
          <w:bCs/>
          <w:szCs w:val="21"/>
        </w:rPr>
        <w:t>2、落实政府采购政策需满足的资格要求</w:t>
      </w:r>
      <w:r>
        <w:rPr>
          <w:rFonts w:hint="eastAsia" w:ascii="宋体" w:hAnsi="宋体" w:eastAsia="宋体" w:cs="Arial"/>
          <w:color w:val="000000"/>
          <w:spacing w:val="-6"/>
          <w:szCs w:val="21"/>
        </w:rPr>
        <w:t>：</w:t>
      </w:r>
      <w:r>
        <w:rPr>
          <w:rFonts w:hint="eastAsia" w:ascii="宋体" w:hAnsi="宋体" w:eastAsia="宋体" w:cs="Arial"/>
          <w:i/>
          <w:iCs/>
          <w:color w:val="000000"/>
          <w:spacing w:val="-6"/>
          <w:szCs w:val="21"/>
          <w:u w:val="single"/>
        </w:rPr>
        <w:t>无</w:t>
      </w:r>
    </w:p>
    <w:p w14:paraId="769C2516">
      <w:pPr>
        <w:pStyle w:val="13"/>
        <w:spacing w:line="360" w:lineRule="auto"/>
        <w:ind w:firstLine="422" w:firstLineChars="200"/>
        <w:rPr>
          <w:rFonts w:hint="eastAsia" w:ascii="宋体" w:hAnsi="宋体" w:eastAsia="宋体"/>
          <w:b/>
          <w:bCs/>
          <w:sz w:val="21"/>
          <w:szCs w:val="21"/>
        </w:rPr>
      </w:pPr>
      <w:r>
        <w:rPr>
          <w:rFonts w:hint="eastAsia" w:ascii="宋体" w:hAnsi="宋体" w:eastAsia="宋体"/>
          <w:b/>
          <w:bCs/>
          <w:sz w:val="21"/>
          <w:szCs w:val="21"/>
        </w:rPr>
        <w:t>3、本项目的特定资格要求：</w:t>
      </w:r>
    </w:p>
    <w:p w14:paraId="207662EA">
      <w:pPr>
        <w:pStyle w:val="13"/>
        <w:spacing w:line="360" w:lineRule="auto"/>
        <w:ind w:firstLine="594" w:firstLineChars="300"/>
        <w:rPr>
          <w:rFonts w:hint="eastAsia" w:ascii="宋体" w:hAnsi="宋体" w:eastAsia="宋体" w:cs="Arial"/>
          <w:i/>
          <w:iCs/>
          <w:color w:val="000000"/>
          <w:spacing w:val="-6"/>
          <w:sz w:val="21"/>
          <w:szCs w:val="21"/>
          <w:u w:val="single"/>
        </w:rPr>
      </w:pPr>
      <w:r>
        <w:rPr>
          <w:rFonts w:hint="eastAsia" w:ascii="宋体" w:hAnsi="宋体" w:eastAsia="宋体" w:cs="Arial"/>
          <w:i/>
          <w:iCs/>
          <w:color w:val="000000"/>
          <w:spacing w:val="-6"/>
          <w:sz w:val="21"/>
          <w:szCs w:val="21"/>
          <w:u w:val="single"/>
        </w:rPr>
        <w:t>1 承装（修、试）电力设施许可</w:t>
      </w:r>
      <w:r>
        <w:rPr>
          <w:rFonts w:hint="eastAsia" w:ascii="宋体" w:hAnsi="宋体" w:eastAsia="宋体" w:cs="Arial"/>
          <w:i/>
          <w:iCs/>
          <w:color w:val="000000"/>
          <w:spacing w:val="-6"/>
          <w:sz w:val="21"/>
          <w:szCs w:val="21"/>
          <w:highlight w:val="none"/>
          <w:u w:val="single"/>
        </w:rPr>
        <w:t>证三级</w:t>
      </w:r>
      <w:r>
        <w:rPr>
          <w:rFonts w:hint="eastAsia" w:ascii="宋体" w:hAnsi="宋体" w:eastAsia="宋体" w:cs="Arial"/>
          <w:b/>
          <w:bCs/>
          <w:i/>
          <w:iCs/>
          <w:color w:val="000000"/>
          <w:spacing w:val="-6"/>
          <w:sz w:val="21"/>
          <w:szCs w:val="21"/>
          <w:highlight w:val="none"/>
          <w:u w:val="single"/>
        </w:rPr>
        <w:t>（</w:t>
      </w:r>
      <w:r>
        <w:rPr>
          <w:rFonts w:hint="eastAsia" w:ascii="宋体" w:hAnsi="宋体" w:eastAsia="宋体" w:cs="Arial"/>
          <w:b/>
          <w:bCs/>
          <w:i/>
          <w:iCs/>
          <w:color w:val="000000"/>
          <w:spacing w:val="-6"/>
          <w:sz w:val="21"/>
          <w:szCs w:val="21"/>
          <w:u w:val="single"/>
        </w:rPr>
        <w:t>证书复印件加盖供应商公章）</w:t>
      </w:r>
    </w:p>
    <w:p w14:paraId="786F598C">
      <w:pPr>
        <w:widowControl/>
        <w:snapToGrid w:val="0"/>
        <w:spacing w:line="360" w:lineRule="auto"/>
        <w:ind w:firstLine="594" w:firstLineChars="300"/>
        <w:jc w:val="left"/>
        <w:rPr>
          <w:rFonts w:hint="eastAsia" w:ascii="宋体" w:hAnsi="宋体" w:eastAsia="宋体" w:cs="Arial"/>
          <w:color w:val="000000"/>
          <w:spacing w:val="-6"/>
          <w:szCs w:val="21"/>
          <w:highlight w:val="yellow"/>
        </w:rPr>
      </w:pPr>
      <w:r>
        <w:rPr>
          <w:rFonts w:hint="eastAsia" w:ascii="宋体" w:hAnsi="宋体" w:eastAsia="宋体" w:cs="Arial"/>
          <w:i/>
          <w:iCs/>
          <w:color w:val="000000"/>
          <w:spacing w:val="-6"/>
          <w:szCs w:val="21"/>
          <w:u w:val="single"/>
        </w:rPr>
        <w:t>2 拟驻派电工不少于</w:t>
      </w:r>
      <w:r>
        <w:rPr>
          <w:rFonts w:hint="eastAsia" w:ascii="宋体" w:hAnsi="宋体" w:cs="Arial"/>
          <w:i/>
          <w:iCs/>
          <w:color w:val="000000"/>
          <w:spacing w:val="-6"/>
          <w:szCs w:val="21"/>
          <w:u w:val="single"/>
          <w:lang w:val="en-US" w:eastAsia="zh-CN"/>
        </w:rPr>
        <w:t>6</w:t>
      </w:r>
      <w:r>
        <w:rPr>
          <w:rFonts w:hint="eastAsia" w:ascii="宋体" w:hAnsi="宋体" w:eastAsia="宋体" w:cs="Arial"/>
          <w:i/>
          <w:iCs/>
          <w:color w:val="000000"/>
          <w:spacing w:val="-6"/>
          <w:szCs w:val="21"/>
          <w:u w:val="single"/>
        </w:rPr>
        <w:t>人须持有高压电工证</w:t>
      </w:r>
      <w:r>
        <w:rPr>
          <w:rFonts w:hint="eastAsia" w:ascii="宋体" w:hAnsi="宋体" w:cs="Arial"/>
          <w:i/>
          <w:iCs/>
          <w:color w:val="000000"/>
          <w:spacing w:val="-6"/>
          <w:szCs w:val="21"/>
          <w:u w:val="single"/>
          <w:lang w:eastAsia="zh-CN"/>
        </w:rPr>
        <w:t>，</w:t>
      </w:r>
      <w:r>
        <w:rPr>
          <w:rFonts w:hint="eastAsia" w:ascii="宋体" w:hAnsi="宋体" w:cs="Arial"/>
          <w:i/>
          <w:iCs/>
          <w:color w:val="000000"/>
          <w:spacing w:val="-6"/>
          <w:szCs w:val="21"/>
          <w:u w:val="single"/>
          <w:lang w:val="en-US" w:eastAsia="zh-CN"/>
        </w:rPr>
        <w:t>其中至少2人须同时具有低压电工证</w:t>
      </w:r>
      <w:r>
        <w:rPr>
          <w:rFonts w:hint="eastAsia" w:ascii="宋体" w:hAnsi="宋体" w:eastAsia="宋体" w:cs="Arial"/>
          <w:b/>
          <w:bCs/>
          <w:i/>
          <w:iCs/>
          <w:color w:val="000000"/>
          <w:spacing w:val="-6"/>
          <w:szCs w:val="21"/>
          <w:u w:val="single"/>
        </w:rPr>
        <w:t>（证书复印件加盖供应商公章并提供投标人为其缴纳的近六个月内内任意一份的社保证明）</w:t>
      </w:r>
    </w:p>
    <w:p w14:paraId="11FC8CB7">
      <w:pPr>
        <w:widowControl/>
        <w:snapToGrid w:val="0"/>
        <w:spacing w:line="360" w:lineRule="auto"/>
        <w:ind w:firstLine="525"/>
        <w:jc w:val="left"/>
        <w:rPr>
          <w:rFonts w:hint="eastAsia" w:ascii="宋体" w:hAnsi="宋体" w:eastAsia="宋体" w:cs="Arial"/>
          <w:b/>
          <w:bCs/>
          <w:i/>
          <w:iCs/>
          <w:color w:val="000000"/>
          <w:spacing w:val="-6"/>
          <w:szCs w:val="21"/>
          <w:u w:val="single"/>
        </w:rPr>
      </w:pPr>
    </w:p>
    <w:p w14:paraId="4F363184">
      <w:pPr>
        <w:snapToGrid w:val="0"/>
        <w:spacing w:before="50" w:after="50" w:line="360" w:lineRule="auto"/>
        <w:rPr>
          <w:rFonts w:hint="eastAsia" w:ascii="宋体" w:hAnsi="宋体" w:eastAsia="宋体" w:cs="Times New Roman"/>
          <w:b/>
          <w:bCs/>
          <w:szCs w:val="21"/>
        </w:rPr>
      </w:pPr>
    </w:p>
    <w:p w14:paraId="17C9E563">
      <w:pPr>
        <w:tabs>
          <w:tab w:val="left" w:pos="360"/>
        </w:tabs>
        <w:spacing w:line="360" w:lineRule="auto"/>
        <w:ind w:firstLine="561"/>
        <w:jc w:val="center"/>
        <w:rPr>
          <w:rFonts w:hint="eastAsia" w:ascii="宋体" w:hAnsi="宋体" w:eastAsia="宋体" w:cs="Times New Roman"/>
          <w:b/>
          <w:bCs/>
          <w:szCs w:val="21"/>
        </w:rPr>
      </w:pPr>
    </w:p>
    <w:p w14:paraId="1E1E84A5">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备注：投标文件的正本和副本中均须提供上述资信证明文件。资信证明文件须清晰可辨，若有缺失或不清晰，将导致投标被拒绝且不允许在开标后补正。</w:t>
      </w:r>
    </w:p>
    <w:p w14:paraId="6571DAE2">
      <w:pPr>
        <w:tabs>
          <w:tab w:val="left" w:pos="360"/>
        </w:tabs>
        <w:spacing w:line="360" w:lineRule="auto"/>
        <w:ind w:firstLine="480"/>
        <w:rPr>
          <w:rFonts w:hint="eastAsia" w:ascii="宋体" w:hAnsi="宋体" w:eastAsia="宋体" w:cs="Times New Roman"/>
          <w:szCs w:val="21"/>
        </w:rPr>
      </w:pPr>
    </w:p>
    <w:p w14:paraId="56BEF37A">
      <w:pPr>
        <w:tabs>
          <w:tab w:val="left" w:pos="360"/>
        </w:tabs>
        <w:spacing w:line="360" w:lineRule="auto"/>
        <w:ind w:firstLine="561"/>
        <w:jc w:val="center"/>
        <w:rPr>
          <w:rFonts w:hint="eastAsia" w:ascii="宋体" w:hAnsi="宋体" w:eastAsia="宋体" w:cs="Times New Roman"/>
          <w:b/>
          <w:bCs/>
          <w:szCs w:val="21"/>
        </w:rPr>
      </w:pPr>
    </w:p>
    <w:p w14:paraId="38BD33FC">
      <w:pPr>
        <w:tabs>
          <w:tab w:val="left" w:pos="360"/>
        </w:tabs>
        <w:spacing w:line="360" w:lineRule="auto"/>
        <w:ind w:firstLine="561"/>
        <w:jc w:val="center"/>
        <w:rPr>
          <w:rFonts w:hint="eastAsia" w:ascii="宋体" w:hAnsi="宋体" w:eastAsia="宋体" w:cs="Times New Roman"/>
          <w:b/>
          <w:bCs/>
          <w:szCs w:val="21"/>
        </w:rPr>
      </w:pPr>
    </w:p>
    <w:p w14:paraId="7E65E54F">
      <w:pPr>
        <w:tabs>
          <w:tab w:val="left" w:pos="360"/>
        </w:tabs>
        <w:spacing w:line="360" w:lineRule="auto"/>
        <w:ind w:firstLine="561"/>
        <w:jc w:val="center"/>
        <w:rPr>
          <w:rFonts w:hint="eastAsia" w:ascii="宋体" w:hAnsi="宋体" w:eastAsia="宋体" w:cs="Times New Roman"/>
          <w:b/>
          <w:bCs/>
          <w:szCs w:val="21"/>
        </w:rPr>
      </w:pPr>
    </w:p>
    <w:p w14:paraId="2E67FD25">
      <w:pPr>
        <w:tabs>
          <w:tab w:val="left" w:pos="360"/>
        </w:tabs>
        <w:spacing w:line="360" w:lineRule="auto"/>
        <w:ind w:firstLine="561"/>
        <w:jc w:val="center"/>
        <w:rPr>
          <w:rFonts w:hint="eastAsia" w:ascii="宋体" w:hAnsi="宋体" w:eastAsia="宋体" w:cs="Times New Roman"/>
          <w:b/>
          <w:bCs/>
          <w:szCs w:val="21"/>
        </w:rPr>
      </w:pPr>
    </w:p>
    <w:p w14:paraId="3BC707AD">
      <w:pPr>
        <w:spacing w:line="360" w:lineRule="auto"/>
        <w:rPr>
          <w:rFonts w:hint="eastAsia" w:ascii="宋体" w:hAnsi="宋体" w:eastAsia="宋体" w:cs="Times New Roman"/>
          <w:b/>
          <w:color w:val="000000"/>
          <w:szCs w:val="21"/>
        </w:rPr>
      </w:pPr>
    </w:p>
    <w:p w14:paraId="7E74E394">
      <w:pPr>
        <w:pStyle w:val="26"/>
      </w:pPr>
    </w:p>
    <w:p w14:paraId="5B2ADDD8">
      <w:pPr>
        <w:spacing w:line="360" w:lineRule="auto"/>
        <w:jc w:val="center"/>
        <w:rPr>
          <w:rFonts w:hint="eastAsia" w:ascii="宋体" w:hAnsi="宋体" w:eastAsia="宋体" w:cs="Times New Roman"/>
          <w:b/>
          <w:szCs w:val="21"/>
        </w:rPr>
      </w:pPr>
      <w:r>
        <w:rPr>
          <w:rFonts w:hint="eastAsia" w:ascii="宋体" w:hAnsi="宋体" w:eastAsia="宋体" w:cs="Times New Roman"/>
          <w:b/>
          <w:color w:val="000000"/>
          <w:szCs w:val="21"/>
        </w:rPr>
        <w:t>三、磋商响应函</w:t>
      </w:r>
    </w:p>
    <w:p w14:paraId="399A85CF">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致：江苏唯诚建设咨询有限公司</w:t>
      </w:r>
    </w:p>
    <w:p w14:paraId="6005FF8E">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根据贵方的</w:t>
      </w:r>
      <w:r>
        <w:rPr>
          <w:rFonts w:hint="eastAsia" w:ascii="宋体" w:hAnsi="宋体" w:eastAsia="宋体" w:cs="Times New Roman"/>
          <w:szCs w:val="21"/>
          <w:u w:val="single"/>
        </w:rPr>
        <w:t xml:space="preserve">       </w:t>
      </w:r>
      <w:r>
        <w:rPr>
          <w:rFonts w:hint="eastAsia" w:ascii="宋体" w:hAnsi="宋体" w:eastAsia="宋体" w:cs="Times New Roman"/>
          <w:szCs w:val="21"/>
        </w:rPr>
        <w:t>号磋商文件，正式授权下述签字人_________ (姓名和职务)代表我方______________（供应商的名称），全权处理本次项目磋商采购的有关事宜。</w:t>
      </w:r>
    </w:p>
    <w:p w14:paraId="4B8B7611">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据此函，__________（签字人）兹宣布同意如下：</w:t>
      </w:r>
    </w:p>
    <w:p w14:paraId="3EC5484A">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1.按磋商文件规定的各项要求，向买方提供所需服务。</w:t>
      </w:r>
    </w:p>
    <w:p w14:paraId="2E0F46EE">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2.我们已详细审核全部磋商文件及其有效补充文件，我们知道必须放弃提出含糊不清或误解问题的权利。</w:t>
      </w:r>
    </w:p>
    <w:p w14:paraId="44B3CE6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3.我们同意从规定的</w:t>
      </w:r>
      <w:r>
        <w:rPr>
          <w:rFonts w:hint="eastAsia" w:ascii="宋体" w:hAnsi="宋体" w:eastAsia="宋体" w:cs="Times New Roman"/>
          <w:color w:val="000000"/>
          <w:szCs w:val="21"/>
        </w:rPr>
        <w:t>响应文件接收截止时间</w:t>
      </w:r>
      <w:r>
        <w:rPr>
          <w:rFonts w:hint="eastAsia" w:ascii="宋体" w:hAnsi="宋体" w:eastAsia="宋体" w:cs="Times New Roman"/>
          <w:szCs w:val="21"/>
        </w:rPr>
        <w:t>起遵循本响应文件，并在规定的磋商有效期期满之前均具有约束力。</w:t>
      </w:r>
    </w:p>
    <w:p w14:paraId="2AD76F5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4.同意向贵方提供贵方可能另外要求的与磋商采购有关的任何证据或资料，并保证我方已提供和将要提供的文件是真实的、准确的。</w:t>
      </w:r>
    </w:p>
    <w:p w14:paraId="5D9783D9">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5.一旦我方成交，我方将根据磋商文件的规定，严格履行合同的责任和义务，并保证在磋商文件规定的时间完成项目，交付买方验收、使用。</w:t>
      </w:r>
    </w:p>
    <w:p w14:paraId="1F5396A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6.遵守磋商文件中要求的收费项目和标准。</w:t>
      </w:r>
    </w:p>
    <w:p w14:paraId="5D646CC2">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7.与本磋商采购有关的正式通讯地址为：</w:t>
      </w:r>
    </w:p>
    <w:p w14:paraId="36E7596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地 址：                         邮 编：</w:t>
      </w:r>
    </w:p>
    <w:p w14:paraId="024AC92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电 话：                         传 真：</w:t>
      </w:r>
    </w:p>
    <w:p w14:paraId="33E8C6F1">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供应商开户行：                  账 户： </w:t>
      </w:r>
    </w:p>
    <w:p w14:paraId="5D85A524">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法定代表人或授权代表姓名（签字）：     联系电话：</w:t>
      </w:r>
    </w:p>
    <w:p w14:paraId="1761698C">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供应商名称（公章）：            </w:t>
      </w:r>
    </w:p>
    <w:p w14:paraId="603A37F7">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日 期：________年____月____日</w:t>
      </w:r>
    </w:p>
    <w:p w14:paraId="03A3E7FD">
      <w:pPr>
        <w:tabs>
          <w:tab w:val="left" w:pos="360"/>
        </w:tabs>
        <w:spacing w:line="360" w:lineRule="auto"/>
        <w:ind w:firstLine="561"/>
        <w:jc w:val="center"/>
        <w:rPr>
          <w:rFonts w:hint="eastAsia" w:ascii="宋体" w:hAnsi="宋体" w:eastAsia="宋体" w:cs="Times New Roman"/>
          <w:b/>
          <w:bCs/>
          <w:szCs w:val="21"/>
        </w:rPr>
      </w:pPr>
    </w:p>
    <w:p w14:paraId="098C21CD">
      <w:pPr>
        <w:tabs>
          <w:tab w:val="left" w:pos="360"/>
        </w:tabs>
        <w:spacing w:line="360" w:lineRule="auto"/>
        <w:ind w:firstLine="561"/>
        <w:jc w:val="center"/>
        <w:rPr>
          <w:rFonts w:hint="eastAsia" w:ascii="宋体" w:hAnsi="宋体" w:eastAsia="宋体" w:cs="Times New Roman"/>
          <w:b/>
          <w:bCs/>
          <w:szCs w:val="21"/>
        </w:rPr>
      </w:pPr>
    </w:p>
    <w:p w14:paraId="466340CC">
      <w:pPr>
        <w:tabs>
          <w:tab w:val="left" w:pos="360"/>
        </w:tabs>
        <w:spacing w:line="360" w:lineRule="auto"/>
        <w:ind w:firstLine="561"/>
        <w:jc w:val="center"/>
        <w:rPr>
          <w:rFonts w:hint="eastAsia" w:ascii="宋体" w:hAnsi="宋体" w:eastAsia="宋体" w:cs="Times New Roman"/>
          <w:b/>
          <w:bCs/>
          <w:szCs w:val="21"/>
        </w:rPr>
      </w:pPr>
    </w:p>
    <w:p w14:paraId="5FD79F1A">
      <w:pPr>
        <w:tabs>
          <w:tab w:val="left" w:pos="360"/>
        </w:tabs>
        <w:spacing w:line="360" w:lineRule="auto"/>
        <w:ind w:firstLine="561"/>
        <w:jc w:val="center"/>
        <w:rPr>
          <w:rFonts w:hint="eastAsia" w:ascii="宋体" w:hAnsi="宋体" w:eastAsia="宋体" w:cs="Times New Roman"/>
          <w:b/>
          <w:bCs/>
          <w:szCs w:val="21"/>
        </w:rPr>
      </w:pPr>
    </w:p>
    <w:p w14:paraId="4AE386EA">
      <w:pPr>
        <w:tabs>
          <w:tab w:val="left" w:pos="360"/>
        </w:tabs>
        <w:spacing w:line="360" w:lineRule="auto"/>
        <w:ind w:firstLine="561"/>
        <w:jc w:val="center"/>
        <w:rPr>
          <w:rFonts w:hint="eastAsia" w:ascii="宋体" w:hAnsi="宋体" w:eastAsia="宋体" w:cs="Times New Roman"/>
          <w:b/>
          <w:bCs/>
          <w:szCs w:val="21"/>
        </w:rPr>
      </w:pPr>
    </w:p>
    <w:p w14:paraId="4485C723">
      <w:pPr>
        <w:tabs>
          <w:tab w:val="left" w:pos="360"/>
        </w:tabs>
        <w:spacing w:line="360" w:lineRule="auto"/>
        <w:ind w:firstLine="561"/>
        <w:jc w:val="center"/>
        <w:rPr>
          <w:rFonts w:hint="eastAsia" w:ascii="宋体" w:hAnsi="宋体" w:eastAsia="宋体" w:cs="Times New Roman"/>
          <w:b/>
          <w:bCs/>
          <w:szCs w:val="21"/>
        </w:rPr>
      </w:pPr>
    </w:p>
    <w:p w14:paraId="0C55AA58">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14:paraId="6B3B7F97">
      <w:pPr>
        <w:spacing w:line="360" w:lineRule="auto"/>
        <w:ind w:firstLine="422" w:firstLineChars="200"/>
        <w:jc w:val="center"/>
        <w:rPr>
          <w:rFonts w:hint="eastAsia" w:ascii="宋体" w:hAnsi="宋体" w:eastAsia="宋体" w:cs="Times New Roman"/>
          <w:b/>
          <w:bCs/>
          <w:szCs w:val="21"/>
        </w:rPr>
      </w:pPr>
      <w:r>
        <w:rPr>
          <w:rFonts w:hint="eastAsia" w:ascii="宋体" w:hAnsi="宋体" w:eastAsia="宋体" w:cs="Times New Roman"/>
          <w:b/>
          <w:bCs/>
          <w:szCs w:val="21"/>
        </w:rPr>
        <w:t>资 格 声 明</w:t>
      </w:r>
    </w:p>
    <w:p w14:paraId="1385A161">
      <w:pPr>
        <w:spacing w:line="360" w:lineRule="auto"/>
        <w:rPr>
          <w:rFonts w:hint="eastAsia" w:ascii="宋体" w:hAnsi="宋体" w:eastAsia="宋体" w:cs="Times New Roman"/>
          <w:szCs w:val="21"/>
        </w:rPr>
      </w:pPr>
      <w:r>
        <w:rPr>
          <w:rFonts w:hint="eastAsia" w:ascii="宋体" w:hAnsi="宋体" w:eastAsia="宋体" w:cs="Times New Roman"/>
          <w:szCs w:val="21"/>
        </w:rPr>
        <w:t>1、名称及其它情况：</w:t>
      </w:r>
    </w:p>
    <w:p w14:paraId="70557808">
      <w:pPr>
        <w:spacing w:line="360" w:lineRule="auto"/>
        <w:rPr>
          <w:rFonts w:hint="eastAsia" w:ascii="宋体" w:hAnsi="宋体" w:eastAsia="宋体" w:cs="Times New Roman"/>
          <w:szCs w:val="21"/>
        </w:rPr>
      </w:pPr>
      <w:r>
        <w:rPr>
          <w:rFonts w:hint="eastAsia" w:ascii="宋体" w:hAnsi="宋体" w:eastAsia="宋体" w:cs="Times New Roman"/>
          <w:szCs w:val="21"/>
        </w:rPr>
        <w:t>（1）供应商名称：</w:t>
      </w:r>
      <w:r>
        <w:rPr>
          <w:rFonts w:hint="eastAsia" w:ascii="宋体" w:hAnsi="宋体" w:eastAsia="宋体" w:cs="Times New Roman"/>
          <w:szCs w:val="21"/>
          <w:u w:val="single"/>
        </w:rPr>
        <w:t xml:space="preserve">                            </w:t>
      </w:r>
    </w:p>
    <w:p w14:paraId="7C74D417">
      <w:pPr>
        <w:tabs>
          <w:tab w:val="left" w:pos="4530"/>
        </w:tabs>
        <w:spacing w:line="360" w:lineRule="auto"/>
        <w:rPr>
          <w:rFonts w:hint="eastAsia" w:ascii="宋体" w:hAnsi="宋体" w:eastAsia="宋体" w:cs="Times New Roman"/>
          <w:szCs w:val="21"/>
        </w:rPr>
      </w:pPr>
      <w:r>
        <w:rPr>
          <w:rFonts w:hint="eastAsia" w:ascii="宋体" w:hAnsi="宋体" w:eastAsia="宋体" w:cs="Times New Roman"/>
          <w:szCs w:val="21"/>
        </w:rPr>
        <w:t>（2）地址：</w:t>
      </w:r>
      <w:r>
        <w:rPr>
          <w:rFonts w:hint="eastAsia" w:ascii="宋体" w:hAnsi="宋体" w:eastAsia="宋体" w:cs="Times New Roman"/>
          <w:szCs w:val="21"/>
          <w:u w:val="single"/>
        </w:rPr>
        <w:t xml:space="preserve">                           </w:t>
      </w:r>
      <w:r>
        <w:rPr>
          <w:rFonts w:hint="eastAsia" w:ascii="宋体" w:hAnsi="宋体" w:eastAsia="宋体" w:cs="Times New Roman"/>
          <w:szCs w:val="21"/>
        </w:rPr>
        <w:tab/>
      </w:r>
      <w:r>
        <w:rPr>
          <w:rFonts w:hint="eastAsia" w:ascii="宋体" w:hAnsi="宋体" w:eastAsia="宋体" w:cs="Times New Roman"/>
          <w:szCs w:val="21"/>
        </w:rPr>
        <w:t>邮编：</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00CDD555">
      <w:pPr>
        <w:tabs>
          <w:tab w:val="left" w:pos="600"/>
          <w:tab w:val="left" w:pos="4320"/>
        </w:tabs>
        <w:spacing w:line="360" w:lineRule="auto"/>
        <w:ind w:firstLine="525" w:firstLineChars="250"/>
        <w:rPr>
          <w:rFonts w:hint="eastAsia" w:ascii="宋体" w:hAnsi="宋体" w:eastAsia="宋体" w:cs="Times New Roman"/>
          <w:szCs w:val="21"/>
        </w:rPr>
      </w:pP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传真：</w:t>
      </w:r>
      <w:r>
        <w:rPr>
          <w:rFonts w:hint="eastAsia" w:ascii="宋体" w:hAnsi="宋体" w:eastAsia="宋体" w:cs="Times New Roman"/>
          <w:szCs w:val="21"/>
          <w:u w:val="single"/>
        </w:rPr>
        <w:t xml:space="preserve">                  </w:t>
      </w:r>
    </w:p>
    <w:p w14:paraId="2151875F">
      <w:pPr>
        <w:spacing w:line="360" w:lineRule="auto"/>
        <w:rPr>
          <w:rFonts w:hint="eastAsia" w:ascii="宋体" w:hAnsi="宋体" w:eastAsia="宋体" w:cs="Times New Roman"/>
          <w:szCs w:val="21"/>
          <w:u w:val="single"/>
        </w:rPr>
      </w:pPr>
      <w:r>
        <w:rPr>
          <w:rFonts w:hint="eastAsia" w:ascii="宋体" w:hAnsi="宋体" w:eastAsia="宋体" w:cs="Times New Roman"/>
          <w:szCs w:val="21"/>
        </w:rPr>
        <w:t>（3）成立和/或注册日期：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410EE336">
      <w:pPr>
        <w:spacing w:line="360" w:lineRule="auto"/>
        <w:rPr>
          <w:rFonts w:hint="eastAsia" w:ascii="宋体" w:hAnsi="宋体" w:eastAsia="宋体" w:cs="Times New Roman"/>
          <w:szCs w:val="21"/>
        </w:rPr>
      </w:pPr>
      <w:r>
        <w:rPr>
          <w:rFonts w:hint="eastAsia" w:ascii="宋体" w:hAnsi="宋体" w:eastAsia="宋体" w:cs="Times New Roman"/>
          <w:szCs w:val="21"/>
        </w:rPr>
        <w:t>（4）法定代表人：</w:t>
      </w:r>
      <w:r>
        <w:rPr>
          <w:rFonts w:hint="eastAsia" w:ascii="宋体" w:hAnsi="宋体" w:eastAsia="宋体" w:cs="Times New Roman"/>
          <w:szCs w:val="21"/>
          <w:u w:val="single"/>
        </w:rPr>
        <w:t xml:space="preserve">                    </w:t>
      </w:r>
    </w:p>
    <w:p w14:paraId="6DDA8E20">
      <w:pPr>
        <w:spacing w:line="360" w:lineRule="auto"/>
        <w:rPr>
          <w:rFonts w:hint="eastAsia" w:ascii="宋体" w:hAnsi="宋体" w:eastAsia="宋体" w:cs="Times New Roman"/>
          <w:szCs w:val="21"/>
          <w:u w:val="single"/>
        </w:rPr>
      </w:pPr>
      <w:r>
        <w:rPr>
          <w:rFonts w:hint="eastAsia" w:ascii="宋体" w:hAnsi="宋体" w:eastAsia="宋体" w:cs="Times New Roman"/>
          <w:szCs w:val="21"/>
        </w:rPr>
        <w:t>（5）实收资本：</w:t>
      </w:r>
      <w:r>
        <w:rPr>
          <w:rFonts w:hint="eastAsia" w:ascii="宋体" w:hAnsi="宋体" w:eastAsia="宋体" w:cs="Times New Roman"/>
          <w:szCs w:val="21"/>
          <w:u w:val="single"/>
        </w:rPr>
        <w:t xml:space="preserve">                                 </w:t>
      </w:r>
    </w:p>
    <w:p w14:paraId="2C5C9045">
      <w:pPr>
        <w:spacing w:line="360" w:lineRule="auto"/>
        <w:rPr>
          <w:rFonts w:hint="eastAsia" w:ascii="宋体" w:hAnsi="宋体" w:eastAsia="宋体" w:cs="Times New Roman"/>
          <w:szCs w:val="21"/>
        </w:rPr>
      </w:pPr>
      <w:r>
        <w:rPr>
          <w:rFonts w:hint="eastAsia" w:ascii="宋体" w:hAnsi="宋体" w:eastAsia="宋体" w:cs="Times New Roman"/>
          <w:szCs w:val="21"/>
        </w:rPr>
        <w:t>（6）近期资产负债表：（到</w:t>
      </w:r>
      <w:r>
        <w:rPr>
          <w:rFonts w:hint="eastAsia" w:ascii="宋体" w:hAnsi="宋体" w:eastAsia="宋体" w:cs="Times New Roman"/>
          <w:szCs w:val="21"/>
          <w:u w:val="single"/>
        </w:rPr>
        <w:t>20  年12月31日</w:t>
      </w:r>
      <w:r>
        <w:rPr>
          <w:rFonts w:hint="eastAsia" w:ascii="宋体" w:hAnsi="宋体" w:eastAsia="宋体" w:cs="Times New Roman"/>
          <w:szCs w:val="21"/>
        </w:rPr>
        <w:t>）</w:t>
      </w:r>
    </w:p>
    <w:p w14:paraId="3468EEEA">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&lt;1&gt; 固定资产：</w:t>
      </w:r>
      <w:r>
        <w:rPr>
          <w:rFonts w:hint="eastAsia" w:ascii="宋体" w:hAnsi="宋体" w:eastAsia="宋体" w:cs="Times New Roman"/>
          <w:szCs w:val="21"/>
          <w:u w:val="single"/>
        </w:rPr>
        <w:t xml:space="preserve">                          </w:t>
      </w:r>
    </w:p>
    <w:p w14:paraId="064E8878">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&lt;2&gt; 流动资金：</w:t>
      </w:r>
      <w:r>
        <w:rPr>
          <w:rFonts w:hint="eastAsia" w:ascii="宋体" w:hAnsi="宋体" w:eastAsia="宋体" w:cs="Times New Roman"/>
          <w:szCs w:val="21"/>
          <w:u w:val="single"/>
        </w:rPr>
        <w:t xml:space="preserve">                          </w:t>
      </w:r>
    </w:p>
    <w:p w14:paraId="050515B4">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&lt;3&gt; 长期负债：</w:t>
      </w:r>
      <w:r>
        <w:rPr>
          <w:rFonts w:hint="eastAsia" w:ascii="宋体" w:hAnsi="宋体" w:eastAsia="宋体" w:cs="Times New Roman"/>
          <w:szCs w:val="21"/>
          <w:u w:val="single"/>
        </w:rPr>
        <w:t xml:space="preserve">                          </w:t>
      </w:r>
    </w:p>
    <w:p w14:paraId="55C9BD39">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&lt;4&gt; 短期负债：</w:t>
      </w:r>
      <w:r>
        <w:rPr>
          <w:rFonts w:hint="eastAsia" w:ascii="宋体" w:hAnsi="宋体" w:eastAsia="宋体" w:cs="Times New Roman"/>
          <w:szCs w:val="21"/>
          <w:u w:val="single"/>
        </w:rPr>
        <w:t xml:space="preserve">                          </w:t>
      </w:r>
    </w:p>
    <w:p w14:paraId="41DD357B">
      <w:pPr>
        <w:spacing w:line="360" w:lineRule="auto"/>
        <w:rPr>
          <w:rFonts w:hint="eastAsia" w:ascii="宋体" w:hAnsi="宋体" w:eastAsia="宋体" w:cs="Times New Roman"/>
          <w:szCs w:val="21"/>
        </w:rPr>
      </w:pPr>
      <w:r>
        <w:rPr>
          <w:rFonts w:hint="eastAsia" w:ascii="宋体" w:hAnsi="宋体" w:eastAsia="宋体" w:cs="Times New Roman"/>
          <w:szCs w:val="21"/>
        </w:rPr>
        <w:t>2、近三年同类货物和服务的主要销售业绩（无有效联系人、联系方式和合同复印件的视为未填报本项目）：</w:t>
      </w:r>
    </w:p>
    <w:tbl>
      <w:tblPr>
        <w:tblStyle w:val="39"/>
        <w:tblW w:w="9286" w:type="dxa"/>
        <w:tblInd w:w="0" w:type="dxa"/>
        <w:tblLayout w:type="fixed"/>
        <w:tblCellMar>
          <w:top w:w="0" w:type="dxa"/>
          <w:left w:w="108" w:type="dxa"/>
          <w:bottom w:w="0" w:type="dxa"/>
          <w:right w:w="108" w:type="dxa"/>
        </w:tblCellMar>
      </w:tblPr>
      <w:tblGrid>
        <w:gridCol w:w="4643"/>
        <w:gridCol w:w="4643"/>
      </w:tblGrid>
      <w:tr w14:paraId="073A281B">
        <w:tblPrEx>
          <w:tblCellMar>
            <w:top w:w="0" w:type="dxa"/>
            <w:left w:w="108" w:type="dxa"/>
            <w:bottom w:w="0" w:type="dxa"/>
            <w:right w:w="108" w:type="dxa"/>
          </w:tblCellMar>
        </w:tblPrEx>
        <w:tc>
          <w:tcPr>
            <w:tcW w:w="4643" w:type="dxa"/>
          </w:tcPr>
          <w:p w14:paraId="31718619">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甲方名称、联系人、联系方式</w:t>
            </w:r>
          </w:p>
        </w:tc>
        <w:tc>
          <w:tcPr>
            <w:tcW w:w="4643" w:type="dxa"/>
          </w:tcPr>
          <w:p w14:paraId="5E73EB4F">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项   目   名   称</w:t>
            </w:r>
          </w:p>
        </w:tc>
      </w:tr>
      <w:tr w14:paraId="61611106">
        <w:tblPrEx>
          <w:tblCellMar>
            <w:top w:w="0" w:type="dxa"/>
            <w:left w:w="108" w:type="dxa"/>
            <w:bottom w:w="0" w:type="dxa"/>
            <w:right w:w="108" w:type="dxa"/>
          </w:tblCellMar>
        </w:tblPrEx>
        <w:tc>
          <w:tcPr>
            <w:tcW w:w="4643" w:type="dxa"/>
          </w:tcPr>
          <w:p w14:paraId="08D9CF1D">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c>
          <w:tcPr>
            <w:tcW w:w="4643" w:type="dxa"/>
          </w:tcPr>
          <w:p w14:paraId="7F76706B">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r>
    </w:tbl>
    <w:p w14:paraId="7CC13F95">
      <w:pPr>
        <w:spacing w:line="360" w:lineRule="auto"/>
        <w:rPr>
          <w:rFonts w:hint="eastAsia" w:ascii="宋体" w:hAnsi="宋体" w:eastAsia="宋体" w:cs="Times New Roman"/>
          <w:szCs w:val="21"/>
        </w:rPr>
      </w:pPr>
      <w:r>
        <w:rPr>
          <w:rFonts w:hint="eastAsia" w:ascii="宋体" w:hAnsi="宋体" w:eastAsia="宋体" w:cs="Times New Roman"/>
          <w:szCs w:val="21"/>
        </w:rPr>
        <w:t xml:space="preserve">3、近三年的营业额： </w:t>
      </w:r>
    </w:p>
    <w:tbl>
      <w:tblPr>
        <w:tblStyle w:val="39"/>
        <w:tblW w:w="0" w:type="auto"/>
        <w:tblInd w:w="0" w:type="dxa"/>
        <w:tblLayout w:type="fixed"/>
        <w:tblCellMar>
          <w:top w:w="0" w:type="dxa"/>
          <w:left w:w="108" w:type="dxa"/>
          <w:bottom w:w="0" w:type="dxa"/>
          <w:right w:w="108" w:type="dxa"/>
        </w:tblCellMar>
      </w:tblPr>
      <w:tblGrid>
        <w:gridCol w:w="2321"/>
        <w:gridCol w:w="2322"/>
        <w:gridCol w:w="2321"/>
        <w:gridCol w:w="2322"/>
      </w:tblGrid>
      <w:tr w14:paraId="02B73E57">
        <w:tblPrEx>
          <w:tblCellMar>
            <w:top w:w="0" w:type="dxa"/>
            <w:left w:w="108" w:type="dxa"/>
            <w:bottom w:w="0" w:type="dxa"/>
            <w:right w:w="108" w:type="dxa"/>
          </w:tblCellMar>
        </w:tblPrEx>
        <w:tc>
          <w:tcPr>
            <w:tcW w:w="2321" w:type="dxa"/>
          </w:tcPr>
          <w:p w14:paraId="254C2D38">
            <w:pPr>
              <w:spacing w:line="360" w:lineRule="auto"/>
              <w:jc w:val="center"/>
              <w:rPr>
                <w:rFonts w:hint="eastAsia" w:ascii="宋体" w:hAnsi="宋体" w:eastAsia="宋体" w:cs="Times New Roman"/>
                <w:szCs w:val="21"/>
              </w:rPr>
            </w:pPr>
            <w:r>
              <w:rPr>
                <w:rFonts w:hint="eastAsia" w:ascii="宋体" w:hAnsi="宋体" w:eastAsia="宋体" w:cs="Times New Roman"/>
                <w:szCs w:val="21"/>
              </w:rPr>
              <w:t>年    份</w:t>
            </w:r>
          </w:p>
        </w:tc>
        <w:tc>
          <w:tcPr>
            <w:tcW w:w="2322" w:type="dxa"/>
          </w:tcPr>
          <w:p w14:paraId="47A6CEF7">
            <w:pPr>
              <w:spacing w:line="360" w:lineRule="auto"/>
              <w:jc w:val="center"/>
              <w:rPr>
                <w:rFonts w:hint="eastAsia" w:ascii="宋体" w:hAnsi="宋体" w:eastAsia="宋体" w:cs="Times New Roman"/>
                <w:szCs w:val="21"/>
              </w:rPr>
            </w:pPr>
            <w:r>
              <w:rPr>
                <w:rFonts w:hint="eastAsia" w:ascii="宋体" w:hAnsi="宋体" w:eastAsia="宋体" w:cs="Times New Roman"/>
                <w:szCs w:val="21"/>
              </w:rPr>
              <w:t>国    内（万元）</w:t>
            </w:r>
          </w:p>
        </w:tc>
        <w:tc>
          <w:tcPr>
            <w:tcW w:w="2321" w:type="dxa"/>
          </w:tcPr>
          <w:p w14:paraId="0CCC79C0">
            <w:pPr>
              <w:spacing w:line="360" w:lineRule="auto"/>
              <w:jc w:val="center"/>
              <w:rPr>
                <w:rFonts w:hint="eastAsia" w:ascii="宋体" w:hAnsi="宋体" w:eastAsia="宋体" w:cs="Times New Roman"/>
                <w:szCs w:val="21"/>
              </w:rPr>
            </w:pPr>
            <w:r>
              <w:rPr>
                <w:rFonts w:hint="eastAsia" w:ascii="宋体" w:hAnsi="宋体" w:eastAsia="宋体" w:cs="Times New Roman"/>
                <w:szCs w:val="21"/>
              </w:rPr>
              <w:t>出    口（万元）</w:t>
            </w:r>
          </w:p>
        </w:tc>
        <w:tc>
          <w:tcPr>
            <w:tcW w:w="2322" w:type="dxa"/>
          </w:tcPr>
          <w:p w14:paraId="224D3C55">
            <w:pPr>
              <w:spacing w:line="360" w:lineRule="auto"/>
              <w:jc w:val="center"/>
              <w:rPr>
                <w:rFonts w:hint="eastAsia" w:ascii="宋体" w:hAnsi="宋体" w:eastAsia="宋体" w:cs="Times New Roman"/>
                <w:szCs w:val="21"/>
              </w:rPr>
            </w:pPr>
            <w:r>
              <w:rPr>
                <w:rFonts w:hint="eastAsia" w:ascii="宋体" w:hAnsi="宋体" w:eastAsia="宋体" w:cs="Times New Roman"/>
                <w:szCs w:val="21"/>
              </w:rPr>
              <w:t>总    额（万元）</w:t>
            </w:r>
          </w:p>
        </w:tc>
      </w:tr>
      <w:tr w14:paraId="3CB1675C">
        <w:tblPrEx>
          <w:tblCellMar>
            <w:top w:w="0" w:type="dxa"/>
            <w:left w:w="108" w:type="dxa"/>
            <w:bottom w:w="0" w:type="dxa"/>
            <w:right w:w="108" w:type="dxa"/>
          </w:tblCellMar>
        </w:tblPrEx>
        <w:tc>
          <w:tcPr>
            <w:tcW w:w="2321" w:type="dxa"/>
          </w:tcPr>
          <w:p w14:paraId="5331F822">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535FD2D1">
            <w:pPr>
              <w:spacing w:line="360" w:lineRule="auto"/>
              <w:rPr>
                <w:rFonts w:hint="eastAsia" w:ascii="宋体" w:hAnsi="宋体" w:eastAsia="宋体" w:cs="Times New Roman"/>
                <w:szCs w:val="21"/>
              </w:rPr>
            </w:pPr>
          </w:p>
        </w:tc>
        <w:tc>
          <w:tcPr>
            <w:tcW w:w="2321" w:type="dxa"/>
          </w:tcPr>
          <w:p w14:paraId="0E81BE91">
            <w:pPr>
              <w:spacing w:line="360" w:lineRule="auto"/>
              <w:rPr>
                <w:rFonts w:hint="eastAsia" w:ascii="宋体" w:hAnsi="宋体" w:eastAsia="宋体" w:cs="Times New Roman"/>
                <w:szCs w:val="21"/>
              </w:rPr>
            </w:pPr>
          </w:p>
        </w:tc>
        <w:tc>
          <w:tcPr>
            <w:tcW w:w="2322" w:type="dxa"/>
          </w:tcPr>
          <w:p w14:paraId="629A68A3">
            <w:pPr>
              <w:spacing w:line="360" w:lineRule="auto"/>
              <w:rPr>
                <w:rFonts w:hint="eastAsia" w:ascii="宋体" w:hAnsi="宋体" w:eastAsia="宋体" w:cs="Times New Roman"/>
                <w:szCs w:val="21"/>
              </w:rPr>
            </w:pPr>
          </w:p>
        </w:tc>
      </w:tr>
      <w:tr w14:paraId="4C253A15">
        <w:tblPrEx>
          <w:tblCellMar>
            <w:top w:w="0" w:type="dxa"/>
            <w:left w:w="108" w:type="dxa"/>
            <w:bottom w:w="0" w:type="dxa"/>
            <w:right w:w="108" w:type="dxa"/>
          </w:tblCellMar>
        </w:tblPrEx>
        <w:tc>
          <w:tcPr>
            <w:tcW w:w="2321" w:type="dxa"/>
          </w:tcPr>
          <w:p w14:paraId="7AB8D771">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54A4694E">
            <w:pPr>
              <w:spacing w:line="360" w:lineRule="auto"/>
              <w:rPr>
                <w:rFonts w:hint="eastAsia" w:ascii="宋体" w:hAnsi="宋体" w:eastAsia="宋体" w:cs="Times New Roman"/>
                <w:szCs w:val="21"/>
              </w:rPr>
            </w:pPr>
          </w:p>
        </w:tc>
        <w:tc>
          <w:tcPr>
            <w:tcW w:w="2321" w:type="dxa"/>
          </w:tcPr>
          <w:p w14:paraId="567555C4">
            <w:pPr>
              <w:spacing w:line="360" w:lineRule="auto"/>
              <w:rPr>
                <w:rFonts w:hint="eastAsia" w:ascii="宋体" w:hAnsi="宋体" w:eastAsia="宋体" w:cs="Times New Roman"/>
                <w:szCs w:val="21"/>
              </w:rPr>
            </w:pPr>
          </w:p>
        </w:tc>
        <w:tc>
          <w:tcPr>
            <w:tcW w:w="2322" w:type="dxa"/>
          </w:tcPr>
          <w:p w14:paraId="6BF410B8">
            <w:pPr>
              <w:spacing w:line="360" w:lineRule="auto"/>
              <w:rPr>
                <w:rFonts w:hint="eastAsia" w:ascii="宋体" w:hAnsi="宋体" w:eastAsia="宋体" w:cs="Times New Roman"/>
                <w:szCs w:val="21"/>
              </w:rPr>
            </w:pPr>
          </w:p>
        </w:tc>
      </w:tr>
      <w:tr w14:paraId="4A762E13">
        <w:tblPrEx>
          <w:tblCellMar>
            <w:top w:w="0" w:type="dxa"/>
            <w:left w:w="108" w:type="dxa"/>
            <w:bottom w:w="0" w:type="dxa"/>
            <w:right w:w="108" w:type="dxa"/>
          </w:tblCellMar>
        </w:tblPrEx>
        <w:tc>
          <w:tcPr>
            <w:tcW w:w="2321" w:type="dxa"/>
          </w:tcPr>
          <w:p w14:paraId="1483158E">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077F2C60">
            <w:pPr>
              <w:spacing w:line="360" w:lineRule="auto"/>
              <w:rPr>
                <w:rFonts w:hint="eastAsia" w:ascii="宋体" w:hAnsi="宋体" w:eastAsia="宋体" w:cs="Times New Roman"/>
                <w:szCs w:val="21"/>
              </w:rPr>
            </w:pPr>
          </w:p>
        </w:tc>
        <w:tc>
          <w:tcPr>
            <w:tcW w:w="2321" w:type="dxa"/>
          </w:tcPr>
          <w:p w14:paraId="5E9BBC2A">
            <w:pPr>
              <w:spacing w:line="360" w:lineRule="auto"/>
              <w:rPr>
                <w:rFonts w:hint="eastAsia" w:ascii="宋体" w:hAnsi="宋体" w:eastAsia="宋体" w:cs="Times New Roman"/>
                <w:szCs w:val="21"/>
              </w:rPr>
            </w:pPr>
          </w:p>
        </w:tc>
        <w:tc>
          <w:tcPr>
            <w:tcW w:w="2322" w:type="dxa"/>
          </w:tcPr>
          <w:p w14:paraId="53D049C7">
            <w:pPr>
              <w:spacing w:line="360" w:lineRule="auto"/>
              <w:rPr>
                <w:rFonts w:hint="eastAsia" w:ascii="宋体" w:hAnsi="宋体" w:eastAsia="宋体" w:cs="Times New Roman"/>
                <w:szCs w:val="21"/>
              </w:rPr>
            </w:pPr>
          </w:p>
        </w:tc>
      </w:tr>
    </w:tbl>
    <w:p w14:paraId="1F983307">
      <w:pPr>
        <w:spacing w:line="360" w:lineRule="auto"/>
        <w:ind w:left="410" w:hanging="410"/>
        <w:rPr>
          <w:rFonts w:hint="eastAsia" w:ascii="宋体" w:hAnsi="宋体" w:eastAsia="宋体" w:cs="Times New Roman"/>
          <w:szCs w:val="21"/>
        </w:rPr>
      </w:pPr>
      <w:r>
        <w:rPr>
          <w:rFonts w:hint="eastAsia" w:ascii="宋体" w:hAnsi="宋体" w:eastAsia="宋体" w:cs="Times New Roman"/>
          <w:szCs w:val="21"/>
        </w:rPr>
        <w:t>4、本次采购要求的其他资格文件以及供应商认为需要声明的其他情况：</w:t>
      </w:r>
      <w:r>
        <w:rPr>
          <w:rFonts w:hint="eastAsia" w:ascii="宋体" w:hAnsi="宋体" w:eastAsia="宋体" w:cs="Times New Roman"/>
          <w:szCs w:val="21"/>
          <w:u w:val="single"/>
        </w:rPr>
        <w:t xml:space="preserve">                         </w:t>
      </w:r>
    </w:p>
    <w:p w14:paraId="34B4CD3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szCs w:val="21"/>
        </w:rPr>
        <w:t>兹证明上述</w:t>
      </w:r>
      <w:r>
        <w:rPr>
          <w:rFonts w:hint="eastAsia" w:ascii="宋体" w:hAnsi="宋体" w:eastAsia="宋体" w:cs="Times New Roman"/>
          <w:color w:val="000000"/>
          <w:szCs w:val="21"/>
        </w:rPr>
        <w:t>声明是真实的、正确的，并提供了全部能提供的资料和数据，我们同意遵照贵方要求出示有关证明文件，如有虚假，自愿丧失中标资格，一年内退出扬州政府采购市场。</w:t>
      </w:r>
    </w:p>
    <w:p w14:paraId="00CDFC5D">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供应商公章：</w:t>
      </w:r>
      <w:r>
        <w:rPr>
          <w:rFonts w:hint="eastAsia" w:ascii="宋体" w:hAnsi="宋体" w:eastAsia="宋体" w:cs="Times New Roman"/>
          <w:color w:val="000000"/>
          <w:szCs w:val="21"/>
          <w:u w:val="single"/>
        </w:rPr>
        <w:t xml:space="preserve">                         </w:t>
      </w:r>
    </w:p>
    <w:p w14:paraId="47C54F2F">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法定代表人或授权代表签字：</w:t>
      </w:r>
      <w:r>
        <w:rPr>
          <w:rFonts w:hint="eastAsia" w:ascii="宋体" w:hAnsi="宋体" w:eastAsia="宋体" w:cs="Times New Roman"/>
          <w:color w:val="000000"/>
          <w:szCs w:val="21"/>
          <w:u w:val="single"/>
        </w:rPr>
        <w:t xml:space="preserve">                          </w:t>
      </w:r>
    </w:p>
    <w:p w14:paraId="2212E841">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14:paraId="5AFD1FE0">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bCs/>
          <w:color w:val="000000"/>
          <w:szCs w:val="21"/>
        </w:rPr>
        <w:t>（注：资格声明为格式文件,实质性内容请勿修改，否则将导致投标文件无效）</w:t>
      </w:r>
    </w:p>
    <w:p w14:paraId="317FFAA8">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cols w:space="720" w:num="1"/>
          <w:docGrid w:type="lines" w:linePitch="312" w:charSpace="0"/>
        </w:sectPr>
      </w:pPr>
    </w:p>
    <w:p w14:paraId="08CEB54B">
      <w:pPr>
        <w:tabs>
          <w:tab w:val="left" w:pos="360"/>
        </w:tabs>
        <w:spacing w:line="360" w:lineRule="auto"/>
        <w:ind w:firstLine="561"/>
        <w:jc w:val="center"/>
        <w:rPr>
          <w:rFonts w:hint="eastAsia" w:ascii="宋体" w:hAnsi="宋体" w:eastAsia="宋体" w:cs="Times New Roman"/>
          <w:b/>
          <w:szCs w:val="21"/>
        </w:rPr>
      </w:pPr>
      <w:r>
        <w:rPr>
          <w:rFonts w:hint="eastAsia" w:ascii="宋体" w:hAnsi="宋体" w:eastAsia="宋体" w:cs="Times New Roman"/>
          <w:b/>
          <w:bCs/>
          <w:szCs w:val="21"/>
        </w:rPr>
        <w:t>法人</w:t>
      </w:r>
      <w:r>
        <w:rPr>
          <w:rFonts w:hint="eastAsia" w:ascii="宋体" w:hAnsi="宋体" w:eastAsia="宋体" w:cs="Times New Roman"/>
          <w:b/>
          <w:szCs w:val="21"/>
        </w:rPr>
        <w:t>授权书</w:t>
      </w:r>
    </w:p>
    <w:p w14:paraId="4A94DA7E">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 xml:space="preserve">本授权书声明：____________（供应商名称）授权________________（被授权人的姓名）为我方就 </w:t>
      </w:r>
      <w:r>
        <w:rPr>
          <w:rFonts w:hint="eastAsia" w:ascii="宋体" w:hAnsi="宋体" w:eastAsia="宋体" w:cs="Times New Roman"/>
          <w:szCs w:val="21"/>
          <w:u w:val="single"/>
        </w:rPr>
        <w:t xml:space="preserve">       </w:t>
      </w:r>
      <w:r>
        <w:rPr>
          <w:rFonts w:hint="eastAsia" w:ascii="宋体" w:hAnsi="宋体" w:eastAsia="宋体" w:cs="Times New Roman"/>
          <w:szCs w:val="21"/>
        </w:rPr>
        <w:t>号项目采购活动的合法代理人，以本公司名义全权处理一切与该项目采购有关的事务。</w:t>
      </w:r>
    </w:p>
    <w:p w14:paraId="34D9D485">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本授权书于______年____月____日起生效，特此声明。</w:t>
      </w:r>
    </w:p>
    <w:p w14:paraId="3F86AE5C">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被授权人：_______________________</w:t>
      </w:r>
    </w:p>
    <w:p w14:paraId="0F2D8CF5">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单位名称：_____________________________________</w:t>
      </w:r>
    </w:p>
    <w:p w14:paraId="47665418">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授权单位盖章：_________________________________</w:t>
      </w:r>
    </w:p>
    <w:p w14:paraId="38F2B25B">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单位名称：_____________________________________</w:t>
      </w:r>
    </w:p>
    <w:p w14:paraId="78E29F12">
      <w:pPr>
        <w:tabs>
          <w:tab w:val="left" w:pos="360"/>
        </w:tabs>
        <w:spacing w:line="360" w:lineRule="auto"/>
        <w:ind w:firstLine="480"/>
        <w:rPr>
          <w:rFonts w:hint="eastAsia" w:ascii="宋体" w:hAnsi="宋体" w:eastAsia="宋体" w:cs="Times New Roman"/>
          <w:szCs w:val="21"/>
          <w:u w:val="single"/>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p>
    <w:p w14:paraId="3F7070F3">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E0CC3D9">
      <w:pPr>
        <w:tabs>
          <w:tab w:val="left" w:pos="360"/>
        </w:tabs>
        <w:spacing w:line="360" w:lineRule="auto"/>
        <w:ind w:firstLine="480"/>
        <w:rPr>
          <w:rFonts w:hint="eastAsia" w:ascii="宋体" w:hAnsi="宋体" w:eastAsia="宋体" w:cs="Times New Roman"/>
          <w:szCs w:val="21"/>
        </w:rPr>
      </w:pPr>
    </w:p>
    <w:p w14:paraId="07604451">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被授权人身份证复印件：</w:t>
      </w:r>
    </w:p>
    <w:p w14:paraId="6187976A">
      <w:pPr>
        <w:spacing w:line="360" w:lineRule="auto"/>
        <w:ind w:firstLine="420"/>
        <w:rPr>
          <w:rFonts w:hint="eastAsia" w:ascii="宋体" w:hAnsi="宋体" w:eastAsia="宋体" w:cs="Times New Roman"/>
          <w:szCs w:val="21"/>
        </w:rPr>
      </w:pPr>
    </w:p>
    <w:p w14:paraId="6B662AD6">
      <w:pPr>
        <w:spacing w:line="360" w:lineRule="auto"/>
        <w:ind w:firstLine="420"/>
        <w:rPr>
          <w:rFonts w:hint="eastAsia" w:ascii="宋体" w:hAnsi="宋体" w:eastAsia="宋体" w:cs="Times New Roman"/>
          <w:szCs w:val="21"/>
        </w:rPr>
      </w:pPr>
    </w:p>
    <w:p w14:paraId="7276FDE3">
      <w:pPr>
        <w:tabs>
          <w:tab w:val="left" w:pos="360"/>
        </w:tabs>
        <w:spacing w:line="360" w:lineRule="auto"/>
        <w:ind w:firstLine="801" w:firstLineChars="380"/>
        <w:jc w:val="center"/>
        <w:rPr>
          <w:rFonts w:hint="eastAsia" w:ascii="宋体" w:hAnsi="宋体" w:eastAsia="宋体" w:cs="Times New Roman"/>
          <w:szCs w:val="21"/>
        </w:rPr>
      </w:pPr>
      <w:r>
        <w:rPr>
          <w:rFonts w:ascii="宋体" w:hAnsi="宋体" w:eastAsia="宋体" w:cs="Times New Roman"/>
          <w:b/>
          <w:bCs/>
          <w:szCs w:val="21"/>
        </w:rPr>
        <w:br w:type="page"/>
      </w:r>
      <w:r>
        <w:rPr>
          <w:rFonts w:hint="eastAsia" w:ascii="宋体" w:hAnsi="宋体" w:eastAsia="宋体" w:cs="Times New Roman"/>
          <w:b/>
          <w:szCs w:val="21"/>
        </w:rPr>
        <w:t>参加政府采购活动前 3 年内在经营活动中没有重大违法记录的书面声明</w:t>
      </w:r>
    </w:p>
    <w:p w14:paraId="25E0EDB4">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p>
    <w:p w14:paraId="34FEF2AE">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声  明   </w:t>
      </w:r>
    </w:p>
    <w:p w14:paraId="3D561A79">
      <w:pPr>
        <w:spacing w:line="360" w:lineRule="auto"/>
        <w:rPr>
          <w:rFonts w:hint="eastAsia" w:ascii="宋体" w:hAnsi="宋体" w:eastAsia="宋体" w:cs="Times New Roman"/>
          <w:bCs/>
          <w:szCs w:val="21"/>
        </w:rPr>
      </w:pPr>
      <w:r>
        <w:rPr>
          <w:rFonts w:hint="eastAsia" w:ascii="宋体" w:hAnsi="宋体" w:eastAsia="宋体" w:cs="Times New Roman"/>
          <w:b/>
          <w:bCs/>
          <w:szCs w:val="21"/>
        </w:rPr>
        <w:t xml:space="preserve">    </w:t>
      </w:r>
      <w:r>
        <w:rPr>
          <w:rFonts w:hint="eastAsia" w:ascii="宋体" w:hAnsi="宋体" w:eastAsia="宋体" w:cs="Times New Roman"/>
          <w:bCs/>
          <w:szCs w:val="21"/>
        </w:rPr>
        <w:t>我公司郑重声明：参加本次政府采购活动前 3 年内，我公司在经营活动中没有因违法经营受到刑事处罚或者责令停产停业、吊销许可证或者执照、较大数额罚款等行政处罚。</w:t>
      </w:r>
    </w:p>
    <w:p w14:paraId="745014B0">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w:t>
      </w:r>
    </w:p>
    <w:p w14:paraId="542A0032">
      <w:pPr>
        <w:spacing w:line="360" w:lineRule="auto"/>
        <w:ind w:firstLine="4410" w:firstLineChars="2100"/>
        <w:rPr>
          <w:rFonts w:hint="eastAsia" w:ascii="宋体" w:hAnsi="宋体" w:eastAsia="宋体" w:cs="Times New Roman"/>
          <w:bCs/>
          <w:szCs w:val="21"/>
        </w:rPr>
      </w:pPr>
      <w:r>
        <w:rPr>
          <w:rFonts w:hint="eastAsia" w:ascii="宋体" w:hAnsi="宋体" w:eastAsia="宋体" w:cs="Times New Roman"/>
          <w:bCs/>
          <w:szCs w:val="21"/>
        </w:rPr>
        <w:t>供应商名称（公章）：</w:t>
      </w:r>
    </w:p>
    <w:p w14:paraId="2D94E699">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法定代表人或授权代表签字：</w:t>
      </w:r>
      <w:r>
        <w:rPr>
          <w:rFonts w:hint="eastAsia" w:ascii="宋体" w:hAnsi="宋体" w:eastAsia="宋体" w:cs="Times New Roman"/>
          <w:bCs/>
          <w:szCs w:val="21"/>
          <w:u w:val="single"/>
        </w:rPr>
        <w:t>______</w:t>
      </w:r>
    </w:p>
    <w:p w14:paraId="3A019763">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日期：</w:t>
      </w:r>
      <w:r>
        <w:rPr>
          <w:rFonts w:hint="eastAsia" w:ascii="宋体" w:hAnsi="宋体" w:eastAsia="宋体" w:cs="Times New Roman"/>
          <w:bCs/>
          <w:szCs w:val="21"/>
          <w:u w:val="single"/>
        </w:rPr>
        <w:t>______</w:t>
      </w:r>
      <w:r>
        <w:rPr>
          <w:rFonts w:hint="eastAsia" w:ascii="宋体" w:hAnsi="宋体" w:eastAsia="宋体" w:cs="Times New Roman"/>
          <w:bCs/>
          <w:szCs w:val="21"/>
        </w:rPr>
        <w:t>年</w:t>
      </w:r>
      <w:r>
        <w:rPr>
          <w:rFonts w:hint="eastAsia" w:ascii="宋体" w:hAnsi="宋体" w:eastAsia="宋体" w:cs="Times New Roman"/>
          <w:bCs/>
          <w:szCs w:val="21"/>
          <w:u w:val="single"/>
        </w:rPr>
        <w:t xml:space="preserve">    </w:t>
      </w:r>
      <w:r>
        <w:rPr>
          <w:rFonts w:hint="eastAsia" w:ascii="宋体" w:hAnsi="宋体" w:eastAsia="宋体" w:cs="Times New Roman"/>
          <w:bCs/>
          <w:szCs w:val="21"/>
        </w:rPr>
        <w:t>月</w:t>
      </w:r>
      <w:r>
        <w:rPr>
          <w:rFonts w:hint="eastAsia" w:ascii="宋体" w:hAnsi="宋体" w:eastAsia="宋体" w:cs="Times New Roman"/>
          <w:bCs/>
          <w:szCs w:val="21"/>
          <w:u w:val="single"/>
        </w:rPr>
        <w:t xml:space="preserve">    </w:t>
      </w:r>
      <w:r>
        <w:rPr>
          <w:rFonts w:hint="eastAsia" w:ascii="宋体" w:hAnsi="宋体" w:eastAsia="宋体" w:cs="Times New Roman"/>
          <w:bCs/>
          <w:szCs w:val="21"/>
        </w:rPr>
        <w:t>日</w:t>
      </w:r>
    </w:p>
    <w:p w14:paraId="19C3B479">
      <w:pPr>
        <w:spacing w:line="360" w:lineRule="auto"/>
        <w:rPr>
          <w:rFonts w:hint="eastAsia" w:ascii="宋体" w:hAnsi="宋体" w:eastAsia="宋体" w:cs="Times New Roman"/>
          <w:bCs/>
          <w:szCs w:val="21"/>
        </w:rPr>
      </w:pPr>
    </w:p>
    <w:p w14:paraId="40354498">
      <w:pPr>
        <w:spacing w:line="360" w:lineRule="auto"/>
        <w:rPr>
          <w:rFonts w:hint="eastAsia" w:ascii="宋体" w:hAnsi="宋体" w:eastAsia="宋体" w:cs="Times New Roman"/>
          <w:bCs/>
          <w:szCs w:val="21"/>
        </w:rPr>
      </w:pPr>
    </w:p>
    <w:p w14:paraId="74DE69C5">
      <w:pPr>
        <w:keepNext/>
        <w:keepLines/>
        <w:spacing w:before="260" w:after="260" w:line="360" w:lineRule="auto"/>
        <w:jc w:val="center"/>
        <w:outlineLvl w:val="2"/>
        <w:rPr>
          <w:rFonts w:hint="eastAsia" w:ascii="宋体" w:hAnsi="宋体" w:eastAsia="宋体" w:cs="Times New Roman"/>
          <w:bCs/>
          <w:szCs w:val="21"/>
        </w:rPr>
      </w:pPr>
    </w:p>
    <w:p w14:paraId="3C427825">
      <w:pPr>
        <w:spacing w:line="360" w:lineRule="auto"/>
        <w:jc w:val="center"/>
        <w:rPr>
          <w:rFonts w:hint="eastAsia" w:ascii="宋体" w:hAnsi="宋体" w:eastAsia="宋体" w:cs="Times New Roman"/>
          <w:b/>
          <w:bCs/>
          <w:color w:val="000000"/>
          <w:szCs w:val="21"/>
        </w:rPr>
      </w:pPr>
      <w:r>
        <w:rPr>
          <w:rFonts w:ascii="宋体" w:hAnsi="宋体" w:eastAsia="宋体" w:cs="Times New Roman"/>
          <w:bCs/>
          <w:szCs w:val="21"/>
        </w:rPr>
        <w:br w:type="page"/>
      </w:r>
      <w:r>
        <w:rPr>
          <w:rFonts w:hint="eastAsia" w:ascii="宋体" w:hAnsi="宋体" w:eastAsia="宋体" w:cs="Times New Roman"/>
          <w:b/>
          <w:bCs/>
          <w:color w:val="000000"/>
          <w:szCs w:val="21"/>
        </w:rPr>
        <w:t xml:space="preserve"> </w:t>
      </w:r>
    </w:p>
    <w:p w14:paraId="6F5B9061">
      <w:pPr>
        <w:numPr>
          <w:ilvl w:val="0"/>
          <w:numId w:val="11"/>
        </w:num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磋商响应报价表</w:t>
      </w:r>
    </w:p>
    <w:p w14:paraId="78ACF5F9">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项目名称： </w:t>
      </w:r>
    </w:p>
    <w:p w14:paraId="39F03DF9">
      <w:pPr>
        <w:spacing w:line="360" w:lineRule="auto"/>
        <w:rPr>
          <w:rFonts w:hint="eastAsia" w:ascii="宋体" w:hAnsi="宋体" w:eastAsia="宋体" w:cs="Times New Roman"/>
          <w:color w:val="000000"/>
          <w:szCs w:val="21"/>
        </w:rPr>
      </w:pPr>
      <w:r>
        <w:rPr>
          <w:rFonts w:hint="eastAsia" w:ascii="宋体" w:hAnsi="宋体" w:eastAsia="宋体" w:cs="Times New Roman"/>
          <w:szCs w:val="21"/>
        </w:rPr>
        <w:t xml:space="preserve">项目编号：  </w:t>
      </w:r>
      <w:r>
        <w:rPr>
          <w:rFonts w:hint="eastAsia" w:ascii="宋体" w:hAnsi="宋体" w:eastAsia="宋体" w:cs="Times New Roman"/>
          <w:color w:val="000000"/>
          <w:szCs w:val="21"/>
        </w:rPr>
        <w:t xml:space="preserve">                                    分包号：/                  </w:t>
      </w:r>
    </w:p>
    <w:p w14:paraId="5D9DB859">
      <w:pPr>
        <w:spacing w:line="360" w:lineRule="auto"/>
        <w:rPr>
          <w:rFonts w:hint="eastAsia" w:ascii="宋体" w:hAnsi="宋体" w:eastAsia="宋体" w:cs="Times New Roman"/>
          <w:color w:val="000000"/>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5062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2C9EEE5E">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 xml:space="preserve">  服务名称</w:t>
            </w:r>
          </w:p>
        </w:tc>
        <w:tc>
          <w:tcPr>
            <w:tcW w:w="6405" w:type="dxa"/>
            <w:tcBorders>
              <w:top w:val="single" w:color="auto" w:sz="4" w:space="0"/>
              <w:left w:val="single" w:color="auto" w:sz="4" w:space="0"/>
              <w:bottom w:val="single" w:color="auto" w:sz="4" w:space="0"/>
              <w:right w:val="single" w:color="auto" w:sz="4" w:space="0"/>
            </w:tcBorders>
            <w:vAlign w:val="center"/>
          </w:tcPr>
          <w:p w14:paraId="3FC3EA50">
            <w:pPr>
              <w:adjustRightInd w:val="0"/>
              <w:snapToGrid w:val="0"/>
              <w:spacing w:after="200" w:line="220" w:lineRule="atLeast"/>
              <w:rPr>
                <w:rFonts w:hint="eastAsia" w:ascii="宋体" w:hAnsi="宋体" w:eastAsia="宋体" w:cs="Times New Roman"/>
                <w:szCs w:val="21"/>
              </w:rPr>
            </w:pPr>
            <w:r>
              <w:rPr>
                <w:rFonts w:hint="eastAsia" w:ascii="宋体" w:hAnsi="宋体" w:eastAsia="宋体" w:cs="宋体"/>
                <w:szCs w:val="21"/>
              </w:rPr>
              <w:t xml:space="preserve">                      </w:t>
            </w:r>
            <w:r>
              <w:rPr>
                <w:rFonts w:hint="eastAsia" w:ascii="宋体" w:hAnsi="宋体" w:eastAsia="宋体" w:cs="Times New Roman"/>
                <w:szCs w:val="21"/>
              </w:rPr>
              <w:t>第一轮报价</w:t>
            </w:r>
          </w:p>
        </w:tc>
      </w:tr>
      <w:tr w14:paraId="21C0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1CF0359F">
            <w:pPr>
              <w:adjustRightInd w:val="0"/>
              <w:snapToGrid w:val="0"/>
              <w:spacing w:line="300" w:lineRule="auto"/>
              <w:rPr>
                <w:rFonts w:hint="eastAsia" w:ascii="宋体" w:hAnsi="宋体" w:eastAsia="宋体" w:cs="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14:paraId="603389CB">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大写：</w:t>
            </w:r>
          </w:p>
          <w:p w14:paraId="718F504C">
            <w:pPr>
              <w:adjustRightInd w:val="0"/>
              <w:spacing w:line="500" w:lineRule="exact"/>
              <w:jc w:val="left"/>
              <w:textAlignment w:val="baseline"/>
              <w:rPr>
                <w:rFonts w:hint="eastAsia" w:ascii="宋体" w:hAnsi="宋体" w:eastAsia="宋体" w:cs="Times New Roman"/>
                <w:szCs w:val="21"/>
              </w:rPr>
            </w:pPr>
            <w:r>
              <w:rPr>
                <w:rFonts w:hint="eastAsia" w:ascii="宋体" w:hAnsi="宋体" w:eastAsia="宋体" w:cs="宋体"/>
                <w:kern w:val="0"/>
                <w:szCs w:val="21"/>
              </w:rPr>
              <w:t>小写：                             （人民币）</w:t>
            </w:r>
          </w:p>
        </w:tc>
      </w:tr>
      <w:tr w14:paraId="499F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05FD51F6">
            <w:pPr>
              <w:adjustRightInd w:val="0"/>
              <w:snapToGrid w:val="0"/>
              <w:spacing w:line="300" w:lineRule="auto"/>
              <w:jc w:val="center"/>
              <w:rPr>
                <w:rFonts w:hint="eastAsia" w:ascii="宋体" w:hAnsi="宋体" w:eastAsia="宋体" w:cs="宋体"/>
                <w:szCs w:val="21"/>
              </w:rPr>
            </w:pPr>
            <w:r>
              <w:rPr>
                <w:rFonts w:hint="eastAsia" w:ascii="宋体" w:hAnsi="宋体" w:eastAsia="宋体" w:cs="宋体"/>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14:paraId="180B3D80">
            <w:pPr>
              <w:adjustRightInd w:val="0"/>
              <w:snapToGrid w:val="0"/>
              <w:spacing w:line="300" w:lineRule="auto"/>
              <w:ind w:firstLine="1365" w:firstLineChars="650"/>
              <w:rPr>
                <w:rFonts w:hint="eastAsia" w:ascii="宋体" w:hAnsi="宋体" w:eastAsia="宋体" w:cs="宋体"/>
                <w:szCs w:val="21"/>
              </w:rPr>
            </w:pPr>
          </w:p>
        </w:tc>
      </w:tr>
    </w:tbl>
    <w:p w14:paraId="6CAC3F79">
      <w:pPr>
        <w:spacing w:line="360" w:lineRule="auto"/>
        <w:rPr>
          <w:rFonts w:hint="eastAsia" w:ascii="宋体" w:hAnsi="宋体" w:eastAsia="宋体" w:cs="Times New Roman"/>
          <w:color w:val="000000"/>
          <w:szCs w:val="21"/>
        </w:rPr>
      </w:pPr>
    </w:p>
    <w:p w14:paraId="3733EF1E">
      <w:pPr>
        <w:spacing w:line="360" w:lineRule="auto"/>
        <w:rPr>
          <w:rFonts w:hint="eastAsia" w:ascii="宋体" w:hAnsi="宋体" w:eastAsia="宋体" w:cs="Times New Roman"/>
          <w:color w:val="000000"/>
          <w:szCs w:val="21"/>
        </w:rPr>
      </w:pPr>
    </w:p>
    <w:p w14:paraId="09CEBCC0">
      <w:pPr>
        <w:spacing w:line="360" w:lineRule="auto"/>
        <w:rPr>
          <w:rFonts w:hint="eastAsia" w:ascii="宋体" w:hAnsi="宋体" w:eastAsia="宋体" w:cs="Times New Roman"/>
          <w:color w:val="000000"/>
          <w:szCs w:val="21"/>
        </w:rPr>
      </w:pPr>
    </w:p>
    <w:p w14:paraId="3B88F9CC">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法定代表人或者授权代表（签字或盖章）：                    </w:t>
      </w:r>
    </w:p>
    <w:p w14:paraId="029A30D7">
      <w:pPr>
        <w:spacing w:line="36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rPr>
        <w:t>磋商供应商全称（盖章）：</w:t>
      </w:r>
      <w:r>
        <w:rPr>
          <w:rFonts w:hint="eastAsia" w:ascii="宋体" w:hAnsi="宋体" w:eastAsia="宋体" w:cs="Times New Roman"/>
          <w:color w:val="000000"/>
          <w:szCs w:val="21"/>
          <w:u w:val="single"/>
        </w:rPr>
        <w:t xml:space="preserve">                         </w:t>
      </w:r>
    </w:p>
    <w:p w14:paraId="1722BC80">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                                               日期：    年   月    日</w:t>
      </w:r>
    </w:p>
    <w:p w14:paraId="0D77FFE2">
      <w:pPr>
        <w:spacing w:line="360" w:lineRule="auto"/>
        <w:rPr>
          <w:rFonts w:hint="eastAsia" w:ascii="宋体" w:hAnsi="宋体" w:eastAsia="宋体" w:cs="Times New Roman"/>
          <w:b/>
          <w:szCs w:val="21"/>
        </w:rPr>
      </w:pPr>
      <w:r>
        <w:rPr>
          <w:rFonts w:hint="eastAsia" w:ascii="宋体" w:hAnsi="宋体" w:eastAsia="宋体" w:cs="Times New Roman"/>
          <w:b/>
          <w:szCs w:val="21"/>
        </w:rPr>
        <w:t>价格构成或报价要求：</w:t>
      </w:r>
    </w:p>
    <w:p w14:paraId="7BBA2AC0">
      <w:pPr>
        <w:spacing w:line="360" w:lineRule="auto"/>
        <w:jc w:val="left"/>
        <w:rPr>
          <w:rFonts w:hint="eastAsia" w:ascii="宋体" w:hAnsi="宋体" w:eastAsia="宋体" w:cs="Times New Roman"/>
          <w:b/>
          <w:iCs/>
          <w:color w:val="000000"/>
          <w:szCs w:val="21"/>
          <w:u w:val="single"/>
        </w:rPr>
      </w:pPr>
      <w:r>
        <w:rPr>
          <w:rFonts w:hint="eastAsia" w:ascii="宋体" w:hAnsi="宋体" w:eastAsia="宋体" w:cs="Times New Roman"/>
          <w:iCs/>
          <w:szCs w:val="21"/>
          <w:u w:val="single"/>
        </w:rPr>
        <w:t>1、</w:t>
      </w:r>
      <w:r>
        <w:rPr>
          <w:rFonts w:hint="eastAsia" w:ascii="宋体" w:hAnsi="宋体" w:eastAsia="宋体" w:cs="Times New Roman"/>
          <w:bCs/>
          <w:iCs/>
          <w:szCs w:val="21"/>
          <w:u w:val="single"/>
        </w:rPr>
        <w:t>磋商响应报价表和分项报价表</w:t>
      </w:r>
      <w:r>
        <w:rPr>
          <w:rFonts w:hint="eastAsia" w:ascii="宋体" w:hAnsi="宋体" w:eastAsia="宋体" w:cs="Times New Roman"/>
          <w:iCs/>
          <w:szCs w:val="21"/>
          <w:u w:val="single"/>
        </w:rPr>
        <w:t>必须单独密封在信封中，在投标截止时间前与投标文件分别递交。</w:t>
      </w:r>
    </w:p>
    <w:p w14:paraId="5B3917BD">
      <w:pPr>
        <w:spacing w:line="360" w:lineRule="auto"/>
        <w:jc w:val="left"/>
        <w:rPr>
          <w:rFonts w:hint="eastAsia" w:ascii="宋体" w:hAnsi="宋体" w:eastAsia="宋体" w:cs="Times New Roman"/>
          <w:iCs/>
          <w:szCs w:val="21"/>
          <w:u w:val="single"/>
        </w:rPr>
      </w:pPr>
      <w:r>
        <w:rPr>
          <w:rFonts w:hint="eastAsia" w:ascii="宋体" w:hAnsi="宋体" w:eastAsia="宋体" w:cs="Times New Roman"/>
          <w:iCs/>
          <w:szCs w:val="21"/>
          <w:u w:val="single"/>
        </w:rPr>
        <w:t>2、</w:t>
      </w:r>
      <w:r>
        <w:rPr>
          <w:rFonts w:hint="eastAsia" w:ascii="宋体" w:hAnsi="宋体" w:eastAsia="宋体" w:cs="Times New Roman"/>
          <w:bCs/>
          <w:iCs/>
          <w:szCs w:val="21"/>
          <w:u w:val="single"/>
        </w:rPr>
        <w:t>磋商响应报价表和分项报价表必须加盖投标人公章（复印件无效）</w:t>
      </w:r>
      <w:r>
        <w:rPr>
          <w:rFonts w:hint="eastAsia" w:ascii="宋体" w:hAnsi="宋体" w:eastAsia="宋体" w:cs="Times New Roman"/>
          <w:iCs/>
          <w:szCs w:val="21"/>
          <w:u w:val="single"/>
        </w:rPr>
        <w:t>。</w:t>
      </w:r>
    </w:p>
    <w:p w14:paraId="59433DE1">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3、此表可以根据需要自行增减行数，且该表报价非本次磋商中的最后报价。</w:t>
      </w:r>
    </w:p>
    <w:p w14:paraId="56E88750">
      <w:pPr>
        <w:spacing w:line="360" w:lineRule="auto"/>
        <w:rPr>
          <w:rFonts w:hint="eastAsia" w:ascii="宋体" w:hAnsi="宋体" w:eastAsia="宋体" w:cs="Times New Roman"/>
          <w:b/>
          <w:szCs w:val="21"/>
        </w:rPr>
      </w:pPr>
      <w:r>
        <w:rPr>
          <w:rFonts w:hint="eastAsia" w:ascii="宋体" w:hAnsi="宋体" w:eastAsia="宋体" w:cs="Times New Roman"/>
          <w:b/>
          <w:szCs w:val="21"/>
        </w:rPr>
        <w:t>4、项目如有分包，请各磋商供应商按投报的分包分别列表。</w:t>
      </w:r>
    </w:p>
    <w:p w14:paraId="60DA9A4A">
      <w:pPr>
        <w:spacing w:line="360" w:lineRule="auto"/>
        <w:rPr>
          <w:rFonts w:hint="eastAsia" w:ascii="宋体" w:hAnsi="宋体" w:eastAsia="宋体" w:cs="Times New Roman"/>
          <w:b/>
          <w:color w:val="000000"/>
          <w:szCs w:val="21"/>
        </w:rPr>
      </w:pPr>
    </w:p>
    <w:p w14:paraId="5BD3D739">
      <w:pPr>
        <w:spacing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084D9ED5">
      <w:pPr>
        <w:rPr>
          <w:rFonts w:hint="eastAsia" w:ascii="宋体" w:hAnsi="宋体" w:eastAsia="楷体_GB2312" w:cs="Times New Roman"/>
          <w:sz w:val="32"/>
          <w:szCs w:val="21"/>
        </w:rPr>
      </w:pPr>
    </w:p>
    <w:p w14:paraId="01396A89">
      <w:pPr>
        <w:numPr>
          <w:ilvl w:val="0"/>
          <w:numId w:val="11"/>
        </w:numPr>
        <w:spacing w:after="312" w:afterLines="100" w:line="360" w:lineRule="auto"/>
        <w:jc w:val="center"/>
        <w:rPr>
          <w:rFonts w:hint="eastAsia" w:ascii="宋体" w:hAnsi="宋体" w:eastAsia="宋体" w:cs="宋体"/>
          <w:b/>
          <w:szCs w:val="21"/>
        </w:rPr>
      </w:pPr>
      <w:r>
        <w:rPr>
          <w:rFonts w:hint="eastAsia" w:ascii="宋体" w:hAnsi="宋体" w:eastAsia="宋体" w:cs="宋体"/>
          <w:b/>
          <w:szCs w:val="21"/>
        </w:rPr>
        <w:t>分项报价表</w:t>
      </w:r>
    </w:p>
    <w:p w14:paraId="5E849B57">
      <w:pPr>
        <w:pStyle w:val="9"/>
        <w:spacing w:line="360" w:lineRule="auto"/>
        <w:rPr>
          <w:rFonts w:hint="eastAsia" w:ascii="宋体" w:hAnsi="宋体" w:cs="宋体"/>
          <w:szCs w:val="21"/>
        </w:rPr>
      </w:pPr>
    </w:p>
    <w:p w14:paraId="250FAA41">
      <w:pPr>
        <w:pStyle w:val="9"/>
        <w:spacing w:line="360" w:lineRule="auto"/>
        <w:ind w:firstLineChars="200"/>
        <w:rPr>
          <w:rFonts w:hint="eastAsia" w:ascii="宋体" w:hAnsi="宋体" w:cs="宋体"/>
          <w:szCs w:val="21"/>
        </w:rPr>
      </w:pPr>
      <w:r>
        <w:rPr>
          <w:rFonts w:hint="eastAsia" w:ascii="宋体" w:hAnsi="宋体" w:cs="宋体"/>
          <w:szCs w:val="21"/>
        </w:rPr>
        <w:t>磋商供应商全称（盖章）：</w:t>
      </w:r>
    </w:p>
    <w:p w14:paraId="778DFE6B">
      <w:pPr>
        <w:pStyle w:val="9"/>
        <w:spacing w:line="360" w:lineRule="auto"/>
        <w:ind w:firstLineChars="200"/>
        <w:rPr>
          <w:rFonts w:hint="eastAsia" w:ascii="宋体" w:hAnsi="宋体" w:cs="宋体"/>
          <w:szCs w:val="21"/>
        </w:rPr>
      </w:pPr>
      <w:r>
        <w:rPr>
          <w:rFonts w:hint="eastAsia" w:ascii="宋体" w:hAnsi="宋体" w:cs="宋体"/>
          <w:szCs w:val="21"/>
        </w:rPr>
        <w:t xml:space="preserve">项目名称： </w:t>
      </w:r>
    </w:p>
    <w:p w14:paraId="4FA16D4C">
      <w:pPr>
        <w:spacing w:line="360" w:lineRule="auto"/>
        <w:ind w:firstLine="420" w:firstLineChars="200"/>
        <w:rPr>
          <w:szCs w:val="21"/>
        </w:rPr>
      </w:pPr>
      <w:r>
        <w:rPr>
          <w:rFonts w:hint="eastAsia" w:ascii="宋体" w:hAnsi="宋体" w:cs="宋体"/>
          <w:szCs w:val="21"/>
        </w:rPr>
        <w:t>项目编号：</w:t>
      </w: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745"/>
        <w:gridCol w:w="1718"/>
        <w:gridCol w:w="2810"/>
      </w:tblGrid>
      <w:tr w14:paraId="4B75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1DBDE884">
            <w:pPr>
              <w:adjustRightInd w:val="0"/>
              <w:snapToGrid w:val="0"/>
              <w:spacing w:after="200" w:line="220" w:lineRule="atLeast"/>
              <w:jc w:val="center"/>
              <w:rPr>
                <w:rFonts w:hint="eastAsia" w:ascii="宋体" w:hAnsi="宋体" w:cs="宋体"/>
                <w:szCs w:val="21"/>
              </w:rPr>
            </w:pPr>
            <w:r>
              <w:rPr>
                <w:rFonts w:hint="eastAsia" w:ascii="宋体" w:hAnsi="宋体" w:cs="宋体"/>
                <w:szCs w:val="21"/>
              </w:rPr>
              <w:t>1</w:t>
            </w:r>
          </w:p>
        </w:tc>
        <w:tc>
          <w:tcPr>
            <w:tcW w:w="1745" w:type="dxa"/>
            <w:tcBorders>
              <w:top w:val="single" w:color="auto" w:sz="4" w:space="0"/>
              <w:left w:val="single" w:color="auto" w:sz="4" w:space="0"/>
              <w:bottom w:val="single" w:color="auto" w:sz="4" w:space="0"/>
              <w:right w:val="single" w:color="auto" w:sz="4" w:space="0"/>
            </w:tcBorders>
            <w:vAlign w:val="center"/>
          </w:tcPr>
          <w:p w14:paraId="5D30A075">
            <w:pPr>
              <w:adjustRightInd w:val="0"/>
              <w:snapToGrid w:val="0"/>
              <w:spacing w:after="200" w:line="220" w:lineRule="atLeast"/>
              <w:jc w:val="center"/>
              <w:rPr>
                <w:rFonts w:hint="eastAsia" w:ascii="宋体" w:hAnsi="宋体" w:cs="宋体"/>
                <w:szCs w:val="21"/>
              </w:rPr>
            </w:pPr>
            <w:r>
              <w:rPr>
                <w:rFonts w:hint="eastAsia" w:ascii="宋体" w:hAnsi="宋体" w:cs="宋体"/>
                <w:szCs w:val="21"/>
              </w:rPr>
              <w:t>2</w:t>
            </w:r>
          </w:p>
        </w:tc>
        <w:tc>
          <w:tcPr>
            <w:tcW w:w="1718" w:type="dxa"/>
            <w:tcBorders>
              <w:top w:val="single" w:color="auto" w:sz="4" w:space="0"/>
              <w:left w:val="single" w:color="auto" w:sz="4" w:space="0"/>
              <w:bottom w:val="single" w:color="auto" w:sz="4" w:space="0"/>
              <w:right w:val="single" w:color="auto" w:sz="4" w:space="0"/>
            </w:tcBorders>
            <w:vAlign w:val="center"/>
          </w:tcPr>
          <w:p w14:paraId="249AA019">
            <w:pPr>
              <w:adjustRightInd w:val="0"/>
              <w:snapToGrid w:val="0"/>
              <w:spacing w:after="200" w:line="220" w:lineRule="atLeast"/>
              <w:jc w:val="center"/>
              <w:rPr>
                <w:rFonts w:hint="eastAsia" w:ascii="宋体" w:hAnsi="宋体" w:cs="宋体"/>
                <w:szCs w:val="21"/>
              </w:rPr>
            </w:pPr>
            <w:r>
              <w:rPr>
                <w:rFonts w:hint="eastAsia" w:ascii="宋体" w:hAnsi="宋体" w:cs="宋体"/>
                <w:szCs w:val="21"/>
              </w:rPr>
              <w:t>3</w:t>
            </w:r>
          </w:p>
        </w:tc>
        <w:tc>
          <w:tcPr>
            <w:tcW w:w="2810" w:type="dxa"/>
            <w:tcBorders>
              <w:top w:val="single" w:color="auto" w:sz="4" w:space="0"/>
              <w:left w:val="single" w:color="auto" w:sz="4" w:space="0"/>
              <w:bottom w:val="single" w:color="auto" w:sz="4" w:space="0"/>
              <w:right w:val="single" w:color="auto" w:sz="4" w:space="0"/>
            </w:tcBorders>
            <w:vAlign w:val="center"/>
          </w:tcPr>
          <w:p w14:paraId="6FF2772B">
            <w:pPr>
              <w:adjustRightInd w:val="0"/>
              <w:snapToGrid w:val="0"/>
              <w:spacing w:after="200" w:line="220" w:lineRule="atLeast"/>
              <w:jc w:val="center"/>
              <w:rPr>
                <w:rFonts w:hint="eastAsia" w:ascii="宋体" w:hAnsi="宋体" w:cs="宋体"/>
                <w:szCs w:val="21"/>
              </w:rPr>
            </w:pPr>
            <w:r>
              <w:rPr>
                <w:rFonts w:hint="eastAsia" w:ascii="宋体" w:hAnsi="宋体" w:cs="宋体"/>
                <w:szCs w:val="21"/>
              </w:rPr>
              <w:t>4</w:t>
            </w:r>
          </w:p>
        </w:tc>
      </w:tr>
      <w:tr w14:paraId="10FD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0F4673B9">
            <w:pPr>
              <w:adjustRightInd w:val="0"/>
              <w:snapToGrid w:val="0"/>
              <w:spacing w:after="200" w:line="220" w:lineRule="atLeast"/>
              <w:jc w:val="center"/>
              <w:rPr>
                <w:rFonts w:hint="eastAsia" w:ascii="宋体" w:hAnsi="宋体" w:cs="宋体"/>
                <w:szCs w:val="21"/>
              </w:rPr>
            </w:pPr>
            <w:r>
              <w:rPr>
                <w:rFonts w:hint="eastAsia" w:ascii="宋体" w:hAnsi="宋体" w:cs="宋体"/>
                <w:szCs w:val="21"/>
              </w:rPr>
              <w:t>分项</w:t>
            </w:r>
          </w:p>
        </w:tc>
        <w:tc>
          <w:tcPr>
            <w:tcW w:w="1745" w:type="dxa"/>
            <w:tcBorders>
              <w:top w:val="single" w:color="auto" w:sz="4" w:space="0"/>
              <w:left w:val="single" w:color="auto" w:sz="4" w:space="0"/>
              <w:bottom w:val="single" w:color="auto" w:sz="4" w:space="0"/>
              <w:right w:val="single" w:color="auto" w:sz="4" w:space="0"/>
            </w:tcBorders>
            <w:vAlign w:val="center"/>
          </w:tcPr>
          <w:p w14:paraId="2715111E">
            <w:pPr>
              <w:adjustRightInd w:val="0"/>
              <w:snapToGrid w:val="0"/>
              <w:spacing w:after="200" w:line="220" w:lineRule="atLeast"/>
              <w:jc w:val="center"/>
              <w:rPr>
                <w:rFonts w:hint="eastAsia" w:ascii="宋体" w:hAnsi="宋体" w:cs="宋体"/>
                <w:szCs w:val="21"/>
              </w:rPr>
            </w:pPr>
            <w:r>
              <w:rPr>
                <w:rFonts w:hint="eastAsia" w:ascii="宋体" w:hAnsi="宋体" w:cs="宋体"/>
                <w:szCs w:val="21"/>
              </w:rPr>
              <w:t>单价</w:t>
            </w:r>
          </w:p>
        </w:tc>
        <w:tc>
          <w:tcPr>
            <w:tcW w:w="1718" w:type="dxa"/>
            <w:tcBorders>
              <w:top w:val="single" w:color="auto" w:sz="4" w:space="0"/>
              <w:left w:val="single" w:color="auto" w:sz="4" w:space="0"/>
              <w:bottom w:val="single" w:color="auto" w:sz="4" w:space="0"/>
              <w:right w:val="single" w:color="auto" w:sz="4" w:space="0"/>
            </w:tcBorders>
            <w:vAlign w:val="center"/>
          </w:tcPr>
          <w:p w14:paraId="58A748C2">
            <w:pPr>
              <w:adjustRightInd w:val="0"/>
              <w:snapToGrid w:val="0"/>
              <w:spacing w:after="200" w:line="220" w:lineRule="atLeast"/>
              <w:jc w:val="center"/>
              <w:rPr>
                <w:rFonts w:hint="eastAsia" w:ascii="宋体" w:hAnsi="宋体" w:cs="宋体"/>
                <w:szCs w:val="21"/>
              </w:rPr>
            </w:pPr>
            <w:r>
              <w:rPr>
                <w:rFonts w:hint="eastAsia" w:ascii="宋体" w:hAnsi="宋体" w:cs="宋体"/>
                <w:szCs w:val="21"/>
              </w:rPr>
              <w:t>数量</w:t>
            </w:r>
          </w:p>
        </w:tc>
        <w:tc>
          <w:tcPr>
            <w:tcW w:w="2810" w:type="dxa"/>
            <w:tcBorders>
              <w:top w:val="single" w:color="auto" w:sz="4" w:space="0"/>
              <w:left w:val="single" w:color="auto" w:sz="4" w:space="0"/>
              <w:bottom w:val="single" w:color="auto" w:sz="4" w:space="0"/>
              <w:right w:val="single" w:color="auto" w:sz="4" w:space="0"/>
            </w:tcBorders>
            <w:vAlign w:val="center"/>
          </w:tcPr>
          <w:p w14:paraId="27D12209">
            <w:pPr>
              <w:adjustRightInd w:val="0"/>
              <w:snapToGrid w:val="0"/>
              <w:spacing w:after="200" w:line="220" w:lineRule="atLeast"/>
              <w:jc w:val="center"/>
              <w:rPr>
                <w:rFonts w:hint="eastAsia" w:ascii="宋体" w:hAnsi="宋体" w:cs="宋体"/>
                <w:szCs w:val="21"/>
              </w:rPr>
            </w:pPr>
            <w:r>
              <w:rPr>
                <w:rFonts w:hint="eastAsia" w:ascii="宋体" w:hAnsi="宋体" w:cs="宋体"/>
                <w:szCs w:val="21"/>
              </w:rPr>
              <w:t>总价</w:t>
            </w:r>
          </w:p>
        </w:tc>
      </w:tr>
      <w:tr w14:paraId="5861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CE9BA56">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0BE4D30A">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52335AD">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0F077153">
            <w:pPr>
              <w:adjustRightInd w:val="0"/>
              <w:snapToGrid w:val="0"/>
              <w:spacing w:after="200" w:line="220" w:lineRule="atLeast"/>
              <w:jc w:val="center"/>
              <w:rPr>
                <w:rFonts w:hint="eastAsia" w:ascii="宋体" w:hAnsi="宋体" w:cs="宋体"/>
                <w:szCs w:val="21"/>
              </w:rPr>
            </w:pPr>
          </w:p>
        </w:tc>
      </w:tr>
      <w:tr w14:paraId="0A47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2CC274D8">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5E4DAEE8">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55DAA273">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461F78C1">
            <w:pPr>
              <w:adjustRightInd w:val="0"/>
              <w:snapToGrid w:val="0"/>
              <w:spacing w:after="200" w:line="220" w:lineRule="atLeast"/>
              <w:jc w:val="center"/>
              <w:rPr>
                <w:rFonts w:hint="eastAsia" w:ascii="宋体" w:hAnsi="宋体" w:cs="宋体"/>
                <w:szCs w:val="21"/>
              </w:rPr>
            </w:pPr>
          </w:p>
        </w:tc>
      </w:tr>
      <w:tr w14:paraId="2B0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36AB9F54">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10FFD9D0">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761623E5">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41577092">
            <w:pPr>
              <w:adjustRightInd w:val="0"/>
              <w:snapToGrid w:val="0"/>
              <w:spacing w:after="200" w:line="220" w:lineRule="atLeast"/>
              <w:jc w:val="center"/>
              <w:rPr>
                <w:rFonts w:hint="eastAsia" w:ascii="宋体" w:hAnsi="宋体" w:cs="宋体"/>
                <w:szCs w:val="21"/>
              </w:rPr>
            </w:pPr>
          </w:p>
        </w:tc>
      </w:tr>
      <w:tr w14:paraId="5F0C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0916CD89">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7AE6AAE4">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3A7C98ED">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6B2965C9">
            <w:pPr>
              <w:adjustRightInd w:val="0"/>
              <w:snapToGrid w:val="0"/>
              <w:spacing w:after="200" w:line="220" w:lineRule="atLeast"/>
              <w:jc w:val="center"/>
              <w:rPr>
                <w:rFonts w:hint="eastAsia" w:ascii="宋体" w:hAnsi="宋体" w:cs="宋体"/>
                <w:szCs w:val="21"/>
              </w:rPr>
            </w:pPr>
          </w:p>
        </w:tc>
      </w:tr>
      <w:tr w14:paraId="72F1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375C462A">
            <w:pPr>
              <w:pStyle w:val="13"/>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210293A9">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142872EE">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1AF10946">
            <w:pPr>
              <w:adjustRightInd w:val="0"/>
              <w:snapToGrid w:val="0"/>
              <w:spacing w:after="200" w:line="220" w:lineRule="atLeast"/>
              <w:jc w:val="center"/>
              <w:rPr>
                <w:rFonts w:hint="eastAsia" w:ascii="宋体" w:hAnsi="宋体" w:cs="宋体"/>
                <w:szCs w:val="21"/>
              </w:rPr>
            </w:pPr>
          </w:p>
        </w:tc>
      </w:tr>
      <w:tr w14:paraId="0545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6D717D3">
            <w:pPr>
              <w:adjustRightInd w:val="0"/>
              <w:snapToGrid w:val="0"/>
              <w:spacing w:after="200" w:line="220" w:lineRule="atLeast"/>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57F0B5F3">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06CE432F">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27EDC4A3">
            <w:pPr>
              <w:adjustRightInd w:val="0"/>
              <w:snapToGrid w:val="0"/>
              <w:spacing w:after="200" w:line="220" w:lineRule="atLeast"/>
              <w:jc w:val="center"/>
              <w:rPr>
                <w:rFonts w:hint="eastAsia" w:ascii="宋体" w:hAnsi="宋体" w:cs="宋体"/>
                <w:szCs w:val="21"/>
              </w:rPr>
            </w:pPr>
          </w:p>
        </w:tc>
      </w:tr>
      <w:tr w14:paraId="46BD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248" w:type="dxa"/>
            <w:gridSpan w:val="3"/>
            <w:tcBorders>
              <w:top w:val="single" w:color="auto" w:sz="4" w:space="0"/>
              <w:left w:val="single" w:color="auto" w:sz="4" w:space="0"/>
              <w:bottom w:val="single" w:color="auto" w:sz="4" w:space="0"/>
              <w:right w:val="single" w:color="auto" w:sz="4" w:space="0"/>
            </w:tcBorders>
            <w:vAlign w:val="center"/>
          </w:tcPr>
          <w:p w14:paraId="3347014E">
            <w:pPr>
              <w:adjustRightInd w:val="0"/>
              <w:snapToGrid w:val="0"/>
              <w:spacing w:after="200" w:line="220" w:lineRule="atLeast"/>
              <w:jc w:val="center"/>
              <w:rPr>
                <w:rFonts w:hint="eastAsia" w:ascii="宋体" w:hAnsi="宋体" w:cs="宋体"/>
                <w:szCs w:val="21"/>
              </w:rPr>
            </w:pPr>
            <w:r>
              <w:rPr>
                <w:rFonts w:hint="eastAsia" w:ascii="宋体" w:hAnsi="宋体" w:cs="宋体"/>
                <w:szCs w:val="21"/>
              </w:rPr>
              <w:t>合计</w:t>
            </w:r>
          </w:p>
        </w:tc>
        <w:tc>
          <w:tcPr>
            <w:tcW w:w="2810" w:type="dxa"/>
            <w:tcBorders>
              <w:top w:val="single" w:color="auto" w:sz="4" w:space="0"/>
              <w:left w:val="single" w:color="auto" w:sz="4" w:space="0"/>
              <w:bottom w:val="single" w:color="auto" w:sz="4" w:space="0"/>
              <w:right w:val="single" w:color="auto" w:sz="4" w:space="0"/>
            </w:tcBorders>
            <w:vAlign w:val="center"/>
          </w:tcPr>
          <w:p w14:paraId="28337279">
            <w:pPr>
              <w:adjustRightInd w:val="0"/>
              <w:snapToGrid w:val="0"/>
              <w:spacing w:after="200" w:line="220" w:lineRule="atLeast"/>
              <w:jc w:val="center"/>
              <w:rPr>
                <w:rFonts w:hint="eastAsia" w:ascii="宋体" w:hAnsi="宋体" w:cs="宋体"/>
                <w:szCs w:val="21"/>
              </w:rPr>
            </w:pPr>
          </w:p>
        </w:tc>
      </w:tr>
    </w:tbl>
    <w:p w14:paraId="3A9CE570">
      <w:pPr>
        <w:rPr>
          <w:rFonts w:hint="eastAsia" w:ascii="宋体" w:hAnsi="宋体" w:cs="宋体"/>
          <w:szCs w:val="21"/>
        </w:rPr>
      </w:pPr>
    </w:p>
    <w:p w14:paraId="5B792586">
      <w:pPr>
        <w:spacing w:line="360" w:lineRule="auto"/>
        <w:ind w:firstLine="420" w:firstLineChars="200"/>
        <w:jc w:val="left"/>
        <w:rPr>
          <w:rFonts w:hint="eastAsia" w:ascii="宋体" w:hAnsi="宋体" w:cs="宋体"/>
          <w:szCs w:val="21"/>
        </w:rPr>
      </w:pPr>
      <w:r>
        <w:rPr>
          <w:rFonts w:hint="eastAsia" w:ascii="宋体" w:hAnsi="宋体" w:cs="宋体"/>
          <w:szCs w:val="21"/>
        </w:rPr>
        <w:t xml:space="preserve">  法定代表人或授权代表（签字或盖章）</w:t>
      </w:r>
    </w:p>
    <w:p w14:paraId="573A21EA">
      <w:pPr>
        <w:spacing w:line="360" w:lineRule="auto"/>
        <w:rPr>
          <w:rFonts w:hint="eastAsia" w:ascii="宋体" w:hAnsi="宋体" w:cs="宋体"/>
          <w:szCs w:val="21"/>
        </w:rPr>
      </w:pPr>
    </w:p>
    <w:p w14:paraId="7D89C6AB">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年     月    日</w:t>
      </w:r>
    </w:p>
    <w:p w14:paraId="4866274B">
      <w:pPr>
        <w:spacing w:line="360" w:lineRule="auto"/>
        <w:ind w:firstLine="420" w:firstLineChars="200"/>
        <w:rPr>
          <w:rFonts w:hint="eastAsia" w:ascii="宋体" w:hAnsi="宋体" w:cs="宋体"/>
          <w:szCs w:val="21"/>
        </w:rPr>
      </w:pPr>
      <w:r>
        <w:rPr>
          <w:rFonts w:hint="eastAsia" w:ascii="宋体" w:hAnsi="宋体" w:cs="宋体"/>
          <w:bCs/>
          <w:szCs w:val="21"/>
        </w:rPr>
        <w:t>注：1、</w:t>
      </w:r>
      <w:r>
        <w:rPr>
          <w:rFonts w:hint="eastAsia" w:ascii="宋体" w:hAnsi="宋体" w:cs="宋体"/>
          <w:szCs w:val="21"/>
        </w:rPr>
        <w:t>各供应商可以根据实际情况合理安排，对上述项目适当予以调整。</w:t>
      </w:r>
    </w:p>
    <w:p w14:paraId="18FBC6F5">
      <w:pPr>
        <w:pStyle w:val="28"/>
      </w:pPr>
    </w:p>
    <w:p w14:paraId="1872355F"/>
    <w:p w14:paraId="25F6F8A6">
      <w:pPr>
        <w:pStyle w:val="28"/>
      </w:pPr>
    </w:p>
    <w:p w14:paraId="58685CC7"/>
    <w:p w14:paraId="1250B7C0">
      <w:pPr>
        <w:pStyle w:val="28"/>
      </w:pPr>
    </w:p>
    <w:p w14:paraId="6079745A"/>
    <w:p w14:paraId="6CFEC6FC">
      <w:pPr>
        <w:spacing w:line="360" w:lineRule="auto"/>
        <w:jc w:val="center"/>
        <w:rPr>
          <w:rFonts w:hint="eastAsia" w:ascii="宋体" w:hAnsi="宋体" w:cs="宋体"/>
          <w:b/>
          <w:szCs w:val="21"/>
        </w:rPr>
      </w:pPr>
    </w:p>
    <w:p w14:paraId="4365FF3A">
      <w:pPr>
        <w:pStyle w:val="28"/>
        <w:sectPr>
          <w:pgSz w:w="11906" w:h="16838"/>
          <w:pgMar w:top="1440" w:right="1800" w:bottom="1440" w:left="1800" w:header="1191" w:footer="992" w:gutter="0"/>
          <w:cols w:space="720" w:num="1"/>
          <w:docGrid w:type="lines" w:linePitch="312" w:charSpace="0"/>
        </w:sectPr>
      </w:pPr>
    </w:p>
    <w:p w14:paraId="5617A67D">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六、技术参数响应及偏离表</w:t>
      </w:r>
    </w:p>
    <w:p w14:paraId="08C61081">
      <w:pPr>
        <w:spacing w:line="360" w:lineRule="auto"/>
        <w:rPr>
          <w:rFonts w:hint="eastAsia" w:ascii="宋体" w:hAnsi="宋体" w:eastAsia="宋体" w:cs="Times New Roman"/>
          <w:bCs/>
          <w:szCs w:val="21"/>
        </w:rPr>
      </w:pPr>
      <w:r>
        <w:rPr>
          <w:rFonts w:hint="eastAsia" w:ascii="宋体" w:hAnsi="宋体" w:eastAsia="宋体" w:cs="Times New Roman"/>
          <w:bCs/>
          <w:szCs w:val="21"/>
        </w:rPr>
        <w:t>供应商全称（加盖公章）：</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09C2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44C7FB56">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F042895">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7E8298A8">
            <w:pPr>
              <w:adjustRightInd w:val="0"/>
              <w:snapToGrid w:val="0"/>
              <w:spacing w:after="200" w:line="220" w:lineRule="atLeast"/>
              <w:ind w:firstLine="315" w:firstLineChars="150"/>
              <w:rPr>
                <w:rFonts w:hint="eastAsia" w:ascii="宋体" w:hAnsi="宋体" w:eastAsia="宋体" w:cs="Times New Roman"/>
                <w:szCs w:val="21"/>
              </w:rPr>
            </w:pPr>
            <w:r>
              <w:rPr>
                <w:rFonts w:hint="eastAsia" w:ascii="宋体" w:hAnsi="宋体" w:eastAsia="宋体" w:cs="Times New Roman"/>
                <w:szCs w:val="21"/>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14:paraId="3066BDA1">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14:paraId="5C950B05">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4F3AC356">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原因或说明</w:t>
            </w:r>
          </w:p>
        </w:tc>
      </w:tr>
      <w:tr w14:paraId="471B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70C5E8">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0F3B60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36096DE">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E139DA4">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FEC100A">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219BA5C">
            <w:pPr>
              <w:adjustRightInd w:val="0"/>
              <w:snapToGrid w:val="0"/>
              <w:spacing w:after="200" w:line="220" w:lineRule="atLeast"/>
              <w:jc w:val="center"/>
              <w:rPr>
                <w:rFonts w:hint="eastAsia" w:ascii="宋体" w:hAnsi="宋体" w:eastAsia="宋体" w:cs="Times New Roman"/>
                <w:sz w:val="24"/>
                <w:szCs w:val="24"/>
              </w:rPr>
            </w:pPr>
          </w:p>
        </w:tc>
      </w:tr>
      <w:tr w14:paraId="6DBA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7252657B">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DA8F4A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0CB5EA5">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3AD035A">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68F0E50">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FE62AD2">
            <w:pPr>
              <w:adjustRightInd w:val="0"/>
              <w:snapToGrid w:val="0"/>
              <w:spacing w:after="200" w:line="220" w:lineRule="atLeast"/>
              <w:jc w:val="center"/>
              <w:rPr>
                <w:rFonts w:hint="eastAsia" w:ascii="宋体" w:hAnsi="宋体" w:eastAsia="宋体" w:cs="Times New Roman"/>
                <w:sz w:val="24"/>
                <w:szCs w:val="24"/>
              </w:rPr>
            </w:pPr>
          </w:p>
        </w:tc>
      </w:tr>
      <w:tr w14:paraId="337F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52D3EB">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D666A53">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EF8C65C">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4A71454">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5D590AFE">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F0F335C">
            <w:pPr>
              <w:adjustRightInd w:val="0"/>
              <w:snapToGrid w:val="0"/>
              <w:spacing w:after="200" w:line="220" w:lineRule="atLeast"/>
              <w:jc w:val="center"/>
              <w:rPr>
                <w:rFonts w:hint="eastAsia" w:ascii="宋体" w:hAnsi="宋体" w:eastAsia="宋体" w:cs="Times New Roman"/>
                <w:sz w:val="24"/>
                <w:szCs w:val="24"/>
              </w:rPr>
            </w:pPr>
          </w:p>
        </w:tc>
      </w:tr>
      <w:tr w14:paraId="70D9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C537069">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4AF0599">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EB56708">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5D479ED">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740441B">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A2CA068">
            <w:pPr>
              <w:adjustRightInd w:val="0"/>
              <w:snapToGrid w:val="0"/>
              <w:spacing w:after="200" w:line="220" w:lineRule="atLeast"/>
              <w:jc w:val="center"/>
              <w:rPr>
                <w:rFonts w:hint="eastAsia" w:ascii="宋体" w:hAnsi="宋体" w:eastAsia="宋体" w:cs="Times New Roman"/>
                <w:sz w:val="24"/>
                <w:szCs w:val="24"/>
              </w:rPr>
            </w:pPr>
          </w:p>
        </w:tc>
      </w:tr>
      <w:tr w14:paraId="2CDA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015736">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28C824C">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870A236">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117E44D">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8ABF608">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7EDB5FA">
            <w:pPr>
              <w:adjustRightInd w:val="0"/>
              <w:snapToGrid w:val="0"/>
              <w:spacing w:after="200" w:line="220" w:lineRule="atLeast"/>
              <w:jc w:val="center"/>
              <w:rPr>
                <w:rFonts w:hint="eastAsia" w:ascii="宋体" w:hAnsi="宋体" w:eastAsia="宋体" w:cs="Times New Roman"/>
                <w:sz w:val="24"/>
                <w:szCs w:val="24"/>
              </w:rPr>
            </w:pPr>
          </w:p>
        </w:tc>
      </w:tr>
      <w:tr w14:paraId="3C9C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1D993EA">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FB1CD0B">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C1104D9">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530FDAB">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16B862">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1AD9C84">
            <w:pPr>
              <w:adjustRightInd w:val="0"/>
              <w:snapToGrid w:val="0"/>
              <w:spacing w:after="200" w:line="220" w:lineRule="atLeast"/>
              <w:jc w:val="center"/>
              <w:rPr>
                <w:rFonts w:hint="eastAsia" w:ascii="宋体" w:hAnsi="宋体" w:eastAsia="宋体" w:cs="Times New Roman"/>
                <w:sz w:val="24"/>
                <w:szCs w:val="24"/>
              </w:rPr>
            </w:pPr>
          </w:p>
        </w:tc>
      </w:tr>
      <w:tr w14:paraId="32E8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77A772A2">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278C07A">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A1F546A">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F46F91E">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5B8E180">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35E0003">
            <w:pPr>
              <w:adjustRightInd w:val="0"/>
              <w:snapToGrid w:val="0"/>
              <w:spacing w:after="200" w:line="220" w:lineRule="atLeast"/>
              <w:jc w:val="center"/>
              <w:rPr>
                <w:rFonts w:hint="eastAsia" w:ascii="宋体" w:hAnsi="宋体" w:eastAsia="宋体" w:cs="Times New Roman"/>
                <w:sz w:val="24"/>
                <w:szCs w:val="24"/>
              </w:rPr>
            </w:pPr>
          </w:p>
        </w:tc>
      </w:tr>
      <w:tr w14:paraId="5C6A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739FB2">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C3BE01A">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5EAE8FB">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666D6C3">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CA51F3F">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B44F42E">
            <w:pPr>
              <w:adjustRightInd w:val="0"/>
              <w:snapToGrid w:val="0"/>
              <w:spacing w:after="200" w:line="220" w:lineRule="atLeast"/>
              <w:jc w:val="center"/>
              <w:rPr>
                <w:rFonts w:hint="eastAsia" w:ascii="宋体" w:hAnsi="宋体" w:eastAsia="宋体" w:cs="Times New Roman"/>
                <w:sz w:val="24"/>
                <w:szCs w:val="24"/>
              </w:rPr>
            </w:pPr>
          </w:p>
        </w:tc>
      </w:tr>
    </w:tbl>
    <w:p w14:paraId="566B6F94">
      <w:pPr>
        <w:spacing w:line="360" w:lineRule="auto"/>
        <w:rPr>
          <w:rFonts w:hint="eastAsia" w:ascii="宋体" w:hAnsi="宋体" w:eastAsia="宋体" w:cs="Times New Roman"/>
          <w:szCs w:val="21"/>
        </w:rPr>
      </w:pPr>
      <w:r>
        <w:rPr>
          <w:rFonts w:hint="eastAsia" w:ascii="宋体" w:hAnsi="宋体" w:eastAsia="宋体" w:cs="Times New Roman"/>
          <w:szCs w:val="21"/>
        </w:rPr>
        <w:t>法定代表人或授权代表（签字或盖章）</w:t>
      </w:r>
    </w:p>
    <w:p w14:paraId="62036C3D">
      <w:pPr>
        <w:spacing w:line="360" w:lineRule="auto"/>
        <w:rPr>
          <w:rFonts w:hint="eastAsia" w:ascii="宋体" w:hAnsi="宋体" w:eastAsia="宋体" w:cs="Times New Roman"/>
          <w:szCs w:val="21"/>
        </w:rPr>
      </w:pPr>
      <w:r>
        <w:rPr>
          <w:rFonts w:hint="eastAsia" w:ascii="宋体" w:hAnsi="宋体" w:eastAsia="宋体" w:cs="Times New Roman"/>
          <w:szCs w:val="21"/>
        </w:rPr>
        <w:t xml:space="preserve">                                             日期：     年    月     日</w:t>
      </w:r>
    </w:p>
    <w:p w14:paraId="40DEC9B2">
      <w:pPr>
        <w:spacing w:line="360" w:lineRule="auto"/>
        <w:rPr>
          <w:rFonts w:hint="eastAsia" w:ascii="宋体" w:hAnsi="宋体" w:eastAsia="宋体" w:cs="Times New Roman"/>
          <w:b/>
          <w:szCs w:val="21"/>
        </w:rPr>
      </w:pPr>
    </w:p>
    <w:p w14:paraId="350D080B">
      <w:pPr>
        <w:spacing w:line="360" w:lineRule="auto"/>
        <w:rPr>
          <w:rFonts w:hint="eastAsia" w:ascii="宋体" w:hAnsi="宋体" w:eastAsia="宋体" w:cs="Times New Roman"/>
          <w:bCs/>
          <w:szCs w:val="21"/>
        </w:rPr>
      </w:pPr>
      <w:r>
        <w:rPr>
          <w:rFonts w:hint="eastAsia" w:ascii="宋体" w:hAnsi="宋体" w:eastAsia="宋体" w:cs="Times New Roman"/>
          <w:b/>
          <w:szCs w:val="21"/>
        </w:rPr>
        <w:t>注：</w:t>
      </w:r>
      <w:r>
        <w:rPr>
          <w:rFonts w:hint="eastAsia" w:ascii="宋体" w:hAnsi="宋体" w:eastAsia="宋体" w:cs="Times New Roman"/>
          <w:bCs/>
          <w:szCs w:val="21"/>
        </w:rPr>
        <w:t>1、按照基本技术要求详细填列；</w:t>
      </w:r>
    </w:p>
    <w:p w14:paraId="0157709D">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2、行数不够，可自行添加。</w:t>
      </w:r>
    </w:p>
    <w:p w14:paraId="68262E32">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3、技术偏离表应针对项目需求逐条应答。</w:t>
      </w:r>
    </w:p>
    <w:p w14:paraId="701B3B33">
      <w:pPr>
        <w:jc w:val="center"/>
        <w:rPr>
          <w:rFonts w:hint="eastAsia" w:ascii="宋体" w:hAnsi="宋体" w:eastAsia="宋体" w:cs="Times New Roman"/>
          <w:szCs w:val="21"/>
        </w:rPr>
      </w:pPr>
    </w:p>
    <w:p w14:paraId="167E5628">
      <w:pPr>
        <w:jc w:val="center"/>
        <w:rPr>
          <w:rFonts w:hint="eastAsia" w:ascii="宋体" w:hAnsi="宋体" w:eastAsia="宋体" w:cs="Times New Roman"/>
          <w:szCs w:val="21"/>
        </w:rPr>
      </w:pPr>
    </w:p>
    <w:p w14:paraId="6C29C76D">
      <w:pPr>
        <w:rPr>
          <w:rFonts w:hint="eastAsia" w:ascii="宋体" w:hAnsi="宋体" w:eastAsia="宋体" w:cs="Times New Roman"/>
          <w:szCs w:val="21"/>
        </w:rPr>
      </w:pPr>
    </w:p>
    <w:p w14:paraId="1EAD5063">
      <w:pPr>
        <w:jc w:val="center"/>
        <w:rPr>
          <w:rFonts w:hint="eastAsia" w:ascii="宋体" w:hAnsi="宋体" w:eastAsia="宋体" w:cs="Times New Roman"/>
          <w:szCs w:val="21"/>
        </w:rPr>
      </w:pPr>
    </w:p>
    <w:p w14:paraId="42148164">
      <w:pPr>
        <w:jc w:val="center"/>
        <w:rPr>
          <w:rFonts w:hint="eastAsia" w:ascii="宋体" w:hAnsi="宋体" w:eastAsia="宋体" w:cs="Times New Roman"/>
          <w:szCs w:val="21"/>
        </w:rPr>
      </w:pPr>
    </w:p>
    <w:p w14:paraId="5F1E2036">
      <w:pPr>
        <w:spacing w:line="360" w:lineRule="auto"/>
        <w:jc w:val="center"/>
        <w:rPr>
          <w:rFonts w:hint="eastAsia"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Cs w:val="21"/>
        </w:rPr>
        <w:t>七、商务条款响应及偏离表</w:t>
      </w:r>
    </w:p>
    <w:p w14:paraId="5451D635">
      <w:pPr>
        <w:rPr>
          <w:rFonts w:hint="eastAsia" w:ascii="宋体" w:hAnsi="宋体" w:eastAsia="宋体" w:cs="Times New Roman"/>
          <w:szCs w:val="21"/>
        </w:rPr>
      </w:pPr>
      <w:r>
        <w:rPr>
          <w:rFonts w:hint="eastAsia" w:ascii="宋体" w:hAnsi="宋体" w:eastAsia="宋体" w:cs="Times New Roman"/>
          <w:szCs w:val="21"/>
        </w:rPr>
        <w:t xml:space="preserve">供应商全称（加盖公章）：       </w:t>
      </w:r>
    </w:p>
    <w:p w14:paraId="2C4DD7AD">
      <w:pPr>
        <w:rPr>
          <w:rFonts w:hint="eastAsia" w:ascii="宋体" w:hAnsi="宋体" w:eastAsia="宋体" w:cs="Times New Roman"/>
          <w:szCs w:val="21"/>
        </w:rPr>
      </w:pPr>
      <w:r>
        <w:rPr>
          <w:rFonts w:hint="eastAsia" w:ascii="宋体" w:hAnsi="宋体" w:eastAsia="宋体" w:cs="Times New Roman"/>
          <w:szCs w:val="21"/>
        </w:rPr>
        <w:t>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5E817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14:paraId="79A89E9B">
            <w:pPr>
              <w:adjustRightInd w:val="0"/>
              <w:snapToGrid w:val="0"/>
              <w:spacing w:before="156" w:beforeLines="50" w:after="200" w:line="220" w:lineRule="atLeast"/>
              <w:jc w:val="right"/>
              <w:rPr>
                <w:rFonts w:hint="eastAsia" w:ascii="宋体" w:hAnsi="宋体" w:eastAsia="宋体" w:cs="Times New Roman"/>
                <w:szCs w:val="21"/>
              </w:rPr>
            </w:pPr>
            <w:r>
              <w:rPr>
                <w:rFonts w:hint="eastAsia" w:ascii="宋体" w:hAnsi="宋体" w:eastAsia="宋体" w:cs="Times New Roman"/>
                <w:szCs w:val="21"/>
              </w:rPr>
              <w:t>序号</w:t>
            </w:r>
          </w:p>
        </w:tc>
        <w:tc>
          <w:tcPr>
            <w:tcW w:w="1843" w:type="dxa"/>
            <w:tcBorders>
              <w:top w:val="single" w:color="auto" w:sz="4" w:space="0"/>
              <w:left w:val="single" w:color="auto" w:sz="4" w:space="0"/>
              <w:bottom w:val="single" w:color="auto" w:sz="4" w:space="0"/>
              <w:right w:val="single" w:color="auto" w:sz="4" w:space="0"/>
            </w:tcBorders>
          </w:tcPr>
          <w:p w14:paraId="1A3C5D3D">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项目</w:t>
            </w:r>
          </w:p>
        </w:tc>
        <w:tc>
          <w:tcPr>
            <w:tcW w:w="2693" w:type="dxa"/>
            <w:tcBorders>
              <w:top w:val="single" w:color="auto" w:sz="4" w:space="0"/>
              <w:left w:val="single" w:color="auto" w:sz="4" w:space="0"/>
              <w:bottom w:val="single" w:color="auto" w:sz="4" w:space="0"/>
              <w:right w:val="single" w:color="auto" w:sz="4" w:space="0"/>
            </w:tcBorders>
          </w:tcPr>
          <w:p w14:paraId="74253F38">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磋商要求</w:t>
            </w:r>
          </w:p>
        </w:tc>
        <w:tc>
          <w:tcPr>
            <w:tcW w:w="993" w:type="dxa"/>
            <w:tcBorders>
              <w:top w:val="single" w:color="auto" w:sz="4" w:space="0"/>
              <w:left w:val="single" w:color="auto" w:sz="4" w:space="0"/>
              <w:bottom w:val="single" w:color="auto" w:sz="4" w:space="0"/>
              <w:right w:val="single" w:color="auto" w:sz="4" w:space="0"/>
            </w:tcBorders>
          </w:tcPr>
          <w:p w14:paraId="4FA30DB2">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是否响应</w:t>
            </w:r>
          </w:p>
        </w:tc>
        <w:tc>
          <w:tcPr>
            <w:tcW w:w="2318" w:type="dxa"/>
            <w:tcBorders>
              <w:top w:val="single" w:color="auto" w:sz="4" w:space="0"/>
              <w:left w:val="single" w:color="auto" w:sz="4" w:space="0"/>
              <w:bottom w:val="single" w:color="auto" w:sz="4" w:space="0"/>
              <w:right w:val="single" w:color="auto" w:sz="4" w:space="0"/>
            </w:tcBorders>
          </w:tcPr>
          <w:p w14:paraId="294C231E">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供应商的承诺或说明</w:t>
            </w:r>
          </w:p>
        </w:tc>
      </w:tr>
      <w:tr w14:paraId="15624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tcPr>
          <w:p w14:paraId="23216ABF">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B661520">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服务期限</w:t>
            </w:r>
          </w:p>
        </w:tc>
        <w:tc>
          <w:tcPr>
            <w:tcW w:w="2693" w:type="dxa"/>
            <w:tcBorders>
              <w:top w:val="single" w:color="auto" w:sz="4" w:space="0"/>
              <w:left w:val="single" w:color="auto" w:sz="4" w:space="0"/>
              <w:bottom w:val="single" w:color="auto" w:sz="4" w:space="0"/>
              <w:right w:val="single" w:color="auto" w:sz="4" w:space="0"/>
            </w:tcBorders>
          </w:tcPr>
          <w:p w14:paraId="150F7E1E">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5E6ECCFE">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57EE3224">
            <w:pPr>
              <w:adjustRightInd w:val="0"/>
              <w:snapToGrid w:val="0"/>
              <w:spacing w:before="156" w:beforeLines="50" w:after="200" w:line="220" w:lineRule="atLeast"/>
              <w:rPr>
                <w:rFonts w:hint="eastAsia" w:ascii="仿宋_GB2312" w:hAnsi="宋体" w:eastAsia="仿宋_GB2312" w:cs="Times New Roman"/>
                <w:szCs w:val="21"/>
              </w:rPr>
            </w:pPr>
          </w:p>
        </w:tc>
      </w:tr>
      <w:tr w14:paraId="0B517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tcPr>
          <w:p w14:paraId="60C73DA5">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4D5C4E63">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服务要求</w:t>
            </w:r>
          </w:p>
        </w:tc>
        <w:tc>
          <w:tcPr>
            <w:tcW w:w="2693" w:type="dxa"/>
            <w:tcBorders>
              <w:top w:val="single" w:color="auto" w:sz="4" w:space="0"/>
              <w:left w:val="single" w:color="auto" w:sz="4" w:space="0"/>
              <w:bottom w:val="single" w:color="auto" w:sz="4" w:space="0"/>
              <w:right w:val="single" w:color="auto" w:sz="4" w:space="0"/>
            </w:tcBorders>
          </w:tcPr>
          <w:p w14:paraId="62266F92">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32F2768D">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424C1E4C">
            <w:pPr>
              <w:adjustRightInd w:val="0"/>
              <w:snapToGrid w:val="0"/>
              <w:spacing w:before="156" w:beforeLines="50" w:after="200" w:line="220" w:lineRule="atLeast"/>
              <w:rPr>
                <w:rFonts w:hint="eastAsia" w:ascii="仿宋_GB2312" w:hAnsi="宋体" w:eastAsia="仿宋_GB2312" w:cs="Times New Roman"/>
                <w:szCs w:val="21"/>
              </w:rPr>
            </w:pPr>
          </w:p>
        </w:tc>
      </w:tr>
      <w:tr w14:paraId="1340F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6296279C">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AC6D300">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1CCEBFFC">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3ECECDED">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425E1525">
            <w:pPr>
              <w:adjustRightInd w:val="0"/>
              <w:snapToGrid w:val="0"/>
              <w:spacing w:before="156" w:beforeLines="50" w:after="200" w:line="220" w:lineRule="atLeast"/>
              <w:ind w:left="43"/>
              <w:rPr>
                <w:rFonts w:hint="eastAsia" w:ascii="仿宋_GB2312" w:hAnsi="宋体" w:eastAsia="仿宋_GB2312" w:cs="Times New Roman"/>
                <w:szCs w:val="21"/>
              </w:rPr>
            </w:pPr>
          </w:p>
        </w:tc>
      </w:tr>
      <w:tr w14:paraId="63D72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50E86D32">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015F2F78">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29B8448B">
            <w:pPr>
              <w:spacing w:before="156" w:beforeLines="50" w:line="220" w:lineRule="atLeast"/>
              <w:rPr>
                <w:rFonts w:hint="eastAsia" w:ascii="仿宋_GB2312" w:hAnsi="宋体" w:eastAsia="微软雅黑" w:cs="Times New Roman"/>
                <w:szCs w:val="21"/>
              </w:rPr>
            </w:pPr>
          </w:p>
          <w:p w14:paraId="0BED2DA0">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789A0D68">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36EF208A">
            <w:pPr>
              <w:adjustRightInd w:val="0"/>
              <w:snapToGrid w:val="0"/>
              <w:spacing w:before="156" w:beforeLines="50" w:after="200" w:line="220" w:lineRule="atLeast"/>
              <w:ind w:left="43"/>
              <w:rPr>
                <w:rFonts w:hint="eastAsia" w:ascii="仿宋_GB2312" w:hAnsi="宋体" w:eastAsia="仿宋_GB2312" w:cs="Times New Roman"/>
                <w:szCs w:val="21"/>
              </w:rPr>
            </w:pPr>
          </w:p>
        </w:tc>
      </w:tr>
      <w:tr w14:paraId="3FE91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7BCDD4F2">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3872C0F">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5FED93B0">
            <w:pPr>
              <w:spacing w:before="156" w:beforeLines="50" w:line="220" w:lineRule="atLeast"/>
              <w:rPr>
                <w:rFonts w:hint="eastAsia" w:ascii="仿宋_GB2312" w:hAnsi="宋体" w:eastAsia="微软雅黑" w:cs="Times New Roman"/>
                <w:szCs w:val="21"/>
              </w:rPr>
            </w:pPr>
          </w:p>
          <w:p w14:paraId="74E0122A">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25CC48CA">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62843050">
            <w:pPr>
              <w:adjustRightInd w:val="0"/>
              <w:snapToGrid w:val="0"/>
              <w:spacing w:before="156" w:beforeLines="50" w:after="200" w:line="220" w:lineRule="atLeast"/>
              <w:ind w:left="43"/>
              <w:rPr>
                <w:rFonts w:hint="eastAsia" w:ascii="仿宋_GB2312" w:hAnsi="宋体" w:eastAsia="仿宋_GB2312" w:cs="Times New Roman"/>
                <w:szCs w:val="21"/>
              </w:rPr>
            </w:pPr>
          </w:p>
        </w:tc>
      </w:tr>
      <w:tr w14:paraId="071AD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3315A2AC">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58361125">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025687D3">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5537C803">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2F9F3604">
            <w:pPr>
              <w:adjustRightInd w:val="0"/>
              <w:snapToGrid w:val="0"/>
              <w:spacing w:before="156" w:beforeLines="50" w:after="200" w:line="220" w:lineRule="atLeast"/>
              <w:rPr>
                <w:rFonts w:hint="eastAsia" w:ascii="仿宋_GB2312" w:hAnsi="宋体" w:eastAsia="仿宋_GB2312" w:cs="Times New Roman"/>
                <w:sz w:val="24"/>
                <w:szCs w:val="20"/>
              </w:rPr>
            </w:pPr>
          </w:p>
        </w:tc>
      </w:tr>
      <w:tr w14:paraId="4E2E0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54C36B56">
            <w:pPr>
              <w:adjustRightInd w:val="0"/>
              <w:snapToGrid w:val="0"/>
              <w:spacing w:before="156" w:beforeLines="50" w:after="200" w:line="220" w:lineRule="atLeast"/>
              <w:jc w:val="right"/>
              <w:rPr>
                <w:rFonts w:hint="eastAsia" w:ascii="宋体" w:hAnsi="宋体"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5F4AFDC">
            <w:pPr>
              <w:adjustRightInd w:val="0"/>
              <w:snapToGrid w:val="0"/>
              <w:spacing w:before="156" w:beforeLines="50" w:after="200" w:line="220" w:lineRule="atLeast"/>
              <w:jc w:val="left"/>
              <w:rPr>
                <w:rFonts w:hint="eastAsia" w:ascii="宋体" w:hAnsi="宋体" w:eastAsia="宋体" w:cs="Times New Roman"/>
                <w:szCs w:val="21"/>
              </w:rPr>
            </w:pPr>
            <w:r>
              <w:rPr>
                <w:rFonts w:hint="eastAsia" w:ascii="宋体" w:hAnsi="宋体" w:eastAsia="宋体" w:cs="Times New Roman"/>
                <w:szCs w:val="21"/>
              </w:rPr>
              <w:t>磋商响应货币</w:t>
            </w:r>
          </w:p>
        </w:tc>
        <w:tc>
          <w:tcPr>
            <w:tcW w:w="2693" w:type="dxa"/>
            <w:tcBorders>
              <w:top w:val="single" w:color="auto" w:sz="4" w:space="0"/>
              <w:left w:val="single" w:color="auto" w:sz="4" w:space="0"/>
              <w:bottom w:val="single" w:color="auto" w:sz="4" w:space="0"/>
              <w:right w:val="single" w:color="auto" w:sz="4" w:space="0"/>
            </w:tcBorders>
          </w:tcPr>
          <w:p w14:paraId="103565F1">
            <w:pPr>
              <w:spacing w:before="156" w:beforeLines="50" w:line="220" w:lineRule="atLeast"/>
              <w:rPr>
                <w:rFonts w:hint="eastAsia" w:ascii="仿宋_GB2312" w:hAnsi="宋体" w:eastAsia="仿宋_GB2312" w:cs="Times New Roman"/>
                <w:sz w:val="24"/>
                <w:szCs w:val="20"/>
              </w:rPr>
            </w:pPr>
          </w:p>
          <w:p w14:paraId="668BA66D">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659583DF">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064DE3F">
            <w:pPr>
              <w:adjustRightInd w:val="0"/>
              <w:snapToGrid w:val="0"/>
              <w:spacing w:before="156" w:beforeLines="50" w:after="200" w:line="220" w:lineRule="atLeast"/>
              <w:rPr>
                <w:rFonts w:hint="eastAsia" w:ascii="仿宋_GB2312" w:hAnsi="宋体" w:eastAsia="仿宋_GB2312" w:cs="Times New Roman"/>
                <w:sz w:val="24"/>
                <w:szCs w:val="20"/>
              </w:rPr>
            </w:pPr>
          </w:p>
        </w:tc>
      </w:tr>
      <w:tr w14:paraId="69EEA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DB4AE90">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4358FABF">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其他</w:t>
            </w:r>
          </w:p>
        </w:tc>
        <w:tc>
          <w:tcPr>
            <w:tcW w:w="2693" w:type="dxa"/>
            <w:tcBorders>
              <w:top w:val="single" w:color="auto" w:sz="4" w:space="0"/>
              <w:left w:val="single" w:color="auto" w:sz="4" w:space="0"/>
              <w:bottom w:val="single" w:color="auto" w:sz="4" w:space="0"/>
              <w:right w:val="single" w:color="auto" w:sz="4" w:space="0"/>
            </w:tcBorders>
          </w:tcPr>
          <w:p w14:paraId="0289A788">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36F54FAB">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2FE16BB3">
            <w:pPr>
              <w:adjustRightInd w:val="0"/>
              <w:snapToGrid w:val="0"/>
              <w:spacing w:before="156" w:beforeLines="50" w:after="200" w:line="220" w:lineRule="atLeast"/>
              <w:rPr>
                <w:rFonts w:hint="eastAsia" w:ascii="仿宋_GB2312" w:hAnsi="宋体" w:eastAsia="仿宋_GB2312" w:cs="Times New Roman"/>
                <w:szCs w:val="21"/>
              </w:rPr>
            </w:pPr>
          </w:p>
        </w:tc>
      </w:tr>
    </w:tbl>
    <w:p w14:paraId="20789247">
      <w:pPr>
        <w:rPr>
          <w:rFonts w:hint="eastAsia" w:ascii="宋体" w:hAnsi="宋体" w:eastAsia="宋体" w:cs="Times New Roman"/>
          <w:szCs w:val="21"/>
        </w:rPr>
      </w:pPr>
    </w:p>
    <w:p w14:paraId="169D5603">
      <w:pPr>
        <w:rPr>
          <w:rFonts w:hint="eastAsia" w:ascii="宋体" w:hAnsi="宋体" w:eastAsia="宋体" w:cs="Times New Roman"/>
          <w:szCs w:val="21"/>
        </w:rPr>
      </w:pPr>
      <w:r>
        <w:rPr>
          <w:rFonts w:hint="eastAsia" w:ascii="宋体" w:hAnsi="宋体" w:eastAsia="宋体" w:cs="Times New Roman"/>
          <w:szCs w:val="21"/>
        </w:rPr>
        <w:t>法定代表人或授权代表签字：</w:t>
      </w:r>
    </w:p>
    <w:p w14:paraId="311DBA00">
      <w:pPr>
        <w:jc w:val="right"/>
        <w:rPr>
          <w:rFonts w:hint="eastAsia" w:ascii="宋体" w:hAnsi="宋体" w:eastAsia="宋体" w:cs="Times New Roman"/>
          <w:szCs w:val="21"/>
        </w:rPr>
      </w:pPr>
    </w:p>
    <w:p w14:paraId="701C9466">
      <w:pPr>
        <w:jc w:val="right"/>
        <w:rPr>
          <w:rFonts w:hint="eastAsia" w:ascii="宋体" w:hAnsi="宋体" w:eastAsia="宋体" w:cs="Times New Roman"/>
          <w:szCs w:val="21"/>
        </w:rPr>
        <w:sectPr>
          <w:pgSz w:w="11906" w:h="16838"/>
          <w:pgMar w:top="1440" w:right="1800" w:bottom="1440" w:left="1800" w:header="1191" w:footer="992" w:gutter="0"/>
          <w:cols w:space="720" w:num="1"/>
          <w:docGrid w:type="lines" w:linePitch="312" w:charSpace="0"/>
        </w:sectPr>
      </w:pPr>
      <w:r>
        <w:rPr>
          <w:rFonts w:hint="eastAsia" w:ascii="宋体" w:hAnsi="宋体" w:eastAsia="宋体" w:cs="Times New Roman"/>
          <w:szCs w:val="21"/>
        </w:rPr>
        <w:t>日期：     年    月     日</w:t>
      </w:r>
    </w:p>
    <w:bookmarkEnd w:id="134"/>
    <w:bookmarkEnd w:id="135"/>
    <w:bookmarkEnd w:id="136"/>
    <w:bookmarkEnd w:id="137"/>
    <w:bookmarkEnd w:id="138"/>
    <w:bookmarkEnd w:id="139"/>
    <w:bookmarkEnd w:id="140"/>
    <w:bookmarkEnd w:id="141"/>
    <w:bookmarkEnd w:id="142"/>
    <w:bookmarkEnd w:id="143"/>
    <w:bookmarkEnd w:id="144"/>
    <w:p w14:paraId="383B5194">
      <w:pPr>
        <w:jc w:val="center"/>
        <w:rPr>
          <w:rFonts w:hint="eastAsia" w:ascii="宋体" w:hAnsi="宋体" w:cs="宋体"/>
          <w:szCs w:val="21"/>
        </w:rPr>
      </w:pPr>
    </w:p>
    <w:p w14:paraId="2647958C">
      <w:pPr>
        <w:rPr>
          <w:rFonts w:hint="eastAsia" w:ascii="宋体" w:hAnsi="宋体" w:cs="宋体"/>
          <w:b/>
          <w:szCs w:val="21"/>
        </w:rPr>
      </w:pPr>
    </w:p>
    <w:p w14:paraId="118CF905">
      <w:pPr>
        <w:spacing w:line="360" w:lineRule="auto"/>
        <w:ind w:left="420" w:leftChars="200" w:right="-2"/>
        <w:jc w:val="center"/>
        <w:rPr>
          <w:rFonts w:hint="eastAsia" w:ascii="宋体" w:hAnsi="宋体" w:cs="Times New Roman"/>
          <w:b/>
          <w:bCs/>
          <w:szCs w:val="21"/>
        </w:rPr>
      </w:pPr>
      <w:r>
        <w:rPr>
          <w:rFonts w:hint="eastAsia" w:ascii="宋体" w:hAnsi="宋体" w:cs="Times New Roman"/>
          <w:b/>
          <w:bCs/>
          <w:szCs w:val="21"/>
        </w:rPr>
        <w:t>八、其他</w:t>
      </w:r>
    </w:p>
    <w:p w14:paraId="32288064">
      <w:pPr>
        <w:pStyle w:val="107"/>
        <w:ind w:firstLine="0" w:firstLineChars="0"/>
        <w:jc w:val="center"/>
      </w:pPr>
      <w:r>
        <w:rPr>
          <w:rFonts w:hint="eastAsia"/>
          <w:szCs w:val="21"/>
        </w:rPr>
        <w:t>（磋商文件中要求提供的资料及投标供应商认为需要提供的资料）</w:t>
      </w:r>
    </w:p>
    <w:sectPr>
      <w:pgSz w:w="11906" w:h="16838"/>
      <w:pgMar w:top="1440" w:right="1247" w:bottom="1440" w:left="1247" w:header="119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方正黑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82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4A26">
    <w:pPr>
      <w:pStyle w:val="26"/>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DC73F58">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5DC73F58">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D5EA">
    <w:pPr>
      <w:pStyle w:val="26"/>
      <w:tabs>
        <w:tab w:val="clear" w:pos="4153"/>
      </w:tabs>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7A16">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508204F">
                          <w:pPr>
                            <w:pStyle w:val="26"/>
                            <w:rPr>
                              <w:rStyle w:val="43"/>
                            </w:rPr>
                          </w:pPr>
                          <w:r>
                            <w:fldChar w:fldCharType="begin"/>
                          </w:r>
                          <w:r>
                            <w:rPr>
                              <w:rStyle w:val="43"/>
                            </w:rPr>
                            <w:instrText xml:space="preserve">PAGE  </w:instrText>
                          </w:r>
                          <w:r>
                            <w:fldChar w:fldCharType="separate"/>
                          </w:r>
                          <w:r>
                            <w:rPr>
                              <w:rStyle w:val="43"/>
                            </w:rPr>
                            <w:t>40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v:fill on="f" focussize="0,0"/>
              <v:stroke on="f"/>
              <v:imagedata o:title=""/>
              <o:lock v:ext="edit" aspectratio="f"/>
              <v:textbox inset="0mm,0mm,0mm,0mm" style="mso-fit-shape-to-text:t;">
                <w:txbxContent>
                  <w:p w14:paraId="0508204F">
                    <w:pPr>
                      <w:pStyle w:val="26"/>
                      <w:rPr>
                        <w:rStyle w:val="43"/>
                      </w:rPr>
                    </w:pPr>
                    <w:r>
                      <w:fldChar w:fldCharType="begin"/>
                    </w:r>
                    <w:r>
                      <w:rPr>
                        <w:rStyle w:val="43"/>
                      </w:rPr>
                      <w:instrText xml:space="preserve">PAGE  </w:instrText>
                    </w:r>
                    <w:r>
                      <w:fldChar w:fldCharType="separate"/>
                    </w:r>
                    <w:r>
                      <w:rPr>
                        <w:rStyle w:val="43"/>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26A9">
    <w:pPr>
      <w:pStyle w:val="27"/>
      <w:pBdr>
        <w:bottom w:val="single" w:color="auto" w:sz="6" w:space="0"/>
      </w:pBdr>
      <w:ind w:firstLine="180" w:firstLineChars="100"/>
      <w:jc w:val="both"/>
      <w:rPr>
        <w:rFonts w:hint="eastAsia" w:ascii="宋体" w:hAnsi="宋体"/>
        <w:szCs w:val="21"/>
      </w:rPr>
    </w:pPr>
  </w:p>
  <w:p w14:paraId="34911A86">
    <w:pPr>
      <w:pStyle w:val="27"/>
      <w:pBdr>
        <w:bottom w:val="single" w:color="auto" w:sz="6" w:space="0"/>
      </w:pBdr>
      <w:ind w:firstLine="180" w:firstLineChars="100"/>
      <w:jc w:val="both"/>
      <w:rPr>
        <w:rFonts w:hint="eastAsia" w:ascii="宋体" w:hAnsi="宋体"/>
        <w:szCs w:val="21"/>
      </w:rPr>
    </w:pPr>
  </w:p>
  <w:p w14:paraId="0861E2DB">
    <w:pPr>
      <w:pStyle w:val="27"/>
      <w:pBdr>
        <w:bottom w:val="single" w:color="auto" w:sz="6" w:space="0"/>
      </w:pBdr>
      <w:ind w:firstLine="180" w:firstLineChars="100"/>
      <w:jc w:val="both"/>
      <w:rPr>
        <w:rFonts w:hint="eastAsia" w:ascii="宋体" w:hAnsi="宋体"/>
        <w:szCs w:val="21"/>
      </w:rPr>
    </w:pPr>
    <w:r>
      <w:rPr>
        <w:rFonts w:hint="eastAsia" w:ascii="宋体" w:hAnsi="宋体"/>
        <w:szCs w:val="21"/>
      </w:rPr>
      <w:t xml:space="preserve">  </w:t>
    </w:r>
  </w:p>
  <w:p w14:paraId="11500BBB">
    <w:pPr>
      <w:pStyle w:val="27"/>
      <w:pBdr>
        <w:bottom w:val="single" w:color="auto" w:sz="6" w:space="0"/>
      </w:pBdr>
      <w:ind w:firstLine="180" w:firstLineChars="100"/>
      <w:jc w:val="both"/>
      <w:rPr>
        <w:rFonts w:hint="eastAsia" w:ascii="宋体" w:hAnsi="宋体"/>
        <w:szCs w:val="21"/>
      </w:rPr>
    </w:pPr>
    <w:r>
      <w:rPr>
        <w:rFonts w:hint="eastAsia" w:ascii="宋体" w:hAnsi="宋体"/>
        <w:szCs w:val="21"/>
      </w:rPr>
      <w:t xml:space="preserve">TDCG2025043                                                                 </w:t>
    </w:r>
    <w:r>
      <w:rPr>
        <w:rFonts w:hint="eastAsia" w:ascii="宋体" w:hAnsi="宋体" w:cs="宋体"/>
        <w:color w:val="333333"/>
        <w:kern w:val="0"/>
        <w:sz w:val="15"/>
        <w:szCs w:val="15"/>
        <w:lang w:val="en"/>
      </w:rPr>
      <w:t>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94E2">
    <w:pPr>
      <w:pStyle w:val="27"/>
      <w:jc w:val="left"/>
    </w:pPr>
    <w:r>
      <w:rPr>
        <w:rFonts w:hint="eastAsia" w:ascii="宋体" w:hAnsi="宋体"/>
        <w:szCs w:val="21"/>
      </w:rPr>
      <w:t>TDCG2025043                                                              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16C2">
    <w:pPr>
      <w:pStyle w:val="27"/>
      <w:tabs>
        <w:tab w:val="left" w:pos="3565"/>
        <w:tab w:val="clear" w:pos="4153"/>
        <w:tab w:val="clear" w:pos="8306"/>
      </w:tabs>
      <w:jc w:val="both"/>
      <w:rPr>
        <w:color w:val="000000"/>
      </w:rPr>
    </w:pPr>
    <w:r>
      <w:rPr>
        <w:rFonts w:hint="eastAsia" w:ascii="宋体" w:hAnsi="宋体"/>
        <w:szCs w:val="21"/>
      </w:rPr>
      <w:t xml:space="preserve">TDCG2025043    </w:t>
    </w:r>
    <w:r>
      <w:rPr>
        <w:rFonts w:hint="eastAsia"/>
      </w:rPr>
      <w:t xml:space="preserve">                                           </w:t>
    </w:r>
    <w:r>
      <w:rPr>
        <w:rFonts w:hint="eastAsia"/>
        <w:lang w:val="en-US" w:eastAsia="zh-CN"/>
      </w:rPr>
      <w:t xml:space="preserve">          </w:t>
    </w:r>
    <w:r>
      <w:rPr>
        <w:rFonts w:hint="eastAsia" w:ascii="宋体" w:hAnsi="宋体"/>
        <w:szCs w:val="21"/>
      </w:rPr>
      <w:t>江苏唯诚建设咨询有限公司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94527"/>
    <w:multiLevelType w:val="singleLevel"/>
    <w:tmpl w:val="E3494527"/>
    <w:lvl w:ilvl="0" w:tentative="0">
      <w:start w:val="3"/>
      <w:numFmt w:val="decimal"/>
      <w:suff w:val="nothing"/>
      <w:lvlText w:val="（%1）"/>
      <w:lvlJc w:val="left"/>
    </w:lvl>
  </w:abstractNum>
  <w:abstractNum w:abstractNumId="1">
    <w:nsid w:val="FFFFFF83"/>
    <w:multiLevelType w:val="singleLevel"/>
    <w:tmpl w:val="FFFFFF83"/>
    <w:lvl w:ilvl="0" w:tentative="0">
      <w:start w:val="1"/>
      <w:numFmt w:val="bullet"/>
      <w:pStyle w:val="17"/>
      <w:lvlText w:val=""/>
      <w:lvlJc w:val="left"/>
      <w:pPr>
        <w:tabs>
          <w:tab w:val="left" w:pos="780"/>
        </w:tabs>
        <w:ind w:left="780" w:leftChars="200" w:hanging="360" w:hangingChars="200"/>
      </w:pPr>
      <w:rPr>
        <w:rFonts w:hint="default" w:ascii="Wingdings" w:hAnsi="Wingdings"/>
      </w:rPr>
    </w:lvl>
  </w:abstractNum>
  <w:abstractNum w:abstractNumId="2">
    <w:nsid w:val="053F3ADB"/>
    <w:multiLevelType w:val="singleLevel"/>
    <w:tmpl w:val="053F3ADB"/>
    <w:lvl w:ilvl="0" w:tentative="0">
      <w:start w:val="2"/>
      <w:numFmt w:val="chineseCounting"/>
      <w:suff w:val="nothing"/>
      <w:lvlText w:val="%1、"/>
      <w:lvlJc w:val="left"/>
      <w:rPr>
        <w:rFonts w:hint="eastAsia"/>
      </w:rPr>
    </w:lvl>
  </w:abstractNum>
  <w:abstractNum w:abstractNumId="3">
    <w:nsid w:val="06784D56"/>
    <w:multiLevelType w:val="singleLevel"/>
    <w:tmpl w:val="06784D56"/>
    <w:lvl w:ilvl="0" w:tentative="0">
      <w:start w:val="1"/>
      <w:numFmt w:val="upperLetter"/>
      <w:pStyle w:val="85"/>
      <w:lvlText w:val="附录%1."/>
      <w:lvlJc w:val="left"/>
      <w:pPr>
        <w:tabs>
          <w:tab w:val="left" w:pos="907"/>
        </w:tabs>
        <w:ind w:left="907" w:hanging="907"/>
      </w:pPr>
      <w:rPr>
        <w:rFonts w:hint="eastAsia"/>
      </w:rPr>
    </w:lvl>
  </w:abstractNum>
  <w:abstractNum w:abstractNumId="4">
    <w:nsid w:val="0EF348A0"/>
    <w:multiLevelType w:val="singleLevel"/>
    <w:tmpl w:val="0EF348A0"/>
    <w:lvl w:ilvl="0" w:tentative="0">
      <w:start w:val="2"/>
      <w:numFmt w:val="decimal"/>
      <w:suff w:val="nothing"/>
      <w:lvlText w:val="%1、"/>
      <w:lvlJc w:val="left"/>
    </w:lvl>
  </w:abstractNum>
  <w:abstractNum w:abstractNumId="5">
    <w:nsid w:val="237E4D61"/>
    <w:multiLevelType w:val="multilevel"/>
    <w:tmpl w:val="237E4D61"/>
    <w:lvl w:ilvl="0" w:tentative="0">
      <w:start w:val="1"/>
      <w:numFmt w:val="japaneseCounting"/>
      <w:pStyle w:val="87"/>
      <w:lvlText w:val="第%1章"/>
      <w:lvlJc w:val="left"/>
      <w:pPr>
        <w:ind w:left="9351" w:hanging="420"/>
      </w:pPr>
      <w:rPr>
        <w:rFonts w:hint="eastAsia" w:ascii="黑体" w:eastAsia="黑体"/>
        <w:b w:val="0"/>
        <w:sz w:val="36"/>
        <w:lang w:val="en-US"/>
      </w:rPr>
    </w:lvl>
    <w:lvl w:ilvl="1" w:tentative="0">
      <w:start w:val="1"/>
      <w:numFmt w:val="decimal"/>
      <w:pStyle w:val="88"/>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6"/>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3"/>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6">
    <w:nsid w:val="338F4DE1"/>
    <w:multiLevelType w:val="singleLevel"/>
    <w:tmpl w:val="338F4DE1"/>
    <w:lvl w:ilvl="0" w:tentative="0">
      <w:start w:val="4"/>
      <w:numFmt w:val="chineseCounting"/>
      <w:suff w:val="space"/>
      <w:lvlText w:val="第%1章"/>
      <w:lvlJc w:val="left"/>
      <w:rPr>
        <w:rFonts w:hint="eastAsia"/>
      </w:rPr>
    </w:lvl>
  </w:abstractNum>
  <w:abstractNum w:abstractNumId="7">
    <w:nsid w:val="3F647FB0"/>
    <w:multiLevelType w:val="singleLevel"/>
    <w:tmpl w:val="3F647FB0"/>
    <w:lvl w:ilvl="0" w:tentative="0">
      <w:start w:val="9"/>
      <w:numFmt w:val="chineseCounting"/>
      <w:suff w:val="nothing"/>
      <w:lvlText w:val="%1、"/>
      <w:lvlJc w:val="left"/>
      <w:rPr>
        <w:rFonts w:hint="eastAsia"/>
      </w:rPr>
    </w:lvl>
  </w:abstractNum>
  <w:abstractNum w:abstractNumId="8">
    <w:nsid w:val="466B8673"/>
    <w:multiLevelType w:val="singleLevel"/>
    <w:tmpl w:val="466B8673"/>
    <w:lvl w:ilvl="0" w:tentative="0">
      <w:start w:val="4"/>
      <w:numFmt w:val="chineseCounting"/>
      <w:suff w:val="nothing"/>
      <w:lvlText w:val="%1、"/>
      <w:lvlJc w:val="left"/>
      <w:rPr>
        <w:rFonts w:hint="eastAsia"/>
      </w:rPr>
    </w:lvl>
  </w:abstractNum>
  <w:abstractNum w:abstractNumId="9">
    <w:nsid w:val="4E91367E"/>
    <w:multiLevelType w:val="singleLevel"/>
    <w:tmpl w:val="4E91367E"/>
    <w:lvl w:ilvl="0" w:tentative="0">
      <w:start w:val="2"/>
      <w:numFmt w:val="decimal"/>
      <w:suff w:val="nothing"/>
      <w:lvlText w:val="%1、"/>
      <w:lvlJc w:val="left"/>
    </w:lvl>
  </w:abstractNum>
  <w:abstractNum w:abstractNumId="10">
    <w:nsid w:val="5FD8D6C3"/>
    <w:multiLevelType w:val="singleLevel"/>
    <w:tmpl w:val="5FD8D6C3"/>
    <w:lvl w:ilvl="0" w:tentative="0">
      <w:start w:val="3"/>
      <w:numFmt w:val="chineseCounting"/>
      <w:lvlText w:val="第%1章"/>
      <w:lvlJc w:val="left"/>
      <w:pPr>
        <w:tabs>
          <w:tab w:val="left" w:pos="420"/>
        </w:tabs>
      </w:pPr>
      <w:rPr>
        <w:rFonts w:hint="eastAsia"/>
      </w:rPr>
    </w:lvl>
  </w:abstractNum>
  <w:num w:numId="1">
    <w:abstractNumId w:val="1"/>
  </w:num>
  <w:num w:numId="2">
    <w:abstractNumId w:val="3"/>
  </w:num>
  <w:num w:numId="3">
    <w:abstractNumId w:val="5"/>
  </w:num>
  <w:num w:numId="4">
    <w:abstractNumId w:val="7"/>
  </w:num>
  <w:num w:numId="5">
    <w:abstractNumId w:val="10"/>
  </w:num>
  <w:num w:numId="6">
    <w:abstractNumId w:val="2"/>
  </w:num>
  <w:num w:numId="7">
    <w:abstractNumId w:val="6"/>
  </w:num>
  <w:num w:numId="8">
    <w:abstractNumId w:val="4"/>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mM4ODZmY2YwZTU2MDljY2NhZGFiMjZmZDk1ZTcifQ=="/>
  </w:docVars>
  <w:rsids>
    <w:rsidRoot w:val="00EF7728"/>
    <w:rsid w:val="00044055"/>
    <w:rsid w:val="000460FF"/>
    <w:rsid w:val="000953A1"/>
    <w:rsid w:val="000E3DEA"/>
    <w:rsid w:val="00177CA8"/>
    <w:rsid w:val="001E3AFE"/>
    <w:rsid w:val="002A6B23"/>
    <w:rsid w:val="002E1CAB"/>
    <w:rsid w:val="002F5550"/>
    <w:rsid w:val="003168C9"/>
    <w:rsid w:val="003503FC"/>
    <w:rsid w:val="00384757"/>
    <w:rsid w:val="003967CA"/>
    <w:rsid w:val="003C4CC4"/>
    <w:rsid w:val="003E4CFE"/>
    <w:rsid w:val="00460C9A"/>
    <w:rsid w:val="00476B93"/>
    <w:rsid w:val="004A1757"/>
    <w:rsid w:val="004D025B"/>
    <w:rsid w:val="00581487"/>
    <w:rsid w:val="00596E58"/>
    <w:rsid w:val="005B227B"/>
    <w:rsid w:val="005C611E"/>
    <w:rsid w:val="005E5E27"/>
    <w:rsid w:val="005F62EA"/>
    <w:rsid w:val="00651602"/>
    <w:rsid w:val="00661709"/>
    <w:rsid w:val="006A1E9C"/>
    <w:rsid w:val="0091024D"/>
    <w:rsid w:val="00933A48"/>
    <w:rsid w:val="009434F3"/>
    <w:rsid w:val="00994A05"/>
    <w:rsid w:val="009F7F0D"/>
    <w:rsid w:val="00A20DCB"/>
    <w:rsid w:val="00B3364B"/>
    <w:rsid w:val="00B46575"/>
    <w:rsid w:val="00B67A13"/>
    <w:rsid w:val="00BC2E37"/>
    <w:rsid w:val="00C24817"/>
    <w:rsid w:val="00C61120"/>
    <w:rsid w:val="00D655BB"/>
    <w:rsid w:val="00D815A4"/>
    <w:rsid w:val="00E322B5"/>
    <w:rsid w:val="00E8620D"/>
    <w:rsid w:val="00EE1A3C"/>
    <w:rsid w:val="00EF7728"/>
    <w:rsid w:val="00F12440"/>
    <w:rsid w:val="00F141E1"/>
    <w:rsid w:val="00FD3183"/>
    <w:rsid w:val="014020B7"/>
    <w:rsid w:val="05365415"/>
    <w:rsid w:val="0594441E"/>
    <w:rsid w:val="06681449"/>
    <w:rsid w:val="08E250C3"/>
    <w:rsid w:val="0B564379"/>
    <w:rsid w:val="0EFC1528"/>
    <w:rsid w:val="10F1296D"/>
    <w:rsid w:val="119B4F5D"/>
    <w:rsid w:val="14326B2F"/>
    <w:rsid w:val="15A8458C"/>
    <w:rsid w:val="15AC5140"/>
    <w:rsid w:val="16562D64"/>
    <w:rsid w:val="1A65781B"/>
    <w:rsid w:val="213B7E78"/>
    <w:rsid w:val="27710308"/>
    <w:rsid w:val="31C36CB2"/>
    <w:rsid w:val="322D7E22"/>
    <w:rsid w:val="341C2D24"/>
    <w:rsid w:val="35460AC5"/>
    <w:rsid w:val="36D44917"/>
    <w:rsid w:val="377B0670"/>
    <w:rsid w:val="3AA02591"/>
    <w:rsid w:val="3F817694"/>
    <w:rsid w:val="3F8F7188"/>
    <w:rsid w:val="413955EE"/>
    <w:rsid w:val="46865814"/>
    <w:rsid w:val="4D9E03BC"/>
    <w:rsid w:val="4DD52C7D"/>
    <w:rsid w:val="4E0E6C08"/>
    <w:rsid w:val="516A26A0"/>
    <w:rsid w:val="55F976E6"/>
    <w:rsid w:val="5A1A6AFF"/>
    <w:rsid w:val="5BFB1B82"/>
    <w:rsid w:val="5C527136"/>
    <w:rsid w:val="5EA12D8F"/>
    <w:rsid w:val="62B4363B"/>
    <w:rsid w:val="64D755F1"/>
    <w:rsid w:val="662762F1"/>
    <w:rsid w:val="68710088"/>
    <w:rsid w:val="68716D41"/>
    <w:rsid w:val="689F0EDE"/>
    <w:rsid w:val="69187AAF"/>
    <w:rsid w:val="6D85338E"/>
    <w:rsid w:val="6FB62DFB"/>
    <w:rsid w:val="6FC80719"/>
    <w:rsid w:val="70CD3F40"/>
    <w:rsid w:val="70FD615C"/>
    <w:rsid w:val="73441F01"/>
    <w:rsid w:val="75EE6A2E"/>
    <w:rsid w:val="769D5641"/>
    <w:rsid w:val="78956C26"/>
    <w:rsid w:val="7DB75610"/>
    <w:rsid w:val="7E4B05E8"/>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autoRedefine/>
    <w:qFormat/>
    <w:uiPriority w:val="0"/>
    <w:pPr>
      <w:keepNext/>
      <w:outlineLvl w:val="0"/>
    </w:pPr>
    <w:rPr>
      <w:rFonts w:ascii="楷体_GB2312" w:hAnsi="Times New Roman" w:eastAsia="楷体_GB2312" w:cs="Times New Roman"/>
      <w:sz w:val="28"/>
      <w:szCs w:val="20"/>
    </w:rPr>
  </w:style>
  <w:style w:type="paragraph" w:styleId="2">
    <w:name w:val="heading 2"/>
    <w:basedOn w:val="1"/>
    <w:next w:val="1"/>
    <w:link w:val="52"/>
    <w:qFormat/>
    <w:uiPriority w:val="0"/>
    <w:pPr>
      <w:keepNext/>
      <w:keepLines/>
      <w:spacing w:before="260" w:after="260" w:line="416" w:lineRule="auto"/>
      <w:jc w:val="center"/>
      <w:outlineLvl w:val="1"/>
    </w:pPr>
    <w:rPr>
      <w:rFonts w:ascii="Arial" w:hAnsi="Arial" w:eastAsia="幼圆" w:cs="Times New Roman"/>
      <w:b/>
      <w:sz w:val="44"/>
      <w:szCs w:val="20"/>
    </w:rPr>
  </w:style>
  <w:style w:type="paragraph" w:styleId="4">
    <w:name w:val="heading 3"/>
    <w:basedOn w:val="1"/>
    <w:next w:val="1"/>
    <w:link w:val="53"/>
    <w:autoRedefine/>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5"/>
    <w:autoRedefine/>
    <w:qFormat/>
    <w:uiPriority w:val="0"/>
    <w:pPr>
      <w:keepNext/>
      <w:outlineLvl w:val="4"/>
    </w:pPr>
    <w:rPr>
      <w:rFonts w:ascii="宋体" w:hAnsi="宋体" w:eastAsia="宋体" w:cs="Times New Roman"/>
      <w:b/>
      <w:bCs/>
      <w:szCs w:val="24"/>
    </w:rPr>
  </w:style>
  <w:style w:type="character" w:default="1" w:styleId="41">
    <w:name w:val="Default Paragraph Font"/>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rPr>
      <w:rFonts w:ascii="Times New Roman" w:hAnsi="Times New Roman" w:eastAsia="宋体" w:cs="Times New Roman"/>
      <w:szCs w:val="24"/>
    </w:rPr>
  </w:style>
  <w:style w:type="paragraph" w:styleId="8">
    <w:name w:val="table of authorities"/>
    <w:basedOn w:val="1"/>
    <w:next w:val="1"/>
    <w:autoRedefine/>
    <w:qFormat/>
    <w:uiPriority w:val="0"/>
    <w:pPr>
      <w:spacing w:line="360" w:lineRule="auto"/>
      <w:ind w:left="420" w:leftChars="200" w:firstLine="200" w:firstLineChars="200"/>
    </w:pPr>
    <w:rPr>
      <w:rFonts w:ascii="Times New Roman" w:hAnsi="Times New Roman" w:eastAsia="宋体" w:cs="Times New Roman"/>
      <w:sz w:val="24"/>
      <w:szCs w:val="24"/>
    </w:rPr>
  </w:style>
  <w:style w:type="paragraph" w:styleId="9">
    <w:name w:val="Normal Indent"/>
    <w:basedOn w:val="1"/>
    <w:link w:val="57"/>
    <w:autoRedefine/>
    <w:qFormat/>
    <w:uiPriority w:val="0"/>
    <w:pPr>
      <w:ind w:firstLine="420"/>
    </w:pPr>
    <w:rPr>
      <w:rFonts w:ascii="Times New Roman" w:hAnsi="Times New Roman" w:eastAsia="宋体" w:cs="Times New Roman"/>
      <w:szCs w:val="20"/>
    </w:rPr>
  </w:style>
  <w:style w:type="paragraph" w:styleId="10">
    <w:name w:val="Document Map"/>
    <w:basedOn w:val="1"/>
    <w:link w:val="58"/>
    <w:autoRedefine/>
    <w:semiHidden/>
    <w:qFormat/>
    <w:uiPriority w:val="0"/>
    <w:pPr>
      <w:shd w:val="clear" w:color="auto" w:fill="000080"/>
    </w:pPr>
    <w:rPr>
      <w:rFonts w:ascii="Times New Roman" w:hAnsi="Times New Roman" w:eastAsia="宋体" w:cs="Times New Roman"/>
      <w:szCs w:val="24"/>
    </w:rPr>
  </w:style>
  <w:style w:type="paragraph" w:styleId="11">
    <w:name w:val="annotation text"/>
    <w:basedOn w:val="1"/>
    <w:link w:val="59"/>
    <w:autoRedefine/>
    <w:qFormat/>
    <w:uiPriority w:val="0"/>
    <w:pPr>
      <w:jc w:val="left"/>
    </w:pPr>
    <w:rPr>
      <w:rFonts w:ascii="Times New Roman" w:hAnsi="Times New Roman" w:eastAsia="宋体" w:cs="Times New Roman"/>
      <w:szCs w:val="24"/>
    </w:rPr>
  </w:style>
  <w:style w:type="paragraph" w:styleId="12">
    <w:name w:val="Body Text 3"/>
    <w:basedOn w:val="1"/>
    <w:link w:val="60"/>
    <w:autoRedefine/>
    <w:qFormat/>
    <w:uiPriority w:val="0"/>
    <w:rPr>
      <w:rFonts w:ascii="仿宋_GB2312" w:hAnsi="Arial" w:eastAsia="仿宋_GB2312" w:cs="Times New Roman"/>
      <w:sz w:val="32"/>
      <w:szCs w:val="20"/>
    </w:rPr>
  </w:style>
  <w:style w:type="paragraph" w:styleId="13">
    <w:name w:val="Body Text"/>
    <w:basedOn w:val="1"/>
    <w:next w:val="14"/>
    <w:link w:val="61"/>
    <w:autoRedefine/>
    <w:qFormat/>
    <w:uiPriority w:val="0"/>
    <w:rPr>
      <w:rFonts w:ascii="楷体_GB2312" w:hAnsi="Arial" w:eastAsia="楷体_GB2312" w:cs="Times New Roman"/>
      <w:sz w:val="28"/>
      <w:szCs w:val="20"/>
    </w:rPr>
  </w:style>
  <w:style w:type="paragraph" w:styleId="14">
    <w:name w:val="Body Text 2"/>
    <w:basedOn w:val="1"/>
    <w:link w:val="67"/>
    <w:autoRedefine/>
    <w:qFormat/>
    <w:uiPriority w:val="0"/>
    <w:pPr>
      <w:jc w:val="center"/>
    </w:pPr>
    <w:rPr>
      <w:rFonts w:ascii="仿宋_GB2312" w:hAnsi="Times New Roman" w:eastAsia="仿宋_GB2312" w:cs="Times New Roman"/>
      <w:sz w:val="44"/>
      <w:szCs w:val="24"/>
    </w:rPr>
  </w:style>
  <w:style w:type="paragraph" w:styleId="15">
    <w:name w:val="Body Text Indent"/>
    <w:basedOn w:val="1"/>
    <w:next w:val="1"/>
    <w:link w:val="56"/>
    <w:autoRedefine/>
    <w:qFormat/>
    <w:uiPriority w:val="0"/>
    <w:pPr>
      <w:ind w:firstLine="645"/>
    </w:pPr>
    <w:rPr>
      <w:rFonts w:ascii="楷体_GB2312" w:hAnsi="Times New Roman" w:eastAsia="楷体_GB2312" w:cs="Times New Roman"/>
      <w:sz w:val="32"/>
      <w:szCs w:val="20"/>
    </w:rPr>
  </w:style>
  <w:style w:type="paragraph" w:styleId="16">
    <w:name w:val="Block Text"/>
    <w:basedOn w:val="1"/>
    <w:autoRedefine/>
    <w:qFormat/>
    <w:uiPriority w:val="99"/>
    <w:pPr>
      <w:spacing w:after="120"/>
      <w:ind w:left="1440" w:leftChars="700" w:right="1440" w:rightChars="700"/>
    </w:pPr>
  </w:style>
  <w:style w:type="paragraph" w:styleId="17">
    <w:name w:val="List Bullet 2"/>
    <w:basedOn w:val="1"/>
    <w:autoRedefine/>
    <w:qFormat/>
    <w:uiPriority w:val="0"/>
    <w:pPr>
      <w:numPr>
        <w:ilvl w:val="0"/>
        <w:numId w:val="1"/>
      </w:numPr>
      <w:ind w:left="0" w:leftChars="0" w:firstLine="0" w:firstLineChars="0"/>
    </w:pPr>
    <w:rPr>
      <w:rFonts w:ascii="Times New Roman" w:hAnsi="Times New Roman" w:eastAsia="宋体" w:cs="Times New Roman"/>
      <w:szCs w:val="24"/>
    </w:rPr>
  </w:style>
  <w:style w:type="paragraph" w:styleId="18">
    <w:name w:val="index 4"/>
    <w:basedOn w:val="1"/>
    <w:next w:val="1"/>
    <w:autoRedefine/>
    <w:unhideWhenUsed/>
    <w:qFormat/>
    <w:uiPriority w:val="99"/>
    <w:pPr>
      <w:ind w:left="600" w:leftChars="600"/>
    </w:pPr>
  </w:style>
  <w:style w:type="paragraph" w:styleId="19">
    <w:name w:val="toc 5"/>
    <w:basedOn w:val="1"/>
    <w:next w:val="1"/>
    <w:autoRedefine/>
    <w:semiHidden/>
    <w:qFormat/>
    <w:uiPriority w:val="0"/>
    <w:pPr>
      <w:ind w:left="1680" w:leftChars="800"/>
    </w:pPr>
    <w:rPr>
      <w:rFonts w:ascii="Times New Roman" w:hAnsi="Times New Roman" w:eastAsia="宋体" w:cs="Times New Roman"/>
      <w:szCs w:val="24"/>
    </w:rPr>
  </w:style>
  <w:style w:type="paragraph" w:styleId="20">
    <w:name w:val="toc 3"/>
    <w:basedOn w:val="1"/>
    <w:next w:val="1"/>
    <w:autoRedefine/>
    <w:semiHidden/>
    <w:qFormat/>
    <w:uiPriority w:val="0"/>
    <w:pPr>
      <w:tabs>
        <w:tab w:val="right" w:leader="dot" w:pos="9440"/>
      </w:tabs>
      <w:spacing w:line="240" w:lineRule="exact"/>
      <w:ind w:left="539"/>
      <w:jc w:val="left"/>
    </w:pPr>
    <w:rPr>
      <w:rFonts w:ascii="黑体" w:hAnsi="宋体" w:eastAsia="黑体" w:cs="Times New Roman"/>
      <w:bCs/>
      <w:iCs/>
      <w:sz w:val="18"/>
      <w:szCs w:val="32"/>
    </w:rPr>
  </w:style>
  <w:style w:type="paragraph" w:styleId="21">
    <w:name w:val="Plain Text"/>
    <w:basedOn w:val="1"/>
    <w:link w:val="62"/>
    <w:autoRedefine/>
    <w:qFormat/>
    <w:uiPriority w:val="0"/>
    <w:rPr>
      <w:rFonts w:hint="eastAsia" w:ascii="宋体" w:hAnsi="Courier New" w:eastAsia="宋体" w:cs="Times New Roman"/>
      <w:szCs w:val="20"/>
    </w:rPr>
  </w:style>
  <w:style w:type="paragraph" w:styleId="22">
    <w:name w:val="toc 8"/>
    <w:basedOn w:val="1"/>
    <w:next w:val="1"/>
    <w:autoRedefine/>
    <w:semiHidden/>
    <w:qFormat/>
    <w:uiPriority w:val="0"/>
    <w:pPr>
      <w:ind w:left="2940" w:leftChars="1400"/>
    </w:pPr>
    <w:rPr>
      <w:rFonts w:ascii="Times New Roman" w:hAnsi="Times New Roman" w:eastAsia="宋体" w:cs="Times New Roman"/>
      <w:szCs w:val="24"/>
    </w:rPr>
  </w:style>
  <w:style w:type="paragraph" w:styleId="23">
    <w:name w:val="Date"/>
    <w:basedOn w:val="1"/>
    <w:next w:val="1"/>
    <w:link w:val="63"/>
    <w:autoRedefine/>
    <w:qFormat/>
    <w:uiPriority w:val="0"/>
    <w:rPr>
      <w:rFonts w:ascii="Times New Roman" w:hAnsi="Times New Roman" w:eastAsia="宋体" w:cs="Times New Roman"/>
      <w:sz w:val="24"/>
      <w:szCs w:val="20"/>
    </w:rPr>
  </w:style>
  <w:style w:type="paragraph" w:styleId="24">
    <w:name w:val="Body Text Indent 2"/>
    <w:basedOn w:val="1"/>
    <w:link w:val="64"/>
    <w:autoRedefine/>
    <w:qFormat/>
    <w:uiPriority w:val="0"/>
    <w:pPr>
      <w:ind w:firstLine="560" w:firstLineChars="200"/>
    </w:pPr>
    <w:rPr>
      <w:rFonts w:ascii="宋体" w:hAnsi="宋体" w:eastAsia="宋体" w:cs="Times New Roman"/>
      <w:sz w:val="28"/>
      <w:szCs w:val="24"/>
    </w:rPr>
  </w:style>
  <w:style w:type="paragraph" w:styleId="25">
    <w:name w:val="Balloon Text"/>
    <w:basedOn w:val="1"/>
    <w:link w:val="65"/>
    <w:autoRedefine/>
    <w:semiHidden/>
    <w:qFormat/>
    <w:uiPriority w:val="0"/>
    <w:rPr>
      <w:rFonts w:ascii="Times New Roman" w:hAnsi="Times New Roman" w:eastAsia="宋体" w:cs="Times New Roman"/>
      <w:sz w:val="18"/>
      <w:szCs w:val="18"/>
    </w:rPr>
  </w:style>
  <w:style w:type="paragraph" w:styleId="26">
    <w:name w:val="footer"/>
    <w:basedOn w:val="1"/>
    <w:link w:val="50"/>
    <w:autoRedefine/>
    <w:unhideWhenUsed/>
    <w:qFormat/>
    <w:uiPriority w:val="99"/>
    <w:pPr>
      <w:tabs>
        <w:tab w:val="center" w:pos="4153"/>
        <w:tab w:val="right" w:pos="8306"/>
      </w:tabs>
      <w:snapToGrid w:val="0"/>
      <w:jc w:val="left"/>
    </w:pPr>
    <w:rPr>
      <w:sz w:val="18"/>
      <w:szCs w:val="18"/>
    </w:rPr>
  </w:style>
  <w:style w:type="paragraph" w:styleId="27">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semiHidden/>
    <w:qFormat/>
    <w:uiPriority w:val="0"/>
    <w:pPr>
      <w:tabs>
        <w:tab w:val="right" w:leader="dot" w:pos="9440"/>
      </w:tabs>
      <w:spacing w:before="120" w:after="120" w:line="300" w:lineRule="exact"/>
      <w:jc w:val="left"/>
    </w:pPr>
    <w:rPr>
      <w:rFonts w:ascii="黑体" w:hAnsi="Times New Roman" w:eastAsia="黑体" w:cs="Times New Roman"/>
      <w:b/>
      <w:caps/>
      <w:sz w:val="18"/>
      <w:szCs w:val="28"/>
    </w:rPr>
  </w:style>
  <w:style w:type="paragraph" w:styleId="29">
    <w:name w:val="toc 4"/>
    <w:basedOn w:val="1"/>
    <w:next w:val="1"/>
    <w:autoRedefine/>
    <w:semiHidden/>
    <w:qFormat/>
    <w:uiPriority w:val="0"/>
    <w:pPr>
      <w:ind w:left="1260" w:leftChars="600"/>
    </w:pPr>
    <w:rPr>
      <w:rFonts w:ascii="Times New Roman" w:hAnsi="Times New Roman" w:eastAsia="宋体" w:cs="Times New Roman"/>
      <w:szCs w:val="24"/>
    </w:rPr>
  </w:style>
  <w:style w:type="paragraph" w:styleId="30">
    <w:name w:val="toc 6"/>
    <w:basedOn w:val="1"/>
    <w:next w:val="1"/>
    <w:autoRedefine/>
    <w:semiHidden/>
    <w:qFormat/>
    <w:uiPriority w:val="0"/>
    <w:pPr>
      <w:ind w:left="2100" w:leftChars="1000"/>
    </w:pPr>
    <w:rPr>
      <w:rFonts w:ascii="Times New Roman" w:hAnsi="Times New Roman" w:eastAsia="宋体" w:cs="Times New Roman"/>
      <w:szCs w:val="24"/>
    </w:rPr>
  </w:style>
  <w:style w:type="paragraph" w:styleId="31">
    <w:name w:val="Body Text Indent 3"/>
    <w:basedOn w:val="1"/>
    <w:link w:val="66"/>
    <w:autoRedefine/>
    <w:qFormat/>
    <w:uiPriority w:val="0"/>
    <w:pPr>
      <w:ind w:firstLine="523"/>
    </w:pPr>
    <w:rPr>
      <w:rFonts w:ascii="仿宋_GB2312" w:hAnsi="宋体" w:eastAsia="仿宋_GB2312" w:cs="Times New Roman"/>
      <w:sz w:val="24"/>
      <w:szCs w:val="24"/>
    </w:rPr>
  </w:style>
  <w:style w:type="paragraph" w:styleId="32">
    <w:name w:val="toc 2"/>
    <w:basedOn w:val="1"/>
    <w:next w:val="1"/>
    <w:autoRedefine/>
    <w:semiHidden/>
    <w:qFormat/>
    <w:uiPriority w:val="0"/>
    <w:pPr>
      <w:tabs>
        <w:tab w:val="right" w:leader="dot" w:pos="9440"/>
      </w:tabs>
      <w:spacing w:line="260" w:lineRule="exact"/>
      <w:jc w:val="left"/>
    </w:pPr>
    <w:rPr>
      <w:rFonts w:ascii="黑体" w:hAnsi="Times New Roman" w:eastAsia="黑体" w:cs="Times New Roman"/>
      <w:b/>
      <w:bCs/>
      <w:smallCaps/>
      <w:sz w:val="18"/>
      <w:szCs w:val="44"/>
    </w:rPr>
  </w:style>
  <w:style w:type="paragraph" w:styleId="33">
    <w:name w:val="toc 9"/>
    <w:basedOn w:val="1"/>
    <w:next w:val="1"/>
    <w:autoRedefine/>
    <w:semiHidden/>
    <w:qFormat/>
    <w:uiPriority w:val="0"/>
    <w:pPr>
      <w:ind w:left="3360" w:leftChars="1600"/>
    </w:pPr>
    <w:rPr>
      <w:rFonts w:ascii="Times New Roman" w:hAnsi="Times New Roman" w:eastAsia="宋体" w:cs="Times New Roman"/>
      <w:szCs w:val="24"/>
    </w:rPr>
  </w:style>
  <w:style w:type="paragraph" w:styleId="34">
    <w:name w:val="HTML Preformatted"/>
    <w:basedOn w:val="1"/>
    <w:link w:val="6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autoRedefine/>
    <w:semiHidden/>
    <w:qFormat/>
    <w:uiPriority w:val="0"/>
    <w:rPr>
      <w:rFonts w:ascii="宋体" w:hAnsi="宋体" w:eastAsia="宋体" w:cs="Times New Roman"/>
      <w:szCs w:val="18"/>
    </w:rPr>
  </w:style>
  <w:style w:type="paragraph" w:styleId="37">
    <w:name w:val="annotation subject"/>
    <w:basedOn w:val="11"/>
    <w:next w:val="11"/>
    <w:link w:val="69"/>
    <w:autoRedefine/>
    <w:qFormat/>
    <w:uiPriority w:val="0"/>
    <w:rPr>
      <w:b/>
      <w:bCs/>
    </w:rPr>
  </w:style>
  <w:style w:type="paragraph" w:styleId="38">
    <w:name w:val="Body Text First Indent 2"/>
    <w:basedOn w:val="15"/>
    <w:link w:val="70"/>
    <w:autoRedefine/>
    <w:qFormat/>
    <w:uiPriority w:val="0"/>
    <w:pPr>
      <w:ind w:firstLine="420"/>
    </w:pPr>
  </w:style>
  <w:style w:type="table" w:styleId="40">
    <w:name w:val="Table Grid"/>
    <w:basedOn w:val="39"/>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bCs/>
    </w:r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0"/>
    <w:rPr>
      <w:color w:val="0000FF"/>
      <w:u w:val="single"/>
    </w:rPr>
  </w:style>
  <w:style w:type="character" w:styleId="47">
    <w:name w:val="annotation reference"/>
    <w:autoRedefine/>
    <w:qFormat/>
    <w:uiPriority w:val="0"/>
    <w:rPr>
      <w:sz w:val="21"/>
      <w:szCs w:val="21"/>
    </w:rPr>
  </w:style>
  <w:style w:type="paragraph" w:customStyle="1" w:styleId="4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9">
    <w:name w:val="页眉 字符"/>
    <w:basedOn w:val="41"/>
    <w:link w:val="27"/>
    <w:autoRedefine/>
    <w:qFormat/>
    <w:uiPriority w:val="99"/>
    <w:rPr>
      <w:sz w:val="18"/>
      <w:szCs w:val="18"/>
    </w:rPr>
  </w:style>
  <w:style w:type="character" w:customStyle="1" w:styleId="50">
    <w:name w:val="页脚 字符"/>
    <w:basedOn w:val="41"/>
    <w:link w:val="26"/>
    <w:autoRedefine/>
    <w:qFormat/>
    <w:uiPriority w:val="99"/>
    <w:rPr>
      <w:sz w:val="18"/>
      <w:szCs w:val="18"/>
    </w:rPr>
  </w:style>
  <w:style w:type="character" w:customStyle="1" w:styleId="51">
    <w:name w:val="标题 1 字符"/>
    <w:basedOn w:val="41"/>
    <w:link w:val="3"/>
    <w:autoRedefine/>
    <w:qFormat/>
    <w:uiPriority w:val="0"/>
    <w:rPr>
      <w:rFonts w:ascii="楷体_GB2312" w:hAnsi="Times New Roman" w:eastAsia="楷体_GB2312" w:cs="Times New Roman"/>
      <w:sz w:val="28"/>
      <w:szCs w:val="20"/>
    </w:rPr>
  </w:style>
  <w:style w:type="character" w:customStyle="1" w:styleId="52">
    <w:name w:val="标题 2 字符"/>
    <w:basedOn w:val="41"/>
    <w:link w:val="2"/>
    <w:autoRedefine/>
    <w:qFormat/>
    <w:uiPriority w:val="0"/>
    <w:rPr>
      <w:rFonts w:ascii="Arial" w:hAnsi="Arial" w:eastAsia="幼圆" w:cs="Times New Roman"/>
      <w:b/>
      <w:sz w:val="44"/>
      <w:szCs w:val="20"/>
    </w:rPr>
  </w:style>
  <w:style w:type="character" w:customStyle="1" w:styleId="53">
    <w:name w:val="标题 3 字符"/>
    <w:basedOn w:val="41"/>
    <w:link w:val="4"/>
    <w:autoRedefine/>
    <w:qFormat/>
    <w:uiPriority w:val="0"/>
    <w:rPr>
      <w:rFonts w:ascii="Times New Roman" w:hAnsi="Times New Roman" w:eastAsia="宋体" w:cs="Times New Roman"/>
      <w:b/>
      <w:sz w:val="32"/>
      <w:szCs w:val="20"/>
    </w:rPr>
  </w:style>
  <w:style w:type="character" w:customStyle="1" w:styleId="54">
    <w:name w:val="标题 4 字符"/>
    <w:basedOn w:val="41"/>
    <w:link w:val="5"/>
    <w:autoRedefine/>
    <w:qFormat/>
    <w:uiPriority w:val="0"/>
    <w:rPr>
      <w:rFonts w:ascii="Arial" w:hAnsi="Arial" w:eastAsia="黑体" w:cs="Times New Roman"/>
      <w:b/>
      <w:bCs/>
      <w:sz w:val="28"/>
      <w:szCs w:val="28"/>
    </w:rPr>
  </w:style>
  <w:style w:type="character" w:customStyle="1" w:styleId="55">
    <w:name w:val="标题 5 字符"/>
    <w:basedOn w:val="41"/>
    <w:link w:val="6"/>
    <w:autoRedefine/>
    <w:qFormat/>
    <w:uiPriority w:val="0"/>
    <w:rPr>
      <w:rFonts w:ascii="宋体" w:hAnsi="宋体" w:eastAsia="宋体" w:cs="Times New Roman"/>
      <w:b/>
      <w:bCs/>
      <w:szCs w:val="24"/>
    </w:rPr>
  </w:style>
  <w:style w:type="character" w:customStyle="1" w:styleId="56">
    <w:name w:val="正文文本缩进 字符"/>
    <w:basedOn w:val="41"/>
    <w:link w:val="15"/>
    <w:autoRedefine/>
    <w:qFormat/>
    <w:uiPriority w:val="0"/>
    <w:rPr>
      <w:rFonts w:ascii="楷体_GB2312" w:hAnsi="Times New Roman" w:eastAsia="楷体_GB2312" w:cs="Times New Roman"/>
      <w:sz w:val="32"/>
      <w:szCs w:val="20"/>
    </w:rPr>
  </w:style>
  <w:style w:type="character" w:customStyle="1" w:styleId="57">
    <w:name w:val="正文缩进 字符"/>
    <w:link w:val="9"/>
    <w:autoRedefine/>
    <w:qFormat/>
    <w:uiPriority w:val="0"/>
    <w:rPr>
      <w:rFonts w:ascii="Times New Roman" w:hAnsi="Times New Roman" w:eastAsia="宋体" w:cs="Times New Roman"/>
      <w:szCs w:val="20"/>
    </w:rPr>
  </w:style>
  <w:style w:type="character" w:customStyle="1" w:styleId="58">
    <w:name w:val="文档结构图 字符"/>
    <w:basedOn w:val="41"/>
    <w:link w:val="10"/>
    <w:autoRedefine/>
    <w:semiHidden/>
    <w:qFormat/>
    <w:uiPriority w:val="0"/>
    <w:rPr>
      <w:rFonts w:ascii="Times New Roman" w:hAnsi="Times New Roman" w:eastAsia="宋体" w:cs="Times New Roman"/>
      <w:szCs w:val="24"/>
      <w:shd w:val="clear" w:color="auto" w:fill="000080"/>
    </w:rPr>
  </w:style>
  <w:style w:type="character" w:customStyle="1" w:styleId="59">
    <w:name w:val="批注文字 字符"/>
    <w:basedOn w:val="41"/>
    <w:link w:val="11"/>
    <w:autoRedefine/>
    <w:qFormat/>
    <w:uiPriority w:val="0"/>
    <w:rPr>
      <w:rFonts w:ascii="Times New Roman" w:hAnsi="Times New Roman" w:eastAsia="宋体" w:cs="Times New Roman"/>
      <w:szCs w:val="24"/>
    </w:rPr>
  </w:style>
  <w:style w:type="character" w:customStyle="1" w:styleId="60">
    <w:name w:val="正文文本 3 字符"/>
    <w:basedOn w:val="41"/>
    <w:link w:val="12"/>
    <w:autoRedefine/>
    <w:qFormat/>
    <w:uiPriority w:val="0"/>
    <w:rPr>
      <w:rFonts w:ascii="仿宋_GB2312" w:hAnsi="Arial" w:eastAsia="仿宋_GB2312" w:cs="Times New Roman"/>
      <w:sz w:val="32"/>
      <w:szCs w:val="20"/>
    </w:rPr>
  </w:style>
  <w:style w:type="character" w:customStyle="1" w:styleId="61">
    <w:name w:val="正文文本 字符"/>
    <w:basedOn w:val="41"/>
    <w:link w:val="13"/>
    <w:autoRedefine/>
    <w:qFormat/>
    <w:uiPriority w:val="0"/>
    <w:rPr>
      <w:rFonts w:ascii="楷体_GB2312" w:hAnsi="Arial" w:eastAsia="楷体_GB2312" w:cs="Times New Roman"/>
      <w:sz w:val="28"/>
      <w:szCs w:val="20"/>
    </w:rPr>
  </w:style>
  <w:style w:type="character" w:customStyle="1" w:styleId="62">
    <w:name w:val="纯文本 字符"/>
    <w:basedOn w:val="41"/>
    <w:link w:val="21"/>
    <w:autoRedefine/>
    <w:qFormat/>
    <w:uiPriority w:val="0"/>
    <w:rPr>
      <w:rFonts w:ascii="宋体" w:hAnsi="Courier New" w:eastAsia="宋体" w:cs="Times New Roman"/>
      <w:szCs w:val="20"/>
    </w:rPr>
  </w:style>
  <w:style w:type="character" w:customStyle="1" w:styleId="63">
    <w:name w:val="日期 字符"/>
    <w:basedOn w:val="41"/>
    <w:link w:val="23"/>
    <w:autoRedefine/>
    <w:qFormat/>
    <w:uiPriority w:val="0"/>
    <w:rPr>
      <w:rFonts w:ascii="Times New Roman" w:hAnsi="Times New Roman" w:eastAsia="宋体" w:cs="Times New Roman"/>
      <w:sz w:val="24"/>
      <w:szCs w:val="20"/>
    </w:rPr>
  </w:style>
  <w:style w:type="character" w:customStyle="1" w:styleId="64">
    <w:name w:val="正文文本缩进 2 字符"/>
    <w:basedOn w:val="41"/>
    <w:link w:val="24"/>
    <w:autoRedefine/>
    <w:qFormat/>
    <w:uiPriority w:val="0"/>
    <w:rPr>
      <w:rFonts w:ascii="宋体" w:hAnsi="宋体" w:eastAsia="宋体" w:cs="Times New Roman"/>
      <w:sz w:val="28"/>
      <w:szCs w:val="24"/>
    </w:rPr>
  </w:style>
  <w:style w:type="character" w:customStyle="1" w:styleId="65">
    <w:name w:val="批注框文本 字符"/>
    <w:basedOn w:val="41"/>
    <w:link w:val="25"/>
    <w:autoRedefine/>
    <w:semiHidden/>
    <w:qFormat/>
    <w:uiPriority w:val="0"/>
    <w:rPr>
      <w:rFonts w:ascii="Times New Roman" w:hAnsi="Times New Roman" w:eastAsia="宋体" w:cs="Times New Roman"/>
      <w:sz w:val="18"/>
      <w:szCs w:val="18"/>
    </w:rPr>
  </w:style>
  <w:style w:type="character" w:customStyle="1" w:styleId="66">
    <w:name w:val="正文文本缩进 3 字符"/>
    <w:basedOn w:val="41"/>
    <w:link w:val="31"/>
    <w:autoRedefine/>
    <w:qFormat/>
    <w:uiPriority w:val="0"/>
    <w:rPr>
      <w:rFonts w:ascii="仿宋_GB2312" w:hAnsi="宋体" w:eastAsia="仿宋_GB2312" w:cs="Times New Roman"/>
      <w:sz w:val="24"/>
      <w:szCs w:val="24"/>
    </w:rPr>
  </w:style>
  <w:style w:type="character" w:customStyle="1" w:styleId="67">
    <w:name w:val="正文文本 2 字符"/>
    <w:basedOn w:val="41"/>
    <w:link w:val="14"/>
    <w:autoRedefine/>
    <w:qFormat/>
    <w:uiPriority w:val="0"/>
    <w:rPr>
      <w:rFonts w:ascii="仿宋_GB2312" w:hAnsi="Times New Roman" w:eastAsia="仿宋_GB2312" w:cs="Times New Roman"/>
      <w:sz w:val="44"/>
      <w:szCs w:val="24"/>
    </w:rPr>
  </w:style>
  <w:style w:type="character" w:customStyle="1" w:styleId="68">
    <w:name w:val="HTML 预设格式 字符"/>
    <w:basedOn w:val="41"/>
    <w:link w:val="34"/>
    <w:autoRedefine/>
    <w:qFormat/>
    <w:uiPriority w:val="0"/>
    <w:rPr>
      <w:rFonts w:ascii="黑体" w:hAnsi="Courier New" w:eastAsia="黑体" w:cs="Courier New"/>
      <w:kern w:val="0"/>
      <w:sz w:val="20"/>
      <w:szCs w:val="20"/>
    </w:rPr>
  </w:style>
  <w:style w:type="character" w:customStyle="1" w:styleId="69">
    <w:name w:val="批注主题 字符"/>
    <w:basedOn w:val="59"/>
    <w:link w:val="37"/>
    <w:autoRedefine/>
    <w:qFormat/>
    <w:uiPriority w:val="0"/>
    <w:rPr>
      <w:rFonts w:ascii="Times New Roman" w:hAnsi="Times New Roman" w:eastAsia="宋体" w:cs="Times New Roman"/>
      <w:b/>
      <w:bCs/>
      <w:szCs w:val="24"/>
    </w:rPr>
  </w:style>
  <w:style w:type="character" w:customStyle="1" w:styleId="70">
    <w:name w:val="正文文本首行缩进 2 字符"/>
    <w:basedOn w:val="56"/>
    <w:link w:val="38"/>
    <w:autoRedefine/>
    <w:qFormat/>
    <w:uiPriority w:val="0"/>
    <w:rPr>
      <w:rFonts w:ascii="楷体_GB2312" w:hAnsi="Times New Roman" w:eastAsia="楷体_GB2312" w:cs="Times New Roman"/>
      <w:sz w:val="32"/>
      <w:szCs w:val="20"/>
    </w:rPr>
  </w:style>
  <w:style w:type="character" w:customStyle="1" w:styleId="71">
    <w:name w:val="标题2 Char"/>
    <w:autoRedefine/>
    <w:qFormat/>
    <w:uiPriority w:val="0"/>
    <w:rPr>
      <w:rFonts w:ascii="方正楷体_GBK" w:hAnsi="Book Antiqua" w:eastAsia="方正楷体_GBK"/>
      <w:snapToGrid w:val="0"/>
      <w:sz w:val="32"/>
      <w:lang w:val="en-US" w:eastAsia="zh-CN" w:bidi="ar-SA"/>
    </w:rPr>
  </w:style>
  <w:style w:type="character" w:customStyle="1" w:styleId="72">
    <w:name w:val="小四 段落 宋体 Char Char Char1"/>
    <w:autoRedefine/>
    <w:qFormat/>
    <w:uiPriority w:val="0"/>
    <w:rPr>
      <w:rFonts w:ascii="宋体" w:hAnsi="宋体" w:eastAsia="宋体"/>
      <w:kern w:val="2"/>
      <w:sz w:val="24"/>
      <w:szCs w:val="24"/>
      <w:lang w:val="en-US" w:eastAsia="zh-CN" w:bidi="ar-SA"/>
    </w:rPr>
  </w:style>
  <w:style w:type="character" w:customStyle="1" w:styleId="73">
    <w:name w:val="jj1"/>
    <w:autoRedefine/>
    <w:qFormat/>
    <w:uiPriority w:val="0"/>
    <w:rPr>
      <w:sz w:val="20"/>
      <w:szCs w:val="20"/>
      <w:u w:val="none"/>
    </w:rPr>
  </w:style>
  <w:style w:type="character" w:customStyle="1" w:styleId="74">
    <w:name w:val="列出段落 Char"/>
    <w:link w:val="75"/>
    <w:autoRedefine/>
    <w:qFormat/>
    <w:locked/>
    <w:uiPriority w:val="0"/>
    <w:rPr>
      <w:rFonts w:ascii="Calibri" w:hAnsi="Calibri"/>
      <w:sz w:val="24"/>
      <w:szCs w:val="24"/>
      <w:lang w:eastAsia="en-US" w:bidi="en-US"/>
    </w:rPr>
  </w:style>
  <w:style w:type="paragraph" w:customStyle="1" w:styleId="75">
    <w:name w:val="列出段落1"/>
    <w:basedOn w:val="1"/>
    <w:link w:val="74"/>
    <w:autoRedefine/>
    <w:qFormat/>
    <w:uiPriority w:val="0"/>
    <w:pPr>
      <w:widowControl/>
      <w:ind w:left="720"/>
      <w:contextualSpacing/>
      <w:jc w:val="left"/>
    </w:pPr>
    <w:rPr>
      <w:rFonts w:ascii="Calibri" w:hAnsi="Calibri"/>
      <w:sz w:val="24"/>
      <w:szCs w:val="24"/>
      <w:lang w:eastAsia="en-US" w:bidi="en-US"/>
    </w:rPr>
  </w:style>
  <w:style w:type="paragraph" w:customStyle="1" w:styleId="76">
    <w:name w:val="标题3"/>
    <w:basedOn w:val="1"/>
    <w:next w:val="1"/>
    <w:autoRedefine/>
    <w:qFormat/>
    <w:uiPriority w:val="0"/>
    <w:rPr>
      <w:rFonts w:ascii="Times New Roman" w:hAnsi="Times New Roman" w:eastAsia="方正黑体_GBK" w:cs="Times New Roman"/>
      <w:szCs w:val="24"/>
    </w:rPr>
  </w:style>
  <w:style w:type="paragraph" w:customStyle="1" w:styleId="77">
    <w:name w:val="标题 4_0"/>
    <w:basedOn w:val="78"/>
    <w:next w:val="78"/>
    <w:autoRedefine/>
    <w:qFormat/>
    <w:uiPriority w:val="0"/>
    <w:pPr>
      <w:keepNext/>
      <w:keepLines/>
      <w:spacing w:before="280" w:after="290" w:line="372" w:lineRule="auto"/>
      <w:outlineLvl w:val="3"/>
    </w:pPr>
    <w:rPr>
      <w:rFonts w:ascii="Cambria" w:hAnsi="Cambria"/>
      <w:b/>
      <w:bCs/>
      <w:sz w:val="28"/>
      <w:szCs w:val="28"/>
    </w:rPr>
  </w:style>
  <w:style w:type="paragraph" w:customStyle="1" w:styleId="78">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Char Char Char Char"/>
    <w:basedOn w:val="10"/>
    <w:autoRedefine/>
    <w:qFormat/>
    <w:uiPriority w:val="0"/>
    <w:pPr>
      <w:adjustRightInd w:val="0"/>
      <w:snapToGrid w:val="0"/>
      <w:spacing w:line="360" w:lineRule="auto"/>
    </w:pPr>
    <w:rPr>
      <w:rFonts w:ascii="Tahoma" w:hAnsi="Tahoma"/>
      <w:sz w:val="24"/>
    </w:rPr>
  </w:style>
  <w:style w:type="paragraph" w:customStyle="1" w:styleId="80">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81">
    <w:name w:val="Blockquote"/>
    <w:basedOn w:val="1"/>
    <w:autoRedefine/>
    <w:qFormat/>
    <w:uiPriority w:val="0"/>
    <w:pPr>
      <w:autoSpaceDE w:val="0"/>
      <w:autoSpaceDN w:val="0"/>
      <w:adjustRightInd w:val="0"/>
      <w:spacing w:before="100" w:after="100"/>
      <w:ind w:left="360" w:right="360"/>
    </w:pPr>
    <w:rPr>
      <w:rFonts w:ascii="Times New Roman" w:hAnsi="Times New Roman" w:eastAsia="宋体" w:cs="Times New Roman"/>
      <w:sz w:val="24"/>
      <w:szCs w:val="24"/>
    </w:rPr>
  </w:style>
  <w:style w:type="paragraph" w:customStyle="1" w:styleId="82">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83">
    <w:name w:val="Char Char Char Char1 Char Char"/>
    <w:basedOn w:val="1"/>
    <w:autoRedefine/>
    <w:qFormat/>
    <w:uiPriority w:val="0"/>
    <w:pPr>
      <w:tabs>
        <w:tab w:val="left" w:pos="360"/>
      </w:tabs>
    </w:pPr>
    <w:rPr>
      <w:rFonts w:ascii="Times New Roman" w:hAnsi="Times New Roman" w:eastAsia="宋体" w:cs="Times New Roman"/>
      <w:sz w:val="24"/>
      <w:szCs w:val="24"/>
    </w:rPr>
  </w:style>
  <w:style w:type="paragraph" w:customStyle="1" w:styleId="84">
    <w:name w:val="正文1"/>
    <w:autoRedefine/>
    <w:qFormat/>
    <w:uiPriority w:val="0"/>
    <w:rPr>
      <w:rFonts w:ascii="Times New Roman" w:hAnsi="Times New Roman" w:eastAsia="宋体" w:cs="Times New Roman"/>
      <w:lang w:val="en-US" w:eastAsia="zh-CN" w:bidi="ar-SA"/>
    </w:rPr>
  </w:style>
  <w:style w:type="paragraph" w:customStyle="1" w:styleId="85">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6">
    <w:name w:val="正文 1.1.1"/>
    <w:basedOn w:val="1"/>
    <w:next w:val="1"/>
    <w:autoRedefine/>
    <w:qFormat/>
    <w:uiPriority w:val="0"/>
    <w:pPr>
      <w:numPr>
        <w:ilvl w:val="2"/>
        <w:numId w:val="3"/>
      </w:numPr>
      <w:adjustRightInd w:val="0"/>
      <w:spacing w:line="360" w:lineRule="auto"/>
      <w:textAlignment w:val="baseline"/>
      <w:outlineLvl w:val="2"/>
    </w:pPr>
    <w:rPr>
      <w:rFonts w:ascii="宋体" w:hAnsi="宋体" w:eastAsia="宋体" w:cs="Times New Roman"/>
      <w:color w:val="000000"/>
      <w:kern w:val="0"/>
      <w:sz w:val="28"/>
      <w:szCs w:val="21"/>
    </w:rPr>
  </w:style>
  <w:style w:type="paragraph" w:customStyle="1" w:styleId="87">
    <w:name w:val="正文 第一章"/>
    <w:basedOn w:val="1"/>
    <w:next w:val="88"/>
    <w:autoRedefine/>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cs="Times New Roman"/>
      <w:kern w:val="0"/>
      <w:sz w:val="36"/>
      <w:szCs w:val="21"/>
    </w:rPr>
  </w:style>
  <w:style w:type="paragraph" w:customStyle="1" w:styleId="88">
    <w:name w:val="正文 1.1"/>
    <w:basedOn w:val="1"/>
    <w:next w:val="86"/>
    <w:autoRedefine/>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cs="Times New Roman"/>
      <w:b/>
      <w:kern w:val="0"/>
      <w:sz w:val="28"/>
      <w:szCs w:val="21"/>
    </w:rPr>
  </w:style>
  <w:style w:type="paragraph" w:customStyle="1" w:styleId="89">
    <w:name w:val="默认段落字体 Para Char Char Char Char Char Char Char Char Char1 Char Char Char Char Char Char Char"/>
    <w:basedOn w:val="10"/>
    <w:autoRedefine/>
    <w:qFormat/>
    <w:uiPriority w:val="0"/>
    <w:rPr>
      <w:rFonts w:ascii="Tahoma" w:hAnsi="Tahoma"/>
      <w:sz w:val="24"/>
    </w:rPr>
  </w:style>
  <w:style w:type="paragraph" w:customStyle="1" w:styleId="90">
    <w:name w:val="BioQuote Tekst"/>
    <w:basedOn w:val="1"/>
    <w:autoRedefine/>
    <w:qFormat/>
    <w:uiPriority w:val="0"/>
    <w:pPr>
      <w:ind w:right="-1"/>
    </w:pPr>
    <w:rPr>
      <w:rFonts w:ascii="Arial" w:hAnsi="Arial" w:eastAsia="宋体" w:cs="Times New Roman"/>
      <w:snapToGrid w:val="0"/>
      <w:kern w:val="0"/>
      <w:sz w:val="22"/>
      <w:szCs w:val="20"/>
      <w:lang w:eastAsia="en-US"/>
    </w:rPr>
  </w:style>
  <w:style w:type="paragraph" w:customStyle="1" w:styleId="9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92">
    <w:name w:val="List Paragraph"/>
    <w:basedOn w:val="1"/>
    <w:autoRedefine/>
    <w:qFormat/>
    <w:uiPriority w:val="0"/>
    <w:pPr>
      <w:ind w:firstLine="420" w:firstLineChars="200"/>
    </w:pPr>
    <w:rPr>
      <w:rFonts w:ascii="Calibri" w:hAnsi="Calibri" w:eastAsia="宋体" w:cs="Times New Roman"/>
    </w:rPr>
  </w:style>
  <w:style w:type="paragraph" w:customStyle="1" w:styleId="93">
    <w:name w:val="Char"/>
    <w:basedOn w:val="1"/>
    <w:autoRedefine/>
    <w:qFormat/>
    <w:uiPriority w:val="0"/>
    <w:rPr>
      <w:rFonts w:ascii="Tahoma" w:hAnsi="Tahoma" w:eastAsia="宋体" w:cs="Times New Roman"/>
      <w:snapToGrid w:val="0"/>
      <w:sz w:val="24"/>
      <w:szCs w:val="20"/>
    </w:rPr>
  </w:style>
  <w:style w:type="paragraph" w:customStyle="1" w:styleId="94">
    <w:name w:val="Table Text"/>
    <w:autoRedefine/>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5">
    <w:name w:val="Char Char Char Char1 Char Char Char"/>
    <w:basedOn w:val="10"/>
    <w:autoRedefine/>
    <w:qFormat/>
    <w:uiPriority w:val="0"/>
    <w:pPr>
      <w:adjustRightInd w:val="0"/>
      <w:snapToGrid w:val="0"/>
      <w:spacing w:line="360" w:lineRule="auto"/>
    </w:pPr>
    <w:rPr>
      <w:rFonts w:ascii="Tahoma" w:hAnsi="Tahoma"/>
      <w:sz w:val="24"/>
    </w:rPr>
  </w:style>
  <w:style w:type="paragraph" w:customStyle="1" w:styleId="96">
    <w:name w:val="Char1"/>
    <w:basedOn w:val="1"/>
    <w:autoRedefine/>
    <w:qFormat/>
    <w:uiPriority w:val="0"/>
    <w:pPr>
      <w:tabs>
        <w:tab w:val="left" w:pos="360"/>
      </w:tabs>
    </w:pPr>
    <w:rPr>
      <w:rFonts w:ascii="Times New Roman" w:hAnsi="Times New Roman" w:eastAsia="宋体" w:cs="Times New Roman"/>
      <w:sz w:val="24"/>
      <w:szCs w:val="24"/>
    </w:rPr>
  </w:style>
  <w:style w:type="paragraph" w:customStyle="1" w:styleId="97">
    <w:name w:val="正文_0_0"/>
    <w:autoRedefine/>
    <w:qFormat/>
    <w:uiPriority w:val="0"/>
    <w:pPr>
      <w:widowControl w:val="0"/>
      <w:jc w:val="both"/>
    </w:pPr>
    <w:rPr>
      <w:rFonts w:ascii="Times New Roman" w:hAnsi="Times New Roman" w:eastAsia="宋体" w:cs="Times New Roman"/>
      <w:lang w:val="en-US" w:eastAsia="zh-CN" w:bidi="ar-SA"/>
    </w:rPr>
  </w:style>
  <w:style w:type="paragraph" w:customStyle="1" w:styleId="98">
    <w:name w:val="Coms Alinea"/>
    <w:autoRedefine/>
    <w:qFormat/>
    <w:uiPriority w:val="0"/>
    <w:pPr>
      <w:widowControl w:val="0"/>
    </w:pPr>
    <w:rPr>
      <w:rFonts w:ascii="Arial" w:hAnsi="Arial" w:eastAsia="宋体" w:cs="Arial"/>
      <w:lang w:val="en-US" w:eastAsia="zh-CN" w:bidi="ar-SA"/>
    </w:rPr>
  </w:style>
  <w:style w:type="paragraph" w:customStyle="1" w:styleId="99">
    <w:name w:val="标题2"/>
    <w:basedOn w:val="1"/>
    <w:next w:val="1"/>
    <w:autoRedefine/>
    <w:qFormat/>
    <w:uiPriority w:val="0"/>
    <w:pPr>
      <w:jc w:val="center"/>
    </w:pPr>
    <w:rPr>
      <w:rFonts w:ascii="Times New Roman" w:hAnsi="Times New Roman" w:eastAsia="方正楷体_GBK" w:cs="Times New Roman"/>
      <w:szCs w:val="24"/>
    </w:rPr>
  </w:style>
  <w:style w:type="paragraph" w:customStyle="1" w:styleId="100">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cs="Times New Roman"/>
      <w:sz w:val="44"/>
      <w:szCs w:val="24"/>
    </w:rPr>
  </w:style>
  <w:style w:type="paragraph" w:customStyle="1" w:styleId="101">
    <w:name w:val="xl47"/>
    <w:basedOn w:val="1"/>
    <w:autoRedefine/>
    <w:qFormat/>
    <w:uiPriority w:val="0"/>
    <w:pPr>
      <w:widowControl/>
      <w:spacing w:before="100" w:beforeAutospacing="1" w:after="100" w:afterAutospacing="1"/>
      <w:jc w:val="center"/>
    </w:pPr>
    <w:rPr>
      <w:rFonts w:hint="eastAsia" w:ascii="方正姚体" w:hAnsi="宋体" w:eastAsia="方正姚体" w:cs="Times New Roman"/>
      <w:b/>
      <w:bCs/>
      <w:kern w:val="0"/>
      <w:sz w:val="36"/>
      <w:szCs w:val="36"/>
    </w:rPr>
  </w:style>
  <w:style w:type="paragraph" w:customStyle="1" w:styleId="102">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3">
    <w:name w:val="第四级"/>
    <w:basedOn w:val="1"/>
    <w:next w:val="1"/>
    <w:autoRedefine/>
    <w:qFormat/>
    <w:uiPriority w:val="0"/>
    <w:pPr>
      <w:numPr>
        <w:ilvl w:val="3"/>
        <w:numId w:val="3"/>
      </w:numPr>
      <w:adjustRightInd w:val="0"/>
      <w:spacing w:line="360" w:lineRule="auto"/>
      <w:textAlignment w:val="baseline"/>
    </w:pPr>
    <w:rPr>
      <w:rFonts w:ascii="宋体" w:hAnsi="宋体" w:eastAsia="仿宋" w:cs="Times New Roman"/>
      <w:kern w:val="0"/>
      <w:sz w:val="28"/>
      <w:szCs w:val="21"/>
    </w:rPr>
  </w:style>
  <w:style w:type="character" w:customStyle="1" w:styleId="104">
    <w:name w:val="gwds_nopic1"/>
    <w:basedOn w:val="41"/>
    <w:autoRedefine/>
    <w:qFormat/>
    <w:uiPriority w:val="0"/>
  </w:style>
  <w:style w:type="paragraph" w:customStyle="1" w:styleId="105">
    <w:name w:val="列表段落1"/>
    <w:basedOn w:val="1"/>
    <w:autoRedefine/>
    <w:qFormat/>
    <w:uiPriority w:val="34"/>
    <w:pPr>
      <w:ind w:firstLine="420" w:firstLineChars="200"/>
    </w:pPr>
    <w:rPr>
      <w:rFonts w:ascii="Times New Roman" w:hAnsi="Times New Roman" w:eastAsia="宋体" w:cs="Times New Roman"/>
      <w:sz w:val="28"/>
      <w:szCs w:val="20"/>
    </w:rPr>
  </w:style>
  <w:style w:type="paragraph" w:customStyle="1" w:styleId="106">
    <w:name w:val="Table Paragraph"/>
    <w:basedOn w:val="1"/>
    <w:autoRedefine/>
    <w:qFormat/>
    <w:uiPriority w:val="1"/>
    <w:rPr>
      <w:rFonts w:ascii="宋体" w:hAnsi="宋体" w:cs="宋体"/>
    </w:rPr>
  </w:style>
  <w:style w:type="paragraph" w:customStyle="1" w:styleId="107">
    <w:name w:val="正文（缩进）"/>
    <w:basedOn w:val="1"/>
    <w:autoRedefine/>
    <w:qFormat/>
    <w:uiPriority w:val="0"/>
    <w:pPr>
      <w:spacing w:before="156" w:after="156"/>
      <w:ind w:firstLine="480" w:firstLineChars="200"/>
    </w:pPr>
  </w:style>
  <w:style w:type="paragraph" w:customStyle="1" w:styleId="108">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CE1FC-0D5A-49B4-82D3-D058F956B1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16300</Words>
  <Characters>17188</Characters>
  <Lines>898</Lines>
  <Paragraphs>848</Paragraphs>
  <TotalTime>0</TotalTime>
  <ScaleCrop>false</ScaleCrop>
  <LinksUpToDate>false</LinksUpToDate>
  <CharactersWithSpaces>18012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2023-04-28T09:56:00Z</dcterms:created>
  <dc:creator>扬州市八里镇人民政府(审核)</dc:creator>
  <cp:lastModifiedBy>linzuchao</cp:lastModifiedBy>
  <dcterms:modified xsi:type="dcterms:W3CDTF">2025-10-27T01:13:13Z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E8341B3345C84FBFB454F299B1FBE706_13</vt:lpwstr>
  </property>
  <property fmtid="{D5CDD505-2E9C-101B-9397-08002B2CF9AE}" pid="4" name="KSOTemplateDocerSaveRecord">
    <vt:lpwstr>eyJoZGlkIjoiNTM5YTVkYWMyOWU3ODg4NDBiYWQyMWRiMDBmNmZkODkiLCJ1c2VySWQiOiI0MTk2MzY1OTUifQ==</vt:lpwstr>
  </property>
</Properties>
</file>