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007E3">
      <w:pPr>
        <w:pStyle w:val="48"/>
        <w:spacing w:before="0" w:after="0"/>
        <w:ind w:firstLine="0"/>
        <w:rPr>
          <w:rFonts w:ascii="宋体" w:hAnsi="宋体" w:cs="宋体"/>
        </w:rPr>
      </w:pPr>
      <w:bookmarkStart w:id="48" w:name="_GoBack"/>
      <w:bookmarkEnd w:id="48"/>
    </w:p>
    <w:p w14:paraId="1C48CC72">
      <w:pPr>
        <w:pStyle w:val="48"/>
        <w:spacing w:before="0" w:after="0"/>
        <w:ind w:firstLine="0"/>
        <w:rPr>
          <w:rFonts w:ascii="宋体" w:hAnsi="宋体" w:cs="宋体"/>
        </w:rPr>
      </w:pPr>
    </w:p>
    <w:p w14:paraId="187C0A3A">
      <w:pPr>
        <w:pStyle w:val="48"/>
        <w:spacing w:before="0" w:after="0"/>
        <w:ind w:firstLine="0"/>
        <w:rPr>
          <w:rFonts w:ascii="宋体" w:hAnsi="宋体" w:cs="宋体"/>
        </w:rPr>
      </w:pPr>
    </w:p>
    <w:p w14:paraId="4C954520">
      <w:pPr>
        <w:pStyle w:val="48"/>
        <w:spacing w:before="0" w:after="0"/>
        <w:ind w:firstLine="0"/>
        <w:rPr>
          <w:rFonts w:ascii="宋体" w:hAnsi="宋体" w:cs="宋体"/>
        </w:rPr>
      </w:pPr>
    </w:p>
    <w:p w14:paraId="0344451C">
      <w:pPr>
        <w:pStyle w:val="48"/>
        <w:spacing w:before="0" w:after="0"/>
        <w:ind w:firstLine="0"/>
        <w:rPr>
          <w:rFonts w:ascii="宋体" w:hAnsi="宋体" w:cs="宋体"/>
        </w:rPr>
      </w:pPr>
    </w:p>
    <w:p w14:paraId="2C2F1E67">
      <w:pPr>
        <w:pStyle w:val="48"/>
        <w:spacing w:before="0" w:after="0"/>
        <w:ind w:firstLine="0"/>
        <w:rPr>
          <w:rFonts w:ascii="宋体" w:hAnsi="宋体" w:cs="宋体"/>
        </w:rPr>
      </w:pPr>
    </w:p>
    <w:p w14:paraId="7EE6687B">
      <w:pPr>
        <w:pStyle w:val="48"/>
        <w:ind w:left="-199" w:leftChars="-95" w:right="-218" w:rightChars="-104" w:firstLine="0"/>
        <w:jc w:val="center"/>
        <w:rPr>
          <w:rFonts w:ascii="黑体" w:hAnsi="黑体" w:eastAsia="黑体" w:cs="黑体"/>
          <w:sz w:val="40"/>
          <w:szCs w:val="36"/>
        </w:rPr>
      </w:pPr>
      <w:r>
        <w:rPr>
          <w:rFonts w:hint="eastAsia" w:ascii="黑体" w:hAnsi="黑体" w:eastAsia="黑体" w:cs="黑体"/>
          <w:sz w:val="40"/>
          <w:szCs w:val="36"/>
        </w:rPr>
        <w:t>南京邮电大学通达学院</w:t>
      </w:r>
    </w:p>
    <w:p w14:paraId="0AE626EF">
      <w:pPr>
        <w:pStyle w:val="48"/>
        <w:ind w:left="-199" w:leftChars="-95" w:right="-218" w:rightChars="-104" w:firstLine="0"/>
        <w:jc w:val="center"/>
        <w:rPr>
          <w:rFonts w:ascii="黑体" w:hAnsi="黑体" w:eastAsia="黑体" w:cs="黑体"/>
          <w:sz w:val="40"/>
          <w:szCs w:val="36"/>
        </w:rPr>
      </w:pPr>
      <w:r>
        <w:rPr>
          <w:rFonts w:hint="eastAsia" w:ascii="黑体" w:hAnsi="黑体" w:eastAsia="黑体" w:cs="黑体"/>
          <w:sz w:val="40"/>
          <w:szCs w:val="36"/>
        </w:rPr>
        <w:t>2024-2026年消防维护服务采购项目</w:t>
      </w:r>
    </w:p>
    <w:p w14:paraId="5EE403F3">
      <w:pPr>
        <w:pStyle w:val="48"/>
        <w:ind w:firstLine="0"/>
        <w:jc w:val="center"/>
        <w:rPr>
          <w:rFonts w:ascii="黑体" w:hAnsi="黑体" w:eastAsia="黑体" w:cs="黑体"/>
          <w:sz w:val="36"/>
          <w:szCs w:val="36"/>
        </w:rPr>
      </w:pPr>
      <w:r>
        <w:rPr>
          <w:rFonts w:hint="eastAsia" w:ascii="黑体" w:hAnsi="黑体" w:eastAsia="黑体" w:cs="黑体"/>
          <w:sz w:val="36"/>
          <w:szCs w:val="36"/>
        </w:rPr>
        <w:t>项目编号：TDCG2024014</w:t>
      </w:r>
    </w:p>
    <w:p w14:paraId="0E1F8361">
      <w:pPr>
        <w:pStyle w:val="48"/>
        <w:ind w:firstLine="0"/>
        <w:jc w:val="center"/>
        <w:rPr>
          <w:rFonts w:ascii="黑体" w:hAnsi="黑体" w:eastAsia="黑体" w:cs="黑体"/>
          <w:sz w:val="36"/>
          <w:szCs w:val="36"/>
        </w:rPr>
      </w:pPr>
    </w:p>
    <w:p w14:paraId="3AEFEAAF">
      <w:pPr>
        <w:pStyle w:val="48"/>
        <w:ind w:firstLine="0"/>
        <w:jc w:val="center"/>
        <w:rPr>
          <w:rFonts w:ascii="黑体" w:hAnsi="黑体" w:eastAsia="黑体" w:cs="黑体"/>
          <w:sz w:val="36"/>
          <w:szCs w:val="36"/>
        </w:rPr>
      </w:pPr>
    </w:p>
    <w:p w14:paraId="28D384F8">
      <w:pPr>
        <w:pStyle w:val="48"/>
        <w:ind w:firstLine="0"/>
        <w:jc w:val="center"/>
        <w:rPr>
          <w:rFonts w:ascii="黑体" w:hAnsi="黑体" w:eastAsia="黑体" w:cs="黑体"/>
          <w:bCs/>
          <w:sz w:val="52"/>
        </w:rPr>
      </w:pPr>
      <w:r>
        <w:rPr>
          <w:rFonts w:hint="eastAsia" w:ascii="黑体" w:hAnsi="黑体" w:eastAsia="黑体" w:cs="黑体"/>
          <w:bCs/>
          <w:sz w:val="52"/>
        </w:rPr>
        <w:t>招 标 文 件</w:t>
      </w:r>
    </w:p>
    <w:p w14:paraId="5D67101F">
      <w:pPr>
        <w:pStyle w:val="48"/>
        <w:ind w:firstLine="0"/>
        <w:jc w:val="center"/>
        <w:rPr>
          <w:rFonts w:ascii="黑体" w:hAnsi="黑体" w:eastAsia="黑体" w:cs="黑体"/>
          <w:b/>
          <w:bCs/>
          <w:sz w:val="32"/>
        </w:rPr>
      </w:pPr>
    </w:p>
    <w:p w14:paraId="0EDF4C6E">
      <w:pPr>
        <w:pStyle w:val="48"/>
        <w:spacing w:before="0" w:after="0"/>
        <w:ind w:firstLine="0"/>
        <w:rPr>
          <w:rFonts w:ascii="黑体" w:hAnsi="黑体" w:eastAsia="黑体" w:cs="黑体"/>
        </w:rPr>
      </w:pPr>
    </w:p>
    <w:p w14:paraId="09F53CB0">
      <w:pPr>
        <w:pStyle w:val="48"/>
        <w:spacing w:before="0" w:after="0"/>
        <w:ind w:firstLine="0"/>
        <w:rPr>
          <w:rFonts w:ascii="黑体" w:hAnsi="黑体" w:eastAsia="黑体" w:cs="黑体"/>
        </w:rPr>
      </w:pPr>
    </w:p>
    <w:p w14:paraId="31DBC6FA">
      <w:pPr>
        <w:pStyle w:val="48"/>
        <w:spacing w:before="0" w:after="0"/>
        <w:ind w:firstLine="0"/>
        <w:rPr>
          <w:rFonts w:ascii="黑体" w:hAnsi="黑体" w:eastAsia="黑体" w:cs="黑体"/>
        </w:rPr>
      </w:pPr>
    </w:p>
    <w:p w14:paraId="648D46B9">
      <w:pPr>
        <w:pStyle w:val="48"/>
        <w:spacing w:before="0" w:after="0"/>
        <w:ind w:firstLine="0"/>
        <w:rPr>
          <w:rFonts w:ascii="黑体" w:hAnsi="黑体" w:eastAsia="黑体" w:cs="黑体"/>
        </w:rPr>
      </w:pPr>
    </w:p>
    <w:p w14:paraId="6517D59C">
      <w:pPr>
        <w:pStyle w:val="48"/>
        <w:spacing w:before="0" w:after="0"/>
        <w:ind w:firstLine="0"/>
        <w:rPr>
          <w:rFonts w:ascii="黑体" w:hAnsi="黑体" w:eastAsia="黑体" w:cs="黑体"/>
        </w:rPr>
      </w:pPr>
    </w:p>
    <w:p w14:paraId="7B855414">
      <w:pPr>
        <w:pStyle w:val="48"/>
        <w:spacing w:before="0" w:after="0"/>
        <w:ind w:firstLine="0"/>
        <w:rPr>
          <w:rFonts w:ascii="黑体" w:hAnsi="黑体" w:eastAsia="黑体" w:cs="黑体"/>
        </w:rPr>
      </w:pPr>
    </w:p>
    <w:p w14:paraId="0A9B8010">
      <w:pPr>
        <w:pStyle w:val="48"/>
        <w:spacing w:before="0" w:after="0"/>
        <w:ind w:firstLine="0"/>
        <w:rPr>
          <w:rFonts w:ascii="黑体" w:hAnsi="黑体" w:eastAsia="黑体" w:cs="黑体"/>
        </w:rPr>
      </w:pPr>
    </w:p>
    <w:p w14:paraId="786AD57D">
      <w:pPr>
        <w:pStyle w:val="48"/>
        <w:spacing w:before="0" w:after="0"/>
        <w:ind w:firstLine="0"/>
        <w:jc w:val="center"/>
        <w:rPr>
          <w:rFonts w:ascii="黑体" w:hAnsi="黑体" w:eastAsia="黑体" w:cs="黑体"/>
          <w:sz w:val="30"/>
          <w:szCs w:val="30"/>
        </w:rPr>
      </w:pPr>
      <w:r>
        <w:rPr>
          <w:rFonts w:hint="eastAsia" w:ascii="黑体" w:hAnsi="黑体" w:eastAsia="黑体" w:cs="黑体"/>
          <w:sz w:val="30"/>
          <w:szCs w:val="30"/>
        </w:rPr>
        <w:t>招标人：南京邮电大学通达学院</w:t>
      </w:r>
    </w:p>
    <w:p w14:paraId="5C62267A">
      <w:pPr>
        <w:pStyle w:val="48"/>
        <w:spacing w:before="0" w:after="0"/>
        <w:ind w:firstLine="0"/>
        <w:jc w:val="center"/>
        <w:rPr>
          <w:rFonts w:ascii="黑体" w:hAnsi="黑体" w:eastAsia="黑体" w:cs="黑体"/>
          <w:sz w:val="30"/>
          <w:szCs w:val="30"/>
        </w:rPr>
      </w:pPr>
      <w:r>
        <w:rPr>
          <w:rFonts w:hint="eastAsia" w:ascii="黑体" w:hAnsi="黑体" w:eastAsia="黑体" w:cs="黑体"/>
          <w:sz w:val="30"/>
          <w:szCs w:val="30"/>
        </w:rPr>
        <w:t>招标代理机构：中通服咨询设计研究院有限公司</w:t>
      </w:r>
    </w:p>
    <w:p w14:paraId="7D39FA92">
      <w:pPr>
        <w:spacing w:line="360" w:lineRule="auto"/>
        <w:jc w:val="center"/>
        <w:rPr>
          <w:rFonts w:ascii="黑体" w:hAnsi="黑体" w:eastAsia="黑体" w:cs="黑体"/>
          <w:sz w:val="28"/>
          <w:szCs w:val="28"/>
          <w:u w:color="000000"/>
        </w:rPr>
      </w:pPr>
      <w:r>
        <w:rPr>
          <w:rFonts w:hint="eastAsia" w:ascii="黑体" w:hAnsi="黑体" w:eastAsia="黑体" w:cs="黑体"/>
          <w:sz w:val="30"/>
          <w:szCs w:val="30"/>
        </w:rPr>
        <w:t>2024年</w:t>
      </w:r>
      <w:r>
        <w:rPr>
          <w:rFonts w:hint="eastAsia" w:ascii="黑体" w:hAnsi="黑体" w:eastAsia="黑体" w:cs="黑体"/>
          <w:sz w:val="30"/>
          <w:szCs w:val="30"/>
          <w:lang w:val="en-US" w:eastAsia="zh-CN"/>
        </w:rPr>
        <w:t>7</w:t>
      </w:r>
      <w:r>
        <w:rPr>
          <w:rFonts w:hint="eastAsia" w:ascii="黑体" w:hAnsi="黑体" w:eastAsia="黑体" w:cs="黑体"/>
          <w:sz w:val="30"/>
          <w:szCs w:val="30"/>
        </w:rPr>
        <w:t>月</w:t>
      </w:r>
    </w:p>
    <w:p w14:paraId="0E9C70B4">
      <w:pPr>
        <w:rPr>
          <w:rFonts w:ascii="黑体" w:hAnsi="黑体" w:eastAsia="黑体" w:cs="黑体"/>
        </w:rPr>
      </w:pPr>
    </w:p>
    <w:p w14:paraId="699D0E0E">
      <w:pPr>
        <w:widowControl/>
        <w:jc w:val="left"/>
        <w:rPr>
          <w:rFonts w:ascii="黑体" w:hAnsi="黑体" w:eastAsia="黑体" w:cs="黑体"/>
        </w:rPr>
        <w:sectPr>
          <w:pgSz w:w="11906" w:h="16838"/>
          <w:pgMar w:top="1418" w:right="1385" w:bottom="1418" w:left="1701" w:header="851" w:footer="992" w:gutter="0"/>
          <w:cols w:space="425" w:num="1"/>
          <w:docGrid w:type="lines" w:linePitch="312" w:charSpace="0"/>
        </w:sectPr>
      </w:pPr>
    </w:p>
    <w:p w14:paraId="73DC5B9E">
      <w:pPr>
        <w:widowControl/>
        <w:spacing w:line="360" w:lineRule="auto"/>
        <w:jc w:val="center"/>
        <w:rPr>
          <w:rFonts w:ascii="黑体" w:hAnsi="黑体" w:eastAsia="黑体" w:cs="黑体"/>
          <w:sz w:val="36"/>
          <w:szCs w:val="36"/>
        </w:rPr>
      </w:pPr>
      <w:r>
        <w:rPr>
          <w:rFonts w:hint="eastAsia" w:ascii="黑体" w:hAnsi="黑体" w:eastAsia="黑体" w:cs="黑体"/>
          <w:sz w:val="36"/>
          <w:szCs w:val="36"/>
        </w:rPr>
        <w:t>目  录</w:t>
      </w:r>
    </w:p>
    <w:sdt>
      <w:sdtPr>
        <w:rPr>
          <w:rFonts w:hint="eastAsia" w:ascii="黑体" w:hAnsi="黑体" w:cs="黑体"/>
          <w:sz w:val="32"/>
          <w:szCs w:val="32"/>
          <w:lang w:val="zh-CN"/>
        </w:rPr>
        <w:id w:val="-1199246136"/>
        <w:docPartObj>
          <w:docPartGallery w:val="Table of Contents"/>
          <w:docPartUnique/>
        </w:docPartObj>
      </w:sdtPr>
      <w:sdtEndPr>
        <w:rPr>
          <w:rFonts w:hint="eastAsia" w:ascii="宋体" w:hAnsi="宋体" w:eastAsia="宋体" w:cs="宋体"/>
          <w:b/>
          <w:bCs/>
          <w:sz w:val="24"/>
          <w:szCs w:val="22"/>
          <w:lang w:val="zh-CN"/>
        </w:rPr>
      </w:sdtEndPr>
      <w:sdtContent>
        <w:p w14:paraId="47F7690E">
          <w:pPr>
            <w:pStyle w:val="20"/>
            <w:rPr>
              <w:rFonts w:ascii="黑体" w:hAnsi="黑体" w:cs="黑体"/>
            </w:rPr>
          </w:pPr>
          <w:r>
            <w:rPr>
              <w:rFonts w:hint="eastAsia" w:ascii="黑体" w:hAnsi="黑体" w:cs="黑体"/>
            </w:rPr>
            <w:fldChar w:fldCharType="begin"/>
          </w:r>
          <w:r>
            <w:rPr>
              <w:rFonts w:hint="eastAsia" w:ascii="黑体" w:hAnsi="黑体" w:cs="黑体"/>
            </w:rPr>
            <w:instrText xml:space="preserve"> TOC \o "1-3" \h \z \u </w:instrText>
          </w:r>
          <w:r>
            <w:rPr>
              <w:rFonts w:hint="eastAsia" w:ascii="黑体" w:hAnsi="黑体" w:cs="黑体"/>
            </w:rPr>
            <w:fldChar w:fldCharType="separate"/>
          </w:r>
        </w:p>
        <w:p w14:paraId="77D5E218">
          <w:pPr>
            <w:pStyle w:val="20"/>
            <w:tabs>
              <w:tab w:val="right" w:leader="dot" w:pos="8787"/>
              <w:tab w:val="clear" w:pos="8777"/>
            </w:tabs>
          </w:pPr>
          <w:r>
            <w:fldChar w:fldCharType="begin"/>
          </w:r>
          <w:r>
            <w:instrText xml:space="preserve"> HYPERLINK \l "_Toc31277" </w:instrText>
          </w:r>
          <w:r>
            <w:fldChar w:fldCharType="separate"/>
          </w:r>
          <w:r>
            <w:rPr>
              <w:rFonts w:hint="eastAsia" w:ascii="宋体" w:hAnsi="宋体" w:eastAsia="宋体" w:cs="宋体"/>
              <w:kern w:val="44"/>
              <w:szCs w:val="36"/>
              <w:lang w:val="zh-TW" w:eastAsia="zh-TW"/>
            </w:rPr>
            <w:t xml:space="preserve">第一章  </w:t>
          </w:r>
          <w:r>
            <w:rPr>
              <w:rFonts w:hint="eastAsia" w:ascii="宋体" w:hAnsi="宋体" w:eastAsia="宋体" w:cs="宋体"/>
              <w:kern w:val="44"/>
              <w:szCs w:val="36"/>
              <w:lang w:val="zh-TW"/>
            </w:rPr>
            <w:t>招标</w:t>
          </w:r>
          <w:r>
            <w:rPr>
              <w:rFonts w:hint="eastAsia" w:ascii="宋体" w:hAnsi="宋体" w:eastAsia="宋体" w:cs="宋体"/>
              <w:kern w:val="44"/>
              <w:szCs w:val="36"/>
              <w:lang w:val="zh-TW" w:eastAsia="zh-TW"/>
            </w:rPr>
            <w:t>公告</w:t>
          </w:r>
          <w:r>
            <w:tab/>
          </w:r>
          <w:r>
            <w:fldChar w:fldCharType="begin"/>
          </w:r>
          <w:r>
            <w:instrText xml:space="preserve"> PAGEREF _Toc31277 \h </w:instrText>
          </w:r>
          <w:r>
            <w:fldChar w:fldCharType="separate"/>
          </w:r>
          <w:r>
            <w:t>1</w:t>
          </w:r>
          <w:r>
            <w:fldChar w:fldCharType="end"/>
          </w:r>
          <w:r>
            <w:fldChar w:fldCharType="end"/>
          </w:r>
        </w:p>
        <w:p w14:paraId="1F0EEB7C">
          <w:pPr>
            <w:pStyle w:val="20"/>
            <w:tabs>
              <w:tab w:val="right" w:leader="dot" w:pos="8787"/>
              <w:tab w:val="clear" w:pos="8777"/>
            </w:tabs>
          </w:pPr>
          <w:r>
            <w:fldChar w:fldCharType="begin"/>
          </w:r>
          <w:r>
            <w:instrText xml:space="preserve"> HYPERLINK \l "_Toc30510" </w:instrText>
          </w:r>
          <w:r>
            <w:fldChar w:fldCharType="separate"/>
          </w:r>
          <w:r>
            <w:rPr>
              <w:rFonts w:hint="eastAsia" w:ascii="宋体" w:hAnsi="宋体" w:eastAsia="宋体" w:cs="宋体"/>
              <w:kern w:val="44"/>
              <w:szCs w:val="36"/>
              <w:lang w:val="zh-TW" w:eastAsia="zh-TW"/>
            </w:rPr>
            <w:t xml:space="preserve">第二章  </w:t>
          </w:r>
          <w:r>
            <w:rPr>
              <w:rFonts w:hint="eastAsia" w:ascii="宋体" w:hAnsi="宋体" w:eastAsia="宋体" w:cs="宋体"/>
              <w:kern w:val="44"/>
              <w:szCs w:val="36"/>
              <w:lang w:val="zh-TW"/>
            </w:rPr>
            <w:t>投标人</w:t>
          </w:r>
          <w:r>
            <w:rPr>
              <w:rFonts w:hint="eastAsia" w:ascii="宋体" w:hAnsi="宋体" w:eastAsia="宋体" w:cs="宋体"/>
              <w:kern w:val="44"/>
              <w:szCs w:val="36"/>
              <w:lang w:val="zh-TW" w:eastAsia="zh-TW"/>
            </w:rPr>
            <w:t>须知</w:t>
          </w:r>
          <w:r>
            <w:tab/>
          </w:r>
          <w:r>
            <w:fldChar w:fldCharType="begin"/>
          </w:r>
          <w:r>
            <w:instrText xml:space="preserve"> PAGEREF _Toc30510 \h </w:instrText>
          </w:r>
          <w:r>
            <w:fldChar w:fldCharType="separate"/>
          </w:r>
          <w:r>
            <w:t>4</w:t>
          </w:r>
          <w:r>
            <w:fldChar w:fldCharType="end"/>
          </w:r>
          <w:r>
            <w:fldChar w:fldCharType="end"/>
          </w:r>
        </w:p>
        <w:p w14:paraId="0927F31F">
          <w:pPr>
            <w:pStyle w:val="20"/>
            <w:tabs>
              <w:tab w:val="right" w:leader="dot" w:pos="8787"/>
              <w:tab w:val="clear" w:pos="8777"/>
            </w:tabs>
          </w:pPr>
          <w:r>
            <w:fldChar w:fldCharType="begin"/>
          </w:r>
          <w:r>
            <w:instrText xml:space="preserve"> HYPERLINK \l "_Toc10510" </w:instrText>
          </w:r>
          <w:r>
            <w:fldChar w:fldCharType="separate"/>
          </w:r>
          <w:r>
            <w:rPr>
              <w:rFonts w:hint="eastAsia" w:ascii="宋体" w:hAnsi="宋体" w:eastAsia="宋体" w:cs="宋体"/>
              <w:kern w:val="44"/>
              <w:szCs w:val="36"/>
              <w:lang w:val="zh-TW" w:eastAsia="zh-TW"/>
            </w:rPr>
            <w:t>第</w:t>
          </w:r>
          <w:r>
            <w:rPr>
              <w:rFonts w:hint="eastAsia" w:ascii="宋体" w:hAnsi="宋体" w:eastAsia="宋体" w:cs="宋体"/>
              <w:kern w:val="44"/>
              <w:szCs w:val="36"/>
              <w:lang w:val="zh-TW"/>
            </w:rPr>
            <w:t>三</w:t>
          </w:r>
          <w:r>
            <w:rPr>
              <w:rFonts w:hint="eastAsia" w:ascii="宋体" w:hAnsi="宋体" w:eastAsia="宋体" w:cs="宋体"/>
              <w:kern w:val="44"/>
              <w:szCs w:val="36"/>
              <w:lang w:val="zh-TW" w:eastAsia="zh-TW"/>
            </w:rPr>
            <w:t>章  合同条款及格式</w:t>
          </w:r>
          <w:r>
            <w:tab/>
          </w:r>
          <w:r>
            <w:fldChar w:fldCharType="begin"/>
          </w:r>
          <w:r>
            <w:instrText xml:space="preserve"> PAGEREF _Toc10510 \h </w:instrText>
          </w:r>
          <w:r>
            <w:fldChar w:fldCharType="separate"/>
          </w:r>
          <w:r>
            <w:t>14</w:t>
          </w:r>
          <w:r>
            <w:fldChar w:fldCharType="end"/>
          </w:r>
          <w:r>
            <w:fldChar w:fldCharType="end"/>
          </w:r>
        </w:p>
        <w:p w14:paraId="339D9CFD">
          <w:pPr>
            <w:pStyle w:val="20"/>
            <w:tabs>
              <w:tab w:val="right" w:leader="dot" w:pos="8787"/>
              <w:tab w:val="clear" w:pos="8777"/>
            </w:tabs>
          </w:pPr>
          <w:r>
            <w:fldChar w:fldCharType="begin"/>
          </w:r>
          <w:r>
            <w:instrText xml:space="preserve"> HYPERLINK \l "_Toc16438" </w:instrText>
          </w:r>
          <w:r>
            <w:fldChar w:fldCharType="separate"/>
          </w:r>
          <w:r>
            <w:rPr>
              <w:rFonts w:hint="eastAsia" w:ascii="宋体" w:hAnsi="宋体" w:eastAsia="宋体" w:cs="宋体"/>
              <w:kern w:val="44"/>
              <w:szCs w:val="36"/>
              <w:lang w:val="zh-TW" w:eastAsia="zh-TW"/>
            </w:rPr>
            <w:t>第</w:t>
          </w:r>
          <w:r>
            <w:rPr>
              <w:rFonts w:hint="eastAsia" w:ascii="宋体" w:hAnsi="宋体" w:eastAsia="宋体" w:cs="宋体"/>
              <w:kern w:val="44"/>
              <w:szCs w:val="36"/>
              <w:lang w:val="zh-TW"/>
            </w:rPr>
            <w:t>四</w:t>
          </w:r>
          <w:r>
            <w:rPr>
              <w:rFonts w:hint="eastAsia" w:ascii="宋体" w:hAnsi="宋体" w:eastAsia="宋体" w:cs="宋体"/>
              <w:kern w:val="44"/>
              <w:szCs w:val="36"/>
              <w:lang w:val="zh-TW" w:eastAsia="zh-TW"/>
            </w:rPr>
            <w:t xml:space="preserve">章  </w:t>
          </w:r>
          <w:r>
            <w:rPr>
              <w:rFonts w:hint="eastAsia" w:ascii="宋体" w:hAnsi="宋体" w:eastAsia="宋体" w:cs="宋体"/>
              <w:kern w:val="44"/>
              <w:szCs w:val="36"/>
              <w:lang w:val="zh-TW"/>
            </w:rPr>
            <w:t>项目需求</w:t>
          </w:r>
          <w:r>
            <w:tab/>
          </w:r>
          <w:r>
            <w:fldChar w:fldCharType="begin"/>
          </w:r>
          <w:r>
            <w:instrText xml:space="preserve"> PAGEREF _Toc16438 \h </w:instrText>
          </w:r>
          <w:r>
            <w:fldChar w:fldCharType="separate"/>
          </w:r>
          <w:r>
            <w:t>14</w:t>
          </w:r>
          <w:r>
            <w:fldChar w:fldCharType="end"/>
          </w:r>
          <w:r>
            <w:fldChar w:fldCharType="end"/>
          </w:r>
        </w:p>
        <w:p w14:paraId="4A471C9F">
          <w:pPr>
            <w:pStyle w:val="20"/>
            <w:tabs>
              <w:tab w:val="right" w:leader="dot" w:pos="8787"/>
              <w:tab w:val="clear" w:pos="8777"/>
            </w:tabs>
          </w:pPr>
          <w:r>
            <w:fldChar w:fldCharType="begin"/>
          </w:r>
          <w:r>
            <w:instrText xml:space="preserve"> HYPERLINK \l "_Toc15896" </w:instrText>
          </w:r>
          <w:r>
            <w:fldChar w:fldCharType="separate"/>
          </w:r>
          <w:r>
            <w:rPr>
              <w:rFonts w:hint="eastAsia" w:ascii="宋体" w:hAnsi="宋体" w:eastAsia="宋体" w:cs="宋体"/>
              <w:kern w:val="44"/>
              <w:szCs w:val="36"/>
              <w:lang w:val="zh-TW" w:eastAsia="zh-TW"/>
            </w:rPr>
            <w:t>第</w:t>
          </w:r>
          <w:r>
            <w:rPr>
              <w:rFonts w:hint="eastAsia" w:ascii="宋体" w:hAnsi="宋体" w:eastAsia="宋体" w:cs="宋体"/>
              <w:kern w:val="44"/>
              <w:szCs w:val="36"/>
              <w:lang w:val="zh-TW"/>
            </w:rPr>
            <w:t>五</w:t>
          </w:r>
          <w:r>
            <w:rPr>
              <w:rFonts w:hint="eastAsia" w:ascii="宋体" w:hAnsi="宋体" w:eastAsia="宋体" w:cs="宋体"/>
              <w:kern w:val="44"/>
              <w:szCs w:val="36"/>
              <w:lang w:val="zh-TW" w:eastAsia="zh-TW"/>
            </w:rPr>
            <w:t>章  评标方法与评标标准</w:t>
          </w:r>
          <w:r>
            <w:tab/>
          </w:r>
          <w:r>
            <w:fldChar w:fldCharType="begin"/>
          </w:r>
          <w:r>
            <w:instrText xml:space="preserve"> PAGEREF _Toc15896 \h </w:instrText>
          </w:r>
          <w:r>
            <w:fldChar w:fldCharType="separate"/>
          </w:r>
          <w:r>
            <w:t>18</w:t>
          </w:r>
          <w:r>
            <w:fldChar w:fldCharType="end"/>
          </w:r>
          <w:r>
            <w:fldChar w:fldCharType="end"/>
          </w:r>
        </w:p>
        <w:p w14:paraId="7701CF7D">
          <w:pPr>
            <w:pStyle w:val="20"/>
            <w:tabs>
              <w:tab w:val="right" w:leader="dot" w:pos="8787"/>
              <w:tab w:val="clear" w:pos="8777"/>
            </w:tabs>
          </w:pPr>
          <w:r>
            <w:fldChar w:fldCharType="begin"/>
          </w:r>
          <w:r>
            <w:instrText xml:space="preserve"> HYPERLINK \l "_Toc5120" </w:instrText>
          </w:r>
          <w:r>
            <w:fldChar w:fldCharType="separate"/>
          </w:r>
          <w:r>
            <w:rPr>
              <w:rFonts w:hint="eastAsia" w:ascii="宋体" w:hAnsi="宋体" w:eastAsia="宋体" w:cs="宋体"/>
              <w:kern w:val="44"/>
              <w:szCs w:val="36"/>
              <w:lang w:val="zh-TW" w:eastAsia="zh-TW"/>
            </w:rPr>
            <w:t>第</w:t>
          </w:r>
          <w:r>
            <w:rPr>
              <w:rFonts w:hint="eastAsia" w:ascii="宋体" w:hAnsi="宋体" w:eastAsia="宋体" w:cs="宋体"/>
              <w:kern w:val="44"/>
              <w:szCs w:val="36"/>
              <w:lang w:val="zh-TW"/>
            </w:rPr>
            <w:t>六</w:t>
          </w:r>
          <w:r>
            <w:rPr>
              <w:rFonts w:hint="eastAsia" w:ascii="宋体" w:hAnsi="宋体" w:eastAsia="宋体" w:cs="宋体"/>
              <w:kern w:val="44"/>
              <w:szCs w:val="36"/>
              <w:lang w:val="zh-TW" w:eastAsia="zh-TW"/>
            </w:rPr>
            <w:t>章  投标文件格式</w:t>
          </w:r>
          <w:r>
            <w:tab/>
          </w:r>
          <w:r>
            <w:fldChar w:fldCharType="begin"/>
          </w:r>
          <w:r>
            <w:instrText xml:space="preserve"> PAGEREF _Toc5120 \h </w:instrText>
          </w:r>
          <w:r>
            <w:fldChar w:fldCharType="separate"/>
          </w:r>
          <w:r>
            <w:t>24</w:t>
          </w:r>
          <w:r>
            <w:fldChar w:fldCharType="end"/>
          </w:r>
          <w:r>
            <w:fldChar w:fldCharType="end"/>
          </w:r>
        </w:p>
        <w:p w14:paraId="587F06DD">
          <w:pPr>
            <w:pStyle w:val="20"/>
            <w:rPr>
              <w:rFonts w:ascii="宋体" w:hAnsi="宋体" w:eastAsia="宋体" w:cs="宋体"/>
            </w:rPr>
          </w:pPr>
          <w:r>
            <w:rPr>
              <w:rFonts w:hint="eastAsia" w:ascii="黑体" w:hAnsi="黑体" w:cs="黑体"/>
            </w:rPr>
            <w:fldChar w:fldCharType="end"/>
          </w:r>
        </w:p>
      </w:sdtContent>
    </w:sdt>
    <w:p w14:paraId="625812A5">
      <w:pPr>
        <w:widowControl/>
        <w:jc w:val="left"/>
        <w:rPr>
          <w:rFonts w:ascii="宋体" w:hAnsi="宋体" w:eastAsia="宋体" w:cs="宋体"/>
        </w:rPr>
        <w:sectPr>
          <w:headerReference r:id="rId3" w:type="default"/>
          <w:footerReference r:id="rId4" w:type="default"/>
          <w:pgSz w:w="11906" w:h="16838"/>
          <w:pgMar w:top="1418" w:right="1418" w:bottom="1418" w:left="1701" w:header="851" w:footer="992" w:gutter="0"/>
          <w:pgNumType w:fmt="upperRoman" w:start="1"/>
          <w:cols w:space="425" w:num="1"/>
          <w:docGrid w:type="lines" w:linePitch="312" w:charSpace="0"/>
        </w:sectPr>
      </w:pPr>
    </w:p>
    <w:p w14:paraId="5E4439BF">
      <w:pPr>
        <w:keepNext/>
        <w:keepLines/>
        <w:spacing w:before="312" w:beforeLines="100" w:after="312" w:afterLines="100" w:line="360" w:lineRule="auto"/>
        <w:jc w:val="center"/>
        <w:outlineLvl w:val="0"/>
        <w:rPr>
          <w:rFonts w:ascii="宋体" w:hAnsi="宋体" w:eastAsia="宋体" w:cs="宋体"/>
          <w:kern w:val="44"/>
          <w:sz w:val="36"/>
          <w:szCs w:val="36"/>
          <w:u w:color="000000"/>
          <w:lang w:val="zh-TW" w:eastAsia="zh-TW"/>
        </w:rPr>
      </w:pPr>
      <w:bookmarkStart w:id="0" w:name="_Toc31277"/>
      <w:bookmarkStart w:id="1" w:name="_Toc448069940"/>
      <w:bookmarkStart w:id="2" w:name="_Toc"/>
      <w:bookmarkStart w:id="3" w:name="_Toc415494523"/>
      <w:r>
        <w:rPr>
          <w:rFonts w:hint="eastAsia" w:ascii="宋体" w:hAnsi="宋体" w:eastAsia="宋体" w:cs="宋体"/>
          <w:kern w:val="44"/>
          <w:sz w:val="36"/>
          <w:szCs w:val="36"/>
          <w:u w:color="000000"/>
          <w:lang w:val="zh-TW" w:eastAsia="zh-TW"/>
        </w:rPr>
        <w:t xml:space="preserve">第一章  </w:t>
      </w:r>
      <w:r>
        <w:rPr>
          <w:rFonts w:hint="eastAsia" w:ascii="宋体" w:hAnsi="宋体" w:eastAsia="宋体" w:cs="宋体"/>
          <w:kern w:val="44"/>
          <w:sz w:val="36"/>
          <w:szCs w:val="36"/>
          <w:u w:color="000000"/>
          <w:lang w:val="zh-TW"/>
        </w:rPr>
        <w:t>招标</w:t>
      </w:r>
      <w:r>
        <w:rPr>
          <w:rFonts w:hint="eastAsia" w:ascii="宋体" w:hAnsi="宋体" w:eastAsia="宋体" w:cs="宋体"/>
          <w:kern w:val="44"/>
          <w:sz w:val="36"/>
          <w:szCs w:val="36"/>
          <w:u w:color="000000"/>
          <w:lang w:val="zh-TW" w:eastAsia="zh-TW"/>
        </w:rPr>
        <w:t>公告</w:t>
      </w:r>
      <w:bookmarkEnd w:id="0"/>
      <w:bookmarkEnd w:id="1"/>
      <w:bookmarkEnd w:id="2"/>
      <w:bookmarkEnd w:id="3"/>
    </w:p>
    <w:p w14:paraId="3ACC7739">
      <w:pPr>
        <w:spacing w:line="360" w:lineRule="auto"/>
        <w:ind w:firstLine="482" w:firstLineChars="200"/>
        <w:rPr>
          <w:rFonts w:ascii="宋体" w:hAnsi="宋体" w:eastAsia="宋体" w:cs="宋体"/>
          <w:b/>
          <w:sz w:val="24"/>
          <w:szCs w:val="24"/>
        </w:rPr>
      </w:pPr>
      <w:bookmarkStart w:id="4" w:name="_Toc448069941"/>
      <w:bookmarkStart w:id="5" w:name="_Toc1"/>
      <w:bookmarkStart w:id="6" w:name="_Toc415494524"/>
      <w:r>
        <w:rPr>
          <w:rFonts w:hint="eastAsia" w:ascii="宋体" w:hAnsi="宋体" w:eastAsia="宋体" w:cs="宋体"/>
          <w:b/>
          <w:sz w:val="24"/>
          <w:szCs w:val="24"/>
        </w:rPr>
        <w:t>项目概况</w:t>
      </w:r>
    </w:p>
    <w:p w14:paraId="2B8EF27B">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南京邮电大学通达学2024-2026年消防维护服务采购项目</w:t>
      </w:r>
      <w:r>
        <w:rPr>
          <w:rFonts w:hint="eastAsia" w:ascii="宋体" w:hAnsi="宋体" w:eastAsia="宋体" w:cs="宋体"/>
          <w:sz w:val="24"/>
          <w:szCs w:val="24"/>
        </w:rPr>
        <w:t>招标项目的潜在投标人应在</w:t>
      </w:r>
      <w:r>
        <w:rPr>
          <w:rFonts w:hint="eastAsia" w:ascii="宋体" w:hAnsi="宋体" w:eastAsia="宋体" w:cs="宋体"/>
          <w:b/>
          <w:sz w:val="24"/>
          <w:szCs w:val="24"/>
        </w:rPr>
        <w:t>中通服咨询设计研究院有限公司</w:t>
      </w:r>
      <w:r>
        <w:rPr>
          <w:rFonts w:hint="eastAsia" w:ascii="宋体" w:hAnsi="宋体" w:eastAsia="宋体" w:cs="宋体"/>
          <w:sz w:val="24"/>
          <w:szCs w:val="24"/>
        </w:rPr>
        <w:t>获取招标文件，并于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7月18</w:t>
      </w:r>
      <w:r>
        <w:rPr>
          <w:rFonts w:hint="eastAsia" w:ascii="宋体" w:hAnsi="宋体" w:eastAsia="宋体" w:cs="宋体"/>
          <w:b/>
          <w:sz w:val="24"/>
          <w:szCs w:val="24"/>
        </w:rPr>
        <w:t>日14时30分</w:t>
      </w:r>
      <w:r>
        <w:rPr>
          <w:rFonts w:hint="eastAsia" w:ascii="宋体" w:hAnsi="宋体" w:eastAsia="宋体" w:cs="宋体"/>
          <w:sz w:val="24"/>
          <w:szCs w:val="24"/>
        </w:rPr>
        <w:t>（北京时间）前递交投标文件。</w:t>
      </w:r>
    </w:p>
    <w:p w14:paraId="49BA1A4C">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14:paraId="0F313D3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1.1项目编号：TDCG2024014</w:t>
      </w:r>
    </w:p>
    <w:p w14:paraId="20DBD8A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1.2项目名称：南京邮电大学通达学2024-2026年消防维护服务采购项目</w:t>
      </w:r>
    </w:p>
    <w:p w14:paraId="0BEA1BD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1.3采购内容：维保单位负责学院内的所有消防设施、设备和系统的维护保养工作。</w:t>
      </w:r>
    </w:p>
    <w:p w14:paraId="279E21E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1.4预算及最高限价：26.5万元/年</w:t>
      </w:r>
    </w:p>
    <w:p w14:paraId="2D109AD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1.5服务期限：2年，合同一年一签。服务期内未出现无违法、违规、违约行为和安全责任事故，由学校组织考核,考核合格后签订下一年合同。</w:t>
      </w:r>
    </w:p>
    <w:p w14:paraId="0895C65F">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二、申请人的资格要求：</w:t>
      </w:r>
    </w:p>
    <w:p w14:paraId="409C675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EDADC1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（1）供应商必须是经国家有关部门批准，具有独立承担民事责任能力的独立法人或其他组织；</w:t>
      </w:r>
    </w:p>
    <w:p w14:paraId="5AE2933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（2）供应商须具有良好的商业信誉和健全的财务会计制度（提供经审计的2023年度或最新一年度的财务报告，成立不满一年不需提供）；</w:t>
      </w:r>
    </w:p>
    <w:p w14:paraId="3D131C4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（3）供应商需提供依法缴纳税收和社会保障资金的相关材料；</w:t>
      </w:r>
    </w:p>
    <w:p w14:paraId="445DF35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（4）供应商具有履行合同所必需的设备和专业技术能力的书面声明；</w:t>
      </w:r>
    </w:p>
    <w:p w14:paraId="40E7A3D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（5）供应商在经营活动中没有违法违规记录，近三年内没有被司法部门或行业主管部门处罚，提供书面声明；</w:t>
      </w:r>
    </w:p>
    <w:p w14:paraId="7ECCF57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（6）供应商须提供在“信用中国”（www.creditchina.gov.cn）或“诚信江苏”（www.jscredit.gov.cn）或中国政府采购网（www.ccgp.gov.cn）查询的、自本招标公告发布之日至投标截止前的信用记录的截图（截图须加盖公章）；</w:t>
      </w:r>
    </w:p>
    <w:p w14:paraId="722F33D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2.落实政府采购政策需满足的资格要求：无</w:t>
      </w:r>
    </w:p>
    <w:p w14:paraId="2A2DE47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3.本项目的特定资格要求：</w:t>
      </w:r>
    </w:p>
    <w:p w14:paraId="53ED214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（1）投标人须具备消防设施工程专业承包二级及以上资质（提供资质证书复印件加盖公章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原件备查</w:t>
      </w:r>
      <w:r>
        <w:rPr>
          <w:rFonts w:hint="eastAsia" w:ascii="宋体" w:hAnsi="宋体" w:eastAsia="宋体" w:cs="宋体"/>
          <w:sz w:val="24"/>
          <w:szCs w:val="24"/>
          <w:highlight w:val="none"/>
        </w:rPr>
        <w:t>）</w:t>
      </w:r>
    </w:p>
    <w:p w14:paraId="2753429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）维保方所选派的</w:t>
      </w:r>
      <w:r>
        <w:rPr>
          <w:rFonts w:hint="eastAsia" w:ascii="宋体" w:hAnsi="宋体" w:eastAsia="宋体" w:cs="宋体"/>
          <w:sz w:val="24"/>
          <w:szCs w:val="24"/>
          <w:highlight w:val="none"/>
          <w:lang w:val="en-US" w:eastAsia="zh-CN"/>
        </w:rPr>
        <w:t>驻场维保</w:t>
      </w:r>
      <w:r>
        <w:rPr>
          <w:rFonts w:hint="eastAsia" w:ascii="宋体" w:hAnsi="宋体" w:eastAsia="宋体" w:cs="宋体"/>
          <w:sz w:val="24"/>
          <w:szCs w:val="24"/>
          <w:highlight w:val="none"/>
        </w:rPr>
        <w:t>人员必须具备</w:t>
      </w:r>
      <w:r>
        <w:rPr>
          <w:rFonts w:hint="eastAsia" w:ascii="宋体" w:hAnsi="宋体" w:eastAsia="宋体" w:cs="宋体"/>
          <w:sz w:val="24"/>
          <w:szCs w:val="24"/>
          <w:highlight w:val="none"/>
          <w:lang w:val="en-US" w:eastAsia="zh-CN"/>
        </w:rPr>
        <w:t>消防设施维保职业资格证书或消防工程师。</w:t>
      </w:r>
      <w:r>
        <w:rPr>
          <w:rFonts w:hint="eastAsia" w:ascii="宋体" w:hAnsi="宋体" w:eastAsia="宋体" w:cs="宋体"/>
          <w:sz w:val="24"/>
          <w:szCs w:val="24"/>
          <w:highlight w:val="none"/>
        </w:rPr>
        <w:t>（提供资质证书复印件加盖公章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原件备查</w:t>
      </w:r>
      <w:r>
        <w:rPr>
          <w:rFonts w:hint="eastAsia" w:ascii="宋体" w:hAnsi="宋体" w:eastAsia="宋体" w:cs="宋体"/>
          <w:sz w:val="24"/>
          <w:szCs w:val="24"/>
          <w:highlight w:val="none"/>
        </w:rPr>
        <w:t>）</w:t>
      </w:r>
    </w:p>
    <w:p w14:paraId="2D53C58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4.本项目拒绝下述投标人参加投标：</w:t>
      </w:r>
    </w:p>
    <w:p w14:paraId="1699D0E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4.1投标人单位负责人为同一人或者存在直接控股、管理关系的不同投标人，不得参加同一合同项下的政府采购活动。</w:t>
      </w:r>
    </w:p>
    <w:p w14:paraId="3079737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4.2凡为采购项目提供整体设计、规范编制或者项目管理、监理、检测等服务的投标人，不得再参加本项目的采购活动。</w:t>
      </w:r>
    </w:p>
    <w:p w14:paraId="3BD6530D">
      <w:pPr>
        <w:spacing w:line="360" w:lineRule="auto"/>
        <w:ind w:firstLine="480" w:firstLineChars="200"/>
      </w:pPr>
      <w:r>
        <w:rPr>
          <w:rFonts w:hint="eastAsia" w:ascii="宋体" w:hAnsi="宋体" w:eastAsia="宋体" w:cs="宋体"/>
          <w:sz w:val="24"/>
          <w:szCs w:val="24"/>
        </w:rPr>
        <w:t>4.3投标人被“信用中国”网站（www.creditchina.gov.cn）、“中国政府采购网”(www.ccgp.gov.cn)列入失信被执行人、重大税收违法案件当事人名单、政府采购严重违法失信行为记录名单。</w:t>
      </w:r>
    </w:p>
    <w:p w14:paraId="4EDEE286">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三、获取招标文件</w:t>
      </w:r>
    </w:p>
    <w:p w14:paraId="343DDF1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时间：2024年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日至2024年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p w14:paraId="6A6037D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方式：</w:t>
      </w:r>
    </w:p>
    <w:p w14:paraId="2DED74E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报名需将下述资料盖章扫描件（1份）发邮件至</w:t>
      </w:r>
      <w:r>
        <w:rPr>
          <w:rFonts w:hint="eastAsia" w:ascii="宋体" w:hAnsi="宋体" w:eastAsia="宋体" w:cs="宋体"/>
          <w:sz w:val="24"/>
          <w:szCs w:val="24"/>
          <w:lang w:eastAsia="zh-CN"/>
        </w:rPr>
        <w:t>wangyuping6905_xm.cicdi@chinaccs.cn</w:t>
      </w:r>
      <w:r>
        <w:rPr>
          <w:rFonts w:hint="eastAsia" w:ascii="宋体" w:hAnsi="宋体" w:eastAsia="宋体" w:cs="宋体"/>
          <w:sz w:val="24"/>
          <w:szCs w:val="24"/>
        </w:rPr>
        <w:t>，进行线上报名：</w:t>
      </w:r>
    </w:p>
    <w:p w14:paraId="7A0EF44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（1）营业执照副本；</w:t>
      </w:r>
    </w:p>
    <w:p w14:paraId="3DEC449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（2）法人授权委托书和被授权人身份证；</w:t>
      </w:r>
    </w:p>
    <w:p w14:paraId="66ACF30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（3）标书费付款凭证。</w:t>
      </w:r>
    </w:p>
    <w:p w14:paraId="73875B9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售价：300元人民币</w:t>
      </w:r>
    </w:p>
    <w:p w14:paraId="33252FA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汇款账号信息如下：</w:t>
      </w:r>
    </w:p>
    <w:p w14:paraId="60463B4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收款单位：中通服咨询设计研究院有限公司</w:t>
      </w:r>
    </w:p>
    <w:p w14:paraId="50D43B9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开户银行：招商银行南京分行城北支行</w:t>
      </w:r>
    </w:p>
    <w:p w14:paraId="7DC52DD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帐    号：1259 0209 5710 1030 0005</w:t>
      </w:r>
    </w:p>
    <w:p w14:paraId="35803A5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转帐事由：项目名称（可简写）+ 标书费</w:t>
      </w:r>
    </w:p>
    <w:p w14:paraId="1288878A">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四、提交投标文件截止时间、开标时间和地点</w:t>
      </w:r>
    </w:p>
    <w:p w14:paraId="1DEEC7B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提交投标文件截止时间及开标时间：2024年</w:t>
      </w:r>
      <w:r>
        <w:rPr>
          <w:rFonts w:hint="eastAsia" w:ascii="宋体" w:hAnsi="宋体" w:eastAsia="宋体" w:cs="宋体"/>
          <w:sz w:val="24"/>
          <w:szCs w:val="24"/>
          <w:lang w:val="en-US" w:eastAsia="zh-CN"/>
        </w:rPr>
        <w:t>7月18</w:t>
      </w:r>
      <w:r>
        <w:rPr>
          <w:rFonts w:hint="eastAsia" w:ascii="宋体" w:hAnsi="宋体" w:eastAsia="宋体" w:cs="宋体"/>
          <w:sz w:val="24"/>
          <w:szCs w:val="24"/>
        </w:rPr>
        <w:t>日14时30分（北京时间）</w:t>
      </w:r>
    </w:p>
    <w:p w14:paraId="67BB787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提交投标文件及开标地点：江苏省扬州市邗江区江阳中路万象汇利大厦6楼会议室</w:t>
      </w:r>
      <w:r>
        <w:rPr>
          <w:rFonts w:hint="eastAsia" w:ascii="宋体" w:hAnsi="宋体" w:eastAsia="宋体" w:cs="宋体"/>
          <w:sz w:val="24"/>
          <w:szCs w:val="24"/>
          <w:lang w:eastAsia="zh-CN"/>
        </w:rPr>
        <w:t>。</w:t>
      </w:r>
    </w:p>
    <w:p w14:paraId="3B94014A">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五、公告期限</w:t>
      </w:r>
    </w:p>
    <w:p w14:paraId="7A0A3FC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自本公告发布之日起5个工作日。</w:t>
      </w:r>
    </w:p>
    <w:p w14:paraId="6BF28593">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六、其他补充事宜</w:t>
      </w:r>
    </w:p>
    <w:p w14:paraId="5CD9302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拒绝下述供应商参加本次采购活动：</w:t>
      </w:r>
    </w:p>
    <w:p w14:paraId="76998B0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投标人</w:t>
      </w:r>
      <w:r>
        <w:rPr>
          <w:rFonts w:ascii="宋体" w:hAnsi="宋体" w:eastAsia="宋体" w:cs="宋体"/>
          <w:sz w:val="24"/>
          <w:szCs w:val="24"/>
        </w:rPr>
        <w:t>单位负责人为同一人或者存在直接控股、管理关系的不同</w:t>
      </w:r>
      <w:r>
        <w:rPr>
          <w:rFonts w:hint="eastAsia" w:ascii="宋体" w:hAnsi="宋体" w:eastAsia="宋体" w:cs="宋体"/>
          <w:sz w:val="24"/>
          <w:szCs w:val="24"/>
        </w:rPr>
        <w:t>投标人</w:t>
      </w:r>
      <w:r>
        <w:rPr>
          <w:rFonts w:ascii="宋体" w:hAnsi="宋体" w:eastAsia="宋体" w:cs="宋体"/>
          <w:sz w:val="24"/>
          <w:szCs w:val="24"/>
        </w:rPr>
        <w:t>，不得参加同一合同项下的政府采购活动。</w:t>
      </w:r>
    </w:p>
    <w:p w14:paraId="00B3E8E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.2凡为采购项目提供整体设计、规范编制或者项目管理、监理、检测等服务的</w:t>
      </w:r>
      <w:r>
        <w:rPr>
          <w:rFonts w:hint="eastAsia" w:ascii="宋体" w:hAnsi="宋体" w:eastAsia="宋体" w:cs="宋体"/>
          <w:sz w:val="24"/>
          <w:szCs w:val="24"/>
        </w:rPr>
        <w:t>投标人</w:t>
      </w:r>
      <w:r>
        <w:rPr>
          <w:rFonts w:ascii="宋体" w:hAnsi="宋体" w:eastAsia="宋体" w:cs="宋体"/>
          <w:sz w:val="24"/>
          <w:szCs w:val="24"/>
        </w:rPr>
        <w:t>，不得再参加该项目的其他采购活动。</w:t>
      </w:r>
    </w:p>
    <w:p w14:paraId="34E6FE53">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七、对本次招标提出询问，请按以下方式联系。</w:t>
      </w:r>
    </w:p>
    <w:p w14:paraId="3C5F4FF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1.招标人信息</w:t>
      </w:r>
    </w:p>
    <w:p w14:paraId="46127B0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称：南京邮电大学通达学院</w:t>
      </w:r>
    </w:p>
    <w:p w14:paraId="305BA5D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址：扬州市邗江区润扬南路33号</w:t>
      </w:r>
    </w:p>
    <w:p w14:paraId="08F84E81">
      <w:pPr>
        <w:pStyle w:val="20"/>
      </w:pPr>
      <w:r>
        <w:rPr>
          <w:rFonts w:hint="eastAsia" w:ascii="宋体" w:hAnsi="宋体" w:eastAsia="宋体" w:cs="宋体"/>
          <w:szCs w:val="24"/>
        </w:rPr>
        <w:t xml:space="preserve">    联系人：季老师</w:t>
      </w:r>
    </w:p>
    <w:p w14:paraId="3AE2988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2.采购代理机构信息</w:t>
      </w:r>
    </w:p>
    <w:p w14:paraId="0BDBEA8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称：中通服咨询设计研究院有限公司</w:t>
      </w:r>
    </w:p>
    <w:p w14:paraId="0A82A01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址：南京市建邺区楠溪江东街58号</w:t>
      </w:r>
    </w:p>
    <w:p w14:paraId="2848259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王雨平</w:t>
      </w:r>
      <w:r>
        <w:rPr>
          <w:rFonts w:hint="eastAsia" w:ascii="宋体" w:hAnsi="宋体" w:eastAsia="宋体" w:cs="宋体"/>
          <w:sz w:val="24"/>
          <w:szCs w:val="24"/>
        </w:rPr>
        <w:t>（报名）、朱闵远</w:t>
      </w:r>
    </w:p>
    <w:p w14:paraId="685278CD">
      <w:pPr>
        <w:spacing w:line="360" w:lineRule="auto"/>
        <w:ind w:firstLine="480" w:firstLineChars="200"/>
        <w:rPr>
          <w:rFonts w:ascii="宋体" w:hAnsi="宋体" w:eastAsia="宋体" w:cs="宋体"/>
          <w:kern w:val="44"/>
          <w:sz w:val="36"/>
          <w:szCs w:val="36"/>
          <w:u w:color="000000"/>
          <w:lang w:val="zh-TW" w:eastAsia="zh-TW"/>
        </w:rPr>
      </w:pPr>
      <w:r>
        <w:rPr>
          <w:rFonts w:hint="eastAsia" w:ascii="宋体" w:hAnsi="宋体" w:eastAsia="宋体" w:cs="宋体"/>
          <w:sz w:val="24"/>
          <w:szCs w:val="24"/>
        </w:rPr>
        <w:t>联系电话：</w:t>
      </w:r>
      <w:r>
        <w:rPr>
          <w:rFonts w:hint="eastAsia" w:ascii="宋体" w:hAnsi="宋体" w:eastAsia="宋体" w:cs="宋体"/>
          <w:sz w:val="24"/>
          <w:szCs w:val="24"/>
          <w:lang w:eastAsia="zh-CN"/>
        </w:rPr>
        <w:t>13260737120</w:t>
      </w:r>
      <w:r>
        <w:rPr>
          <w:rFonts w:hint="eastAsia" w:ascii="宋体" w:hAnsi="宋体" w:eastAsia="宋体" w:cs="宋体"/>
          <w:sz w:val="24"/>
          <w:szCs w:val="24"/>
        </w:rPr>
        <w:t>（报名）、</w:t>
      </w:r>
      <w:r>
        <w:rPr>
          <w:rFonts w:hint="eastAsia" w:ascii="宋体" w:hAnsi="宋体" w:eastAsia="宋体" w:cs="宋体"/>
          <w:sz w:val="24"/>
          <w:szCs w:val="24"/>
          <w:lang w:eastAsia="zh-CN"/>
        </w:rPr>
        <w:t>15950560008</w:t>
      </w:r>
      <w:r>
        <w:rPr>
          <w:rFonts w:hint="eastAsia" w:ascii="宋体" w:hAnsi="宋体" w:eastAsia="宋体" w:cs="宋体"/>
          <w:kern w:val="44"/>
          <w:sz w:val="36"/>
          <w:szCs w:val="36"/>
          <w:u w:color="000000"/>
          <w:lang w:val="zh-TW" w:eastAsia="zh-TW"/>
        </w:rPr>
        <w:br w:type="page"/>
      </w:r>
    </w:p>
    <w:p w14:paraId="28F59D74">
      <w:pPr>
        <w:keepNext/>
        <w:keepLines/>
        <w:spacing w:before="312" w:beforeLines="100" w:after="312" w:afterLines="100" w:line="360" w:lineRule="auto"/>
        <w:jc w:val="center"/>
        <w:outlineLvl w:val="0"/>
        <w:rPr>
          <w:rFonts w:ascii="宋体" w:hAnsi="宋体" w:eastAsia="宋体" w:cs="宋体"/>
          <w:kern w:val="44"/>
          <w:sz w:val="36"/>
          <w:szCs w:val="36"/>
          <w:u w:color="000000"/>
          <w:lang w:val="zh-TW" w:eastAsia="zh-TW"/>
        </w:rPr>
      </w:pPr>
      <w:bookmarkStart w:id="7" w:name="_Toc30510"/>
      <w:r>
        <w:rPr>
          <w:rFonts w:hint="eastAsia" w:ascii="宋体" w:hAnsi="宋体" w:eastAsia="宋体" w:cs="宋体"/>
          <w:kern w:val="44"/>
          <w:sz w:val="36"/>
          <w:szCs w:val="36"/>
          <w:u w:color="000000"/>
          <w:lang w:val="zh-TW" w:eastAsia="zh-TW"/>
        </w:rPr>
        <w:t xml:space="preserve">第二章  </w:t>
      </w:r>
      <w:r>
        <w:rPr>
          <w:rFonts w:hint="eastAsia" w:ascii="宋体" w:hAnsi="宋体" w:eastAsia="宋体" w:cs="宋体"/>
          <w:kern w:val="44"/>
          <w:sz w:val="36"/>
          <w:szCs w:val="36"/>
          <w:u w:color="000000"/>
          <w:lang w:val="zh-TW"/>
        </w:rPr>
        <w:t>投标人</w:t>
      </w:r>
      <w:r>
        <w:rPr>
          <w:rFonts w:hint="eastAsia" w:ascii="宋体" w:hAnsi="宋体" w:eastAsia="宋体" w:cs="宋体"/>
          <w:kern w:val="44"/>
          <w:sz w:val="36"/>
          <w:szCs w:val="36"/>
          <w:u w:color="000000"/>
          <w:lang w:val="zh-TW" w:eastAsia="zh-TW"/>
        </w:rPr>
        <w:t>须知</w:t>
      </w:r>
      <w:bookmarkEnd w:id="4"/>
      <w:bookmarkEnd w:id="5"/>
      <w:bookmarkEnd w:id="6"/>
      <w:bookmarkEnd w:id="7"/>
    </w:p>
    <w:p w14:paraId="1D5235FA">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一、总则</w:t>
      </w:r>
    </w:p>
    <w:p w14:paraId="28E4AD11">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l、采购方式</w:t>
      </w:r>
    </w:p>
    <w:p w14:paraId="6DB239D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1.1本次采购采用公开招标方式，本招标文件仅适用于招标公告中所述项目。</w:t>
      </w:r>
    </w:p>
    <w:p w14:paraId="397ED312">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2、合格的投标人</w:t>
      </w:r>
    </w:p>
    <w:p w14:paraId="72A0F91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2.1满足招标公告中投标人资质要求的规定。</w:t>
      </w:r>
    </w:p>
    <w:p w14:paraId="4B7D8C5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 满足本文件实质性条款的规定。</w:t>
      </w:r>
    </w:p>
    <w:p w14:paraId="5AF416AA">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3、适用法律</w:t>
      </w:r>
    </w:p>
    <w:p w14:paraId="5D0D934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3.1本次采购及由本次采购产生的合同受中华人民共和国有关法律法规制约和保护。</w:t>
      </w:r>
    </w:p>
    <w:p w14:paraId="451415AF">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4、投标费用</w:t>
      </w:r>
    </w:p>
    <w:p w14:paraId="0BF1CF8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4.1投标人应自行承担所有参与投标有关费用，无论投标过程中的做法和结果如何，招标人在任何情况下均无义务和责任承担这些费用。</w:t>
      </w:r>
    </w:p>
    <w:p w14:paraId="0FF16E6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本项目收取投标人标书费见公告，招标代理服务费由中标人支付，按照国家发展和改革委员会下发的《关于降低部分建设项目收费标准规范收费行为等有关问题的通知》（发改价格[2011]534号）所列招标代理服务费收费标准的65%收取，最低收费金额为1000元。</w:t>
      </w:r>
    </w:p>
    <w:p w14:paraId="026E2E1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4.3本项目的专家论证费、专家评审费暂按4500元向中标人收取。具体按实际发生结算。</w:t>
      </w:r>
    </w:p>
    <w:p w14:paraId="49780673">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5、招标文件的约束力</w:t>
      </w:r>
    </w:p>
    <w:p w14:paraId="5AB0B7A6">
      <w:pPr>
        <w:snapToGrid w:val="0"/>
        <w:spacing w:line="360" w:lineRule="auto"/>
        <w:ind w:firstLine="480" w:firstLineChars="200"/>
        <w:rPr>
          <w:rFonts w:ascii="宋体" w:hAnsi="宋体" w:eastAsia="宋体" w:cs="宋体"/>
        </w:rPr>
      </w:pPr>
      <w:r>
        <w:rPr>
          <w:rFonts w:hint="eastAsia" w:ascii="宋体" w:hAnsi="宋体" w:eastAsia="宋体" w:cs="宋体"/>
          <w:sz w:val="24"/>
          <w:szCs w:val="24"/>
        </w:rPr>
        <w:t>5.1投标人一旦下载了本招标文件并参与投标，即被认为接受了本招标文件中的所有条件和规定。</w:t>
      </w:r>
    </w:p>
    <w:p w14:paraId="184DE479">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二、招标文件</w:t>
      </w:r>
    </w:p>
    <w:p w14:paraId="73FE23C8">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6、招标文件的构成</w:t>
      </w:r>
    </w:p>
    <w:p w14:paraId="07F966E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6.1招标文件由以下部分组成：</w:t>
      </w:r>
    </w:p>
    <w:p w14:paraId="01D0F686">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（1）招标公告</w:t>
      </w:r>
    </w:p>
    <w:p w14:paraId="3D385773">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（2）投标人须知</w:t>
      </w:r>
    </w:p>
    <w:p w14:paraId="272E46C7">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（3）合同条款及格式</w:t>
      </w:r>
    </w:p>
    <w:p w14:paraId="7D145E55">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（4）项目需求</w:t>
      </w:r>
    </w:p>
    <w:p w14:paraId="61E6F318">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（5）评标方法与评标标准</w:t>
      </w:r>
    </w:p>
    <w:p w14:paraId="71555E72">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（6）投标文件格式</w:t>
      </w:r>
    </w:p>
    <w:p w14:paraId="423D87E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请仔细检查招标文件是否齐全，如有缺漏请立即与招标代理机构联系解决。</w:t>
      </w:r>
    </w:p>
    <w:p w14:paraId="391A04C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3DD1886">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7、招标文件的澄清</w:t>
      </w:r>
    </w:p>
    <w:p w14:paraId="2C9B53D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任何要求对招标文件进行澄清的投标人，均应在投标截止期前十日前以书面形式通知招标人。</w:t>
      </w:r>
    </w:p>
    <w:p w14:paraId="06A3B02C">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8、招标文件的修改</w:t>
      </w:r>
    </w:p>
    <w:p w14:paraId="148CB27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8.l在投标截止日期前，无论何种原因，招标人均可主动或在解答投标人提出的澄清问题时对招标文件进行修改。</w:t>
      </w:r>
    </w:p>
    <w:p w14:paraId="7D3E860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8.2招标文件的修改将在“南京邮电大学采购招标管理办公室网站及南京邮电大学通达学院采购招标信息网”网站上公布，并对所有投标人具有约束力。</w:t>
      </w:r>
    </w:p>
    <w:p w14:paraId="5987E0F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8.3为使投标人编写标书有充分时间对标书文件的修改部分进行分析、研究，招标人有权推迟投标截止日期和开标日期，并将此变更书面通知所有购买招标文件的投标人。</w:t>
      </w:r>
    </w:p>
    <w:p w14:paraId="69697A66">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三、投标文件的编制</w:t>
      </w:r>
    </w:p>
    <w:p w14:paraId="19DD578A">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9、投标语言及度量衡单位</w:t>
      </w:r>
    </w:p>
    <w:p w14:paraId="4C2840F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9.1投标人提供的投标文件以及投标人与招标人就有关投标的所有来往通知、函件和文件均使用</w:t>
      </w:r>
      <w:r>
        <w:rPr>
          <w:rFonts w:hint="eastAsia" w:ascii="宋体" w:hAnsi="宋体" w:eastAsia="宋体" w:cs="宋体"/>
          <w:b/>
          <w:sz w:val="24"/>
          <w:szCs w:val="24"/>
        </w:rPr>
        <w:t>简体中文</w:t>
      </w:r>
      <w:r>
        <w:rPr>
          <w:rFonts w:hint="eastAsia" w:ascii="宋体" w:hAnsi="宋体" w:eastAsia="宋体" w:cs="宋体"/>
          <w:sz w:val="24"/>
          <w:szCs w:val="24"/>
        </w:rPr>
        <w:t>。</w:t>
      </w:r>
    </w:p>
    <w:p w14:paraId="37E3AFF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9.2除技术性能另有规定外，投标文件所使用的度量衡单位，均采用国家法定计量单位。</w:t>
      </w:r>
    </w:p>
    <w:p w14:paraId="791C6D8E">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10、投标文件的构成</w:t>
      </w:r>
    </w:p>
    <w:p w14:paraId="6B07F02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投标人编写的投标文件应包括下列部分：</w:t>
      </w:r>
    </w:p>
    <w:p w14:paraId="69F491C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10.1投标文件目录；</w:t>
      </w:r>
    </w:p>
    <w:p w14:paraId="500C5FC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10.2投标函：须含投标人的开户名称、开户银行、账号、电话、传真、E-mail等联系方式；</w:t>
      </w:r>
    </w:p>
    <w:p w14:paraId="09E016A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10.3投标人资格证明材料；</w:t>
      </w:r>
    </w:p>
    <w:p w14:paraId="1426337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（1）法人或者其他组织的营业执照等证明文件（复印件）；</w:t>
      </w:r>
    </w:p>
    <w:p w14:paraId="3D856695">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（2）相关资质证明材料（复印件）；</w:t>
      </w:r>
    </w:p>
    <w:p w14:paraId="7BCBA32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（3）法人授权委托书（复印件）；</w:t>
      </w:r>
    </w:p>
    <w:p w14:paraId="7E482A3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（4）法定代表人的身份证复印件；</w:t>
      </w:r>
    </w:p>
    <w:p w14:paraId="282D463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（5）授权代表的身份证复印件（开标现场查验原件）；</w:t>
      </w:r>
    </w:p>
    <w:p w14:paraId="058DD7D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（6）具有项目必须的技术条件或经营能力的书面声明；</w:t>
      </w:r>
    </w:p>
    <w:p w14:paraId="1F848DC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（7）无违法违规记录声明；</w:t>
      </w:r>
    </w:p>
    <w:p w14:paraId="04156DE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（8）招标文件中的其他资格性要求（详见招标公告第二条投标人资格要求）。</w:t>
      </w:r>
    </w:p>
    <w:p w14:paraId="43D756A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上述文件均应加盖公章。</w:t>
      </w:r>
    </w:p>
    <w:p w14:paraId="2DC1F5A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10.4开标一览表：</w:t>
      </w:r>
    </w:p>
    <w:p w14:paraId="2D8DB76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（1）投标人应按照招标文件中提供的格式完整、正确地填写开标一览表。</w:t>
      </w:r>
    </w:p>
    <w:p w14:paraId="59BA680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人应采用分项报价最终汇总的方式进行，按照招标文件要求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14:paraId="0812044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（3）报价采取总承包方式，包括所投产品、安装调试、服务、运输、税金及其它有关的为完成本项目发生的所有费用，招标文件中另有规定的除外。国产设备以人民币报价。</w:t>
      </w:r>
    </w:p>
    <w:p w14:paraId="797885F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一览表中的价格应与投标文件中的报价表中价格一致，如不一致，评标时一律按开标一览表中价格为准。开标一览表必须盖章，加盖公章后的“开标一览表”除应装订在投标文件中，还必须单独（此份不放在投标文件内）装在小信封内于投标截止时间前与投标文件一起递交。</w:t>
      </w:r>
    </w:p>
    <w:p w14:paraId="631F8CD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（5）报价必须充分考虑所有可能影响到报价的价格因素，一旦投标结束最终成交，总价将包定，合同期内不予调整。如发生漏、缺、少项，都将被认为是中标人的报价让利行为。</w:t>
      </w:r>
    </w:p>
    <w:p w14:paraId="7C9C971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10.5投标人参照投标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投标文件相一致的带有技术参数的产品说明书；</w:t>
      </w:r>
    </w:p>
    <w:p w14:paraId="79A5F10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10.6投标人按照投标文件中商务条款提供交货安装、工期保证等方案以及产品售后服务和质量承诺，并附《商务条款响应及偏离表》；</w:t>
      </w:r>
    </w:p>
    <w:p w14:paraId="19F5300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10.7投标人的业绩情况；</w:t>
      </w:r>
    </w:p>
    <w:p w14:paraId="77A690D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10.8投标人认为有必要提供的文件材料；</w:t>
      </w:r>
    </w:p>
    <w:p w14:paraId="186F356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10.9投标人应将投标文件按上述顺序分别装订成册。</w:t>
      </w:r>
    </w:p>
    <w:p w14:paraId="49E8BC9A">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11、其它费用处理</w:t>
      </w:r>
    </w:p>
    <w:p w14:paraId="01FD364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招标文件未列明，而投标单位认为必需的费用也需列入报价。</w:t>
      </w:r>
    </w:p>
    <w:p w14:paraId="0B8C1A60">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12、投标保证金</w:t>
      </w:r>
    </w:p>
    <w:p w14:paraId="5F415BDB">
      <w:pPr>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本次招标不收取投标保证金。</w:t>
      </w:r>
    </w:p>
    <w:p w14:paraId="41B1AFE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12.1在开标时，对于未按要求提交投标保证金的投标无效。</w:t>
      </w:r>
    </w:p>
    <w:p w14:paraId="1BB6BDF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12.2投标保证金是为了保护招标人免遭因投标人的不良行为而蒙受的损失，招标人在因投标人的行为遭受损失时，可根据第12.4条的规定没收投标人的投标保证金。</w:t>
      </w:r>
    </w:p>
    <w:p w14:paraId="3C3A5895">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12.3未中标的投标人的投标保证金，将在中标通知书发出之日起5个工作日内退还，但不计利息。</w:t>
      </w:r>
    </w:p>
    <w:p w14:paraId="46A02D0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12.4下列任何情况发生时，投标保证金将被没收：</w:t>
      </w:r>
    </w:p>
    <w:p w14:paraId="2614E64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(1)投标人在投标有效期内撤回其投标；</w:t>
      </w:r>
    </w:p>
    <w:p w14:paraId="15599F5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(2)投标人提供的有关资料、资格证明文件被确认是不真实的；</w:t>
      </w:r>
    </w:p>
    <w:p w14:paraId="7EB821D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(3)投标人之间被证实有串通（统一哄抬价格）、欺诈行为；</w:t>
      </w:r>
    </w:p>
    <w:p w14:paraId="609B01F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(4)投标人被证明有妨碍其他人公平竞争、损害招标人或者其他投标人合法权益的；</w:t>
      </w:r>
    </w:p>
    <w:p w14:paraId="7E49680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(5)中标人在规定期限内未能按本规定签订合同；</w:t>
      </w:r>
    </w:p>
    <w:p w14:paraId="0BFA1D2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(6)中标人在规定期限内不同意交纳履约保证金。</w:t>
      </w:r>
    </w:p>
    <w:p w14:paraId="5E662F0B">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13、投标有效期</w:t>
      </w:r>
    </w:p>
    <w:p w14:paraId="32F92BB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投标有效期为招标人规定的开标之日后九十（90）天内有效。如果招标人在有效期之内，可向投标人提出延长投标有效期的要求。要求与答复均应采用书面形式。</w:t>
      </w:r>
      <w:r>
        <w:rPr>
          <w:rFonts w:hint="eastAsia" w:ascii="宋体" w:hAnsi="宋体" w:eastAsia="宋体" w:cs="宋体"/>
          <w:bCs/>
          <w:snapToGrid w:val="0"/>
          <w:kern w:val="21"/>
          <w:sz w:val="24"/>
          <w:szCs w:val="24"/>
        </w:rPr>
        <w:t>投标人可以拒绝招标人的这一要求而放弃投标，</w:t>
      </w:r>
      <w:r>
        <w:rPr>
          <w:rFonts w:hint="eastAsia" w:ascii="宋体" w:hAnsi="宋体" w:eastAsia="宋体" w:cs="宋体"/>
          <w:snapToGrid w:val="0"/>
          <w:kern w:val="21"/>
          <w:sz w:val="24"/>
          <w:szCs w:val="24"/>
        </w:rPr>
        <w:t>招标人在接到投标人书面答复后，将在原投标有效期满后五日内</w:t>
      </w:r>
      <w:r>
        <w:rPr>
          <w:rFonts w:hint="eastAsia" w:ascii="宋体" w:hAnsi="宋体" w:eastAsia="宋体" w:cs="宋体"/>
          <w:bCs/>
          <w:snapToGrid w:val="0"/>
          <w:kern w:val="21"/>
          <w:sz w:val="24"/>
          <w:szCs w:val="24"/>
        </w:rPr>
        <w:t>无息退还其投标保证金</w:t>
      </w:r>
      <w:r>
        <w:rPr>
          <w:rFonts w:hint="eastAsia" w:ascii="宋体" w:hAnsi="宋体" w:eastAsia="宋体" w:cs="宋体"/>
          <w:snapToGrid w:val="0"/>
          <w:kern w:val="21"/>
          <w:sz w:val="24"/>
          <w:szCs w:val="24"/>
        </w:rPr>
        <w:t>。</w:t>
      </w:r>
      <w:r>
        <w:rPr>
          <w:rFonts w:hint="eastAsia" w:ascii="宋体" w:hAnsi="宋体" w:eastAsia="宋体" w:cs="宋体"/>
          <w:bCs/>
          <w:snapToGrid w:val="0"/>
          <w:kern w:val="21"/>
          <w:sz w:val="24"/>
          <w:szCs w:val="24"/>
        </w:rPr>
        <w:t>同意延</w:t>
      </w:r>
      <w:r>
        <w:rPr>
          <w:rFonts w:hint="eastAsia" w:ascii="宋体" w:hAnsi="宋体" w:eastAsia="宋体" w:cs="宋体"/>
          <w:sz w:val="24"/>
          <w:szCs w:val="24"/>
        </w:rPr>
        <w:t>长投标有效期的投标人既不能要求也不允许修改其投标文件。第12条有关投标保证金的没收和退还的规定在延长期内继续有效，同时受投标有效期约束的所有权利与义务均延长至新的有效期。</w:t>
      </w:r>
    </w:p>
    <w:p w14:paraId="437350EE">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14、投标文件份数和签署</w:t>
      </w:r>
    </w:p>
    <w:p w14:paraId="701EBFE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l投标文件一式五份(正本一份，副本四份)。一旦正本和副本不符，以正本为准。另外提供投标文件电子版一份（PDF格式，可将完成盖章和签字的纸质版投标文件进行彩色扫描，拷贝到U盘中，跟投标文件一起密封提交）。</w:t>
      </w:r>
    </w:p>
    <w:p w14:paraId="1B649A6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14.2投标文件中法定代表人或其授权代表签字。授权代表须将法人代表人以书面形式出具法人代表授权书（原件）附在投标文件中。</w:t>
      </w:r>
    </w:p>
    <w:p w14:paraId="1A4502C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14.3除投标人对错处做必要修改时，投标文件不得行间插字、涂改或增删。如有修改错漏处，必须由投标文件签署人签字并加盖公章。</w:t>
      </w:r>
    </w:p>
    <w:p w14:paraId="3DAEBCD2">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四、投标文件的递交</w:t>
      </w:r>
    </w:p>
    <w:p w14:paraId="21035D97">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15、投标文件的密封和标记</w:t>
      </w:r>
    </w:p>
    <w:p w14:paraId="562BD83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b/>
          <w:sz w:val="24"/>
          <w:szCs w:val="24"/>
        </w:rPr>
        <w:t>投标人应将投标文件密封，封口处要贴封签并加盖投标单位公章。</w:t>
      </w:r>
      <w:r>
        <w:rPr>
          <w:rFonts w:hint="eastAsia" w:ascii="宋体" w:hAnsi="宋体" w:eastAsia="宋体" w:cs="宋体"/>
          <w:sz w:val="24"/>
          <w:szCs w:val="24"/>
        </w:rPr>
        <w:t>不论投标人中标与否，投标文件均不退回。</w:t>
      </w:r>
    </w:p>
    <w:p w14:paraId="65EC4C3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15.2文件袋上应注明投标项目名称、正、副本、投标单位、授权代表姓名及联系方式。如因标注不清而产生的后果由投标人自负。</w:t>
      </w:r>
    </w:p>
    <w:p w14:paraId="353C51C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bCs/>
          <w:sz w:val="24"/>
          <w:szCs w:val="24"/>
        </w:rPr>
        <w:t>未按要求密封和加写标记，招标人对误投或过早启封概不负责。对由此造成提前开封的投标文件，招标人将予以拒绝，作无效投标处理。</w:t>
      </w:r>
    </w:p>
    <w:p w14:paraId="048C6060">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16、投标截止日期</w:t>
      </w:r>
    </w:p>
    <w:p w14:paraId="2F566BEC">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sz w:val="24"/>
          <w:szCs w:val="24"/>
        </w:rPr>
        <w:t>16.1</w:t>
      </w:r>
      <w:r>
        <w:rPr>
          <w:rFonts w:hint="eastAsia" w:ascii="宋体" w:hAnsi="宋体" w:eastAsia="宋体" w:cs="宋体"/>
          <w:bCs/>
          <w:sz w:val="24"/>
          <w:szCs w:val="24"/>
        </w:rPr>
        <w:t xml:space="preserve"> 招标人收到投标文件的时间不得迟于招标公告中规定的截止时间。</w:t>
      </w:r>
    </w:p>
    <w:p w14:paraId="779C6ADE">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sz w:val="24"/>
          <w:szCs w:val="24"/>
        </w:rPr>
        <w:t>16.2</w:t>
      </w:r>
      <w:r>
        <w:rPr>
          <w:rFonts w:hint="eastAsia" w:ascii="宋体" w:hAnsi="宋体" w:eastAsia="宋体" w:cs="宋体"/>
          <w:bCs/>
          <w:sz w:val="24"/>
          <w:szCs w:val="24"/>
        </w:rPr>
        <w:t xml:space="preserve"> 招标人可以按照规定，通过修改招标文件有权酌情延长投标截止日期，在此情况下，投标人的所有权利和义务以及投标人受制的截止日期均应以延长后新的截止日期为准。</w:t>
      </w:r>
    </w:p>
    <w:p w14:paraId="2B40B5A7">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17、迟交的投标文件</w:t>
      </w:r>
    </w:p>
    <w:p w14:paraId="2C095CE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迟交的投标文件将被拒收并原封退回。</w:t>
      </w:r>
    </w:p>
    <w:p w14:paraId="30914A02">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18、投标文件的修改和撤回</w:t>
      </w:r>
    </w:p>
    <w:p w14:paraId="7B1B285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18.1投标人在递交投标书后，在规定的投标截止日期前可以修改或撤回其投标文件。修改文件必须在投标截止时间前送达。</w:t>
      </w:r>
    </w:p>
    <w:p w14:paraId="3A4E981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18.2投标截止日期后不可对其投标文件作任何修改或撤回，否则其投标保证金将被没收。</w:t>
      </w:r>
    </w:p>
    <w:p w14:paraId="74815A07">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五、开标与评标</w:t>
      </w:r>
    </w:p>
    <w:p w14:paraId="05E9B164">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19、开标</w:t>
      </w:r>
    </w:p>
    <w:p w14:paraId="1483CBF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19.l招标人将在招标文件中规定的时间和地址组织公开开标。投标人法人代表或授权代表须携本人身份证原件参加，如有必要可以让投标人有一定时间的陈述，或接收评标工作组成员的提问后退场。</w:t>
      </w:r>
    </w:p>
    <w:p w14:paraId="2FCAEFF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19.2开标时请投标人授权代表查验投标文件密封情况，确认无误后，招标人当众拆封宣读每份投标文件中“开标一览表”的各项内容，未列入开标一览表的内容一律不在开标时宣读。开标时未宣读的投标报价信息，不得在评标时采用。招标人将指定专人负责开标记录并存档备查，各投标人需仔细核对开标记录相关内容并签字确认。</w:t>
      </w:r>
    </w:p>
    <w:p w14:paraId="15AA5B2C">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20、评标过程的保密与公正</w:t>
      </w:r>
    </w:p>
    <w:p w14:paraId="59B8509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20.l公开开标后，直至通知投标人中标为止，凡是与审查、澄清、评价和比较投标的有关资料，均不得向投标人或与评标无关的人员透露。</w:t>
      </w:r>
    </w:p>
    <w:p w14:paraId="5E97D14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20.2投标人试图影响评标或授予合同方面的任何尝试，可能导致该投标人的标被废弃。</w:t>
      </w:r>
    </w:p>
    <w:p w14:paraId="1052E796">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21、投标的澄清</w:t>
      </w:r>
    </w:p>
    <w:p w14:paraId="49B2700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21.1评标期间，为有助于对投标文件的审查、评价和比较，评标工作组有权要求投标人对其投标文件进行澄清，但并非对每个投标人都作澄清要求。</w:t>
      </w:r>
    </w:p>
    <w:p w14:paraId="5C3BB6E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14:paraId="26352574">
      <w:pPr>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21.3接到澄清要求的投标人如未按规定做出澄清，其风险由投标人自行承担。</w:t>
      </w:r>
    </w:p>
    <w:p w14:paraId="0E387682">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22、对投标文件的初审</w:t>
      </w:r>
    </w:p>
    <w:p w14:paraId="67D4122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22.1投标文件初审分为资格性检查和符合性检查。</w:t>
      </w:r>
    </w:p>
    <w:p w14:paraId="7B5E0E6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资格性检查：依据法律法规和招标文件的规定，由招标人对投标文件中的资格证明文件进行审查。资格审查的结论，招标人以书面形式向评标工作组进行反馈。</w:t>
      </w:r>
    </w:p>
    <w:p w14:paraId="36CF93E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符合性检查：依据招标文件的规定，由评标工作组从投标文件的有效性、完整性和对招标文件的响应程度进行审查，以确定是否对招标文件的实质性要求作出响应。</w:t>
      </w:r>
    </w:p>
    <w:p w14:paraId="5BE0D34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22.2在详细评标之前，评标工作组将首先审查每份投标文件是否实质性响应了招标文件的要求。实质性响应的投标应该是与招标文件要求的全部条款、条件和规格相符，没有重大偏离或保留的投标。</w:t>
      </w:r>
    </w:p>
    <w:p w14:paraId="2C0F689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14:paraId="4EE0A76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22.3如果投标文件实质上没有响应招标文件的要求，评标工作组将予以拒绝，投标人不得通过修改或撤销不合要求的偏离或保留而使其投标成为实质性响应的投标。</w:t>
      </w:r>
    </w:p>
    <w:p w14:paraId="031C088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22.4评标工作组将对确定为实质性响应的投标进行进一步审核，看其是否有计算上或累加上的算术错误，修正错误的原则如下：</w:t>
      </w:r>
    </w:p>
    <w:p w14:paraId="373C8DE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（1）如果用数字表示的金额和用文字表示的金额不一致时，应以文字表示的金额为准进行修正；</w:t>
      </w:r>
    </w:p>
    <w:p w14:paraId="7B34A4D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（2）当单价与数量的乘积和总价不一致时，以单价为准进行修正。只有在评标工作组认为单价有明显的小数点错误时，才能以标出的总价为准，并修改单价。</w:t>
      </w:r>
    </w:p>
    <w:p w14:paraId="5B643C2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22.5评标工作组将按上述修正错误的方法调整投标文件中的投标报价，调整后的价格应对投标人具有约束力。如果投标人不接受修正后的价格，则其投标将被拒绝，其投标保证金不予退还。</w:t>
      </w:r>
    </w:p>
    <w:p w14:paraId="7DBF4D5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22.6评标工作组将允许修正投标文件中不构成重大偏离的、微小的、非正规的、不一致的或不规则的地方，但这些修改不能影响任何投标人相应的名次排列。</w:t>
      </w:r>
    </w:p>
    <w:p w14:paraId="4777D032">
      <w:pPr>
        <w:shd w:val="clear" w:color="auto" w:fill="FFFFFF"/>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23、无效投标条款和废标条款</w:t>
      </w:r>
    </w:p>
    <w:p w14:paraId="395386B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23.1无效投标条款：</w:t>
      </w:r>
    </w:p>
    <w:p w14:paraId="4EEF951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（1）未按要求交纳投标保证金的；</w:t>
      </w:r>
    </w:p>
    <w:p w14:paraId="6E5E048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（2）未按照招标文件规定要求密封、签署、盖章的；</w:t>
      </w:r>
    </w:p>
    <w:p w14:paraId="2A81046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（3）投标人在报价时采用选择性报价的；</w:t>
      </w:r>
    </w:p>
    <w:p w14:paraId="1B8E47D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（4）投标人不具备招标文件中规定资格要求的；</w:t>
      </w:r>
    </w:p>
    <w:p w14:paraId="50C9828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（5）投标人的报价超过了采购预算或最高限价的；</w:t>
      </w:r>
    </w:p>
    <w:p w14:paraId="02ED2FF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（6）未通过符合性检查的；</w:t>
      </w:r>
    </w:p>
    <w:p w14:paraId="426E3D7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（7）不符合招标文件中规定的其他实质性要求和条件的；</w:t>
      </w:r>
    </w:p>
    <w:p w14:paraId="108F4D4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（8）投标文件含有招标人不能接受的附加条件的；</w:t>
      </w:r>
    </w:p>
    <w:p w14:paraId="4D0712A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14:paraId="3FF6019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bCs/>
          <w:sz w:val="24"/>
          <w:szCs w:val="24"/>
        </w:rPr>
        <w:t>其他法律、法规及本招标文件规定的属无效投标的情形。</w:t>
      </w:r>
    </w:p>
    <w:p w14:paraId="6D338CDE">
      <w:pPr>
        <w:snapToGrid w:val="0"/>
        <w:spacing w:line="360" w:lineRule="auto"/>
        <w:ind w:left="479" w:leftChars="228"/>
        <w:rPr>
          <w:rFonts w:ascii="宋体" w:hAnsi="宋体" w:eastAsia="宋体" w:cs="宋体"/>
          <w:bCs/>
          <w:sz w:val="24"/>
          <w:szCs w:val="24"/>
        </w:rPr>
      </w:pPr>
      <w:r>
        <w:rPr>
          <w:rFonts w:hint="eastAsia" w:ascii="宋体" w:hAnsi="宋体" w:eastAsia="宋体" w:cs="宋体"/>
          <w:sz w:val="24"/>
          <w:szCs w:val="24"/>
        </w:rPr>
        <w:t>23.2</w:t>
      </w:r>
      <w:r>
        <w:rPr>
          <w:rFonts w:hint="eastAsia" w:ascii="宋体" w:hAnsi="宋体" w:eastAsia="宋体" w:cs="宋体"/>
          <w:bCs/>
          <w:sz w:val="24"/>
          <w:szCs w:val="24"/>
        </w:rPr>
        <w:t>废标条款：</w:t>
      </w:r>
    </w:p>
    <w:p w14:paraId="55F7AC2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（1）符合专业条件的供应商或者对招标文件作实质响应的投标人不足三家的；</w:t>
      </w:r>
    </w:p>
    <w:p w14:paraId="011DE2A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255B463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（3）因重大变故，采购任务取消的；</w:t>
      </w:r>
    </w:p>
    <w:p w14:paraId="6C62067D">
      <w:pPr>
        <w:snapToGrid w:val="0"/>
        <w:spacing w:line="360" w:lineRule="auto"/>
        <w:ind w:left="479" w:leftChars="228"/>
        <w:rPr>
          <w:rFonts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sz w:val="24"/>
          <w:szCs w:val="24"/>
        </w:rPr>
        <w:t>评标工作组</w:t>
      </w:r>
      <w:r>
        <w:rPr>
          <w:rFonts w:hint="eastAsia" w:ascii="宋体" w:hAnsi="宋体" w:eastAsia="宋体" w:cs="宋体"/>
          <w:bCs/>
          <w:sz w:val="24"/>
          <w:szCs w:val="24"/>
        </w:rPr>
        <w:t>会认定招标文件存在歧义、重大缺陷导致评审工作无法进行。</w:t>
      </w:r>
    </w:p>
    <w:p w14:paraId="10214068">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六、定标</w:t>
      </w:r>
    </w:p>
    <w:p w14:paraId="51A2CD81">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24、确定中标单位</w:t>
      </w:r>
    </w:p>
    <w:p w14:paraId="7EC65F6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24.1评标工作组首先对所有合格投标人按评标办法进行打分，根据综合得分，由高到低排列，向招标人推荐中标候选人。</w:t>
      </w:r>
      <w:r>
        <w:rPr>
          <w:rFonts w:hint="eastAsia" w:ascii="宋体" w:hAnsi="宋体" w:eastAsia="宋体" w:cs="宋体"/>
          <w:bCs/>
          <w:snapToGrid w:val="0"/>
          <w:kern w:val="21"/>
          <w:sz w:val="24"/>
          <w:szCs w:val="24"/>
        </w:rPr>
        <w:t>招标人应根据</w:t>
      </w:r>
      <w:r>
        <w:rPr>
          <w:rFonts w:hint="eastAsia" w:ascii="宋体" w:hAnsi="宋体" w:eastAsia="宋体" w:cs="宋体"/>
          <w:sz w:val="24"/>
          <w:szCs w:val="24"/>
        </w:rPr>
        <w:t>评标工作组</w:t>
      </w:r>
      <w:r>
        <w:rPr>
          <w:rFonts w:hint="eastAsia" w:ascii="宋体" w:hAnsi="宋体" w:eastAsia="宋体" w:cs="宋体"/>
          <w:bCs/>
          <w:snapToGrid w:val="0"/>
          <w:kern w:val="21"/>
          <w:sz w:val="24"/>
          <w:szCs w:val="24"/>
        </w:rPr>
        <w:t>推荐的中标候选人确定中标人</w:t>
      </w:r>
      <w:r>
        <w:rPr>
          <w:rFonts w:hint="eastAsia" w:ascii="宋体" w:hAnsi="宋体" w:eastAsia="宋体" w:cs="宋体"/>
          <w:sz w:val="24"/>
          <w:szCs w:val="24"/>
        </w:rPr>
        <w:t>。</w:t>
      </w:r>
    </w:p>
    <w:p w14:paraId="155C582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24.2中标人名单将在“江苏政府采购网”上进行公示。</w:t>
      </w:r>
    </w:p>
    <w:p w14:paraId="7010FF9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24.3若有充分证据证明，中标人出现下列情况之一的，一经查实，将被取消中标资格：</w:t>
      </w:r>
    </w:p>
    <w:p w14:paraId="1BDE0B8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（1）提供虚假材料谋取中标的；</w:t>
      </w:r>
    </w:p>
    <w:p w14:paraId="0653E84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（2）与评审专家、招标人或者其他供应商恶意串通的；</w:t>
      </w:r>
    </w:p>
    <w:p w14:paraId="1C575D4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（3）向评审专家、招标人行贿或者提供其它不正当利益的；</w:t>
      </w:r>
    </w:p>
    <w:p w14:paraId="6C9C51ED">
      <w:pPr>
        <w:snapToGrid w:val="0"/>
        <w:spacing w:line="360" w:lineRule="auto"/>
        <w:ind w:left="480"/>
        <w:rPr>
          <w:rFonts w:ascii="宋体" w:hAnsi="宋体" w:eastAsia="宋体" w:cs="宋体"/>
          <w:sz w:val="24"/>
          <w:szCs w:val="24"/>
        </w:rPr>
      </w:pPr>
      <w:r>
        <w:rPr>
          <w:rFonts w:hint="eastAsia" w:ascii="宋体" w:hAnsi="宋体" w:eastAsia="宋体" w:cs="宋体"/>
          <w:sz w:val="24"/>
          <w:szCs w:val="24"/>
        </w:rPr>
        <w:t>（4）恶意竞争，投标总报价明显低于其自身合理成本且又无法提供证明的；</w:t>
      </w:r>
    </w:p>
    <w:p w14:paraId="15AC93F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（5）不满足本招标文件规定的实质性要求，但在评标过程中又未被评标工作组发现的；</w:t>
      </w:r>
    </w:p>
    <w:p w14:paraId="68E1F87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（6）不符合法律、法规的规定的其它情形。</w:t>
      </w:r>
    </w:p>
    <w:p w14:paraId="2A690F1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24.4有下列情形之一的，视为投标人串通投标，投标无效：</w:t>
      </w:r>
    </w:p>
    <w:p w14:paraId="52118B4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（1）不同投标人的投标文件由同一单位或者个人编制。</w:t>
      </w:r>
    </w:p>
    <w:p w14:paraId="235DCAC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（2）不同投标人委托同一单位或者个人办理投标事宜。</w:t>
      </w:r>
    </w:p>
    <w:p w14:paraId="3A933C9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14:paraId="3ADA4D25">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14:paraId="2219A8D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（5）不同投标人的投标文件相互混装。</w:t>
      </w:r>
    </w:p>
    <w:p w14:paraId="75831AF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（6）不同投标人的投标保证金从同一单位或者个人的账户转出。</w:t>
      </w:r>
    </w:p>
    <w:p w14:paraId="3AF599FC">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25、质疑处理</w:t>
      </w:r>
    </w:p>
    <w:p w14:paraId="057229E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25.1参加投标供应商认为招标文件、采购过程和采购结果使自己的权益受到损害的，可以在知道或应知其权益受到损害之日起7个工作日内，以书面形式向招标人提出质疑。</w:t>
      </w:r>
    </w:p>
    <w:p w14:paraId="30CA264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（1）对可以质疑的招标文件提出质疑的，为收到招标文件之日或者招标文件公告期限届满之日；</w:t>
      </w:r>
    </w:p>
    <w:p w14:paraId="15D31AD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6F2F0CA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52162EB7">
      <w:pPr>
        <w:snapToGrid w:val="0"/>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25.2质疑必须以参加投标供应商法人代表或授权代表（投标文件中所确定的）送达的方式提交，未按上述要求提交的质疑函（含传真、电子邮件等）招标人有权不予受理。</w:t>
      </w:r>
    </w:p>
    <w:p w14:paraId="25FFD25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25.3未参加投标的供应商或在投标活动中本身权益未受到损害或从投标活动中受益的供应商所提出的质疑也不予受理。</w:t>
      </w:r>
    </w:p>
    <w:p w14:paraId="764490BB">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25.4投标人提出书面质疑必须有理、有据，不得恶意质疑或提交虚假质疑。否则，招标人将不予受理。</w:t>
      </w:r>
    </w:p>
    <w:p w14:paraId="1CCF44B0">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25.5招标人将在收到投标供应商的书面质疑后在规定时间内作出答复，但答复的内容不得涉及商业秘密。</w:t>
      </w:r>
    </w:p>
    <w:p w14:paraId="2D142365">
      <w:pPr>
        <w:snapToGrid w:val="0"/>
        <w:spacing w:line="360" w:lineRule="auto"/>
        <w:ind w:firstLine="470" w:firstLineChars="195"/>
        <w:rPr>
          <w:rFonts w:ascii="宋体" w:hAnsi="宋体" w:eastAsia="宋体" w:cs="宋体"/>
          <w:sz w:val="24"/>
          <w:szCs w:val="24"/>
        </w:rPr>
      </w:pPr>
      <w:r>
        <w:rPr>
          <w:rFonts w:hint="eastAsia" w:ascii="宋体" w:hAnsi="宋体" w:eastAsia="宋体" w:cs="宋体"/>
          <w:b/>
          <w:sz w:val="24"/>
          <w:szCs w:val="24"/>
        </w:rPr>
        <w:t>26、中标通知书</w:t>
      </w:r>
    </w:p>
    <w:p w14:paraId="1DC40BEC">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26.l中标结果质疑期满后，招标人将向中标供应商发出中标通知书。</w:t>
      </w:r>
    </w:p>
    <w:p w14:paraId="7A9C3E06">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26.2中标人收到中标通知书后，须立即以书面形式回复招标人，确认中标通知书已收到。若无书面回复，则公告后视同中标人已经知悉并同意接受。</w:t>
      </w:r>
    </w:p>
    <w:p w14:paraId="64401405">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26.3中标通知书将是合同的一个组成部分。对招标人和中标供应商均具有法律效力。中标通知书发出后，招标人改变中标结果的，或者中标供应商放弃中标项目的，应当依法承担法律责任。</w:t>
      </w:r>
    </w:p>
    <w:p w14:paraId="6B0EFBA8">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七、授予合同</w:t>
      </w:r>
    </w:p>
    <w:p w14:paraId="6009055C">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27、签订合同</w:t>
      </w:r>
    </w:p>
    <w:p w14:paraId="48176C4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27.1中标人在</w:t>
      </w:r>
      <w:r>
        <w:rPr>
          <w:rFonts w:hint="eastAsia" w:ascii="宋体" w:hAnsi="宋体" w:eastAsia="宋体" w:cs="宋体"/>
          <w:snapToGrid w:val="0"/>
          <w:kern w:val="21"/>
          <w:sz w:val="24"/>
          <w:szCs w:val="24"/>
        </w:rPr>
        <w:t>中标通知书发出之日</w:t>
      </w:r>
      <w:r>
        <w:rPr>
          <w:rFonts w:hint="eastAsia" w:ascii="宋体" w:hAnsi="宋体" w:eastAsia="宋体" w:cs="宋体"/>
          <w:sz w:val="24"/>
          <w:szCs w:val="24"/>
        </w:rPr>
        <w:t>起30日内派代表前来与招标人具体商谈签订合同，若因中标人延误签订合同并由此给招标人造成损失的，中标人应承担赔偿责任。</w:t>
      </w:r>
    </w:p>
    <w:p w14:paraId="4641349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27.2招标文件、中标人的投标文件及澄清文件等，均为签订合同的依据。</w:t>
      </w:r>
    </w:p>
    <w:p w14:paraId="44D5622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27.3签订合同后，</w:t>
      </w:r>
      <w:r>
        <w:rPr>
          <w:rFonts w:hint="eastAsia" w:ascii="宋体" w:hAnsi="宋体" w:eastAsia="宋体" w:cs="宋体"/>
          <w:b/>
          <w:sz w:val="24"/>
          <w:szCs w:val="24"/>
        </w:rPr>
        <w:t>中标人不得将相关服务进行全部或部分转包。</w:t>
      </w:r>
      <w:r>
        <w:rPr>
          <w:rFonts w:hint="eastAsia" w:ascii="宋体" w:hAnsi="宋体" w:eastAsia="宋体" w:cs="宋体"/>
          <w:sz w:val="24"/>
          <w:szCs w:val="24"/>
        </w:rPr>
        <w:t>未经招标人同意，中标人也不得采用分包的形式履行合同，否则招标人有权终止合同，中标人的履约保证金将不予退还。转包或分包造成招标人损失的，中标人应承担相应赔偿责任。</w:t>
      </w:r>
    </w:p>
    <w:p w14:paraId="18D04467">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28、服务的追加和减少</w:t>
      </w:r>
    </w:p>
    <w:p w14:paraId="3A6DA8E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28.1采购合同履行中，需追加与合同标的相同的服务的，在不改变价格水平、合同及其它条款的前提下，招标人可以与中标人协商签订补充合同，追加量不得超过合同总额的10%。</w:t>
      </w:r>
    </w:p>
    <w:p w14:paraId="4FBC6210">
      <w:pPr>
        <w:spacing w:line="360" w:lineRule="exact"/>
        <w:ind w:firstLine="480" w:firstLineChars="200"/>
        <w:rPr>
          <w:rFonts w:ascii="宋体" w:hAnsi="宋体" w:eastAsia="宋体" w:cs="宋体"/>
        </w:rPr>
      </w:pPr>
      <w:r>
        <w:rPr>
          <w:rFonts w:hint="eastAsia" w:ascii="宋体" w:hAnsi="宋体" w:eastAsia="宋体" w:cs="宋体"/>
          <w:sz w:val="24"/>
          <w:szCs w:val="24"/>
        </w:rPr>
        <w:t>28.2采购结束后，招标人若由于各种客观原因，必须对采购项目所牵涉的服务进行适当的减少时，在双方协商一致的前提下，可以按照中标时价格水平做相应的调减，并据此签订补充合同。</w:t>
      </w:r>
    </w:p>
    <w:p w14:paraId="14952C28">
      <w:pPr>
        <w:rPr>
          <w:rFonts w:ascii="宋体" w:hAnsi="宋体" w:eastAsia="宋体" w:cs="宋体"/>
          <w:kern w:val="44"/>
          <w:sz w:val="36"/>
          <w:szCs w:val="36"/>
          <w:u w:color="000000"/>
          <w:lang w:val="zh-TW" w:eastAsia="zh-TW"/>
        </w:rPr>
      </w:pPr>
      <w:r>
        <w:rPr>
          <w:rFonts w:hint="eastAsia" w:ascii="宋体" w:hAnsi="宋体" w:eastAsia="宋体" w:cs="宋体"/>
          <w:kern w:val="44"/>
          <w:sz w:val="36"/>
          <w:szCs w:val="36"/>
          <w:u w:color="000000"/>
          <w:lang w:val="zh-TW" w:eastAsia="zh-TW"/>
        </w:rPr>
        <w:br w:type="page"/>
      </w:r>
    </w:p>
    <w:p w14:paraId="3166F269">
      <w:pPr>
        <w:keepNext/>
        <w:keepLines/>
        <w:spacing w:before="312" w:beforeLines="100" w:after="312" w:afterLines="100" w:line="360" w:lineRule="auto"/>
        <w:jc w:val="center"/>
        <w:outlineLvl w:val="0"/>
        <w:rPr>
          <w:rFonts w:ascii="宋体" w:hAnsi="宋体" w:eastAsia="宋体" w:cs="宋体"/>
          <w:kern w:val="44"/>
          <w:sz w:val="36"/>
          <w:szCs w:val="36"/>
          <w:u w:color="000000"/>
          <w:lang w:val="zh-TW" w:eastAsia="zh-TW"/>
        </w:rPr>
      </w:pPr>
      <w:bookmarkStart w:id="8" w:name="_Toc10510"/>
      <w:r>
        <w:rPr>
          <w:rFonts w:hint="eastAsia" w:ascii="宋体" w:hAnsi="宋体" w:eastAsia="宋体" w:cs="宋体"/>
          <w:kern w:val="44"/>
          <w:sz w:val="36"/>
          <w:szCs w:val="36"/>
          <w:u w:color="000000"/>
          <w:lang w:val="zh-TW" w:eastAsia="zh-TW"/>
        </w:rPr>
        <w:t>第</w:t>
      </w:r>
      <w:r>
        <w:rPr>
          <w:rFonts w:hint="eastAsia" w:ascii="宋体" w:hAnsi="宋体" w:eastAsia="宋体" w:cs="宋体"/>
          <w:kern w:val="44"/>
          <w:sz w:val="36"/>
          <w:szCs w:val="36"/>
          <w:u w:color="000000"/>
          <w:lang w:val="zh-TW"/>
        </w:rPr>
        <w:t>三</w:t>
      </w:r>
      <w:r>
        <w:rPr>
          <w:rFonts w:hint="eastAsia" w:ascii="宋体" w:hAnsi="宋体" w:eastAsia="宋体" w:cs="宋体"/>
          <w:kern w:val="44"/>
          <w:sz w:val="36"/>
          <w:szCs w:val="36"/>
          <w:u w:color="000000"/>
          <w:lang w:val="zh-TW" w:eastAsia="zh-TW"/>
        </w:rPr>
        <w:t>章  合同条款及格式</w:t>
      </w:r>
      <w:bookmarkEnd w:id="8"/>
    </w:p>
    <w:p w14:paraId="777E9C0C">
      <w:pPr>
        <w:spacing w:before="40" w:after="40" w:line="360" w:lineRule="auto"/>
        <w:ind w:firstLine="468" w:firstLineChars="195"/>
        <w:rPr>
          <w:rFonts w:ascii="宋体" w:hAnsi="宋体" w:eastAsia="宋体" w:cs="宋体"/>
          <w:szCs w:val="21"/>
        </w:rPr>
      </w:pPr>
      <w:bookmarkStart w:id="9" w:name="_Toc20823315"/>
      <w:bookmarkStart w:id="10" w:name="_Toc513029243"/>
      <w:bookmarkStart w:id="11" w:name="_Toc16938559"/>
      <w:r>
        <w:rPr>
          <w:rFonts w:hint="eastAsia" w:ascii="宋体" w:hAnsi="宋体" w:eastAsia="宋体" w:cs="宋体"/>
          <w:sz w:val="24"/>
          <w:szCs w:val="24"/>
        </w:rPr>
        <w:t>以下为中标后签定本项目合同的通用条款，中标人不得提出实质性的修改，关于专用条款将由项目使用单位与中标人结合本项目具体情况协商后签订。</w:t>
      </w:r>
      <w:bookmarkEnd w:id="9"/>
      <w:bookmarkEnd w:id="10"/>
      <w:bookmarkEnd w:id="11"/>
      <w:bookmarkStart w:id="12" w:name="_Toc16438"/>
    </w:p>
    <w:p w14:paraId="662FBE90">
      <w:pPr>
        <w:spacing w:line="360" w:lineRule="auto"/>
        <w:jc w:val="center"/>
        <w:rPr>
          <w:rFonts w:ascii="宋体" w:hAnsi="宋体"/>
          <w:b/>
          <w:snapToGrid w:val="0"/>
          <w:sz w:val="28"/>
          <w:szCs w:val="28"/>
        </w:rPr>
      </w:pPr>
      <w:bookmarkStart w:id="13" w:name="_Toc111458441"/>
    </w:p>
    <w:p w14:paraId="532D75F4">
      <w:pPr>
        <w:spacing w:line="360" w:lineRule="auto"/>
        <w:jc w:val="center"/>
        <w:rPr>
          <w:rFonts w:ascii="宋体" w:hAnsi="宋体"/>
          <w:b/>
          <w:snapToGrid w:val="0"/>
          <w:sz w:val="28"/>
          <w:szCs w:val="28"/>
        </w:rPr>
      </w:pPr>
      <w:r>
        <w:rPr>
          <w:rFonts w:hint="eastAsia" w:ascii="宋体" w:hAnsi="宋体"/>
          <w:b/>
          <w:snapToGrid w:val="0"/>
          <w:sz w:val="28"/>
          <w:szCs w:val="28"/>
        </w:rPr>
        <w:t>南京邮电大学通达学院2024-2026年度消防系统维保服务采购项目承包合同</w:t>
      </w:r>
      <w:bookmarkEnd w:id="13"/>
    </w:p>
    <w:p w14:paraId="43B8C383">
      <w:pPr>
        <w:spacing w:line="360" w:lineRule="auto"/>
        <w:rPr>
          <w:rFonts w:ascii="宋体" w:hAnsi="宋体"/>
          <w:bCs/>
          <w:snapToGrid w:val="0"/>
          <w:sz w:val="24"/>
        </w:rPr>
      </w:pPr>
      <w:r>
        <w:rPr>
          <w:rFonts w:hint="eastAsia" w:ascii="宋体" w:hAnsi="宋体"/>
          <w:bCs/>
          <w:snapToGrid w:val="0"/>
          <w:sz w:val="24"/>
        </w:rPr>
        <w:t>甲方：南京邮电大学通达学院</w:t>
      </w:r>
    </w:p>
    <w:p w14:paraId="6440F69B">
      <w:pPr>
        <w:spacing w:line="400" w:lineRule="exact"/>
        <w:rPr>
          <w:rFonts w:ascii="宋体" w:hAnsi="宋体"/>
          <w:bCs/>
          <w:snapToGrid w:val="0"/>
          <w:sz w:val="24"/>
        </w:rPr>
      </w:pPr>
      <w:r>
        <w:rPr>
          <w:rFonts w:hint="eastAsia" w:ascii="宋体" w:hAnsi="宋体"/>
          <w:bCs/>
          <w:snapToGrid w:val="0"/>
          <w:sz w:val="24"/>
        </w:rPr>
        <w:t>乙方：</w:t>
      </w:r>
    </w:p>
    <w:p w14:paraId="1092ADED">
      <w:pPr>
        <w:spacing w:line="400" w:lineRule="exact"/>
        <w:ind w:firstLine="420"/>
        <w:rPr>
          <w:rFonts w:ascii="宋体" w:hAnsi="宋体"/>
          <w:bCs/>
          <w:snapToGrid w:val="0"/>
          <w:sz w:val="24"/>
        </w:rPr>
      </w:pPr>
    </w:p>
    <w:p w14:paraId="3E17FC8E">
      <w:pPr>
        <w:spacing w:line="400" w:lineRule="exact"/>
        <w:ind w:firstLine="460" w:firstLineChars="192"/>
        <w:rPr>
          <w:rFonts w:ascii="宋体" w:hAnsi="宋体" w:cs="宋体"/>
          <w:sz w:val="24"/>
        </w:rPr>
      </w:pPr>
      <w:r>
        <w:rPr>
          <w:rFonts w:hint="eastAsia" w:ascii="宋体" w:hAnsi="宋体" w:cs="宋体"/>
          <w:sz w:val="24"/>
        </w:rPr>
        <w:t>为确保校园消防设施正常运行，保证学院正常教学生活工作秩序的稳定，保护学院和全体师生员工的人生、财产安全，</w:t>
      </w:r>
      <w:r>
        <w:rPr>
          <w:rFonts w:hint="eastAsia" w:ascii="宋体" w:hAnsi="宋体"/>
          <w:bCs/>
          <w:snapToGrid w:val="0"/>
          <w:sz w:val="24"/>
        </w:rPr>
        <w:t>按照《中华人民共和国</w:t>
      </w:r>
      <w:r>
        <w:rPr>
          <w:rFonts w:hint="eastAsia" w:ascii="宋体" w:hAnsi="宋体"/>
          <w:bCs/>
          <w:snapToGrid w:val="0"/>
          <w:sz w:val="24"/>
          <w:lang w:val="en-US" w:eastAsia="zh-CN"/>
        </w:rPr>
        <w:t>民法典</w:t>
      </w:r>
      <w:r>
        <w:rPr>
          <w:rFonts w:hint="eastAsia" w:ascii="宋体" w:hAnsi="宋体"/>
          <w:bCs/>
          <w:snapToGrid w:val="0"/>
          <w:sz w:val="24"/>
        </w:rPr>
        <w:t>》及其他有关法律法规的有关规定，结合本项目实际情况，遵守平等、自愿、公平和诚实信用原则，</w:t>
      </w:r>
      <w:r>
        <w:rPr>
          <w:rFonts w:hint="eastAsia" w:ascii="宋体" w:hAnsi="宋体" w:cs="宋体"/>
          <w:sz w:val="24"/>
        </w:rPr>
        <w:t>经甲乙双方协商，现就甲方校园消防设施的维护和保养达成协议如下：</w:t>
      </w:r>
    </w:p>
    <w:p w14:paraId="2B8D374D">
      <w:pPr>
        <w:spacing w:line="400" w:lineRule="exact"/>
        <w:rPr>
          <w:rFonts w:ascii="宋体" w:hAnsi="宋体" w:cs="宋体"/>
          <w:b/>
          <w:bCs/>
          <w:sz w:val="24"/>
        </w:rPr>
      </w:pPr>
      <w:r>
        <w:rPr>
          <w:rFonts w:hint="eastAsia" w:ascii="宋体" w:hAnsi="宋体" w:cs="宋体"/>
          <w:b/>
          <w:bCs/>
          <w:sz w:val="24"/>
        </w:rPr>
        <w:t>一、甲乙双方的权力和义务</w:t>
      </w:r>
    </w:p>
    <w:p w14:paraId="32DECE93">
      <w:pPr>
        <w:spacing w:line="400" w:lineRule="exact"/>
        <w:ind w:firstLine="480" w:firstLineChars="200"/>
        <w:rPr>
          <w:rFonts w:ascii="宋体" w:hAnsi="宋体" w:cs="宋体"/>
          <w:sz w:val="24"/>
        </w:rPr>
      </w:pPr>
      <w:r>
        <w:rPr>
          <w:rFonts w:hint="eastAsia" w:ascii="宋体" w:hAnsi="宋体" w:cs="宋体"/>
          <w:bCs/>
          <w:sz w:val="24"/>
        </w:rPr>
        <w:t>1、乙方负责</w:t>
      </w:r>
      <w:r>
        <w:rPr>
          <w:rFonts w:hint="eastAsia" w:ascii="宋体" w:hAnsi="宋体" w:cs="宋体"/>
          <w:sz w:val="24"/>
        </w:rPr>
        <w:t>甲方校园内的所有消防设施、设备和系统的维护保养工作。具体工作是保证甲方校园内所有建筑物的</w:t>
      </w:r>
      <w:r>
        <w:rPr>
          <w:rFonts w:hint="eastAsia" w:ascii="宋体" w:hAnsi="宋体" w:cs="宋体"/>
          <w:kern w:val="0"/>
          <w:sz w:val="24"/>
        </w:rPr>
        <w:t>火灾报警系统、消火栓系统、喷淋系统、防火隔断、防火卷帘及防火门系统、安全疏散应急照明系统、语音系统，消防泵房、室外消火栓以及消防各种标识的完好和正常运行。</w:t>
      </w:r>
    </w:p>
    <w:p w14:paraId="04698CEB">
      <w:pPr>
        <w:spacing w:line="400" w:lineRule="exact"/>
        <w:ind w:firstLine="460" w:firstLineChars="192"/>
        <w:rPr>
          <w:rFonts w:ascii="宋体" w:hAnsi="宋体" w:cs="宋体"/>
          <w:sz w:val="24"/>
        </w:rPr>
      </w:pPr>
      <w:r>
        <w:rPr>
          <w:rFonts w:hint="eastAsia" w:ascii="宋体" w:hAnsi="宋体" w:cs="宋体"/>
          <w:sz w:val="24"/>
        </w:rPr>
        <w:t>2、乙方负责根据消防安全的有关规定，对甲方校园内所有的消防设施、设备和系统进行调试，发现问题，由甲方协调相关的施工单位进行完善，并形成交接手续，乙方接手后所有设施、设备和系统的除甲方人为破坏、自然灾害及不可抗力因素损坏外都由乙方负责，乙方维保期满后要与甲方或下一个维保单位进行交接，如交接过程中发现相关问题，乙方必须进行完善，否则甲方将暂缓给付乙方的维保费用。</w:t>
      </w:r>
    </w:p>
    <w:p w14:paraId="6F215FF5">
      <w:pPr>
        <w:spacing w:line="400" w:lineRule="exact"/>
        <w:ind w:firstLine="460" w:firstLineChars="192"/>
        <w:rPr>
          <w:rFonts w:ascii="宋体" w:hAnsi="宋体" w:cs="宋体"/>
          <w:sz w:val="24"/>
        </w:rPr>
      </w:pPr>
      <w:r>
        <w:rPr>
          <w:rFonts w:hint="eastAsia" w:ascii="宋体" w:hAnsi="宋体" w:cs="宋体"/>
          <w:sz w:val="24"/>
        </w:rPr>
        <w:t>3、乙方负责按《江苏省消防设施检测规程》定期对甲方现有消防设施进行检查维修，并作好记录，其记录存放在主控室备查。</w:t>
      </w:r>
    </w:p>
    <w:p w14:paraId="2C7EBEDD">
      <w:pPr>
        <w:spacing w:line="400" w:lineRule="exact"/>
        <w:ind w:firstLine="460" w:firstLineChars="192"/>
        <w:rPr>
          <w:rFonts w:ascii="宋体" w:hAnsi="宋体" w:cs="宋体"/>
          <w:sz w:val="24"/>
        </w:rPr>
      </w:pPr>
      <w:r>
        <w:rPr>
          <w:rFonts w:hint="eastAsia" w:ascii="宋体" w:hAnsi="宋体" w:cs="宋体"/>
          <w:sz w:val="24"/>
        </w:rPr>
        <w:t>4、在系统维修时，由甲方负责的配件、材料采购不能及时到位的情况下，乙方应及时向甲方提供维修所需的各种备品备件和辅助材料，确保维保及时到位。</w:t>
      </w:r>
    </w:p>
    <w:p w14:paraId="6FEE1247">
      <w:pPr>
        <w:spacing w:line="400" w:lineRule="exact"/>
        <w:ind w:firstLine="460" w:firstLineChars="192"/>
        <w:rPr>
          <w:rFonts w:ascii="宋体" w:hAnsi="宋体" w:cs="宋体"/>
          <w:color w:val="FF0000"/>
          <w:sz w:val="24"/>
        </w:rPr>
      </w:pPr>
      <w:r>
        <w:rPr>
          <w:rFonts w:hint="eastAsia" w:ascii="宋体" w:hAnsi="宋体" w:cs="宋体"/>
          <w:sz w:val="24"/>
        </w:rPr>
        <w:t>5、乙方负责帮助甲方建立完善的消防系统管理档案，负责对甲方工作人员进行</w:t>
      </w:r>
      <w:r>
        <w:rPr>
          <w:rFonts w:hint="eastAsia" w:ascii="宋体" w:hAnsi="宋体" w:cs="宋体"/>
          <w:b w:val="0"/>
          <w:bCs w:val="0"/>
          <w:color w:val="auto"/>
          <w:sz w:val="24"/>
        </w:rPr>
        <w:t>培训，甲方应根据消防管理的要求，持证上岗。</w:t>
      </w:r>
    </w:p>
    <w:p w14:paraId="27109CA2">
      <w:pPr>
        <w:spacing w:line="400" w:lineRule="exact"/>
        <w:ind w:firstLine="460" w:firstLineChars="192"/>
        <w:rPr>
          <w:rFonts w:ascii="宋体" w:hAnsi="宋体" w:cs="宋体"/>
          <w:sz w:val="24"/>
        </w:rPr>
      </w:pPr>
      <w:r>
        <w:rPr>
          <w:rFonts w:hint="eastAsia" w:ascii="宋体" w:hAnsi="宋体" w:cs="宋体"/>
          <w:sz w:val="24"/>
        </w:rPr>
        <w:t>6、乙方负责为甲方提供消防技术咨询，配合甲方组织消防知识普及和日常的消防安全检查；乙方应派员参加甲方组织的有关消防演练活动，并协助甲方进行消防知识讲座。</w:t>
      </w:r>
    </w:p>
    <w:p w14:paraId="45B28FAE">
      <w:pPr>
        <w:spacing w:line="400" w:lineRule="exact"/>
        <w:ind w:firstLine="460" w:firstLineChars="192"/>
        <w:rPr>
          <w:rFonts w:ascii="宋体" w:hAnsi="宋体" w:cs="宋体"/>
          <w:sz w:val="24"/>
        </w:rPr>
      </w:pPr>
      <w:r>
        <w:rPr>
          <w:rFonts w:hint="eastAsia" w:ascii="宋体" w:hAnsi="宋体" w:cs="宋体"/>
          <w:sz w:val="24"/>
        </w:rPr>
        <w:t>7、乙方在接到甲方报修电话后，应立即派人维修，维修人员必须在2小时内到达现场，一般故障24小时内修复，较复杂故障72小时内修复。</w:t>
      </w:r>
    </w:p>
    <w:p w14:paraId="25E14A0C">
      <w:pPr>
        <w:spacing w:line="400" w:lineRule="exact"/>
        <w:ind w:firstLine="460" w:firstLineChars="192"/>
        <w:rPr>
          <w:rFonts w:ascii="宋体" w:hAnsi="宋体" w:cs="宋体"/>
          <w:sz w:val="24"/>
        </w:rPr>
      </w:pPr>
      <w:r>
        <w:rPr>
          <w:rFonts w:hint="eastAsia" w:ascii="宋体" w:hAnsi="宋体" w:cs="宋体"/>
          <w:sz w:val="24"/>
        </w:rPr>
        <w:t>8、乙方每次检修、测试、保养结束后，乙方须48小时内提交由甲方委派人员签证确认的检修记录。</w:t>
      </w:r>
    </w:p>
    <w:p w14:paraId="1252E83C">
      <w:pPr>
        <w:spacing w:line="400" w:lineRule="exact"/>
        <w:ind w:firstLine="460" w:firstLineChars="192"/>
        <w:rPr>
          <w:rFonts w:ascii="宋体" w:hAnsi="宋体" w:cs="宋体"/>
          <w:sz w:val="24"/>
        </w:rPr>
      </w:pPr>
      <w:r>
        <w:rPr>
          <w:rFonts w:hint="eastAsia" w:ascii="宋体" w:hAnsi="宋体" w:cs="宋体"/>
          <w:sz w:val="24"/>
        </w:rPr>
        <w:t>9、乙方每季度至少一次对消防设施设备进行维护和保养；国家法定节假日应提前上门对消防设施设备进行检修，并做好重点防火部位和重点防火时期的巡查检修工作。</w:t>
      </w:r>
    </w:p>
    <w:p w14:paraId="4E88CD63">
      <w:pPr>
        <w:spacing w:line="400" w:lineRule="exact"/>
        <w:rPr>
          <w:rFonts w:ascii="宋体" w:hAnsi="宋体" w:cs="宋体"/>
          <w:sz w:val="24"/>
        </w:rPr>
      </w:pPr>
      <w:r>
        <w:rPr>
          <w:rFonts w:hint="eastAsia" w:ascii="宋体" w:hAnsi="宋体" w:cs="宋体"/>
          <w:sz w:val="24"/>
        </w:rPr>
        <w:t xml:space="preserve">    10、乙方应确保甲方的消防系统能满足上级消防管理部门的各种日常检查、年检的需要，如果因乙方的原因出现消防检查、年检不合格，乙方应承担由此造成的各种后果。</w:t>
      </w:r>
    </w:p>
    <w:p w14:paraId="63924F8D">
      <w:pPr>
        <w:spacing w:line="400" w:lineRule="exact"/>
        <w:ind w:firstLine="460" w:firstLineChars="192"/>
        <w:rPr>
          <w:rFonts w:ascii="宋体" w:hAnsi="宋体" w:cs="宋体"/>
          <w:sz w:val="24"/>
        </w:rPr>
      </w:pPr>
      <w:r>
        <w:rPr>
          <w:rFonts w:hint="eastAsia" w:ascii="宋体" w:hAnsi="宋体" w:cs="宋体"/>
          <w:sz w:val="24"/>
        </w:rPr>
        <w:t>11、若甲方校园内出现火灾等消防安全事故，而消防系统存在故障或动作不及时，因乙方的原因给甲方造成的损失由乙方承担。</w:t>
      </w:r>
    </w:p>
    <w:p w14:paraId="04A780BD">
      <w:pPr>
        <w:spacing w:line="360" w:lineRule="auto"/>
        <w:ind w:firstLine="480" w:firstLineChars="200"/>
        <w:rPr>
          <w:rFonts w:ascii="宋体" w:hAnsi="宋体" w:cs="宋体"/>
          <w:color w:val="FF0000"/>
          <w:sz w:val="24"/>
          <w:highlight w:val="none"/>
        </w:rPr>
      </w:pPr>
      <w:r>
        <w:rPr>
          <w:rFonts w:hint="eastAsia" w:ascii="宋体" w:hAnsi="宋体" w:cs="宋体"/>
          <w:sz w:val="24"/>
        </w:rPr>
        <w:t>12、</w:t>
      </w:r>
      <w:r>
        <w:rPr>
          <w:rFonts w:hint="eastAsia"/>
          <w:sz w:val="24"/>
          <w:highlight w:val="none"/>
        </w:rPr>
        <w:t>年度维保工作完成后，由</w:t>
      </w:r>
      <w:r>
        <w:rPr>
          <w:rFonts w:hint="eastAsia"/>
          <w:sz w:val="24"/>
          <w:highlight w:val="none"/>
          <w:lang w:val="en-US" w:eastAsia="zh-CN"/>
        </w:rPr>
        <w:t>甲乙双方共同认可的具</w:t>
      </w:r>
      <w:r>
        <w:rPr>
          <w:rFonts w:hint="eastAsia"/>
          <w:sz w:val="24"/>
          <w:highlight w:val="none"/>
        </w:rPr>
        <w:t>有资质的第三方消防技术服务机构检测维保范围内消防设施、系统，并出具检测报告、消防安全评估报告（费用由乙方承担），且向甲方递交年度维保工作报告。</w:t>
      </w:r>
    </w:p>
    <w:p w14:paraId="62F99C5D">
      <w:pPr>
        <w:spacing w:line="400" w:lineRule="exact"/>
        <w:ind w:firstLine="480" w:firstLineChars="200"/>
        <w:rPr>
          <w:rFonts w:ascii="宋体" w:hAnsi="宋体" w:cs="宋体"/>
          <w:sz w:val="24"/>
          <w:highlight w:val="none"/>
        </w:rPr>
      </w:pPr>
      <w:r>
        <w:rPr>
          <w:rFonts w:hint="eastAsia" w:ascii="宋体" w:hAnsi="宋体" w:cs="宋体"/>
          <w:sz w:val="24"/>
          <w:highlight w:val="none"/>
        </w:rPr>
        <w:t>13、乙方须每周6天（具体日期由甲方决定）派至少1名具有消防维保资质的工作人员进驻校园值班，项目经理每月不少于4次驻场指导，完成指派的消防维保任务。</w:t>
      </w:r>
    </w:p>
    <w:p w14:paraId="6F6E8052">
      <w:pPr>
        <w:spacing w:line="400" w:lineRule="exact"/>
        <w:ind w:firstLine="480" w:firstLineChars="200"/>
        <w:rPr>
          <w:rFonts w:ascii="宋体" w:hAnsi="宋体" w:cs="宋体"/>
          <w:sz w:val="24"/>
          <w:highlight w:val="none"/>
        </w:rPr>
      </w:pPr>
      <w:r>
        <w:rPr>
          <w:rFonts w:hint="eastAsia" w:ascii="宋体" w:hAnsi="宋体" w:cs="宋体"/>
          <w:sz w:val="24"/>
          <w:highlight w:val="none"/>
        </w:rPr>
        <w:t>14、乙方应协助学院开展建筑物消防验收工作。</w:t>
      </w:r>
    </w:p>
    <w:p w14:paraId="3EA88BD8">
      <w:pPr>
        <w:spacing w:line="400" w:lineRule="exact"/>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15、合同签订后半年内绘制</w:t>
      </w:r>
      <w:r>
        <w:rPr>
          <w:rFonts w:hint="eastAsia" w:ascii="宋体" w:hAnsi="宋体" w:cs="宋体"/>
          <w:sz w:val="24"/>
          <w:highlight w:val="none"/>
          <w:lang w:val="en-US" w:eastAsia="zh-CN"/>
        </w:rPr>
        <w:t>符合甲方要求</w:t>
      </w:r>
      <w:r>
        <w:rPr>
          <w:rFonts w:hint="eastAsia" w:ascii="宋体" w:hAnsi="宋体" w:cs="宋体"/>
          <w:sz w:val="24"/>
          <w:highlight w:val="none"/>
        </w:rPr>
        <w:t>室外消防管网图。</w:t>
      </w:r>
    </w:p>
    <w:p w14:paraId="79088520">
      <w:pPr>
        <w:spacing w:line="400" w:lineRule="exact"/>
        <w:rPr>
          <w:rFonts w:ascii="宋体" w:hAnsi="宋体" w:cs="宋体"/>
          <w:b/>
          <w:bCs/>
          <w:sz w:val="24"/>
          <w:highlight w:val="none"/>
        </w:rPr>
      </w:pPr>
      <w:r>
        <w:rPr>
          <w:rFonts w:hint="eastAsia" w:ascii="宋体" w:hAnsi="宋体" w:cs="宋体"/>
          <w:b/>
          <w:bCs/>
          <w:sz w:val="24"/>
          <w:highlight w:val="none"/>
        </w:rPr>
        <w:t>二、合同价款</w:t>
      </w:r>
    </w:p>
    <w:p w14:paraId="22221DA1">
      <w:pPr>
        <w:spacing w:line="400" w:lineRule="exact"/>
        <w:ind w:firstLine="460" w:firstLineChars="192"/>
        <w:rPr>
          <w:rFonts w:hint="eastAsia"/>
          <w:highlight w:val="none"/>
          <w:lang w:val="en-US" w:eastAsia="zh-CN"/>
        </w:rPr>
      </w:pPr>
      <w:r>
        <w:rPr>
          <w:rFonts w:hint="eastAsia" w:ascii="宋体" w:hAnsi="宋体" w:cs="宋体"/>
          <w:sz w:val="24"/>
          <w:highlight w:val="none"/>
        </w:rPr>
        <w:t>维保费为人民币</w:t>
      </w:r>
      <w:r>
        <w:rPr>
          <w:rFonts w:hint="eastAsia" w:ascii="宋体" w:hAnsi="宋体" w:cs="宋体"/>
          <w:sz w:val="24"/>
          <w:highlight w:val="none"/>
          <w:u w:val="single"/>
        </w:rPr>
        <w:t xml:space="preserve">     </w:t>
      </w:r>
      <w:r>
        <w:rPr>
          <w:rFonts w:hint="eastAsia" w:ascii="宋体" w:hAnsi="宋体" w:cs="宋体"/>
          <w:sz w:val="24"/>
          <w:highlight w:val="none"/>
        </w:rPr>
        <w:t>万元/年，其中包括乙方维保过程中的人工费、辅材费、管理费、税金及维保用的辅材，如电阻、电容、标识、指示灯配件等单次维修报价（单价）在</w:t>
      </w:r>
      <w:r>
        <w:rPr>
          <w:rFonts w:hint="eastAsia"/>
          <w:highlight w:val="none"/>
          <w:lang w:val="en-US" w:eastAsia="zh-CN"/>
        </w:rPr>
        <w:t>500元的辅材和易损材料等。</w:t>
      </w:r>
    </w:p>
    <w:p w14:paraId="6BE0F875">
      <w:pPr>
        <w:spacing w:line="400" w:lineRule="exact"/>
        <w:ind w:firstLine="403" w:firstLineChars="192"/>
        <w:rPr>
          <w:rFonts w:hint="default"/>
          <w:highlight w:val="none"/>
          <w:lang w:val="en-US" w:eastAsia="zh-CN"/>
        </w:rPr>
      </w:pPr>
      <w:r>
        <w:rPr>
          <w:rFonts w:hint="eastAsia"/>
          <w:highlight w:val="none"/>
          <w:lang w:val="en-US" w:eastAsia="zh-CN"/>
        </w:rPr>
        <w:t>单次维修报价（单价）在500元以上的辅材和易损材料需根据市场行情价报价，经甲乙双方认可后更换，并由乙方提供明细清单交甲方留存。</w:t>
      </w:r>
    </w:p>
    <w:p w14:paraId="03D7F495">
      <w:pPr>
        <w:widowControl/>
        <w:spacing w:line="400" w:lineRule="exact"/>
        <w:jc w:val="left"/>
        <w:rPr>
          <w:rFonts w:ascii="宋体" w:hAnsi="宋体" w:cs="宋体"/>
          <w:b/>
          <w:bCs/>
          <w:sz w:val="24"/>
        </w:rPr>
      </w:pPr>
      <w:r>
        <w:rPr>
          <w:rFonts w:hint="eastAsia" w:ascii="宋体" w:hAnsi="宋体" w:cs="宋体"/>
          <w:b/>
          <w:bCs/>
          <w:sz w:val="24"/>
        </w:rPr>
        <w:t>三、付款方式</w:t>
      </w:r>
    </w:p>
    <w:p w14:paraId="3B590C30">
      <w:pPr>
        <w:spacing w:line="400" w:lineRule="exact"/>
        <w:ind w:left="2" w:firstLine="480" w:firstLineChars="200"/>
        <w:rPr>
          <w:rFonts w:ascii="宋体" w:hAnsi="宋体" w:cs="宋体"/>
          <w:sz w:val="24"/>
          <w:u w:val="single"/>
        </w:rPr>
      </w:pPr>
      <w:r>
        <w:rPr>
          <w:rFonts w:hint="eastAsia" w:ascii="宋体" w:hAnsi="宋体" w:cs="宋体"/>
          <w:sz w:val="24"/>
          <w:u w:val="single"/>
        </w:rPr>
        <w:t>服务期为2年，2024年9月17日—2026年9月16日，每满半年支付45%，期满支付45%，剩余10%的服务费作为年度考核基金。合同期满后，根据年度考核结果分级发放。考核为优，按全年预留考核保证金全额发放；考核为良，按全年预留考核保证金的90%发放；考核为合格，按全年预留考核保证金的80%发放；考核为不合格，扣除全年预留考核保证金。乙方在服务期满时开具符合财务制度要求的正规票据。</w:t>
      </w:r>
    </w:p>
    <w:p w14:paraId="4DD14E55">
      <w:pPr>
        <w:spacing w:line="400" w:lineRule="exact"/>
        <w:jc w:val="left"/>
        <w:rPr>
          <w:rFonts w:ascii="宋体" w:hAnsi="宋体" w:cs="宋体"/>
          <w:b/>
          <w:bCs/>
          <w:sz w:val="24"/>
        </w:rPr>
      </w:pPr>
      <w:r>
        <w:rPr>
          <w:rFonts w:hint="eastAsia" w:ascii="宋体" w:hAnsi="宋体" w:cs="宋体"/>
          <w:b/>
          <w:bCs/>
          <w:sz w:val="24"/>
        </w:rPr>
        <w:t xml:space="preserve">    四、合同期限</w:t>
      </w:r>
    </w:p>
    <w:p w14:paraId="31FCD867">
      <w:pPr>
        <w:spacing w:line="400" w:lineRule="exact"/>
        <w:ind w:firstLine="480" w:firstLineChars="200"/>
        <w:rPr>
          <w:rFonts w:cs="宋体"/>
          <w:bCs/>
          <w:sz w:val="24"/>
        </w:rPr>
      </w:pPr>
      <w:r>
        <w:rPr>
          <w:rFonts w:hint="eastAsia"/>
          <w:sz w:val="24"/>
        </w:rPr>
        <w:t>本轮合同期为两年，合同一年一签。在合同期间不随工人工资上调、印刷产品耗材等因素更改变化合同的金额。甲、乙双方必须严格履行协议，如</w:t>
      </w:r>
      <w:r>
        <w:rPr>
          <w:rFonts w:hint="eastAsia"/>
          <w:sz w:val="24"/>
          <w:lang w:val="en-US" w:eastAsia="zh-CN"/>
        </w:rPr>
        <w:t>乙</w:t>
      </w:r>
      <w:r>
        <w:rPr>
          <w:rFonts w:hint="eastAsia"/>
          <w:sz w:val="24"/>
        </w:rPr>
        <w:t>方违约导致合同终止的，</w:t>
      </w:r>
      <w:r>
        <w:rPr>
          <w:rFonts w:hint="eastAsia"/>
          <w:sz w:val="24"/>
          <w:lang w:val="en-US" w:eastAsia="zh-CN"/>
        </w:rPr>
        <w:t>须</w:t>
      </w:r>
      <w:r>
        <w:rPr>
          <w:rFonts w:hint="eastAsia"/>
          <w:sz w:val="24"/>
        </w:rPr>
        <w:t>承担承包服务费20％的</w:t>
      </w:r>
      <w:r>
        <w:rPr>
          <w:rFonts w:hint="eastAsia" w:cs="宋体"/>
          <w:bCs/>
          <w:sz w:val="24"/>
        </w:rPr>
        <w:t>违约金。乙方须在本年度合同期满前两个月向甲方提出书面续管申请，经甲方考核合格，方可在本轮合同期内续签下一年度合同。</w:t>
      </w:r>
    </w:p>
    <w:p w14:paraId="4E3FBF93">
      <w:pPr>
        <w:spacing w:line="400" w:lineRule="exact"/>
        <w:ind w:firstLine="480"/>
        <w:rPr>
          <w:rFonts w:ascii="宋体" w:hAnsi="宋体"/>
          <w:b/>
          <w:snapToGrid w:val="0"/>
          <w:sz w:val="24"/>
          <w:lang w:val="zh-CN"/>
        </w:rPr>
      </w:pPr>
      <w:r>
        <w:rPr>
          <w:rFonts w:hint="eastAsia" w:ascii="宋体" w:hAnsi="宋体"/>
          <w:b/>
          <w:snapToGrid w:val="0"/>
          <w:sz w:val="24"/>
          <w:lang w:val="zh-CN"/>
        </w:rPr>
        <w:t xml:space="preserve">五、争议解决  </w:t>
      </w:r>
    </w:p>
    <w:p w14:paraId="082631C3">
      <w:pPr>
        <w:spacing w:line="400" w:lineRule="exact"/>
        <w:ind w:firstLine="480"/>
        <w:rPr>
          <w:rFonts w:ascii="宋体" w:hAnsi="宋体"/>
          <w:bCs/>
          <w:snapToGrid w:val="0"/>
          <w:sz w:val="24"/>
          <w:lang w:val="zh-CN"/>
        </w:rPr>
      </w:pPr>
      <w:r>
        <w:rPr>
          <w:rFonts w:hint="eastAsia" w:ascii="宋体" w:hAnsi="宋体"/>
          <w:bCs/>
          <w:snapToGrid w:val="0"/>
          <w:sz w:val="24"/>
          <w:lang w:val="zh-CN"/>
        </w:rPr>
        <w:t>甲乙双方在履行协议过程中，如产生争议可由双方协商解决，协商不成向甲方所在地法院提起诉讼。</w:t>
      </w:r>
    </w:p>
    <w:p w14:paraId="15C30957">
      <w:pPr>
        <w:pStyle w:val="65"/>
        <w:spacing w:line="400" w:lineRule="exact"/>
        <w:ind w:left="420"/>
        <w:rPr>
          <w:rFonts w:ascii="宋体" w:hAnsi="宋体"/>
          <w:b/>
          <w:snapToGrid w:val="0"/>
          <w:szCs w:val="20"/>
          <w:lang w:eastAsia="zh-CN"/>
        </w:rPr>
      </w:pPr>
      <w:r>
        <w:rPr>
          <w:rFonts w:hint="eastAsia" w:ascii="宋体" w:hAnsi="宋体"/>
          <w:b/>
          <w:snapToGrid w:val="0"/>
          <w:szCs w:val="20"/>
          <w:lang w:eastAsia="zh-CN"/>
        </w:rPr>
        <w:t>六、合同的生效、变更、解除和终止</w:t>
      </w:r>
    </w:p>
    <w:p w14:paraId="6EAEE188">
      <w:pPr>
        <w:pStyle w:val="65"/>
        <w:spacing w:line="400" w:lineRule="exact"/>
        <w:ind w:left="420" w:firstLine="480" w:firstLineChars="20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1.本合同自双方签字盖章之日起生效。</w:t>
      </w:r>
    </w:p>
    <w:p w14:paraId="6510047A">
      <w:pPr>
        <w:pStyle w:val="65"/>
        <w:spacing w:line="400" w:lineRule="exact"/>
        <w:ind w:left="420" w:firstLine="480" w:firstLineChars="20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2.本合同未尽事宜双方可另行协商，签订书面补充协议，与本合同具有同等的法律效力。</w:t>
      </w:r>
    </w:p>
    <w:p w14:paraId="297470C3">
      <w:pPr>
        <w:pStyle w:val="65"/>
        <w:spacing w:line="400" w:lineRule="exact"/>
        <w:ind w:left="420" w:firstLine="480" w:firstLineChars="20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3.有下列情形之一的可以解除合同。（1）甲乙双方协商一致；（2）因不可抗力致使合同无法履行；（3）合同终止：甲乙双方履行完本合同全部义务，结算价款支付完毕，本合同即告终止（但本合同售后服务及争议解决条款继续有效）。</w:t>
      </w:r>
    </w:p>
    <w:p w14:paraId="6071C7DA">
      <w:pPr>
        <w:pStyle w:val="65"/>
        <w:spacing w:line="400" w:lineRule="exact"/>
        <w:ind w:left="420" w:firstLine="480" w:firstLineChars="20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4.甲方的采购文件和乙方的投标文件均作为本合同的附件，与本合同具有同行效力。</w:t>
      </w:r>
    </w:p>
    <w:p w14:paraId="472DE6B3">
      <w:pPr>
        <w:spacing w:line="400" w:lineRule="exact"/>
        <w:rPr>
          <w:rFonts w:ascii="宋体" w:hAnsi="宋体"/>
          <w:bCs/>
          <w:snapToGrid w:val="0"/>
          <w:kern w:val="0"/>
          <w:sz w:val="24"/>
          <w:szCs w:val="20"/>
        </w:rPr>
      </w:pPr>
      <w:r>
        <w:rPr>
          <w:rFonts w:hint="eastAsia" w:ascii="宋体" w:hAnsi="宋体"/>
          <w:b/>
          <w:snapToGrid w:val="0"/>
          <w:sz w:val="24"/>
        </w:rPr>
        <w:t>七、附则：</w:t>
      </w:r>
    </w:p>
    <w:p w14:paraId="63DF9F57">
      <w:pPr>
        <w:pStyle w:val="65"/>
        <w:spacing w:line="400" w:lineRule="exact"/>
        <w:ind w:left="420" w:firstLine="480" w:firstLineChars="200"/>
        <w:rPr>
          <w:rFonts w:hint="eastAsia" w:ascii="宋体" w:hAnsi="宋体" w:eastAsiaTheme="minorEastAsia" w:cstheme="minorBidi"/>
          <w:bCs/>
          <w:snapToGrid w:val="0"/>
          <w:kern w:val="2"/>
          <w:sz w:val="24"/>
          <w:szCs w:val="22"/>
          <w:lang w:val="zh-CN" w:eastAsia="zh-CN" w:bidi="ar-SA"/>
        </w:rPr>
      </w:pPr>
      <w:r>
        <w:rPr>
          <w:rFonts w:hint="eastAsia" w:ascii="宋体" w:hAnsi="宋体" w:eastAsiaTheme="minorEastAsia" w:cstheme="minorBidi"/>
          <w:bCs/>
          <w:snapToGrid w:val="0"/>
          <w:kern w:val="2"/>
          <w:sz w:val="24"/>
          <w:szCs w:val="22"/>
          <w:lang w:val="zh-CN" w:eastAsia="zh-CN" w:bidi="ar-SA"/>
        </w:rPr>
        <w:t>1.甲方现场负责人为：乙方现场负责人为：如双方现场负责人有所变动，应书面通知对方。</w:t>
      </w:r>
    </w:p>
    <w:p w14:paraId="4DDB1120">
      <w:pPr>
        <w:pStyle w:val="65"/>
        <w:spacing w:line="400" w:lineRule="exact"/>
        <w:ind w:left="420" w:firstLine="480" w:firstLineChars="200"/>
        <w:rPr>
          <w:rFonts w:hint="eastAsia" w:ascii="宋体" w:hAnsi="宋体" w:eastAsiaTheme="minorEastAsia" w:cstheme="minorBidi"/>
          <w:bCs/>
          <w:snapToGrid w:val="0"/>
          <w:kern w:val="2"/>
          <w:sz w:val="24"/>
          <w:szCs w:val="22"/>
          <w:lang w:val="zh-CN" w:eastAsia="zh-CN" w:bidi="ar-SA"/>
        </w:rPr>
      </w:pPr>
      <w:r>
        <w:rPr>
          <w:rFonts w:hint="eastAsia" w:ascii="宋体" w:hAnsi="宋体" w:eastAsiaTheme="minorEastAsia" w:cstheme="minorBidi"/>
          <w:bCs/>
          <w:snapToGrid w:val="0"/>
          <w:kern w:val="2"/>
          <w:sz w:val="24"/>
          <w:szCs w:val="22"/>
          <w:lang w:val="zh-CN" w:eastAsia="zh-CN" w:bidi="ar-SA"/>
        </w:rPr>
        <w:t>2.本合同由甲、乙双方共同签订，合同一式陆份，甲方伍份、乙方壹份。自双方签字、盖章之日起生效。</w:t>
      </w:r>
    </w:p>
    <w:p w14:paraId="529CC5F9">
      <w:pPr>
        <w:spacing w:line="400" w:lineRule="exact"/>
        <w:ind w:firstLine="480"/>
        <w:rPr>
          <w:rFonts w:ascii="宋体" w:hAnsi="宋体" w:cs="宋体"/>
          <w:sz w:val="24"/>
        </w:rPr>
      </w:pPr>
    </w:p>
    <w:p w14:paraId="3220AE54">
      <w:pPr>
        <w:spacing w:line="400" w:lineRule="exact"/>
        <w:rPr>
          <w:rFonts w:ascii="宋体" w:hAnsi="宋体" w:cs="宋体"/>
          <w:sz w:val="24"/>
        </w:rPr>
      </w:pPr>
    </w:p>
    <w:p w14:paraId="686BA2CC">
      <w:pPr>
        <w:widowControl/>
        <w:snapToGrid w:val="0"/>
        <w:spacing w:line="400" w:lineRule="exact"/>
        <w:rPr>
          <w:rFonts w:ascii="宋体" w:hAnsi="宋体" w:cs="宋体"/>
        </w:rPr>
      </w:pPr>
      <w:r>
        <w:rPr>
          <w:rFonts w:hint="eastAsia" w:ascii="宋体" w:hAnsi="宋体" w:cs="宋体"/>
        </w:rPr>
        <w:t>甲方                                               乙方</w:t>
      </w:r>
    </w:p>
    <w:p w14:paraId="5EA5EFAA">
      <w:pPr>
        <w:widowControl/>
        <w:snapToGrid w:val="0"/>
        <w:spacing w:line="400" w:lineRule="exact"/>
        <w:rPr>
          <w:rFonts w:ascii="宋体" w:hAnsi="宋体" w:cs="宋体"/>
        </w:rPr>
      </w:pPr>
      <w:r>
        <w:rPr>
          <w:rFonts w:hint="eastAsia" w:ascii="宋体" w:hAnsi="宋体" w:cs="宋体"/>
        </w:rPr>
        <w:t>单位名称：南京邮电大学通达学院                     单位名称：</w:t>
      </w:r>
    </w:p>
    <w:p w14:paraId="78553978">
      <w:pPr>
        <w:widowControl/>
        <w:snapToGrid w:val="0"/>
        <w:spacing w:line="400" w:lineRule="exact"/>
        <w:rPr>
          <w:rFonts w:ascii="宋体" w:hAnsi="宋体" w:cs="宋体"/>
        </w:rPr>
      </w:pPr>
      <w:r>
        <w:rPr>
          <w:rFonts w:hint="eastAsia" w:ascii="宋体" w:hAnsi="宋体" w:cs="宋体"/>
        </w:rPr>
        <w:t>单位地址：扬州市润扬南路33号                      单位地址：</w:t>
      </w:r>
    </w:p>
    <w:p w14:paraId="56AA2151">
      <w:pPr>
        <w:widowControl/>
        <w:snapToGrid w:val="0"/>
        <w:spacing w:line="400" w:lineRule="exact"/>
        <w:rPr>
          <w:rFonts w:ascii="宋体" w:hAnsi="宋体" w:cs="宋体"/>
        </w:rPr>
      </w:pPr>
      <w:r>
        <w:rPr>
          <w:rFonts w:hint="eastAsia" w:ascii="宋体" w:hAnsi="宋体" w:cs="宋体"/>
        </w:rPr>
        <w:t>法定代表人：                                       法定代表人：</w:t>
      </w:r>
    </w:p>
    <w:p w14:paraId="18A7D10F">
      <w:pPr>
        <w:widowControl/>
        <w:snapToGrid w:val="0"/>
        <w:spacing w:line="400" w:lineRule="exact"/>
        <w:rPr>
          <w:rFonts w:ascii="宋体" w:hAnsi="宋体" w:cs="宋体"/>
        </w:rPr>
      </w:pPr>
      <w:r>
        <w:rPr>
          <w:rFonts w:hint="eastAsia" w:ascii="宋体" w:hAnsi="宋体" w:cs="宋体"/>
        </w:rPr>
        <w:t>委托代理人（签字）：                                委托代理人（签字）：</w:t>
      </w:r>
    </w:p>
    <w:p w14:paraId="1BE4ED41">
      <w:pPr>
        <w:widowControl/>
        <w:snapToGrid w:val="0"/>
        <w:spacing w:line="400" w:lineRule="exact"/>
        <w:rPr>
          <w:rFonts w:ascii="宋体" w:hAnsi="宋体" w:cs="宋体"/>
        </w:rPr>
      </w:pPr>
      <w:r>
        <w:rPr>
          <w:rFonts w:hint="eastAsia" w:ascii="宋体" w:hAnsi="宋体" w:cs="宋体"/>
        </w:rPr>
        <w:t xml:space="preserve">联系电话：                                         联系电话：                                            </w:t>
      </w:r>
    </w:p>
    <w:p w14:paraId="6E76FB73">
      <w:pPr>
        <w:widowControl/>
        <w:snapToGrid w:val="0"/>
        <w:spacing w:line="40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14:paraId="067803E9">
      <w:pPr>
        <w:widowControl/>
        <w:snapToGrid w:val="0"/>
        <w:spacing w:line="400" w:lineRule="exact"/>
        <w:rPr>
          <w:rFonts w:ascii="宋体" w:hAnsi="宋体" w:cs="宋体"/>
        </w:rPr>
      </w:pPr>
      <w:r>
        <w:rPr>
          <w:rFonts w:hint="eastAsia" w:ascii="宋体" w:hAnsi="宋体" w:cs="宋体"/>
        </w:rPr>
        <w:t xml:space="preserve">户名：南京邮电大学通达学院                         户名： </w:t>
      </w:r>
    </w:p>
    <w:p w14:paraId="7C349B36">
      <w:pPr>
        <w:widowControl/>
        <w:snapToGrid w:val="0"/>
        <w:spacing w:line="40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14:paraId="37DCBC65">
      <w:pPr>
        <w:widowControl/>
        <w:snapToGrid w:val="0"/>
        <w:spacing w:line="40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14:paraId="7789D9B9">
      <w:pPr>
        <w:widowControl/>
        <w:snapToGrid w:val="0"/>
        <w:spacing w:line="400" w:lineRule="exact"/>
        <w:rPr>
          <w:rFonts w:ascii="宋体" w:hAnsi="宋体" w:cs="宋体"/>
        </w:rPr>
      </w:pPr>
      <w:r>
        <w:rPr>
          <w:rFonts w:hint="eastAsia" w:ascii="宋体" w:hAnsi="宋体" w:cs="宋体"/>
        </w:rPr>
        <w:t>电话：0514-89716081                                项目联系人：</w:t>
      </w:r>
    </w:p>
    <w:p w14:paraId="7A4DF433">
      <w:pPr>
        <w:spacing w:line="400" w:lineRule="exact"/>
        <w:rPr>
          <w:sz w:val="22"/>
        </w:rPr>
      </w:pPr>
    </w:p>
    <w:p w14:paraId="72AF61D6">
      <w:pPr>
        <w:spacing w:line="400" w:lineRule="exact"/>
        <w:rPr>
          <w:sz w:val="22"/>
        </w:rPr>
      </w:pPr>
      <w:r>
        <w:rPr>
          <w:rFonts w:hint="eastAsia" w:ascii="宋体" w:hAnsi="宋体" w:cs="宋体"/>
        </w:rPr>
        <w:t>签约日期（即合同生效日期）：    年   月    日</w:t>
      </w:r>
    </w:p>
    <w:p w14:paraId="4553F300">
      <w:pPr>
        <w:rPr>
          <w:rFonts w:ascii="宋体" w:hAnsi="宋体" w:eastAsia="宋体" w:cs="宋体"/>
          <w:kern w:val="44"/>
          <w:sz w:val="36"/>
          <w:szCs w:val="36"/>
          <w:u w:color="000000"/>
          <w:lang w:val="zh-TW" w:eastAsia="zh-TW"/>
        </w:rPr>
      </w:pPr>
    </w:p>
    <w:p w14:paraId="3690B036">
      <w:pPr>
        <w:rPr>
          <w:rFonts w:ascii="宋体" w:hAnsi="宋体" w:eastAsia="宋体" w:cs="宋体"/>
          <w:kern w:val="44"/>
          <w:sz w:val="36"/>
          <w:szCs w:val="36"/>
          <w:u w:color="000000"/>
          <w:lang w:val="zh-TW" w:eastAsia="zh-TW"/>
        </w:rPr>
      </w:pPr>
      <w:r>
        <w:rPr>
          <w:rFonts w:hint="eastAsia" w:ascii="宋体" w:hAnsi="宋体" w:eastAsia="宋体" w:cs="宋体"/>
          <w:kern w:val="44"/>
          <w:sz w:val="36"/>
          <w:szCs w:val="36"/>
          <w:u w:color="000000"/>
          <w:lang w:val="zh-TW" w:eastAsia="zh-TW"/>
        </w:rPr>
        <w:br w:type="page"/>
      </w:r>
    </w:p>
    <w:p w14:paraId="0559CC2F">
      <w:pPr>
        <w:keepNext/>
        <w:keepLines/>
        <w:spacing w:before="312" w:beforeLines="100" w:after="312" w:afterLines="100" w:line="360" w:lineRule="auto"/>
        <w:jc w:val="center"/>
        <w:outlineLvl w:val="0"/>
        <w:rPr>
          <w:sz w:val="28"/>
          <w:szCs w:val="28"/>
        </w:rPr>
      </w:pPr>
      <w:r>
        <w:rPr>
          <w:rFonts w:hint="eastAsia" w:ascii="宋体" w:hAnsi="宋体" w:eastAsia="宋体" w:cs="宋体"/>
          <w:kern w:val="44"/>
          <w:sz w:val="36"/>
          <w:szCs w:val="36"/>
          <w:u w:color="000000"/>
          <w:lang w:val="zh-TW" w:eastAsia="zh-TW"/>
        </w:rPr>
        <w:t>第</w:t>
      </w:r>
      <w:r>
        <w:rPr>
          <w:rFonts w:hint="eastAsia" w:ascii="宋体" w:hAnsi="宋体" w:eastAsia="宋体" w:cs="宋体"/>
          <w:kern w:val="44"/>
          <w:sz w:val="36"/>
          <w:szCs w:val="36"/>
          <w:u w:color="000000"/>
          <w:lang w:val="zh-TW"/>
        </w:rPr>
        <w:t>四</w:t>
      </w:r>
      <w:r>
        <w:rPr>
          <w:rFonts w:hint="eastAsia" w:ascii="宋体" w:hAnsi="宋体" w:eastAsia="宋体" w:cs="宋体"/>
          <w:kern w:val="44"/>
          <w:sz w:val="36"/>
          <w:szCs w:val="36"/>
          <w:u w:color="000000"/>
          <w:lang w:val="zh-TW" w:eastAsia="zh-TW"/>
        </w:rPr>
        <w:t xml:space="preserve">章  </w:t>
      </w:r>
      <w:r>
        <w:rPr>
          <w:rFonts w:hint="eastAsia" w:ascii="宋体" w:hAnsi="宋体" w:eastAsia="宋体" w:cs="宋体"/>
          <w:kern w:val="44"/>
          <w:sz w:val="36"/>
          <w:szCs w:val="36"/>
          <w:u w:color="000000"/>
          <w:lang w:val="zh-TW"/>
        </w:rPr>
        <w:t>项目需求</w:t>
      </w:r>
      <w:bookmarkEnd w:id="12"/>
      <w:bookmarkStart w:id="14" w:name="_Toc15896"/>
    </w:p>
    <w:tbl>
      <w:tblPr>
        <w:tblStyle w:val="26"/>
        <w:tblpPr w:leftFromText="180" w:rightFromText="180" w:vertAnchor="text" w:horzAnchor="page" w:tblpX="1312" w:tblpY="348"/>
        <w:tblOverlap w:val="never"/>
        <w:tblW w:w="9270" w:type="dxa"/>
        <w:tblInd w:w="0" w:type="dxa"/>
        <w:tblLayout w:type="fixed"/>
        <w:tblCellMar>
          <w:top w:w="0" w:type="dxa"/>
          <w:left w:w="15" w:type="dxa"/>
          <w:bottom w:w="0" w:type="dxa"/>
          <w:right w:w="15" w:type="dxa"/>
        </w:tblCellMar>
      </w:tblPr>
      <w:tblGrid>
        <w:gridCol w:w="570"/>
        <w:gridCol w:w="1110"/>
        <w:gridCol w:w="870"/>
        <w:gridCol w:w="945"/>
        <w:gridCol w:w="840"/>
        <w:gridCol w:w="810"/>
        <w:gridCol w:w="603"/>
        <w:gridCol w:w="584"/>
        <w:gridCol w:w="606"/>
        <w:gridCol w:w="562"/>
        <w:gridCol w:w="1770"/>
      </w:tblGrid>
      <w:tr w14:paraId="482313B2">
        <w:tblPrEx>
          <w:tblCellMar>
            <w:top w:w="0" w:type="dxa"/>
            <w:left w:w="15" w:type="dxa"/>
            <w:bottom w:w="0" w:type="dxa"/>
            <w:right w:w="15" w:type="dxa"/>
          </w:tblCellMar>
        </w:tblPrEx>
        <w:trPr>
          <w:trHeight w:val="312" w:hRule="atLeast"/>
        </w:trPr>
        <w:tc>
          <w:tcPr>
            <w:tcW w:w="2550" w:type="dxa"/>
            <w:gridSpan w:val="3"/>
            <w:tcBorders>
              <w:bottom w:val="single" w:color="000000" w:sz="4" w:space="0"/>
            </w:tcBorders>
            <w:noWrap/>
            <w:vAlign w:val="center"/>
          </w:tcPr>
          <w:p w14:paraId="5DDED926">
            <w:pPr>
              <w:autoSpaceDN w:val="0"/>
              <w:spacing w:line="400" w:lineRule="exact"/>
              <w:rPr>
                <w:rFonts w:ascii="宋体" w:hAnsi="宋体" w:eastAsia="宋体" w:cs="宋体"/>
                <w:sz w:val="24"/>
                <w:szCs w:val="24"/>
              </w:rPr>
            </w:pPr>
          </w:p>
        </w:tc>
        <w:tc>
          <w:tcPr>
            <w:tcW w:w="6720" w:type="dxa"/>
            <w:gridSpan w:val="8"/>
            <w:tcBorders>
              <w:bottom w:val="single" w:color="000000" w:sz="4" w:space="0"/>
            </w:tcBorders>
            <w:noWrap/>
            <w:vAlign w:val="center"/>
          </w:tcPr>
          <w:p w14:paraId="636D5F95">
            <w:pPr>
              <w:autoSpaceDN w:val="0"/>
              <w:spacing w:line="400" w:lineRule="exact"/>
              <w:rPr>
                <w:rFonts w:ascii="宋体" w:hAnsi="宋体" w:eastAsia="宋体" w:cs="宋体"/>
                <w:sz w:val="24"/>
                <w:szCs w:val="24"/>
              </w:rPr>
            </w:pPr>
          </w:p>
        </w:tc>
      </w:tr>
      <w:tr w14:paraId="3B52CC96">
        <w:tblPrEx>
          <w:tblCellMar>
            <w:top w:w="0" w:type="dxa"/>
            <w:left w:w="15" w:type="dxa"/>
            <w:bottom w:w="0" w:type="dxa"/>
            <w:right w:w="15" w:type="dxa"/>
          </w:tblCellMar>
        </w:tblPrEx>
        <w:trPr>
          <w:trHeight w:val="220" w:hRule="atLeast"/>
        </w:trPr>
        <w:tc>
          <w:tcPr>
            <w:tcW w:w="570" w:type="dxa"/>
            <w:vMerge w:val="restart"/>
            <w:tcBorders>
              <w:top w:val="single" w:color="000000" w:sz="4" w:space="0"/>
              <w:left w:val="single" w:color="000000" w:sz="4" w:space="0"/>
              <w:bottom w:val="single" w:color="000000" w:sz="4" w:space="0"/>
              <w:right w:val="single" w:color="000000" w:sz="4" w:space="0"/>
            </w:tcBorders>
            <w:noWrap/>
            <w:vAlign w:val="center"/>
          </w:tcPr>
          <w:p w14:paraId="3AF2260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14:paraId="50F0D98C">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楼宇名称</w:t>
            </w:r>
          </w:p>
        </w:tc>
        <w:tc>
          <w:tcPr>
            <w:tcW w:w="5820" w:type="dxa"/>
            <w:gridSpan w:val="8"/>
            <w:tcBorders>
              <w:top w:val="single" w:color="000000" w:sz="4" w:space="0"/>
              <w:left w:val="single" w:color="000000" w:sz="4" w:space="0"/>
              <w:bottom w:val="single" w:color="000000" w:sz="4" w:space="0"/>
              <w:right w:val="single" w:color="000000" w:sz="4" w:space="0"/>
            </w:tcBorders>
            <w:noWrap/>
            <w:vAlign w:val="center"/>
          </w:tcPr>
          <w:p w14:paraId="470B326A">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项目内容</w:t>
            </w:r>
          </w:p>
        </w:tc>
        <w:tc>
          <w:tcPr>
            <w:tcW w:w="1770" w:type="dxa"/>
            <w:vMerge w:val="restart"/>
            <w:tcBorders>
              <w:top w:val="single" w:color="000000" w:sz="4" w:space="0"/>
              <w:left w:val="single" w:color="000000" w:sz="4" w:space="0"/>
              <w:bottom w:val="single" w:color="000000" w:sz="4" w:space="0"/>
              <w:right w:val="single" w:color="000000" w:sz="4" w:space="0"/>
            </w:tcBorders>
            <w:noWrap/>
            <w:vAlign w:val="center"/>
          </w:tcPr>
          <w:p w14:paraId="08048FF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 备注</w:t>
            </w:r>
          </w:p>
        </w:tc>
      </w:tr>
      <w:tr w14:paraId="5E915D08">
        <w:tblPrEx>
          <w:tblCellMar>
            <w:top w:w="0" w:type="dxa"/>
            <w:left w:w="15" w:type="dxa"/>
            <w:bottom w:w="0" w:type="dxa"/>
            <w:right w:w="15" w:type="dxa"/>
          </w:tblCellMar>
        </w:tblPrEx>
        <w:trPr>
          <w:trHeight w:val="863"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7C68395A">
            <w:pPr>
              <w:spacing w:line="400" w:lineRule="exact"/>
              <w:rPr>
                <w:rFonts w:ascii="宋体" w:hAnsi="宋体" w:eastAsia="宋体" w:cs="宋体"/>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14:paraId="5D7EDAD9">
            <w:pPr>
              <w:autoSpaceDN w:val="0"/>
              <w:spacing w:line="400" w:lineRule="exact"/>
              <w:rPr>
                <w:rFonts w:ascii="宋体" w:hAnsi="宋体" w:eastAsia="宋体" w:cs="宋体"/>
                <w:sz w:val="24"/>
                <w:szCs w:val="24"/>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5C59D1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一键声光报警器</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16E9B9F">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火灾报警系统</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8DB947F">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水源、泵房等</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CCBFE0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消火栓系统</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4DEBC3D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喷淋系统</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0DDA8292">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防排烟</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0A6EA88D">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疏散照明系统</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404A1A4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防火卷帘</w:t>
            </w:r>
          </w:p>
        </w:tc>
        <w:tc>
          <w:tcPr>
            <w:tcW w:w="1770" w:type="dxa"/>
            <w:vMerge w:val="continue"/>
            <w:tcBorders>
              <w:top w:val="single" w:color="000000" w:sz="4" w:space="0"/>
              <w:left w:val="single" w:color="000000" w:sz="4" w:space="0"/>
              <w:bottom w:val="single" w:color="000000" w:sz="4" w:space="0"/>
              <w:right w:val="single" w:color="000000" w:sz="4" w:space="0"/>
            </w:tcBorders>
            <w:noWrap/>
            <w:vAlign w:val="center"/>
          </w:tcPr>
          <w:p w14:paraId="76364D57">
            <w:pPr>
              <w:autoSpaceDN w:val="0"/>
              <w:spacing w:line="400" w:lineRule="exact"/>
              <w:jc w:val="center"/>
              <w:textAlignment w:val="center"/>
              <w:rPr>
                <w:rFonts w:ascii="宋体" w:hAnsi="宋体" w:eastAsia="宋体" w:cs="宋体"/>
                <w:sz w:val="24"/>
                <w:szCs w:val="24"/>
              </w:rPr>
            </w:pPr>
          </w:p>
        </w:tc>
      </w:tr>
      <w:tr w14:paraId="60DAF4A8">
        <w:tblPrEx>
          <w:tblCellMar>
            <w:top w:w="0" w:type="dxa"/>
            <w:left w:w="15" w:type="dxa"/>
            <w:bottom w:w="0" w:type="dxa"/>
            <w:right w:w="15" w:type="dxa"/>
          </w:tblCellMar>
        </w:tblPrEx>
        <w:trPr>
          <w:trHeight w:val="22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6347DE8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EE230DF">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一教</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5E64185">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BB4DC6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CFEBB9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DF8B22F">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1E085632">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76BADD25">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42F5127F">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743BE23C">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6FC4A785">
            <w:pPr>
              <w:autoSpaceDN w:val="0"/>
              <w:spacing w:line="400" w:lineRule="exact"/>
              <w:jc w:val="center"/>
              <w:textAlignment w:val="center"/>
              <w:rPr>
                <w:rFonts w:ascii="宋体" w:hAnsi="宋体" w:eastAsia="宋体" w:cs="宋体"/>
                <w:color w:val="000000"/>
                <w:sz w:val="24"/>
                <w:szCs w:val="24"/>
              </w:rPr>
            </w:pPr>
          </w:p>
        </w:tc>
      </w:tr>
      <w:tr w14:paraId="200F9475">
        <w:tblPrEx>
          <w:tblCellMar>
            <w:top w:w="0" w:type="dxa"/>
            <w:left w:w="15" w:type="dxa"/>
            <w:bottom w:w="0" w:type="dxa"/>
            <w:right w:w="15" w:type="dxa"/>
          </w:tblCellMar>
        </w:tblPrEx>
        <w:trPr>
          <w:trHeight w:val="22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5FA687E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7C5FA4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二教</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D4152B7">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89DF9C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8A59444">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4371E1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72B9855C">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6E571B60">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711A56BA">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409ACB41">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535B259F">
            <w:pPr>
              <w:autoSpaceDN w:val="0"/>
              <w:spacing w:line="400" w:lineRule="exact"/>
              <w:jc w:val="center"/>
              <w:textAlignment w:val="center"/>
              <w:rPr>
                <w:rFonts w:ascii="宋体" w:hAnsi="宋体" w:eastAsia="宋体" w:cs="宋体"/>
                <w:color w:val="000000"/>
                <w:sz w:val="24"/>
                <w:szCs w:val="24"/>
              </w:rPr>
            </w:pPr>
          </w:p>
        </w:tc>
      </w:tr>
      <w:tr w14:paraId="2E1471F8">
        <w:tblPrEx>
          <w:tblCellMar>
            <w:top w:w="0" w:type="dxa"/>
            <w:left w:w="15" w:type="dxa"/>
            <w:bottom w:w="0" w:type="dxa"/>
            <w:right w:w="15" w:type="dxa"/>
          </w:tblCellMar>
        </w:tblPrEx>
        <w:trPr>
          <w:trHeight w:val="22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6D54F53D">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85AD1A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三教</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ABD1E78">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297CCC4">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EBC22FD">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4E9550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0AA3C214">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46FD86E0">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168FFD06">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49F38B0C">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00717609">
            <w:pPr>
              <w:autoSpaceDN w:val="0"/>
              <w:spacing w:line="400" w:lineRule="exact"/>
              <w:jc w:val="center"/>
              <w:textAlignment w:val="center"/>
              <w:rPr>
                <w:rFonts w:ascii="宋体" w:hAnsi="宋体" w:eastAsia="宋体" w:cs="宋体"/>
                <w:color w:val="000000"/>
                <w:sz w:val="24"/>
                <w:szCs w:val="24"/>
              </w:rPr>
            </w:pPr>
          </w:p>
        </w:tc>
      </w:tr>
      <w:tr w14:paraId="6D71D6AE">
        <w:tblPrEx>
          <w:tblCellMar>
            <w:top w:w="0" w:type="dxa"/>
            <w:left w:w="15" w:type="dxa"/>
            <w:bottom w:w="0" w:type="dxa"/>
            <w:right w:w="15" w:type="dxa"/>
          </w:tblCellMar>
        </w:tblPrEx>
        <w:trPr>
          <w:trHeight w:val="22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2307608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FBBD78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一实</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5D54A53F">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26F9C60">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AEF5E80">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256D4A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16352D51">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2FFC74F7">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24CFE7F4">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16253EA8">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6138DFB0">
            <w:pPr>
              <w:autoSpaceDN w:val="0"/>
              <w:spacing w:line="400" w:lineRule="exact"/>
              <w:jc w:val="center"/>
              <w:textAlignment w:val="center"/>
              <w:rPr>
                <w:rFonts w:ascii="宋体" w:hAnsi="宋体" w:eastAsia="宋体" w:cs="宋体"/>
                <w:color w:val="000000"/>
                <w:sz w:val="24"/>
                <w:szCs w:val="24"/>
              </w:rPr>
            </w:pPr>
          </w:p>
        </w:tc>
      </w:tr>
      <w:tr w14:paraId="365857E9">
        <w:tblPrEx>
          <w:tblCellMar>
            <w:top w:w="0" w:type="dxa"/>
            <w:left w:w="15" w:type="dxa"/>
            <w:bottom w:w="0" w:type="dxa"/>
            <w:right w:w="15" w:type="dxa"/>
          </w:tblCellMar>
        </w:tblPrEx>
        <w:trPr>
          <w:trHeight w:val="22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2DBB200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4FB5A7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二实</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6B5AAFA9">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88FE086">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B9D4A64">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A8E3FD4">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132853EE">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206E348D">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3BA281F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1629EBAD">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7B97EE89">
            <w:pPr>
              <w:autoSpaceDN w:val="0"/>
              <w:spacing w:line="400" w:lineRule="exact"/>
              <w:jc w:val="center"/>
              <w:textAlignment w:val="center"/>
              <w:rPr>
                <w:rFonts w:ascii="宋体" w:hAnsi="宋体" w:eastAsia="宋体" w:cs="宋体"/>
                <w:color w:val="000000"/>
                <w:sz w:val="24"/>
                <w:szCs w:val="24"/>
              </w:rPr>
            </w:pPr>
          </w:p>
        </w:tc>
      </w:tr>
      <w:tr w14:paraId="2682D54A">
        <w:tblPrEx>
          <w:tblCellMar>
            <w:top w:w="0" w:type="dxa"/>
            <w:left w:w="15" w:type="dxa"/>
            <w:bottom w:w="0" w:type="dxa"/>
            <w:right w:w="15" w:type="dxa"/>
          </w:tblCellMar>
        </w:tblPrEx>
        <w:trPr>
          <w:trHeight w:val="22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4D7609A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2529E7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三实</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8FD06A2">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550FE55">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277F58A">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6A5D4C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6162CA19">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3A38C56B">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2645135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5B368FE1">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1DA4ED22">
            <w:pPr>
              <w:autoSpaceDN w:val="0"/>
              <w:spacing w:line="400" w:lineRule="exact"/>
              <w:jc w:val="center"/>
              <w:textAlignment w:val="center"/>
              <w:rPr>
                <w:rFonts w:ascii="宋体" w:hAnsi="宋体" w:eastAsia="宋体" w:cs="宋体"/>
                <w:color w:val="000000"/>
                <w:sz w:val="24"/>
                <w:szCs w:val="24"/>
              </w:rPr>
            </w:pPr>
          </w:p>
        </w:tc>
      </w:tr>
      <w:tr w14:paraId="61BE295D">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51D64FF6">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3490DD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行政楼、图书馆</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606DBC79">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0845C6A">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0E6711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65A3B9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615BB13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0445551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0150A31D">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783E86EC">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33CA5303">
            <w:pPr>
              <w:autoSpaceDN w:val="0"/>
              <w:spacing w:line="400" w:lineRule="exact"/>
              <w:jc w:val="center"/>
              <w:textAlignment w:val="center"/>
              <w:rPr>
                <w:rFonts w:ascii="宋体" w:hAnsi="宋体" w:eastAsia="宋体" w:cs="宋体"/>
                <w:color w:val="000000"/>
                <w:sz w:val="24"/>
                <w:szCs w:val="24"/>
              </w:rPr>
            </w:pPr>
          </w:p>
        </w:tc>
      </w:tr>
      <w:tr w14:paraId="62EA74A7">
        <w:tblPrEx>
          <w:tblCellMar>
            <w:top w:w="0" w:type="dxa"/>
            <w:left w:w="15" w:type="dxa"/>
            <w:bottom w:w="0" w:type="dxa"/>
            <w:right w:w="15" w:type="dxa"/>
          </w:tblCellMar>
        </w:tblPrEx>
        <w:trPr>
          <w:trHeight w:val="649"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29DEA0E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197D98E">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地下人防（篮球场、教师公寓）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74058FD">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638380F">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43BC51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A5E582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3B142332">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6814A59C">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3A3FA61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65322BF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7148BAD4">
            <w:pPr>
              <w:autoSpaceDN w:val="0"/>
              <w:spacing w:line="400" w:lineRule="exact"/>
              <w:jc w:val="center"/>
              <w:textAlignment w:val="center"/>
              <w:rPr>
                <w:rFonts w:ascii="宋体" w:hAnsi="宋体" w:eastAsia="宋体" w:cs="宋体"/>
                <w:color w:val="000000"/>
                <w:sz w:val="24"/>
                <w:szCs w:val="24"/>
              </w:rPr>
            </w:pPr>
          </w:p>
        </w:tc>
      </w:tr>
      <w:tr w14:paraId="48BBB384">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7B09C246">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39F9B3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大学生活动中心</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555204D8">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FAE1546">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4635257">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D9AB5B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581CB98C">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32493B22">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6531168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663386FC">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562F824C">
            <w:pPr>
              <w:autoSpaceDN w:val="0"/>
              <w:spacing w:line="400" w:lineRule="exact"/>
              <w:jc w:val="center"/>
              <w:textAlignment w:val="center"/>
              <w:rPr>
                <w:rFonts w:ascii="宋体" w:hAnsi="宋体" w:eastAsia="宋体" w:cs="宋体"/>
                <w:color w:val="000000"/>
                <w:sz w:val="24"/>
                <w:szCs w:val="24"/>
              </w:rPr>
            </w:pPr>
          </w:p>
        </w:tc>
      </w:tr>
      <w:tr w14:paraId="50F9F3B6">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1C3DF59E">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6D225A4">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一食堂</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02B487D9">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0AB75CE">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0ABA06A">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5A22EE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65631004">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0D8A5119">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610A413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54CA2DA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65B1378B">
            <w:pPr>
              <w:autoSpaceDN w:val="0"/>
              <w:spacing w:line="400" w:lineRule="exact"/>
              <w:jc w:val="center"/>
              <w:textAlignment w:val="center"/>
              <w:rPr>
                <w:rFonts w:ascii="宋体" w:hAnsi="宋体" w:eastAsia="宋体" w:cs="宋体"/>
                <w:color w:val="000000"/>
                <w:sz w:val="24"/>
                <w:szCs w:val="24"/>
              </w:rPr>
            </w:pPr>
          </w:p>
        </w:tc>
      </w:tr>
      <w:tr w14:paraId="6EAEB2CA">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27BD75C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E6CEE5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二食堂</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09BE764E">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16F123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8999266">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2A78BA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5B4CA1EF">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0050E4E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75701A6E">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0A117E67">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30E21A8A">
            <w:pPr>
              <w:autoSpaceDN w:val="0"/>
              <w:spacing w:line="400" w:lineRule="exact"/>
              <w:jc w:val="center"/>
              <w:textAlignment w:val="center"/>
              <w:rPr>
                <w:rFonts w:ascii="宋体" w:hAnsi="宋体" w:eastAsia="宋体" w:cs="宋体"/>
                <w:color w:val="000000"/>
                <w:sz w:val="24"/>
                <w:szCs w:val="24"/>
              </w:rPr>
            </w:pPr>
          </w:p>
        </w:tc>
      </w:tr>
      <w:tr w14:paraId="3B1E9F8B">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7FF0EDB6">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397BDD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后勤楼</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C4032C2">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0E354B5">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B4A2392">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8B1123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213FEC4D">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3A283696">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0348B0CD">
            <w:pPr>
              <w:autoSpaceDN w:val="0"/>
              <w:spacing w:line="400" w:lineRule="exact"/>
              <w:jc w:val="center"/>
              <w:textAlignment w:val="center"/>
              <w:rPr>
                <w:rFonts w:ascii="宋体" w:hAnsi="宋体" w:eastAsia="宋体" w:cs="宋体"/>
                <w:color w:val="000000"/>
                <w:sz w:val="24"/>
                <w:szCs w:val="24"/>
              </w:rPr>
            </w:pP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00FCC2D3">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4224A813">
            <w:pPr>
              <w:autoSpaceDN w:val="0"/>
              <w:spacing w:line="400" w:lineRule="exact"/>
              <w:jc w:val="center"/>
              <w:textAlignment w:val="center"/>
              <w:rPr>
                <w:rFonts w:ascii="宋体" w:hAnsi="宋体" w:eastAsia="宋体" w:cs="宋体"/>
                <w:color w:val="000000"/>
                <w:sz w:val="24"/>
                <w:szCs w:val="24"/>
              </w:rPr>
            </w:pPr>
          </w:p>
        </w:tc>
      </w:tr>
      <w:tr w14:paraId="3C7C5031">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500D85FE">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09EB5D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中水泵房</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4E65F241">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8190CEA">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7A162A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3B46E38">
            <w:pPr>
              <w:autoSpaceDN w:val="0"/>
              <w:spacing w:line="400" w:lineRule="exact"/>
              <w:jc w:val="center"/>
              <w:textAlignment w:val="center"/>
              <w:rPr>
                <w:rFonts w:ascii="宋体" w:hAnsi="宋体" w:eastAsia="宋体" w:cs="宋体"/>
                <w:color w:val="000000"/>
                <w:sz w:val="24"/>
                <w:szCs w:val="24"/>
              </w:rPr>
            </w:pP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4E082A24">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4D408B63">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7F29D026">
            <w:pPr>
              <w:autoSpaceDN w:val="0"/>
              <w:spacing w:line="400" w:lineRule="exact"/>
              <w:jc w:val="center"/>
              <w:textAlignment w:val="center"/>
              <w:rPr>
                <w:rFonts w:ascii="宋体" w:hAnsi="宋体" w:eastAsia="宋体" w:cs="宋体"/>
                <w:color w:val="000000"/>
                <w:sz w:val="24"/>
                <w:szCs w:val="24"/>
              </w:rPr>
            </w:pP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69236D71">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44418C0C">
            <w:pPr>
              <w:autoSpaceDN w:val="0"/>
              <w:spacing w:line="400" w:lineRule="exact"/>
              <w:jc w:val="center"/>
              <w:textAlignment w:val="center"/>
              <w:rPr>
                <w:rFonts w:ascii="宋体" w:hAnsi="宋体" w:eastAsia="宋体" w:cs="宋体"/>
                <w:color w:val="000000"/>
                <w:sz w:val="24"/>
                <w:szCs w:val="24"/>
              </w:rPr>
            </w:pPr>
          </w:p>
        </w:tc>
      </w:tr>
      <w:tr w14:paraId="42F25CB8">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0EFFF11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F0222C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1号学生公寓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464D572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6E39466">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36EAE6E">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76439B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2C836B0D">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1100E05B">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3B38BB14">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43D3DD9A">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55974568">
            <w:pPr>
              <w:autoSpaceDN w:val="0"/>
              <w:spacing w:line="400" w:lineRule="exact"/>
              <w:jc w:val="center"/>
              <w:textAlignment w:val="center"/>
              <w:rPr>
                <w:rFonts w:ascii="宋体" w:hAnsi="宋体" w:eastAsia="宋体" w:cs="宋体"/>
                <w:color w:val="000000"/>
                <w:sz w:val="24"/>
                <w:szCs w:val="24"/>
              </w:rPr>
            </w:pPr>
          </w:p>
        </w:tc>
      </w:tr>
      <w:tr w14:paraId="70EE48DB">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16A07D6D">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15</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70E503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2号学生公寓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4E2E471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3EF99E8">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09D19F1">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E29368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746A4C10">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42B79D37">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6F14338C">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0CF01BE5">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3738DD68">
            <w:pPr>
              <w:autoSpaceDN w:val="0"/>
              <w:spacing w:line="400" w:lineRule="exact"/>
              <w:jc w:val="center"/>
              <w:textAlignment w:val="center"/>
              <w:rPr>
                <w:rFonts w:ascii="宋体" w:hAnsi="宋体" w:eastAsia="宋体" w:cs="宋体"/>
                <w:color w:val="000000"/>
                <w:sz w:val="24"/>
                <w:szCs w:val="24"/>
              </w:rPr>
            </w:pPr>
          </w:p>
        </w:tc>
      </w:tr>
      <w:tr w14:paraId="3F976767">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66CA2CD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F73AF1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3号学生公寓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6D019CE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3335D89">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C294FEE">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24ADC1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2AF5A446">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5FB69E50">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63D668DE">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3D8CCBB6">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1CD0D82B">
            <w:pPr>
              <w:autoSpaceDN w:val="0"/>
              <w:spacing w:line="400" w:lineRule="exact"/>
              <w:jc w:val="center"/>
              <w:textAlignment w:val="center"/>
              <w:rPr>
                <w:rFonts w:ascii="宋体" w:hAnsi="宋体" w:eastAsia="宋体" w:cs="宋体"/>
                <w:color w:val="000000"/>
                <w:sz w:val="24"/>
                <w:szCs w:val="24"/>
              </w:rPr>
            </w:pPr>
          </w:p>
        </w:tc>
      </w:tr>
      <w:tr w14:paraId="43FAA4ED">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1BD9D9AD">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FDFE43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4-5号学生公寓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18A0B0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4B96662">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1087CD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E98B18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42468DE3">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23010A36">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179CB80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05E78833">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56C37234">
            <w:pPr>
              <w:autoSpaceDN w:val="0"/>
              <w:spacing w:line="400" w:lineRule="exact"/>
              <w:jc w:val="center"/>
              <w:textAlignment w:val="center"/>
              <w:rPr>
                <w:rFonts w:ascii="宋体" w:hAnsi="宋体" w:eastAsia="宋体" w:cs="宋体"/>
                <w:color w:val="000000"/>
                <w:sz w:val="24"/>
                <w:szCs w:val="24"/>
              </w:rPr>
            </w:pPr>
          </w:p>
        </w:tc>
      </w:tr>
      <w:tr w14:paraId="36AD53ED">
        <w:tblPrEx>
          <w:tblCellMar>
            <w:top w:w="0" w:type="dxa"/>
            <w:left w:w="15" w:type="dxa"/>
            <w:bottom w:w="0" w:type="dxa"/>
            <w:right w:w="15" w:type="dxa"/>
          </w:tblCellMar>
        </w:tblPrEx>
        <w:trPr>
          <w:trHeight w:val="649"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63790D0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9BD76EE">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6号学生公寓及教师公寓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5286950E">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F24C007">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39BE932">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B2004B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28EEEED9">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222524C0">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676C2F3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68CC5558">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4C30CACC">
            <w:pPr>
              <w:autoSpaceDN w:val="0"/>
              <w:spacing w:line="400" w:lineRule="exact"/>
              <w:jc w:val="center"/>
              <w:textAlignment w:val="center"/>
              <w:rPr>
                <w:rFonts w:ascii="宋体" w:hAnsi="宋体" w:eastAsia="宋体" w:cs="宋体"/>
                <w:color w:val="000000"/>
                <w:sz w:val="24"/>
                <w:szCs w:val="24"/>
              </w:rPr>
            </w:pPr>
          </w:p>
        </w:tc>
      </w:tr>
      <w:tr w14:paraId="30A23C92">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1F7CC89E">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0CA310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7-8号学生公寓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04D02A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553411A">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3AC8F3E">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A7A845A">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04EF94F4">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3CE2B111">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405A6B0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734121E4">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03087207">
            <w:pPr>
              <w:autoSpaceDN w:val="0"/>
              <w:spacing w:line="400" w:lineRule="exact"/>
              <w:jc w:val="center"/>
              <w:textAlignment w:val="center"/>
              <w:rPr>
                <w:rFonts w:ascii="宋体" w:hAnsi="宋体" w:eastAsia="宋体" w:cs="宋体"/>
                <w:color w:val="000000"/>
                <w:sz w:val="24"/>
                <w:szCs w:val="24"/>
              </w:rPr>
            </w:pPr>
          </w:p>
        </w:tc>
      </w:tr>
      <w:tr w14:paraId="2DFAB10C">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1F645B4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0009A4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9号学生公寓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1AF2955F">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C2F9EE8">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6A9446A">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9376A86">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6CEA8382">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22C8234A">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0079F1CA">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51776374">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6E81C0F8">
            <w:pPr>
              <w:autoSpaceDN w:val="0"/>
              <w:spacing w:line="400" w:lineRule="exact"/>
              <w:jc w:val="center"/>
              <w:textAlignment w:val="center"/>
              <w:rPr>
                <w:rFonts w:ascii="宋体" w:hAnsi="宋体" w:eastAsia="宋体" w:cs="宋体"/>
                <w:color w:val="000000"/>
                <w:sz w:val="24"/>
                <w:szCs w:val="24"/>
              </w:rPr>
            </w:pPr>
          </w:p>
        </w:tc>
      </w:tr>
      <w:tr w14:paraId="16DD8295">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6DE95A16">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21</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02BDF1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10号学生公寓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6BA2D28C">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5B8B249">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BE312E6">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AC1344F">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341F8054">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76D00DF2">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64E3E4A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6F61B15B">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49E3CE4D">
            <w:pPr>
              <w:autoSpaceDN w:val="0"/>
              <w:spacing w:line="400" w:lineRule="exact"/>
              <w:jc w:val="center"/>
              <w:textAlignment w:val="center"/>
              <w:rPr>
                <w:rFonts w:ascii="宋体" w:hAnsi="宋体" w:eastAsia="宋体" w:cs="宋体"/>
                <w:color w:val="000000"/>
                <w:sz w:val="24"/>
                <w:szCs w:val="24"/>
              </w:rPr>
            </w:pPr>
          </w:p>
        </w:tc>
      </w:tr>
      <w:tr w14:paraId="0B78137D">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1D8D3D9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FC5C844">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青教公寓</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BD7D053">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9520021">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AD706A8">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B21ACD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3AE97234">
            <w:pPr>
              <w:autoSpaceDN w:val="0"/>
              <w:spacing w:line="400" w:lineRule="exact"/>
              <w:jc w:val="center"/>
              <w:textAlignment w:val="cente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74CAC4A7">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3A07A5B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6F650DE9">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55E912AF">
            <w:pPr>
              <w:autoSpaceDN w:val="0"/>
              <w:spacing w:line="400" w:lineRule="exact"/>
              <w:jc w:val="center"/>
              <w:textAlignment w:val="center"/>
              <w:rPr>
                <w:rFonts w:ascii="宋体" w:hAnsi="宋体" w:eastAsia="宋体" w:cs="宋体"/>
                <w:color w:val="000000"/>
                <w:sz w:val="24"/>
                <w:szCs w:val="24"/>
              </w:rPr>
            </w:pPr>
          </w:p>
        </w:tc>
      </w:tr>
      <w:tr w14:paraId="5EC1DE30">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67D66E8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23</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BFBBB2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游泳馆</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15E1A947">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8EC441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6B6C53F">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1B5B842">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09CD2FF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5F1137C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2B09766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56C5323E">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7B16A938">
            <w:pPr>
              <w:autoSpaceDN w:val="0"/>
              <w:spacing w:line="400" w:lineRule="exact"/>
              <w:jc w:val="center"/>
              <w:textAlignment w:val="center"/>
              <w:rPr>
                <w:rFonts w:ascii="宋体" w:hAnsi="宋体" w:eastAsia="宋体" w:cs="宋体"/>
                <w:color w:val="000000"/>
                <w:sz w:val="24"/>
                <w:szCs w:val="24"/>
              </w:rPr>
            </w:pPr>
          </w:p>
        </w:tc>
      </w:tr>
      <w:tr w14:paraId="4600B15A">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3276395C">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99FD063">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风雨操场</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1423B130">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950A3D6">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A40AB1">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1FEA6A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364E8A0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3552127B">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48CE3816">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5A506168">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38D1749E">
            <w:pPr>
              <w:autoSpaceDN w:val="0"/>
              <w:spacing w:line="400" w:lineRule="exact"/>
              <w:jc w:val="center"/>
              <w:textAlignment w:val="center"/>
              <w:rPr>
                <w:rFonts w:ascii="宋体" w:hAnsi="宋体" w:eastAsia="宋体" w:cs="宋体"/>
                <w:color w:val="000000"/>
                <w:sz w:val="24"/>
                <w:szCs w:val="24"/>
              </w:rPr>
            </w:pPr>
          </w:p>
        </w:tc>
      </w:tr>
      <w:tr w14:paraId="5534FC0E">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5E84233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25</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9FF9FAA">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双创中心</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1CAA8507">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2D99BE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6C96FE4">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18CF8BE">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6C77A31A">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5CBAEC2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382AA9CC">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4FF726AA">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2E9E992C">
            <w:pPr>
              <w:autoSpaceDN w:val="0"/>
              <w:spacing w:line="400" w:lineRule="exact"/>
              <w:jc w:val="center"/>
              <w:textAlignment w:val="center"/>
              <w:rPr>
                <w:rFonts w:ascii="宋体" w:hAnsi="宋体" w:eastAsia="宋体" w:cs="宋体"/>
                <w:color w:val="000000"/>
                <w:sz w:val="24"/>
                <w:szCs w:val="24"/>
              </w:rPr>
            </w:pPr>
          </w:p>
        </w:tc>
      </w:tr>
      <w:tr w14:paraId="6A96F50B">
        <w:tblPrEx>
          <w:tblCellMar>
            <w:top w:w="0" w:type="dxa"/>
            <w:left w:w="15" w:type="dxa"/>
            <w:bottom w:w="0" w:type="dxa"/>
            <w:right w:w="15" w:type="dxa"/>
          </w:tblCellMar>
        </w:tblPrEx>
        <w:trPr>
          <w:trHeight w:val="435"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4365EFE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6FA90E1">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学术交流中心</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DB02979">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A54BFFA">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895EDD1">
            <w:pPr>
              <w:autoSpaceDN w:val="0"/>
              <w:spacing w:line="400" w:lineRule="exact"/>
              <w:jc w:val="center"/>
              <w:textAlignment w:val="center"/>
              <w:rPr>
                <w:rFonts w:ascii="宋体" w:hAnsi="宋体" w:eastAsia="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D79161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1AEE3AD7">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098530A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5CC4D41A">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1BF9B77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076F1654">
            <w:pPr>
              <w:autoSpaceDN w:val="0"/>
              <w:spacing w:line="400" w:lineRule="exact"/>
              <w:jc w:val="center"/>
              <w:textAlignment w:val="center"/>
              <w:rPr>
                <w:rFonts w:ascii="宋体" w:hAnsi="宋体" w:eastAsia="宋体" w:cs="宋体"/>
                <w:color w:val="000000"/>
                <w:sz w:val="24"/>
                <w:szCs w:val="24"/>
              </w:rPr>
            </w:pPr>
          </w:p>
        </w:tc>
      </w:tr>
      <w:tr w14:paraId="404A9B3F">
        <w:tblPrEx>
          <w:tblCellMar>
            <w:top w:w="0" w:type="dxa"/>
            <w:left w:w="15" w:type="dxa"/>
            <w:bottom w:w="0" w:type="dxa"/>
            <w:right w:w="15" w:type="dxa"/>
          </w:tblCellMar>
        </w:tblPrEx>
        <w:trPr>
          <w:trHeight w:val="654"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14:paraId="07920865">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D62B43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消防水泵及室外消防管网</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5889618E">
            <w:pPr>
              <w:autoSpaceDN w:val="0"/>
              <w:spacing w:line="400" w:lineRule="exact"/>
              <w:jc w:val="center"/>
              <w:textAlignment w:val="center"/>
              <w:rPr>
                <w:rFonts w:ascii="宋体" w:hAnsi="宋体" w:eastAsia="宋体" w:cs="宋体"/>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F285EBC">
            <w:pPr>
              <w:autoSpaceDN w:val="0"/>
              <w:spacing w:line="400" w:lineRule="exact"/>
              <w:jc w:val="center"/>
              <w:textAlignment w:val="center"/>
              <w:rPr>
                <w:rFonts w:ascii="宋体" w:hAnsi="宋体" w:eastAsia="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84D1A19">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783B5C0">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68935A58">
            <w:pPr>
              <w:autoSpaceDN w:val="0"/>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723BCC32">
            <w:pPr>
              <w:autoSpaceDN w:val="0"/>
              <w:spacing w:line="400" w:lineRule="exact"/>
              <w:jc w:val="center"/>
              <w:textAlignment w:val="center"/>
              <w:rPr>
                <w:rFonts w:ascii="宋体" w:hAnsi="宋体" w:eastAsia="宋体" w:cs="宋体"/>
                <w:color w:val="000000"/>
                <w:sz w:val="24"/>
                <w:szCs w:val="24"/>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2DF66C3E">
            <w:pPr>
              <w:autoSpaceDN w:val="0"/>
              <w:spacing w:line="400" w:lineRule="exact"/>
              <w:jc w:val="center"/>
              <w:textAlignment w:val="center"/>
              <w:rPr>
                <w:rFonts w:ascii="宋体" w:hAnsi="宋体" w:eastAsia="宋体" w:cs="宋体"/>
                <w:color w:val="000000"/>
                <w:sz w:val="24"/>
                <w:szCs w:val="24"/>
              </w:rPr>
            </w:pP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10B61D24">
            <w:pPr>
              <w:autoSpaceDN w:val="0"/>
              <w:spacing w:line="400" w:lineRule="exact"/>
              <w:jc w:val="center"/>
              <w:textAlignment w:val="center"/>
              <w:rPr>
                <w:rFonts w:ascii="宋体" w:hAnsi="宋体" w:eastAsia="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19275C43">
            <w:pPr>
              <w:autoSpaceDN w:val="0"/>
              <w:spacing w:line="400" w:lineRule="exact"/>
              <w:jc w:val="center"/>
              <w:textAlignment w:val="center"/>
              <w:rPr>
                <w:rFonts w:ascii="宋体" w:hAnsi="宋体" w:eastAsia="宋体" w:cs="宋体"/>
                <w:color w:val="000000"/>
                <w:sz w:val="24"/>
                <w:szCs w:val="24"/>
              </w:rPr>
            </w:pPr>
          </w:p>
        </w:tc>
      </w:tr>
    </w:tbl>
    <w:p w14:paraId="7FC4DF8C">
      <w:pPr>
        <w:spacing w:before="40" w:after="40" w:line="360" w:lineRule="auto"/>
        <w:ind w:firstLine="468" w:firstLineChars="195"/>
        <w:rPr>
          <w:rFonts w:ascii="宋体" w:hAnsi="宋体" w:eastAsia="宋体" w:cs="宋体"/>
          <w:sz w:val="24"/>
          <w:szCs w:val="24"/>
        </w:rPr>
      </w:pPr>
    </w:p>
    <w:p w14:paraId="78180458">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1、维保单位负责学院内的所有消防设施、设备和系统的维护保养工作。具体工作是保证学院内所有建筑物的火灾报警系统、消火栓系统、喷淋系统、防火隔断、防火卷帘及防火门系统、安全疏散应急照明系统、语音系统，消防泵房、室外消火栓及消防各种标识的完好和正常运行；</w:t>
      </w:r>
    </w:p>
    <w:p w14:paraId="66B6AB36">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2、维保单位负责按《江苏省消防设施检测规程》定期对学院现有消防设施进行检查维修，并作好记录，其记录存放在主消控室备查；</w:t>
      </w:r>
    </w:p>
    <w:p w14:paraId="0D7EED92">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3、在系统维修时，由学院负责的配件、材料采购不能及时到位的情况下，维保单位应及时向学院提供维修所需的各种备品备件和辅助材料，确保维保及时到位；</w:t>
      </w:r>
    </w:p>
    <w:p w14:paraId="7E2C7385">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4、维保单位负责帮助学院建立完善的消防系统管理档案，负责对学院工作人员进行培训；</w:t>
      </w:r>
    </w:p>
    <w:p w14:paraId="5CB4BACE">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5、维保单位负责为学院提供消防技术咨询，配合学院组织消防知识普及和日常的消防安全检查；</w:t>
      </w:r>
    </w:p>
    <w:p w14:paraId="1BC86CF0">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6、维保单位应派员参加学院组织的有关消防演练活动，并协助学院进行消防知识讲座；</w:t>
      </w:r>
    </w:p>
    <w:p w14:paraId="521AA602">
      <w:pPr>
        <w:spacing w:before="40" w:after="40" w:line="360" w:lineRule="auto"/>
        <w:ind w:firstLine="468" w:firstLineChars="195"/>
        <w:rPr>
          <w:rFonts w:hint="default" w:ascii="宋体" w:hAnsi="宋体" w:eastAsia="宋体" w:cs="宋体"/>
          <w:sz w:val="24"/>
          <w:szCs w:val="24"/>
          <w:lang w:val="en-US" w:eastAsia="zh-CN"/>
        </w:rPr>
      </w:pPr>
      <w:r>
        <w:rPr>
          <w:rFonts w:hint="eastAsia" w:ascii="宋体" w:hAnsi="宋体" w:eastAsia="宋体" w:cs="宋体"/>
          <w:sz w:val="24"/>
          <w:szCs w:val="24"/>
        </w:rPr>
        <w:t>7、维保单位在接到学院报修电话后，应立即派人维修，维修人员必须在1小时内到达现场，</w:t>
      </w:r>
      <w:r>
        <w:rPr>
          <w:rFonts w:hint="eastAsia" w:ascii="宋体" w:hAnsi="宋体" w:eastAsia="宋体" w:cs="宋体"/>
          <w:sz w:val="24"/>
          <w:szCs w:val="24"/>
          <w:highlight w:val="none"/>
          <w:lang w:val="en-US" w:eastAsia="zh-CN"/>
        </w:rPr>
        <w:t>经甲方或消防救援部门认定的修复期限内完成修复。</w:t>
      </w:r>
    </w:p>
    <w:p w14:paraId="7681985C">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8、维保单位每次检修、测试、保养结束后，须48小时内提交由学院委派人员签证确认的检修记录；</w:t>
      </w:r>
    </w:p>
    <w:p w14:paraId="13700B46">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9、维保单位每季度至少一次对消防设施设备进行维护和保养；国家法定节假日及寒暑假应提前上门对消防设施设备进行检修，并做好重点防火部位和重点防火时期的巡查检修工作；</w:t>
      </w:r>
    </w:p>
    <w:p w14:paraId="21D503FE">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10、维保单位应确保学院的消防系统能满足上级消防管理部门的各种日常检查、年检的需要，如果因维保单位的原因出现消防检查、年检不合格，乙方应承担由此造成的各种后果；</w:t>
      </w:r>
    </w:p>
    <w:p w14:paraId="11B7308B">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11、若校园内出现火灾等消防安全事故，而消防系统存在故障或动作不及时，因维保单位的原因给学院造成的损失由维保单位承担；</w:t>
      </w:r>
    </w:p>
    <w:p w14:paraId="498DB573">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12、维保单位应配合学院做好每年的消防年检工作；</w:t>
      </w:r>
    </w:p>
    <w:p w14:paraId="42D067B6">
      <w:pPr>
        <w:spacing w:before="40" w:after="40"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rPr>
        <w:t>13、</w:t>
      </w:r>
      <w:r>
        <w:rPr>
          <w:rFonts w:hint="eastAsia" w:ascii="宋体" w:hAnsi="宋体" w:eastAsia="宋体" w:cs="宋体"/>
          <w:sz w:val="24"/>
          <w:szCs w:val="24"/>
          <w:highlight w:val="none"/>
        </w:rPr>
        <w:t>维保</w:t>
      </w:r>
      <w:r>
        <w:rPr>
          <w:rFonts w:hint="eastAsia" w:ascii="宋体" w:hAnsi="宋体" w:eastAsia="宋体" w:cs="宋体"/>
          <w:color w:val="000000"/>
          <w:sz w:val="24"/>
          <w:szCs w:val="24"/>
          <w:highlight w:val="none"/>
        </w:rPr>
        <w:t>项目经理资料（需有执业证书、从业年限、</w:t>
      </w:r>
      <w:r>
        <w:rPr>
          <w:rFonts w:hint="eastAsia" w:ascii="宋体" w:hAnsi="宋体" w:eastAsia="宋体" w:cs="宋体"/>
          <w:color w:val="000000"/>
          <w:kern w:val="0"/>
          <w:sz w:val="24"/>
          <w:szCs w:val="24"/>
          <w:highlight w:val="none"/>
        </w:rPr>
        <w:t>国家注册消防工程师证书</w:t>
      </w:r>
      <w:r>
        <w:rPr>
          <w:rFonts w:hint="eastAsia" w:ascii="宋体" w:hAnsi="宋体" w:eastAsia="宋体" w:cs="宋体"/>
          <w:color w:val="000000"/>
          <w:sz w:val="24"/>
          <w:szCs w:val="24"/>
          <w:highlight w:val="none"/>
        </w:rPr>
        <w:t>等），</w:t>
      </w:r>
      <w:r>
        <w:rPr>
          <w:rFonts w:hint="eastAsia" w:ascii="宋体" w:hAnsi="宋体" w:eastAsia="宋体" w:cs="宋体"/>
          <w:sz w:val="24"/>
          <w:szCs w:val="24"/>
          <w:highlight w:val="none"/>
        </w:rPr>
        <w:t>须派至少1名工作人员进驻校园值班，每周至少6天，完成指派的消防维保任务；每月</w:t>
      </w:r>
      <w:r>
        <w:rPr>
          <w:rFonts w:hint="eastAsia" w:ascii="宋体" w:hAnsi="宋体" w:cs="宋体"/>
          <w:sz w:val="24"/>
          <w:highlight w:val="none"/>
        </w:rPr>
        <w:t>项目经理不少于4次驻场指导</w:t>
      </w:r>
      <w:r>
        <w:rPr>
          <w:rFonts w:hint="eastAsia" w:ascii="宋体" w:hAnsi="宋体" w:eastAsia="宋体" w:cs="宋体"/>
          <w:sz w:val="24"/>
          <w:szCs w:val="24"/>
          <w:highlight w:val="none"/>
        </w:rPr>
        <w:t>。如出现紧急情况维保单位人员，一小时内抵达现场。</w:t>
      </w:r>
    </w:p>
    <w:p w14:paraId="27FE709E">
      <w:pPr>
        <w:spacing w:before="40" w:after="40"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highlight w:val="none"/>
        </w:rPr>
        <w:t>14、协助学院开展建筑物消防验收工作，协助校内部门关于消防隐患排除工作和其他消防相关工作安排。</w:t>
      </w:r>
    </w:p>
    <w:p w14:paraId="2A9B72CF">
      <w:pPr>
        <w:spacing w:before="40" w:after="40"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highlight w:val="none"/>
        </w:rPr>
        <w:t>15、合同签订后半年内绘制</w:t>
      </w:r>
      <w:r>
        <w:rPr>
          <w:rFonts w:hint="eastAsia" w:ascii="宋体" w:hAnsi="宋体" w:eastAsia="宋体" w:cs="宋体"/>
          <w:sz w:val="24"/>
          <w:szCs w:val="24"/>
          <w:highlight w:val="none"/>
          <w:lang w:val="en-US" w:eastAsia="zh-CN"/>
        </w:rPr>
        <w:t>符合甲方要求的</w:t>
      </w:r>
      <w:r>
        <w:rPr>
          <w:rFonts w:hint="eastAsia" w:ascii="宋体" w:hAnsi="宋体" w:eastAsia="宋体" w:cs="宋体"/>
          <w:sz w:val="24"/>
          <w:szCs w:val="24"/>
          <w:highlight w:val="none"/>
        </w:rPr>
        <w:t>室外消防管网图。</w:t>
      </w:r>
    </w:p>
    <w:p w14:paraId="58296DEF">
      <w:pPr>
        <w:spacing w:before="40" w:after="40"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highlight w:val="none"/>
        </w:rPr>
        <w:t>16、维保单位需提供完整的消防设备零部件更换、维修价格表，漏报部件维修更换由维保单位负责，</w:t>
      </w:r>
      <w:r>
        <w:rPr>
          <w:rFonts w:hint="eastAsia" w:ascii="宋体" w:hAnsi="宋体" w:cs="宋体"/>
          <w:sz w:val="24"/>
          <w:highlight w:val="none"/>
        </w:rPr>
        <w:t>单次维修报价（单价）在</w:t>
      </w:r>
      <w:r>
        <w:rPr>
          <w:rFonts w:hint="eastAsia" w:ascii="宋体" w:hAnsi="宋体" w:cs="宋体"/>
          <w:sz w:val="24"/>
          <w:highlight w:val="none"/>
          <w:lang w:val="en-US" w:eastAsia="zh-CN"/>
        </w:rPr>
        <w:t>5</w:t>
      </w:r>
      <w:r>
        <w:rPr>
          <w:rFonts w:hint="eastAsia" w:ascii="宋体" w:hAnsi="宋体" w:cs="宋体"/>
          <w:sz w:val="24"/>
          <w:highlight w:val="none"/>
        </w:rPr>
        <w:t>00元的辅材和易损材料等。</w:t>
      </w:r>
      <w:r>
        <w:rPr>
          <w:rFonts w:hint="eastAsia" w:ascii="宋体" w:hAnsi="宋体" w:eastAsia="宋体" w:cs="宋体"/>
          <w:sz w:val="24"/>
          <w:szCs w:val="24"/>
          <w:highlight w:val="none"/>
        </w:rPr>
        <w:t>在维保过程中，必须坚持以修为主的原则，确需更换零件时，乙方应及时写出书面说明，由甲乙双方共同论证确定，待甲方认可后方可实施。</w:t>
      </w:r>
    </w:p>
    <w:p w14:paraId="2B9881BD">
      <w:pPr>
        <w:spacing w:before="40" w:after="40"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color w:val="000000"/>
          <w:sz w:val="24"/>
          <w:szCs w:val="24"/>
          <w:highlight w:val="none"/>
        </w:rPr>
        <w:t>维保单位具有经法定计量检测机构检测合格证明的检测工具（证书在有效期限范围之内），主要包括：水喷淋系统试水检测用压力表、数字照度计、数字温湿度计、数字万用表、绝缘电阻测量仪、泡沫称重电子秤、激光测距仪、磁性测厚仪、测厚仪、数字风速计、数字声级计等</w:t>
      </w:r>
      <w:r>
        <w:rPr>
          <w:rFonts w:hint="eastAsia" w:ascii="宋体" w:hAnsi="宋体" w:eastAsia="宋体" w:cs="宋体"/>
          <w:b/>
          <w:bCs/>
          <w:color w:val="000000"/>
          <w:kern w:val="1"/>
          <w:sz w:val="24"/>
          <w:szCs w:val="24"/>
          <w:highlight w:val="none"/>
        </w:rPr>
        <w:t>。</w:t>
      </w:r>
    </w:p>
    <w:p w14:paraId="7FED4463">
      <w:pPr>
        <w:spacing w:before="40" w:after="40" w:line="360" w:lineRule="auto"/>
        <w:ind w:firstLine="468" w:firstLineChars="195"/>
        <w:rPr>
          <w:rFonts w:ascii="宋体" w:hAnsi="宋体" w:eastAsia="宋体" w:cs="宋体"/>
          <w:sz w:val="24"/>
          <w:szCs w:val="24"/>
        </w:rPr>
      </w:pPr>
    </w:p>
    <w:p w14:paraId="0AE23865">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付款方式：</w:t>
      </w:r>
    </w:p>
    <w:p w14:paraId="67855F4A">
      <w:pPr>
        <w:spacing w:before="40" w:after="40" w:line="360" w:lineRule="auto"/>
        <w:ind w:firstLine="468" w:firstLineChars="195"/>
        <w:rPr>
          <w:rFonts w:ascii="宋体" w:hAnsi="宋体" w:eastAsia="宋体" w:cs="宋体"/>
          <w:sz w:val="24"/>
          <w:szCs w:val="24"/>
        </w:rPr>
      </w:pPr>
      <w:r>
        <w:rPr>
          <w:rFonts w:hint="eastAsia" w:ascii="宋体" w:hAnsi="宋体" w:eastAsia="宋体" w:cs="宋体"/>
          <w:sz w:val="24"/>
          <w:szCs w:val="24"/>
        </w:rPr>
        <w:t>服务期为2024年9月17日—2026年9月16日，满半年支付45%，期满支付45%，剩余10%的服务费作为年度考核基金。合同期满后，根据年度考核结果分级发放。考核为优，按全年预留考核保证金全额发放；考核为良，按全年预留考核保证金的90%发放；考核为合格，按全年预留考核保证金的80%发放；考核为不合格，扣除全年预留考核保证金。乙方在服务期满时开具符合财务制度要求的正规票据。</w:t>
      </w:r>
    </w:p>
    <w:p w14:paraId="1E8263D6">
      <w:pPr>
        <w:rPr>
          <w:rFonts w:ascii="宋体" w:hAnsi="宋体" w:eastAsia="宋体" w:cs="宋体"/>
          <w:kern w:val="44"/>
          <w:sz w:val="36"/>
          <w:szCs w:val="36"/>
          <w:u w:color="000000"/>
          <w:lang w:val="zh-TW" w:eastAsia="zh-TW"/>
        </w:rPr>
      </w:pPr>
      <w:r>
        <w:rPr>
          <w:rFonts w:hint="eastAsia" w:ascii="宋体" w:hAnsi="宋体" w:eastAsia="宋体" w:cs="宋体"/>
          <w:kern w:val="44"/>
          <w:sz w:val="36"/>
          <w:szCs w:val="36"/>
          <w:u w:color="000000"/>
          <w:lang w:val="zh-TW" w:eastAsia="zh-TW"/>
        </w:rPr>
        <w:br w:type="page"/>
      </w:r>
    </w:p>
    <w:p w14:paraId="66F3C834">
      <w:pPr>
        <w:ind w:firstLine="1760" w:firstLineChars="400"/>
        <w:rPr>
          <w:rFonts w:hint="eastAsia"/>
          <w:sz w:val="44"/>
          <w:szCs w:val="44"/>
        </w:rPr>
      </w:pPr>
      <w:r>
        <w:rPr>
          <w:rFonts w:hint="eastAsia"/>
          <w:sz w:val="44"/>
          <w:szCs w:val="44"/>
        </w:rPr>
        <w:t>消防维保服务考核表</w:t>
      </w:r>
    </w:p>
    <w:tbl>
      <w:tblPr>
        <w:tblStyle w:val="26"/>
        <w:tblpPr w:leftFromText="180" w:rightFromText="180" w:vertAnchor="page" w:horzAnchor="page" w:tblpX="1641" w:tblpY="2249"/>
        <w:tblW w:w="8767" w:type="dxa"/>
        <w:tblInd w:w="0" w:type="dxa"/>
        <w:tblLayout w:type="autofit"/>
        <w:tblCellMar>
          <w:top w:w="0" w:type="dxa"/>
          <w:left w:w="0" w:type="dxa"/>
          <w:bottom w:w="0" w:type="dxa"/>
          <w:right w:w="0" w:type="dxa"/>
        </w:tblCellMar>
      </w:tblPr>
      <w:tblGrid>
        <w:gridCol w:w="700"/>
        <w:gridCol w:w="3098"/>
        <w:gridCol w:w="956"/>
        <w:gridCol w:w="3113"/>
        <w:gridCol w:w="900"/>
      </w:tblGrid>
      <w:tr w14:paraId="19A5E962">
        <w:tblPrEx>
          <w:tblCellMar>
            <w:top w:w="0" w:type="dxa"/>
            <w:left w:w="0" w:type="dxa"/>
            <w:bottom w:w="0" w:type="dxa"/>
            <w:right w:w="0"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3F44412">
            <w:pPr>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850182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考核项目</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639481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标准分值</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A485183">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评分方法</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84408B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得分</w:t>
            </w:r>
          </w:p>
        </w:tc>
      </w:tr>
      <w:tr w14:paraId="1BE7F846">
        <w:tblPrEx>
          <w:tblCellMar>
            <w:top w:w="0" w:type="dxa"/>
            <w:left w:w="0" w:type="dxa"/>
            <w:bottom w:w="0" w:type="dxa"/>
            <w:right w:w="0" w:type="dxa"/>
          </w:tblCellMar>
        </w:tblPrEx>
        <w:trPr>
          <w:trHeight w:val="936"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45958D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6AE25446">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维保单位、</w:t>
            </w:r>
            <w:r>
              <w:rPr>
                <w:rFonts w:hint="eastAsia" w:ascii="宋体" w:hAnsi="宋体" w:eastAsia="宋体" w:cs="宋体"/>
                <w:kern w:val="0"/>
                <w:szCs w:val="21"/>
                <w:lang w:val="en-US" w:eastAsia="zh-CN"/>
              </w:rPr>
              <w:t>驻场</w:t>
            </w:r>
            <w:r>
              <w:rPr>
                <w:rFonts w:hint="eastAsia" w:ascii="宋体" w:hAnsi="宋体" w:eastAsia="宋体" w:cs="宋体"/>
                <w:kern w:val="0"/>
                <w:szCs w:val="21"/>
              </w:rPr>
              <w:t>人员维保资质是否合法有效</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6B63B610">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10</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DCC6E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合法有效:10分</w:t>
            </w:r>
          </w:p>
          <w:p w14:paraId="0B55ED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缺一项: 5分</w:t>
            </w:r>
          </w:p>
          <w:p w14:paraId="523FB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无资质不得分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C8B35CC">
            <w:pPr>
              <w:spacing w:line="360" w:lineRule="auto"/>
              <w:jc w:val="center"/>
              <w:rPr>
                <w:rFonts w:hint="eastAsia" w:ascii="宋体" w:hAnsi="宋体" w:eastAsia="宋体" w:cs="宋体"/>
                <w:kern w:val="0"/>
                <w:szCs w:val="21"/>
              </w:rPr>
            </w:pPr>
          </w:p>
        </w:tc>
      </w:tr>
      <w:tr w14:paraId="3EF09713">
        <w:tblPrEx>
          <w:tblCellMar>
            <w:top w:w="0" w:type="dxa"/>
            <w:left w:w="0" w:type="dxa"/>
            <w:bottom w:w="0" w:type="dxa"/>
            <w:right w:w="0" w:type="dxa"/>
          </w:tblCellMar>
        </w:tblPrEx>
        <w:trPr>
          <w:trHeight w:val="1248"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2BB9A76">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3022CE0">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维保是否及时、是否按照规程规范操作</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648F6C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15</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279B0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维保及时、按照规程作业: 15分</w:t>
            </w:r>
          </w:p>
          <w:p w14:paraId="54E30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维保不及时:一次扣1分</w:t>
            </w:r>
          </w:p>
          <w:p w14:paraId="40884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不按规程操作扣10分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60B73327">
            <w:pPr>
              <w:spacing w:line="360" w:lineRule="auto"/>
              <w:jc w:val="center"/>
              <w:rPr>
                <w:rFonts w:hint="eastAsia" w:ascii="宋体" w:hAnsi="宋体" w:eastAsia="宋体" w:cs="宋体"/>
                <w:kern w:val="0"/>
                <w:szCs w:val="21"/>
              </w:rPr>
            </w:pPr>
          </w:p>
        </w:tc>
      </w:tr>
      <w:tr w14:paraId="6F0F207F">
        <w:tblPrEx>
          <w:tblCellMar>
            <w:top w:w="0" w:type="dxa"/>
            <w:left w:w="0" w:type="dxa"/>
            <w:bottom w:w="0" w:type="dxa"/>
            <w:right w:w="0" w:type="dxa"/>
          </w:tblCellMar>
        </w:tblPrEx>
        <w:trPr>
          <w:trHeight w:val="936"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FE65AE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7C5196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故障处理是否及时，维保人员到场一般不超过30分钟</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0DDC6D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15</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0F84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及时救援抢修: 15 分</w:t>
            </w:r>
          </w:p>
          <w:p w14:paraId="7EFB9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迟到一次扣: 3分</w:t>
            </w:r>
          </w:p>
          <w:p w14:paraId="69D52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不到达处理的不得分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33240B6B">
            <w:pPr>
              <w:spacing w:line="360" w:lineRule="auto"/>
              <w:jc w:val="center"/>
              <w:rPr>
                <w:rFonts w:hint="eastAsia" w:ascii="宋体" w:hAnsi="宋体" w:eastAsia="宋体" w:cs="宋体"/>
                <w:kern w:val="0"/>
                <w:szCs w:val="21"/>
              </w:rPr>
            </w:pPr>
          </w:p>
        </w:tc>
      </w:tr>
      <w:tr w14:paraId="0C85B384">
        <w:tblPrEx>
          <w:tblCellMar>
            <w:top w:w="0" w:type="dxa"/>
            <w:left w:w="0" w:type="dxa"/>
            <w:bottom w:w="0" w:type="dxa"/>
            <w:right w:w="0" w:type="dxa"/>
          </w:tblCellMar>
        </w:tblPrEx>
        <w:trPr>
          <w:trHeight w:val="936"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ACCCE86">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4</w:t>
            </w: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299D3AB">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维保人员工作态度热情主动，积极、责任心强、工作效率高、工作质量优良</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BAD0AF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10</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39839C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满意:10分</w:t>
            </w:r>
          </w:p>
          <w:p w14:paraId="308033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较满意:6分</w:t>
            </w:r>
          </w:p>
          <w:p w14:paraId="0904FD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不满意不得分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C8E1973">
            <w:pPr>
              <w:spacing w:line="360" w:lineRule="auto"/>
              <w:jc w:val="center"/>
              <w:rPr>
                <w:rFonts w:hint="eastAsia" w:ascii="宋体" w:hAnsi="宋体" w:eastAsia="宋体" w:cs="宋体"/>
                <w:kern w:val="0"/>
                <w:szCs w:val="21"/>
              </w:rPr>
            </w:pPr>
          </w:p>
        </w:tc>
      </w:tr>
      <w:tr w14:paraId="4D3CA607">
        <w:tblPrEx>
          <w:tblCellMar>
            <w:top w:w="0" w:type="dxa"/>
            <w:left w:w="0" w:type="dxa"/>
            <w:bottom w:w="0" w:type="dxa"/>
            <w:right w:w="0" w:type="dxa"/>
          </w:tblCellMar>
        </w:tblPrEx>
        <w:trPr>
          <w:trHeight w:val="936"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C9F573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5</w:t>
            </w: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2ECDCD8">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工作记录、维修过程是否按要求规范详细填写，设备档案是否完整有序</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94797EF">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10</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F51A2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详细完整: 10分</w:t>
            </w:r>
          </w:p>
          <w:p w14:paraId="101570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缺一项扣: 0.5分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BC08B36">
            <w:pPr>
              <w:spacing w:line="360" w:lineRule="auto"/>
              <w:jc w:val="center"/>
              <w:rPr>
                <w:rFonts w:hint="eastAsia" w:ascii="宋体" w:hAnsi="宋体" w:eastAsia="宋体" w:cs="宋体"/>
                <w:kern w:val="0"/>
                <w:szCs w:val="21"/>
              </w:rPr>
            </w:pPr>
          </w:p>
        </w:tc>
      </w:tr>
      <w:tr w14:paraId="5AEFDCC3">
        <w:tblPrEx>
          <w:tblCellMar>
            <w:top w:w="0" w:type="dxa"/>
            <w:left w:w="0" w:type="dxa"/>
            <w:bottom w:w="0" w:type="dxa"/>
            <w:right w:w="0" w:type="dxa"/>
          </w:tblCellMar>
        </w:tblPrEx>
        <w:trPr>
          <w:trHeight w:val="936"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6A20391">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6</w:t>
            </w: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045F88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维保单位是否帮助使用单位制定应急救援预案，并定期组织演练</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2FED202">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15</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4DA78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制定并演练: 15分</w:t>
            </w:r>
          </w:p>
          <w:p w14:paraId="7543D6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制定未演练: 7分</w:t>
            </w:r>
          </w:p>
          <w:p w14:paraId="5B4AAF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未制定、未开展不得分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8EF8FEA">
            <w:pPr>
              <w:spacing w:line="360" w:lineRule="auto"/>
              <w:jc w:val="center"/>
              <w:rPr>
                <w:rFonts w:hint="eastAsia" w:ascii="宋体" w:hAnsi="宋体" w:eastAsia="宋体" w:cs="宋体"/>
                <w:kern w:val="0"/>
                <w:szCs w:val="21"/>
              </w:rPr>
            </w:pPr>
          </w:p>
        </w:tc>
      </w:tr>
      <w:tr w14:paraId="3176C07C">
        <w:tblPrEx>
          <w:tblCellMar>
            <w:top w:w="0" w:type="dxa"/>
            <w:left w:w="0" w:type="dxa"/>
            <w:bottom w:w="0" w:type="dxa"/>
            <w:right w:w="0" w:type="dxa"/>
          </w:tblCellMar>
        </w:tblPrEx>
        <w:trPr>
          <w:trHeight w:val="936"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3A5EEB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7</w:t>
            </w: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6A1F713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维保单位是否按时开展月度、季度、年度维护保养</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9A7DDF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10</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9AE7A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按时规范作业:10分</w:t>
            </w:r>
          </w:p>
          <w:p w14:paraId="568AC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缺一项扣: 1分</w:t>
            </w:r>
          </w:p>
          <w:p w14:paraId="0672B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不能及时按规程开展不得分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6E04A991">
            <w:pPr>
              <w:spacing w:line="360" w:lineRule="auto"/>
              <w:jc w:val="center"/>
              <w:rPr>
                <w:rFonts w:hint="eastAsia" w:ascii="宋体" w:hAnsi="宋体" w:eastAsia="宋体" w:cs="宋体"/>
                <w:kern w:val="0"/>
                <w:szCs w:val="21"/>
              </w:rPr>
            </w:pPr>
          </w:p>
        </w:tc>
      </w:tr>
      <w:tr w14:paraId="3E95EFC4">
        <w:tblPrEx>
          <w:tblCellMar>
            <w:top w:w="0" w:type="dxa"/>
            <w:left w:w="0" w:type="dxa"/>
            <w:bottom w:w="0" w:type="dxa"/>
            <w:right w:w="0" w:type="dxa"/>
          </w:tblCellMar>
        </w:tblPrEx>
        <w:trPr>
          <w:trHeight w:val="1248"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7290CC5">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8</w:t>
            </w: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045342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是否有固定维保救援点，能够及时实施救援、抢修</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990C87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15</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2FAC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设立能及时实施完成: 15分</w:t>
            </w:r>
          </w:p>
          <w:p w14:paraId="297BCA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未设立6分</w:t>
            </w:r>
          </w:p>
          <w:p w14:paraId="2EB7AD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不能及时实施救援:一次扣3分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935AAD2">
            <w:pPr>
              <w:spacing w:line="360" w:lineRule="auto"/>
              <w:jc w:val="center"/>
              <w:rPr>
                <w:rFonts w:hint="eastAsia" w:ascii="宋体" w:hAnsi="宋体" w:eastAsia="宋体" w:cs="宋体"/>
                <w:kern w:val="0"/>
                <w:szCs w:val="21"/>
              </w:rPr>
            </w:pPr>
          </w:p>
        </w:tc>
      </w:tr>
      <w:tr w14:paraId="36E38CC3">
        <w:tblPrEx>
          <w:tblCellMar>
            <w:top w:w="0" w:type="dxa"/>
            <w:left w:w="0" w:type="dxa"/>
            <w:bottom w:w="0" w:type="dxa"/>
            <w:right w:w="0" w:type="dxa"/>
          </w:tblCellMar>
        </w:tblPrEx>
        <w:trPr>
          <w:trHeight w:val="312" w:hRule="atLeast"/>
        </w:trPr>
        <w:tc>
          <w:tcPr>
            <w:tcW w:w="7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37DBE5B">
            <w:pPr>
              <w:spacing w:line="360" w:lineRule="auto"/>
              <w:jc w:val="center"/>
              <w:rPr>
                <w:rFonts w:hint="eastAsia" w:ascii="宋体" w:hAnsi="宋体" w:eastAsia="宋体" w:cs="宋体"/>
                <w:kern w:val="0"/>
                <w:szCs w:val="21"/>
              </w:rPr>
            </w:pPr>
          </w:p>
        </w:tc>
        <w:tc>
          <w:tcPr>
            <w:tcW w:w="309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43B354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合计得分</w:t>
            </w:r>
          </w:p>
        </w:tc>
        <w:tc>
          <w:tcPr>
            <w:tcW w:w="95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3B42FA1F">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100</w:t>
            </w:r>
          </w:p>
        </w:tc>
        <w:tc>
          <w:tcPr>
            <w:tcW w:w="311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6B03C6AB">
            <w:pPr>
              <w:spacing w:line="360" w:lineRule="auto"/>
              <w:jc w:val="center"/>
              <w:rPr>
                <w:rFonts w:hint="eastAsia" w:ascii="宋体" w:hAnsi="宋体" w:eastAsia="宋体" w:cs="宋体"/>
                <w:kern w:val="0"/>
                <w:szCs w:val="21"/>
              </w:rPr>
            </w:pP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6E26EF67">
            <w:pPr>
              <w:spacing w:line="360" w:lineRule="auto"/>
              <w:jc w:val="center"/>
              <w:rPr>
                <w:rFonts w:hint="eastAsia" w:ascii="宋体" w:hAnsi="宋体" w:eastAsia="宋体" w:cs="宋体"/>
                <w:kern w:val="0"/>
                <w:szCs w:val="21"/>
              </w:rPr>
            </w:pPr>
          </w:p>
        </w:tc>
      </w:tr>
    </w:tbl>
    <w:p w14:paraId="3E90A8D3">
      <w:pPr>
        <w:spacing w:before="40" w:after="40" w:line="360" w:lineRule="auto"/>
        <w:ind w:firstLine="468" w:firstLineChars="195"/>
        <w:rPr>
          <w:rFonts w:hint="eastAsia" w:ascii="宋体" w:hAnsi="宋体" w:eastAsia="宋体" w:cs="宋体"/>
          <w:sz w:val="24"/>
          <w:szCs w:val="24"/>
          <w:lang w:val="zh-TW" w:eastAsia="zh-CN"/>
        </w:rPr>
      </w:pPr>
      <w:r>
        <w:rPr>
          <w:rFonts w:hint="eastAsia" w:ascii="宋体" w:hAnsi="宋体" w:eastAsia="宋体" w:cs="宋体"/>
          <w:sz w:val="24"/>
          <w:szCs w:val="24"/>
        </w:rPr>
        <w:t>合同期满后，根据年度考核结果分级发放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90分以上</w:t>
      </w:r>
      <w:r>
        <w:rPr>
          <w:rFonts w:hint="eastAsia" w:ascii="宋体" w:hAnsi="宋体" w:eastAsia="宋体" w:cs="宋体"/>
          <w:sz w:val="24"/>
          <w:szCs w:val="24"/>
        </w:rPr>
        <w:t>考核为优，按全年预留考核保证金全额发放；</w:t>
      </w:r>
      <w:r>
        <w:rPr>
          <w:rFonts w:hint="eastAsia" w:ascii="宋体" w:hAnsi="宋体" w:eastAsia="宋体" w:cs="宋体"/>
          <w:sz w:val="24"/>
          <w:szCs w:val="24"/>
          <w:lang w:val="en-US" w:eastAsia="zh-CN"/>
        </w:rPr>
        <w:t>70-89分</w:t>
      </w:r>
      <w:r>
        <w:rPr>
          <w:rFonts w:hint="eastAsia" w:ascii="宋体" w:hAnsi="宋体" w:eastAsia="宋体" w:cs="宋体"/>
          <w:sz w:val="24"/>
          <w:szCs w:val="24"/>
        </w:rPr>
        <w:t>考核为良，按全年预留考核保证金的90%发放；</w:t>
      </w:r>
      <w:r>
        <w:rPr>
          <w:rFonts w:hint="eastAsia" w:ascii="宋体" w:hAnsi="宋体" w:eastAsia="宋体" w:cs="宋体"/>
          <w:sz w:val="24"/>
          <w:szCs w:val="24"/>
          <w:lang w:val="en-US" w:eastAsia="zh-CN"/>
        </w:rPr>
        <w:t>60-69分</w:t>
      </w:r>
      <w:r>
        <w:rPr>
          <w:rFonts w:hint="eastAsia" w:ascii="宋体" w:hAnsi="宋体" w:eastAsia="宋体" w:cs="宋体"/>
          <w:sz w:val="24"/>
          <w:szCs w:val="24"/>
        </w:rPr>
        <w:t>考核为合格，按全年预留考核保证金的80%发放；</w:t>
      </w:r>
      <w:r>
        <w:rPr>
          <w:rFonts w:hint="eastAsia" w:ascii="宋体" w:hAnsi="宋体" w:eastAsia="宋体" w:cs="宋体"/>
          <w:sz w:val="24"/>
          <w:szCs w:val="24"/>
          <w:lang w:val="en-US" w:eastAsia="zh-CN"/>
        </w:rPr>
        <w:t>60分以内</w:t>
      </w:r>
      <w:r>
        <w:rPr>
          <w:rFonts w:hint="eastAsia" w:ascii="宋体" w:hAnsi="宋体" w:eastAsia="宋体" w:cs="宋体"/>
          <w:sz w:val="24"/>
          <w:szCs w:val="24"/>
        </w:rPr>
        <w:t>考核为不合格，扣除全年预留考核保证金</w:t>
      </w:r>
      <w:r>
        <w:rPr>
          <w:rFonts w:hint="eastAsia" w:ascii="宋体" w:hAnsi="宋体" w:eastAsia="宋体" w:cs="宋体"/>
          <w:sz w:val="24"/>
          <w:szCs w:val="24"/>
          <w:lang w:eastAsia="zh-CN"/>
        </w:rPr>
        <w:t>。</w:t>
      </w:r>
    </w:p>
    <w:p w14:paraId="7023C869">
      <w:pPr>
        <w:keepNext/>
        <w:keepLines/>
        <w:spacing w:before="312" w:beforeLines="100" w:after="312" w:afterLines="100" w:line="360" w:lineRule="auto"/>
        <w:jc w:val="center"/>
        <w:outlineLvl w:val="0"/>
        <w:rPr>
          <w:rFonts w:ascii="宋体" w:hAnsi="宋体" w:eastAsia="宋体" w:cs="宋体"/>
          <w:kern w:val="44"/>
          <w:sz w:val="36"/>
          <w:szCs w:val="36"/>
          <w:u w:color="000000"/>
          <w:lang w:val="zh-TW" w:eastAsia="zh-TW"/>
        </w:rPr>
      </w:pPr>
      <w:r>
        <w:rPr>
          <w:rFonts w:hint="eastAsia" w:ascii="宋体" w:hAnsi="宋体" w:eastAsia="宋体" w:cs="宋体"/>
          <w:kern w:val="44"/>
          <w:sz w:val="36"/>
          <w:szCs w:val="36"/>
          <w:u w:color="000000"/>
          <w:lang w:val="zh-TW" w:eastAsia="zh-TW"/>
        </w:rPr>
        <w:t>第</w:t>
      </w:r>
      <w:r>
        <w:rPr>
          <w:rFonts w:hint="eastAsia" w:ascii="宋体" w:hAnsi="宋体" w:eastAsia="宋体" w:cs="宋体"/>
          <w:kern w:val="44"/>
          <w:sz w:val="36"/>
          <w:szCs w:val="36"/>
          <w:u w:color="000000"/>
          <w:lang w:val="zh-TW"/>
        </w:rPr>
        <w:t>五</w:t>
      </w:r>
      <w:r>
        <w:rPr>
          <w:rFonts w:hint="eastAsia" w:ascii="宋体" w:hAnsi="宋体" w:eastAsia="宋体" w:cs="宋体"/>
          <w:kern w:val="44"/>
          <w:sz w:val="36"/>
          <w:szCs w:val="36"/>
          <w:u w:color="000000"/>
          <w:lang w:val="zh-TW" w:eastAsia="zh-TW"/>
        </w:rPr>
        <w:t>章  评标方法与评标标准</w:t>
      </w:r>
      <w:bookmarkEnd w:id="14"/>
    </w:p>
    <w:p w14:paraId="17FE5E6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一、评标方法与定标原则</w:t>
      </w:r>
    </w:p>
    <w:p w14:paraId="442D2A5F">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评标委员会将对确定为实质性响应招标文件要求的投标文件进行评价和比较，评标采用综合评分法。对未中标人，将不作任何解释。</w:t>
      </w:r>
    </w:p>
    <w:p w14:paraId="7F96D314">
      <w:pPr>
        <w:spacing w:line="360" w:lineRule="auto"/>
        <w:ind w:firstLine="480" w:firstLineChars="200"/>
      </w:pPr>
      <w:r>
        <w:rPr>
          <w:rFonts w:hint="eastAsia" w:ascii="宋体" w:hAnsi="宋体" w:eastAsia="宋体" w:cs="宋体"/>
          <w:bCs/>
          <w:sz w:val="24"/>
          <w:szCs w:val="24"/>
        </w:rPr>
        <w:t>采用综合评分法的，按评审后综合得分由高到低顺序排列。综合得分相同的，按投标报价由低到高顺序排列。综合得分且投标报价相同的，按技术指标优劣顺序排列。</w:t>
      </w:r>
    </w:p>
    <w:p w14:paraId="45834D70">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二、评标标准</w:t>
      </w:r>
    </w:p>
    <w:p w14:paraId="02408189"/>
    <w:p w14:paraId="779D9DD3">
      <w:pPr>
        <w:spacing w:line="360" w:lineRule="auto"/>
        <w:rPr>
          <w:rFonts w:ascii="宋体" w:hAnsi="宋体" w:eastAsia="宋体" w:cs="宋体"/>
          <w:b/>
          <w:color w:val="000000"/>
          <w:sz w:val="24"/>
          <w:szCs w:val="24"/>
        </w:rPr>
      </w:pPr>
      <w:r>
        <w:rPr>
          <w:rFonts w:hint="eastAsia" w:ascii="宋体" w:hAnsi="宋体" w:eastAsia="宋体" w:cs="宋体"/>
          <w:b/>
          <w:sz w:val="24"/>
          <w:szCs w:val="24"/>
        </w:rPr>
        <w:t xml:space="preserve">注： </w:t>
      </w:r>
      <w:r>
        <w:rPr>
          <w:rFonts w:hint="eastAsia" w:ascii="宋体" w:hAnsi="宋体" w:eastAsia="宋体" w:cs="宋体"/>
          <w:b/>
          <w:color w:val="000000"/>
          <w:sz w:val="24"/>
          <w:szCs w:val="24"/>
        </w:rPr>
        <w:t>1、评分细则中要求提供的证明文件及资料等在投标文件中提供复印件，要求“原件备查”的须在投标截止前将相关原件或公证件带至开评标现场并按要求提交评委会审查。</w:t>
      </w:r>
    </w:p>
    <w:p w14:paraId="20EC321B">
      <w:pPr>
        <w:spacing w:line="360" w:lineRule="auto"/>
        <w:rPr>
          <w:rFonts w:ascii="宋体" w:hAnsi="宋体" w:eastAsia="宋体" w:cs="宋体"/>
          <w:b/>
          <w:bCs/>
          <w:kern w:val="0"/>
          <w:sz w:val="24"/>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color w:val="000000"/>
          <w:sz w:val="24"/>
          <w:szCs w:val="24"/>
        </w:rPr>
        <w:t>评标时，未能按以上要求提供相应证明（复印件和原件、公证件）的，不作为评标依据，不得分。</w:t>
      </w:r>
    </w:p>
    <w:tbl>
      <w:tblPr>
        <w:tblStyle w:val="26"/>
        <w:tblpPr w:leftFromText="180" w:rightFromText="180" w:vertAnchor="text" w:horzAnchor="page" w:tblpX="1789" w:tblpY="463"/>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4"/>
        <w:gridCol w:w="1013"/>
        <w:gridCol w:w="894"/>
        <w:gridCol w:w="6169"/>
      </w:tblGrid>
      <w:tr w14:paraId="5A94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957" w:type="dxa"/>
            <w:gridSpan w:val="2"/>
            <w:tcBorders>
              <w:top w:val="single" w:color="72A7BB" w:sz="4" w:space="0"/>
              <w:left w:val="single" w:color="72A7BB" w:sz="4" w:space="0"/>
              <w:bottom w:val="single" w:color="72A7BB" w:sz="4" w:space="0"/>
              <w:right w:val="single" w:color="72A7BB" w:sz="4" w:space="0"/>
            </w:tcBorders>
            <w:shd w:val="clear" w:color="auto" w:fill="CEE1E8"/>
            <w:vAlign w:val="center"/>
          </w:tcPr>
          <w:p w14:paraId="45CCF2C7">
            <w:pPr>
              <w:jc w:val="center"/>
              <w:rPr>
                <w:rFonts w:ascii="宋体" w:hAnsi="宋体" w:eastAsia="宋体" w:cs="宋体"/>
                <w:color w:val="000000"/>
                <w:sz w:val="24"/>
                <w:szCs w:val="24"/>
              </w:rPr>
            </w:pPr>
            <w:r>
              <w:rPr>
                <w:rFonts w:hint="eastAsia" w:ascii="宋体" w:hAnsi="宋体" w:eastAsia="宋体" w:cs="宋体"/>
                <w:color w:val="000000"/>
                <w:sz w:val="24"/>
                <w:szCs w:val="24"/>
              </w:rPr>
              <w:t>评审因素</w:t>
            </w:r>
          </w:p>
        </w:tc>
        <w:tc>
          <w:tcPr>
            <w:tcW w:w="894" w:type="dxa"/>
            <w:tcBorders>
              <w:top w:val="single" w:color="72A7BB" w:sz="4" w:space="0"/>
              <w:left w:val="single" w:color="72A7BB" w:sz="4" w:space="0"/>
              <w:bottom w:val="single" w:color="72A7BB" w:sz="4" w:space="0"/>
              <w:right w:val="single" w:color="72A7BB" w:sz="4" w:space="0"/>
            </w:tcBorders>
            <w:shd w:val="clear" w:color="auto" w:fill="CEE1E8"/>
            <w:vAlign w:val="center"/>
          </w:tcPr>
          <w:p w14:paraId="72201D5D">
            <w:pPr>
              <w:jc w:val="center"/>
              <w:rPr>
                <w:rFonts w:ascii="宋体" w:hAnsi="宋体" w:eastAsia="宋体" w:cs="宋体"/>
                <w:color w:val="000000"/>
                <w:sz w:val="24"/>
                <w:szCs w:val="24"/>
              </w:rPr>
            </w:pPr>
            <w:r>
              <w:rPr>
                <w:rFonts w:hint="eastAsia" w:ascii="宋体" w:hAnsi="宋体" w:eastAsia="宋体" w:cs="宋体"/>
                <w:color w:val="000000"/>
                <w:sz w:val="24"/>
                <w:szCs w:val="24"/>
              </w:rPr>
              <w:t>分数</w:t>
            </w:r>
          </w:p>
        </w:tc>
        <w:tc>
          <w:tcPr>
            <w:tcW w:w="6169" w:type="dxa"/>
            <w:tcBorders>
              <w:top w:val="single" w:color="72A7BB" w:sz="4" w:space="0"/>
              <w:left w:val="single" w:color="72A7BB" w:sz="4" w:space="0"/>
              <w:bottom w:val="single" w:color="72A7BB" w:sz="4" w:space="0"/>
              <w:right w:val="single" w:color="72A7BB" w:sz="4" w:space="0"/>
            </w:tcBorders>
            <w:shd w:val="clear" w:color="auto" w:fill="CEE1E8"/>
            <w:vAlign w:val="center"/>
          </w:tcPr>
          <w:p w14:paraId="4F94130D">
            <w:pPr>
              <w:jc w:val="center"/>
              <w:rPr>
                <w:rFonts w:ascii="宋体" w:hAnsi="宋体" w:eastAsia="宋体" w:cs="宋体"/>
                <w:color w:val="000000"/>
                <w:sz w:val="24"/>
                <w:szCs w:val="24"/>
              </w:rPr>
            </w:pPr>
            <w:r>
              <w:rPr>
                <w:rFonts w:hint="eastAsia" w:ascii="宋体" w:hAnsi="宋体" w:eastAsia="宋体" w:cs="宋体"/>
                <w:color w:val="000000"/>
                <w:sz w:val="24"/>
                <w:szCs w:val="24"/>
              </w:rPr>
              <w:t>评审标准</w:t>
            </w:r>
          </w:p>
        </w:tc>
      </w:tr>
      <w:tr w14:paraId="204F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94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0EC71753">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报价分（40分）</w:t>
            </w:r>
          </w:p>
        </w:tc>
        <w:tc>
          <w:tcPr>
            <w:tcW w:w="1013"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18AC4188">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w:t>
            </w:r>
          </w:p>
          <w:p w14:paraId="7E2878E5">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w:t>
            </w:r>
          </w:p>
        </w:tc>
        <w:tc>
          <w:tcPr>
            <w:tcW w:w="89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30A58026">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40分</w:t>
            </w:r>
          </w:p>
        </w:tc>
        <w:tc>
          <w:tcPr>
            <w:tcW w:w="616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41DDD5E0">
            <w:pPr>
              <w:jc w:val="left"/>
              <w:rPr>
                <w:rFonts w:ascii="宋体" w:hAnsi="宋体" w:eastAsia="宋体" w:cs="宋体"/>
                <w:color w:val="000000"/>
                <w:sz w:val="24"/>
                <w:szCs w:val="24"/>
              </w:rPr>
            </w:pPr>
            <w:r>
              <w:rPr>
                <w:rFonts w:hint="eastAsia" w:ascii="宋体" w:hAnsi="宋体" w:eastAsia="宋体" w:cs="宋体"/>
                <w:color w:val="000000"/>
                <w:sz w:val="24"/>
                <w:szCs w:val="24"/>
              </w:rPr>
              <w:t>将所有通过符合性筛选的投标报价中最低价设值为A，作为基准价并得分值为40分；其他投标人报价得分为：（A/该投标人的有效报价）×40分，计算结果保留小数点后二位数。</w:t>
            </w:r>
          </w:p>
        </w:tc>
      </w:tr>
      <w:tr w14:paraId="238B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944" w:type="dxa"/>
            <w:vMerge w:val="restart"/>
            <w:tcBorders>
              <w:top w:val="single" w:color="72A7BB" w:sz="4" w:space="0"/>
              <w:left w:val="single" w:color="72A7BB" w:sz="4" w:space="0"/>
              <w:bottom w:val="single" w:color="72A7BB" w:sz="4" w:space="0"/>
              <w:right w:val="single" w:color="72A7BB" w:sz="4" w:space="0"/>
            </w:tcBorders>
            <w:shd w:val="clear" w:color="auto" w:fill="FEFEFE"/>
            <w:vAlign w:val="center"/>
          </w:tcPr>
          <w:p w14:paraId="13ED91B7">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p w14:paraId="7A9F59B9">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w:t>
            </w:r>
          </w:p>
          <w:p w14:paraId="39D57C18">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及承诺 （30分）</w:t>
            </w:r>
          </w:p>
        </w:tc>
        <w:tc>
          <w:tcPr>
            <w:tcW w:w="1013"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3011EC6F">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管理及</w:t>
            </w:r>
          </w:p>
          <w:p w14:paraId="64D7BA4E">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服务方式</w:t>
            </w:r>
          </w:p>
        </w:tc>
        <w:tc>
          <w:tcPr>
            <w:tcW w:w="89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11E3BB4B">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8分</w:t>
            </w:r>
          </w:p>
        </w:tc>
        <w:tc>
          <w:tcPr>
            <w:tcW w:w="616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1F87E0AF">
            <w:pPr>
              <w:widowControl/>
              <w:jc w:val="left"/>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包括维护</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rPr>
              <w:t xml:space="preserve">管理及服务内容、方法、实施方案、进度控制、巡检服务、维保记录等，方案全面、具有可操作性优秀得 8分； </w:t>
            </w:r>
          </w:p>
          <w:p w14:paraId="40A44512">
            <w:pPr>
              <w:widowControl/>
              <w:jc w:val="left"/>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管理及服务内容、方法、实施方案、进度控制、巡检服务、维保记录等，方案全面、具有可操作性良好得5分； </w:t>
            </w:r>
          </w:p>
          <w:p w14:paraId="5E97DAEA">
            <w:pPr>
              <w:widowControl/>
              <w:jc w:val="left"/>
              <w:rPr>
                <w:highlight w:val="none"/>
              </w:rPr>
            </w:pPr>
            <w:r>
              <w:rPr>
                <w:rFonts w:hint="eastAsia" w:ascii="宋体" w:hAnsi="宋体" w:eastAsia="宋体" w:cs="宋体"/>
                <w:color w:val="000000"/>
                <w:kern w:val="0"/>
                <w:sz w:val="24"/>
                <w:szCs w:val="24"/>
                <w:highlight w:val="none"/>
              </w:rPr>
              <w:t xml:space="preserve">管理及服务内容、方法、实施方案、进度控制、巡检服务、维保记录等，方案全面、具有可操作性一般得2分； </w:t>
            </w:r>
          </w:p>
        </w:tc>
      </w:tr>
      <w:tr w14:paraId="139F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944"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546E46F0">
            <w:pPr>
              <w:jc w:val="center"/>
              <w:rPr>
                <w:rFonts w:ascii="宋体" w:hAnsi="宋体" w:eastAsia="宋体" w:cs="宋体"/>
                <w:color w:val="000000"/>
                <w:sz w:val="24"/>
                <w:szCs w:val="24"/>
                <w:highlight w:val="none"/>
              </w:rPr>
            </w:pPr>
          </w:p>
        </w:tc>
        <w:tc>
          <w:tcPr>
            <w:tcW w:w="1013"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10983540">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安全管理制度及应急抢修措施</w:t>
            </w:r>
          </w:p>
        </w:tc>
        <w:tc>
          <w:tcPr>
            <w:tcW w:w="89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094A3C0F">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6分</w:t>
            </w:r>
          </w:p>
        </w:tc>
        <w:tc>
          <w:tcPr>
            <w:tcW w:w="616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207A18B6">
            <w:pPr>
              <w:widowControl/>
              <w:jc w:val="left"/>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维保过程中的安全管理制度及应急措施方案全面、具有可操作性优得6分</w:t>
            </w:r>
          </w:p>
          <w:p w14:paraId="1DE04BCC">
            <w:pPr>
              <w:widowControl/>
              <w:jc w:val="left"/>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维保过程中的安全管理制度及应急措施方案全面、具有可操作性良得4分</w:t>
            </w:r>
          </w:p>
          <w:p w14:paraId="065F3143">
            <w:pPr>
              <w:jc w:val="left"/>
              <w:rPr>
                <w:rFonts w:hint="eastAsia" w:asciiTheme="minorHAnsi" w:hAnsiTheme="minorHAnsi" w:eastAsiaTheme="minorEastAsia" w:cstheme="minorBidi"/>
                <w:kern w:val="2"/>
                <w:sz w:val="21"/>
                <w:szCs w:val="22"/>
                <w:highlight w:val="none"/>
                <w:lang w:val="en-US" w:eastAsia="zh-CN" w:bidi="ar-SA"/>
              </w:rPr>
            </w:pPr>
            <w:r>
              <w:rPr>
                <w:rFonts w:hint="eastAsia" w:ascii="宋体" w:hAnsi="宋体" w:eastAsia="宋体" w:cs="宋体"/>
                <w:color w:val="000000"/>
                <w:kern w:val="0"/>
                <w:sz w:val="24"/>
                <w:szCs w:val="24"/>
                <w:highlight w:val="none"/>
              </w:rPr>
              <w:t>维保过程中的安全管理制度及应急措施方案全面、具有可操作性较差得2分。</w:t>
            </w:r>
          </w:p>
        </w:tc>
      </w:tr>
      <w:tr w14:paraId="7EE3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944"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235EDF64">
            <w:pPr>
              <w:jc w:val="center"/>
              <w:rPr>
                <w:rFonts w:ascii="宋体" w:hAnsi="宋体" w:eastAsia="宋体" w:cs="宋体"/>
                <w:color w:val="000000"/>
                <w:sz w:val="24"/>
                <w:szCs w:val="24"/>
                <w:highlight w:val="none"/>
              </w:rPr>
            </w:pPr>
          </w:p>
        </w:tc>
        <w:tc>
          <w:tcPr>
            <w:tcW w:w="1013"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77D48C8E">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p w14:paraId="266C76A5">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承诺</w:t>
            </w:r>
          </w:p>
        </w:tc>
        <w:tc>
          <w:tcPr>
            <w:tcW w:w="89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458FEE14">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10分</w:t>
            </w:r>
          </w:p>
        </w:tc>
        <w:tc>
          <w:tcPr>
            <w:tcW w:w="616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3655510B">
            <w:pPr>
              <w:widowControl/>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（1）投标人针对本项目提供详细完整的保修及售后服务措施和方案（包括保修年限、服务措施、巡检、回访、技术培训等），优得5分，良得3分，一般得1分，差或不提供不得分；</w:t>
            </w:r>
          </w:p>
          <w:p w14:paraId="73AC92CA">
            <w:pPr>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（2）保证提供质量可靠、有效的配件，供货能够及时满足投标单位需求等，优得5分，良得3分，一般得1分，差或不提供不得分。</w:t>
            </w:r>
          </w:p>
        </w:tc>
      </w:tr>
      <w:tr w14:paraId="49B4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944"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14FE0861">
            <w:pPr>
              <w:jc w:val="center"/>
              <w:rPr>
                <w:rFonts w:ascii="宋体" w:hAnsi="宋体" w:eastAsia="宋体" w:cs="宋体"/>
                <w:color w:val="000000"/>
                <w:sz w:val="24"/>
                <w:szCs w:val="24"/>
              </w:rPr>
            </w:pPr>
          </w:p>
        </w:tc>
        <w:tc>
          <w:tcPr>
            <w:tcW w:w="1013"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39A6EB48">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人员</w:t>
            </w:r>
          </w:p>
          <w:p w14:paraId="2CD34F66">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配备</w:t>
            </w:r>
          </w:p>
          <w:p w14:paraId="4D2AA8D0">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情况</w:t>
            </w:r>
          </w:p>
        </w:tc>
        <w:tc>
          <w:tcPr>
            <w:tcW w:w="89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378111F5">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6分</w:t>
            </w:r>
          </w:p>
        </w:tc>
        <w:tc>
          <w:tcPr>
            <w:tcW w:w="616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080C5C92">
            <w:pPr>
              <w:pStyle w:val="2"/>
              <w:keepNext/>
              <w:keepLines/>
              <w:pageBreakBefore w:val="0"/>
              <w:widowControl w:val="0"/>
              <w:kinsoku/>
              <w:wordWrap/>
              <w:overflowPunct/>
              <w:topLinePunct w:val="0"/>
              <w:autoSpaceDE/>
              <w:autoSpaceDN/>
              <w:bidi w:val="0"/>
              <w:adjustRightInd/>
              <w:snapToGrid/>
              <w:spacing w:line="240" w:lineRule="auto"/>
              <w:textAlignment w:val="auto"/>
              <w:rPr>
                <w:highlight w:val="none"/>
              </w:rPr>
            </w:pPr>
            <w:r>
              <w:rPr>
                <w:rFonts w:hint="eastAsia" w:ascii="宋体" w:hAnsi="宋体" w:eastAsia="宋体" w:cs="宋体"/>
                <w:b w:val="0"/>
                <w:bCs w:val="0"/>
                <w:color w:val="000000"/>
                <w:kern w:val="2"/>
                <w:sz w:val="24"/>
                <w:szCs w:val="24"/>
                <w:highlight w:val="none"/>
                <w:lang w:val="en-US" w:eastAsia="zh-CN" w:bidi="ar-SA"/>
              </w:rPr>
              <w:t>投标人需明确本项目实施人员配置，需提供人员名单、技能资格、从业经验、具体分工等内容，并附上有关证明材料。人员队伍技能优秀、经验丰富、分工明确得6分；人员队伍技能良好、经验较为丰富、分工较为明确得4分；人员队伍技能一般、经验一般、分工一般得2分；人员配置较差不得分；不提供人员配置方案及有关证明材料的此项不得分。</w:t>
            </w:r>
          </w:p>
        </w:tc>
      </w:tr>
      <w:tr w14:paraId="666B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944" w:type="dxa"/>
            <w:vMerge w:val="restart"/>
            <w:tcBorders>
              <w:top w:val="single" w:color="72A7BB" w:sz="4" w:space="0"/>
              <w:left w:val="single" w:color="72A7BB" w:sz="4" w:space="0"/>
              <w:bottom w:val="single" w:color="72A7BB" w:sz="4" w:space="0"/>
              <w:right w:val="single" w:color="72A7BB" w:sz="4" w:space="0"/>
            </w:tcBorders>
            <w:shd w:val="clear" w:color="auto" w:fill="FEFEFE"/>
            <w:vAlign w:val="center"/>
          </w:tcPr>
          <w:p w14:paraId="7BA67012">
            <w:pPr>
              <w:jc w:val="center"/>
              <w:rPr>
                <w:rFonts w:ascii="宋体" w:hAnsi="宋体" w:eastAsia="宋体" w:cs="宋体"/>
                <w:color w:val="000000"/>
                <w:sz w:val="24"/>
                <w:szCs w:val="24"/>
              </w:rPr>
            </w:pPr>
            <w:r>
              <w:rPr>
                <w:rFonts w:hint="eastAsia" w:ascii="宋体" w:hAnsi="宋体" w:eastAsia="宋体" w:cs="宋体"/>
                <w:color w:val="000000"/>
                <w:sz w:val="24"/>
                <w:szCs w:val="24"/>
              </w:rPr>
              <w:t>投标人综合评价（1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1013"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2F58CFA7">
            <w:pPr>
              <w:jc w:val="center"/>
              <w:rPr>
                <w:rFonts w:ascii="宋体" w:hAnsi="宋体" w:eastAsia="宋体" w:cs="宋体"/>
                <w:color w:val="000000"/>
                <w:sz w:val="24"/>
                <w:szCs w:val="24"/>
              </w:rPr>
            </w:pPr>
            <w:r>
              <w:rPr>
                <w:rFonts w:hint="eastAsia" w:ascii="宋体" w:hAnsi="宋体" w:eastAsia="宋体" w:cs="宋体"/>
                <w:color w:val="000000"/>
                <w:sz w:val="24"/>
                <w:szCs w:val="24"/>
              </w:rPr>
              <w:t>公司</w:t>
            </w:r>
          </w:p>
          <w:p w14:paraId="0E163C3F">
            <w:pPr>
              <w:jc w:val="center"/>
              <w:rPr>
                <w:rFonts w:ascii="宋体" w:hAnsi="宋体" w:eastAsia="宋体" w:cs="宋体"/>
                <w:color w:val="000000"/>
                <w:sz w:val="24"/>
                <w:szCs w:val="24"/>
              </w:rPr>
            </w:pPr>
            <w:r>
              <w:rPr>
                <w:rFonts w:hint="eastAsia" w:ascii="宋体" w:hAnsi="宋体" w:eastAsia="宋体" w:cs="宋体"/>
                <w:color w:val="000000"/>
                <w:sz w:val="24"/>
                <w:szCs w:val="24"/>
              </w:rPr>
              <w:t>实力</w:t>
            </w:r>
          </w:p>
        </w:tc>
        <w:tc>
          <w:tcPr>
            <w:tcW w:w="89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44496C61">
            <w:pPr>
              <w:jc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分</w:t>
            </w:r>
          </w:p>
        </w:tc>
        <w:tc>
          <w:tcPr>
            <w:tcW w:w="616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58761DC8">
            <w:pPr>
              <w:rPr>
                <w:rFonts w:ascii="宋体" w:hAnsi="宋体" w:eastAsia="宋体" w:cs="宋体"/>
                <w:color w:val="000000"/>
                <w:sz w:val="24"/>
                <w:szCs w:val="24"/>
              </w:rPr>
            </w:pPr>
            <w:r>
              <w:rPr>
                <w:rFonts w:hint="eastAsia" w:ascii="宋体" w:hAnsi="宋体" w:eastAsia="宋体" w:cs="宋体"/>
                <w:color w:val="000000"/>
                <w:sz w:val="24"/>
                <w:szCs w:val="24"/>
              </w:rPr>
              <w:t>（1）供应商具有有效期内的质量管理体系认证证书、环境管理体系认证证书、职业健康安全体系认证证书的，有一项得1分，满分3分。（提供证书复印件加盖供应商公章）</w:t>
            </w:r>
          </w:p>
          <w:p w14:paraId="296D5FED">
            <w:pPr>
              <w:jc w:val="left"/>
              <w:rPr>
                <w:rFonts w:ascii="宋体" w:hAnsi="宋体" w:eastAsia="宋体" w:cs="宋体"/>
                <w:color w:val="000000"/>
                <w:sz w:val="24"/>
                <w:szCs w:val="24"/>
              </w:rPr>
            </w:pPr>
            <w:r>
              <w:rPr>
                <w:rFonts w:hint="eastAsia" w:ascii="宋体" w:hAnsi="宋体" w:eastAsia="宋体" w:cs="宋体"/>
                <w:color w:val="000000"/>
                <w:sz w:val="24"/>
                <w:szCs w:val="24"/>
              </w:rPr>
              <w:t>（2）投标人具有市级及以上主管部门颁发的消防维保相关荣誉或奖项，得2分，</w:t>
            </w:r>
            <w:r>
              <w:rPr>
                <w:rFonts w:hint="eastAsia" w:ascii="宋体" w:hAnsi="宋体" w:eastAsia="宋体" w:cs="宋体"/>
                <w:bCs/>
                <w:color w:val="000000"/>
                <w:sz w:val="24"/>
                <w:szCs w:val="24"/>
              </w:rPr>
              <w:t>满分</w:t>
            </w: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分</w:t>
            </w:r>
            <w:r>
              <w:rPr>
                <w:rFonts w:hint="eastAsia" w:ascii="宋体" w:hAnsi="宋体" w:eastAsia="宋体" w:cs="宋体"/>
                <w:color w:val="000000"/>
                <w:sz w:val="24"/>
                <w:szCs w:val="24"/>
              </w:rPr>
              <w:t>。</w:t>
            </w:r>
          </w:p>
        </w:tc>
      </w:tr>
      <w:tr w14:paraId="07D5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944" w:type="dxa"/>
            <w:vMerge w:val="continue"/>
            <w:tcBorders>
              <w:top w:val="single" w:color="72A7BB" w:sz="4" w:space="0"/>
              <w:left w:val="single" w:color="72A7BB" w:sz="4" w:space="0"/>
              <w:bottom w:val="single" w:color="72A7BB" w:sz="4" w:space="0"/>
              <w:right w:val="single" w:color="72A7BB" w:sz="4" w:space="0"/>
            </w:tcBorders>
            <w:shd w:val="clear" w:color="auto" w:fill="FEFEFE"/>
            <w:vAlign w:val="center"/>
          </w:tcPr>
          <w:p w14:paraId="5C744033">
            <w:pPr>
              <w:jc w:val="center"/>
              <w:rPr>
                <w:rFonts w:ascii="宋体" w:hAnsi="宋体" w:eastAsia="宋体" w:cs="宋体"/>
                <w:color w:val="000000"/>
                <w:sz w:val="24"/>
                <w:szCs w:val="24"/>
              </w:rPr>
            </w:pPr>
          </w:p>
        </w:tc>
        <w:tc>
          <w:tcPr>
            <w:tcW w:w="1013"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27B294AD">
            <w:pPr>
              <w:jc w:val="center"/>
              <w:rPr>
                <w:rFonts w:ascii="宋体" w:hAnsi="宋体" w:eastAsia="宋体" w:cs="宋体"/>
                <w:color w:val="000000"/>
                <w:sz w:val="24"/>
                <w:szCs w:val="24"/>
              </w:rPr>
            </w:pPr>
            <w:r>
              <w:rPr>
                <w:rFonts w:hint="eastAsia" w:ascii="宋体" w:hAnsi="宋体" w:eastAsia="宋体" w:cs="宋体"/>
                <w:color w:val="000000"/>
                <w:sz w:val="24"/>
                <w:szCs w:val="24"/>
              </w:rPr>
              <w:t>商业</w:t>
            </w:r>
          </w:p>
          <w:p w14:paraId="4B037D7C">
            <w:pPr>
              <w:jc w:val="center"/>
              <w:rPr>
                <w:rFonts w:ascii="宋体" w:hAnsi="宋体" w:eastAsia="宋体" w:cs="宋体"/>
                <w:color w:val="000000"/>
                <w:sz w:val="24"/>
                <w:szCs w:val="24"/>
              </w:rPr>
            </w:pPr>
            <w:r>
              <w:rPr>
                <w:rFonts w:hint="eastAsia" w:ascii="宋体" w:hAnsi="宋体" w:eastAsia="宋体" w:cs="宋体"/>
                <w:color w:val="000000"/>
                <w:sz w:val="24"/>
                <w:szCs w:val="24"/>
              </w:rPr>
              <w:t>信誉</w:t>
            </w:r>
          </w:p>
        </w:tc>
        <w:tc>
          <w:tcPr>
            <w:tcW w:w="89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128F780A">
            <w:pPr>
              <w:jc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分</w:t>
            </w:r>
          </w:p>
        </w:tc>
        <w:tc>
          <w:tcPr>
            <w:tcW w:w="616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2764691A">
            <w:pPr>
              <w:jc w:val="left"/>
              <w:rPr>
                <w:rFonts w:ascii="宋体" w:hAnsi="宋体" w:eastAsia="宋体" w:cs="宋体"/>
                <w:color w:val="000000"/>
                <w:sz w:val="24"/>
                <w:szCs w:val="24"/>
              </w:rPr>
            </w:pPr>
            <w:r>
              <w:rPr>
                <w:rFonts w:hint="eastAsia" w:ascii="宋体" w:hAnsi="宋体" w:eastAsia="宋体" w:cs="宋体"/>
                <w:color w:val="000000"/>
                <w:sz w:val="24"/>
                <w:szCs w:val="24"/>
              </w:rPr>
              <w:t>投标单位出具与以上类似服务项目相对应的服务评价证明，每提供一份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优秀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得1分，最高</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分。</w:t>
            </w:r>
          </w:p>
        </w:tc>
      </w:tr>
      <w:tr w14:paraId="452A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94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1E63ECC1">
            <w:pPr>
              <w:jc w:val="center"/>
              <w:rPr>
                <w:rFonts w:ascii="宋体" w:hAnsi="宋体" w:eastAsia="宋体" w:cs="宋体"/>
                <w:color w:val="000000"/>
                <w:sz w:val="24"/>
                <w:szCs w:val="24"/>
              </w:rPr>
            </w:pPr>
            <w:r>
              <w:rPr>
                <w:rFonts w:hint="eastAsia" w:ascii="宋体" w:hAnsi="宋体" w:eastAsia="宋体" w:cs="宋体"/>
                <w:color w:val="000000"/>
                <w:sz w:val="24"/>
                <w:szCs w:val="24"/>
              </w:rPr>
              <w:t>业绩（10分）</w:t>
            </w:r>
          </w:p>
        </w:tc>
        <w:tc>
          <w:tcPr>
            <w:tcW w:w="1013"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30B29C35">
            <w:pPr>
              <w:jc w:val="center"/>
              <w:rPr>
                <w:rFonts w:ascii="宋体" w:hAnsi="宋体" w:eastAsia="宋体" w:cs="宋体"/>
                <w:color w:val="000000"/>
                <w:sz w:val="24"/>
                <w:szCs w:val="24"/>
              </w:rPr>
            </w:pPr>
            <w:r>
              <w:rPr>
                <w:rFonts w:hint="eastAsia" w:ascii="宋体" w:hAnsi="宋体" w:eastAsia="宋体" w:cs="宋体"/>
                <w:color w:val="000000"/>
                <w:sz w:val="24"/>
                <w:szCs w:val="24"/>
              </w:rPr>
              <w:t>企业</w:t>
            </w:r>
          </w:p>
          <w:p w14:paraId="28DEDED4">
            <w:pPr>
              <w:jc w:val="center"/>
              <w:rPr>
                <w:rFonts w:ascii="宋体" w:hAnsi="宋体" w:eastAsia="宋体" w:cs="宋体"/>
                <w:color w:val="000000"/>
                <w:sz w:val="24"/>
                <w:szCs w:val="24"/>
              </w:rPr>
            </w:pPr>
            <w:r>
              <w:rPr>
                <w:rFonts w:hint="eastAsia" w:ascii="宋体" w:hAnsi="宋体" w:eastAsia="宋体" w:cs="宋体"/>
                <w:color w:val="000000"/>
                <w:sz w:val="24"/>
                <w:szCs w:val="24"/>
              </w:rPr>
              <w:t>业绩</w:t>
            </w:r>
          </w:p>
        </w:tc>
        <w:tc>
          <w:tcPr>
            <w:tcW w:w="89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38BB3CEB">
            <w:pPr>
              <w:jc w:val="center"/>
              <w:rPr>
                <w:rFonts w:ascii="宋体" w:hAnsi="宋体" w:eastAsia="宋体" w:cs="宋体"/>
                <w:color w:val="000000"/>
                <w:sz w:val="24"/>
                <w:szCs w:val="24"/>
              </w:rPr>
            </w:pPr>
            <w:r>
              <w:rPr>
                <w:rFonts w:hint="eastAsia" w:ascii="宋体" w:hAnsi="宋体" w:eastAsia="宋体" w:cs="宋体"/>
                <w:color w:val="000000"/>
                <w:sz w:val="24"/>
                <w:szCs w:val="24"/>
              </w:rPr>
              <w:t>10分</w:t>
            </w:r>
          </w:p>
        </w:tc>
        <w:tc>
          <w:tcPr>
            <w:tcW w:w="616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71BE6525">
            <w:pPr>
              <w:jc w:val="left"/>
              <w:rPr>
                <w:rFonts w:ascii="宋体" w:hAnsi="宋体" w:eastAsia="宋体" w:cs="宋体"/>
                <w:color w:val="000000"/>
                <w:sz w:val="24"/>
                <w:szCs w:val="24"/>
              </w:rPr>
            </w:pPr>
            <w:r>
              <w:rPr>
                <w:rFonts w:hint="eastAsia" w:ascii="宋体" w:hAnsi="宋体" w:eastAsia="宋体" w:cs="宋体"/>
                <w:color w:val="000000"/>
                <w:sz w:val="24"/>
                <w:szCs w:val="24"/>
              </w:rPr>
              <w:t>投标供应商的近三年业绩（以2021年</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月1日以后），承接类似项目，每个得2分，最多得10分。（10分）（以合同签订日期为准，提供合同复印件并加盖公章，合同须包含签订时间、服务内容）</w:t>
            </w:r>
          </w:p>
        </w:tc>
      </w:tr>
      <w:tr w14:paraId="0D59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94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51B602A8">
            <w:pPr>
              <w:jc w:val="center"/>
              <w:rPr>
                <w:rFonts w:ascii="宋体" w:hAnsi="宋体" w:eastAsia="宋体" w:cs="宋体"/>
                <w:color w:val="000000"/>
                <w:sz w:val="24"/>
                <w:szCs w:val="24"/>
              </w:rPr>
            </w:pPr>
            <w:r>
              <w:rPr>
                <w:rFonts w:hint="eastAsia" w:ascii="宋体" w:hAnsi="宋体" w:eastAsia="宋体" w:cs="宋体"/>
                <w:color w:val="000000"/>
                <w:sz w:val="24"/>
                <w:szCs w:val="24"/>
              </w:rPr>
              <w:t>服务</w:t>
            </w:r>
          </w:p>
          <w:p w14:paraId="61F8FF64">
            <w:pPr>
              <w:jc w:val="center"/>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c>
          <w:tcPr>
            <w:tcW w:w="1013"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0FE3A7B7">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本地化</w:t>
            </w:r>
          </w:p>
          <w:p w14:paraId="46F881B0">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tc>
        <w:tc>
          <w:tcPr>
            <w:tcW w:w="894"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6A79D050">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6169" w:type="dxa"/>
            <w:tcBorders>
              <w:top w:val="single" w:color="72A7BB" w:sz="4" w:space="0"/>
              <w:left w:val="single" w:color="72A7BB" w:sz="4" w:space="0"/>
              <w:bottom w:val="single" w:color="72A7BB" w:sz="4" w:space="0"/>
              <w:right w:val="single" w:color="72A7BB" w:sz="4" w:space="0"/>
            </w:tcBorders>
            <w:shd w:val="clear" w:color="auto" w:fill="F0F0F0"/>
            <w:vAlign w:val="center"/>
          </w:tcPr>
          <w:p w14:paraId="50EA59F3">
            <w:pPr>
              <w:jc w:val="left"/>
              <w:rPr>
                <w:highlight w:val="none"/>
              </w:rPr>
            </w:pPr>
            <w:r>
              <w:rPr>
                <w:rFonts w:hint="eastAsia" w:ascii="宋体" w:hAnsi="宋体" w:eastAsia="宋体" w:cs="宋体"/>
                <w:color w:val="000000"/>
                <w:sz w:val="24"/>
                <w:szCs w:val="24"/>
                <w:highlight w:val="none"/>
              </w:rPr>
              <w:t>评委根据投标文件中提供的服务人员资格证书、</w:t>
            </w:r>
            <w:r>
              <w:rPr>
                <w:rFonts w:hint="eastAsia" w:ascii="宋体" w:hAnsi="宋体" w:eastAsia="宋体" w:cs="宋体"/>
                <w:color w:val="000000"/>
                <w:sz w:val="24"/>
                <w:szCs w:val="24"/>
                <w:highlight w:val="none"/>
                <w:lang w:val="en-US" w:eastAsia="zh-CN"/>
              </w:rPr>
              <w:t>近三个月的</w:t>
            </w:r>
            <w:r>
              <w:rPr>
                <w:rFonts w:hint="eastAsia" w:ascii="宋体" w:hAnsi="宋体" w:eastAsia="宋体" w:cs="宋体"/>
                <w:color w:val="000000"/>
                <w:sz w:val="24"/>
                <w:szCs w:val="24"/>
                <w:highlight w:val="none"/>
              </w:rPr>
              <w:t>社保证明（在扬州本地缴纳）等打分，其中缴纳社保的人员资料不少于</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人，得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分；其余不得分。</w:t>
            </w:r>
          </w:p>
        </w:tc>
      </w:tr>
    </w:tbl>
    <w:p w14:paraId="4C21CAFE"/>
    <w:p w14:paraId="3F9857B2">
      <w:pPr>
        <w:spacing w:line="360" w:lineRule="auto"/>
        <w:rPr>
          <w:rFonts w:ascii="宋体" w:hAnsi="宋体" w:eastAsia="宋体" w:cs="宋体"/>
          <w:b/>
          <w:color w:val="000000"/>
          <w:sz w:val="24"/>
          <w:szCs w:val="24"/>
        </w:rPr>
      </w:pPr>
      <w:r>
        <w:rPr>
          <w:rFonts w:hint="eastAsia" w:ascii="宋体" w:hAnsi="宋体" w:eastAsia="宋体" w:cs="宋体"/>
          <w:b/>
          <w:sz w:val="24"/>
          <w:szCs w:val="24"/>
        </w:rPr>
        <w:t xml:space="preserve">注： </w:t>
      </w:r>
      <w:r>
        <w:rPr>
          <w:rFonts w:hint="eastAsia" w:ascii="宋体" w:hAnsi="宋体" w:eastAsia="宋体" w:cs="宋体"/>
          <w:b/>
          <w:color w:val="000000"/>
          <w:sz w:val="24"/>
          <w:szCs w:val="24"/>
        </w:rPr>
        <w:t>1、评分细则中要求提供的证明文件及资料等在投标文件中提供复印件，要求“原件备查”的须在投标截止前将相关原件或公证件带至开评标现场并按要求提交评委会审查。</w:t>
      </w:r>
    </w:p>
    <w:p w14:paraId="57589553">
      <w:pPr>
        <w:spacing w:line="360" w:lineRule="auto"/>
        <w:rPr>
          <w:rFonts w:ascii="宋体" w:hAnsi="宋体" w:eastAsia="宋体" w:cs="宋体"/>
          <w:b/>
          <w:bCs/>
          <w:kern w:val="0"/>
          <w:sz w:val="24"/>
          <w:szCs w:val="24"/>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color w:val="000000"/>
          <w:sz w:val="24"/>
          <w:szCs w:val="24"/>
        </w:rPr>
        <w:t>评标时，未能按以上要求提供相应证明（复印件和原件、公证件）的，不作为评标依据，不得分。</w:t>
      </w:r>
    </w:p>
    <w:p w14:paraId="3090A50A">
      <w:pPr>
        <w:spacing w:line="360" w:lineRule="auto"/>
        <w:rPr>
          <w:rFonts w:ascii="宋体" w:hAnsi="宋体" w:eastAsia="宋体" w:cs="宋体"/>
          <w:b/>
          <w:sz w:val="24"/>
          <w:szCs w:val="24"/>
        </w:rPr>
      </w:pPr>
    </w:p>
    <w:p w14:paraId="6FCF1C20">
      <w:pPr>
        <w:rPr>
          <w:rFonts w:ascii="宋体" w:hAnsi="宋体" w:eastAsia="宋体" w:cs="宋体"/>
          <w:kern w:val="44"/>
          <w:sz w:val="36"/>
          <w:szCs w:val="36"/>
          <w:u w:color="000000"/>
          <w:lang w:val="zh-TW" w:eastAsia="zh-TW"/>
        </w:rPr>
      </w:pPr>
    </w:p>
    <w:p w14:paraId="08D5FEA0">
      <w:pPr>
        <w:keepNext/>
        <w:keepLines/>
        <w:spacing w:before="312" w:beforeLines="100" w:after="312" w:afterLines="100" w:line="360" w:lineRule="auto"/>
        <w:jc w:val="center"/>
        <w:outlineLvl w:val="0"/>
        <w:rPr>
          <w:rFonts w:ascii="宋体" w:hAnsi="宋体" w:eastAsia="宋体" w:cs="宋体"/>
          <w:kern w:val="44"/>
          <w:sz w:val="36"/>
          <w:szCs w:val="36"/>
          <w:u w:color="000000"/>
          <w:lang w:val="zh-TW" w:eastAsia="zh-TW"/>
        </w:rPr>
      </w:pPr>
      <w:bookmarkStart w:id="15" w:name="_Toc5120"/>
      <w:r>
        <w:rPr>
          <w:rFonts w:hint="eastAsia" w:ascii="宋体" w:hAnsi="宋体" w:eastAsia="宋体" w:cs="宋体"/>
          <w:kern w:val="44"/>
          <w:sz w:val="36"/>
          <w:szCs w:val="36"/>
          <w:u w:color="000000"/>
          <w:lang w:val="zh-TW" w:eastAsia="zh-TW"/>
        </w:rPr>
        <w:t>第</w:t>
      </w:r>
      <w:r>
        <w:rPr>
          <w:rFonts w:hint="eastAsia" w:ascii="宋体" w:hAnsi="宋体" w:eastAsia="宋体" w:cs="宋体"/>
          <w:kern w:val="44"/>
          <w:sz w:val="36"/>
          <w:szCs w:val="36"/>
          <w:u w:color="000000"/>
          <w:lang w:val="zh-TW"/>
        </w:rPr>
        <w:t>六</w:t>
      </w:r>
      <w:r>
        <w:rPr>
          <w:rFonts w:hint="eastAsia" w:ascii="宋体" w:hAnsi="宋体" w:eastAsia="宋体" w:cs="宋体"/>
          <w:kern w:val="44"/>
          <w:sz w:val="36"/>
          <w:szCs w:val="36"/>
          <w:u w:color="000000"/>
          <w:lang w:val="zh-TW" w:eastAsia="zh-TW"/>
        </w:rPr>
        <w:t>章  投标文件格式</w:t>
      </w:r>
      <w:bookmarkEnd w:id="15"/>
    </w:p>
    <w:p w14:paraId="6FCE7488">
      <w:pPr>
        <w:spacing w:line="360" w:lineRule="auto"/>
        <w:jc w:val="right"/>
        <w:rPr>
          <w:rFonts w:ascii="宋体" w:hAnsi="宋体" w:eastAsia="宋体" w:cs="宋体"/>
          <w:sz w:val="36"/>
          <w:szCs w:val="36"/>
          <w:lang w:val="zh-TW" w:eastAsia="zh-TW"/>
        </w:rPr>
      </w:pPr>
      <w:r>
        <w:rPr>
          <w:rFonts w:hint="eastAsia" w:ascii="宋体" w:hAnsi="宋体" w:eastAsia="宋体" w:cs="宋体"/>
          <w:sz w:val="36"/>
          <w:szCs w:val="36"/>
          <w:lang w:val="zh-TW"/>
        </w:rPr>
        <w:t>正本/副本</w:t>
      </w:r>
    </w:p>
    <w:p w14:paraId="353EC3BE">
      <w:pPr>
        <w:spacing w:line="360" w:lineRule="auto"/>
        <w:rPr>
          <w:rFonts w:ascii="宋体" w:hAnsi="宋体" w:eastAsia="宋体" w:cs="宋体"/>
          <w:sz w:val="36"/>
          <w:szCs w:val="36"/>
          <w:u w:val="single" w:color="000000"/>
          <w:lang w:val="zh-TW" w:eastAsia="zh-TW"/>
        </w:rPr>
      </w:pPr>
    </w:p>
    <w:p w14:paraId="44364FCF">
      <w:pPr>
        <w:spacing w:line="360" w:lineRule="auto"/>
        <w:rPr>
          <w:rFonts w:ascii="宋体" w:hAnsi="宋体" w:eastAsia="宋体" w:cs="宋体"/>
          <w:sz w:val="36"/>
          <w:szCs w:val="36"/>
          <w:u w:val="single" w:color="000000"/>
          <w:lang w:val="zh-TW" w:eastAsia="zh-TW"/>
        </w:rPr>
      </w:pPr>
    </w:p>
    <w:p w14:paraId="1838BBC5">
      <w:pPr>
        <w:spacing w:line="360" w:lineRule="auto"/>
        <w:rPr>
          <w:rFonts w:ascii="宋体" w:hAnsi="宋体" w:eastAsia="宋体" w:cs="宋体"/>
          <w:sz w:val="36"/>
          <w:szCs w:val="36"/>
          <w:u w:val="single" w:color="000000"/>
          <w:lang w:val="zh-TW" w:eastAsia="zh-TW"/>
        </w:rPr>
      </w:pPr>
    </w:p>
    <w:p w14:paraId="0D44A705">
      <w:pPr>
        <w:spacing w:line="360" w:lineRule="auto"/>
        <w:jc w:val="center"/>
        <w:rPr>
          <w:rFonts w:ascii="宋体" w:hAnsi="宋体" w:eastAsia="宋体" w:cs="宋体"/>
          <w:sz w:val="36"/>
          <w:szCs w:val="36"/>
          <w:lang w:val="zh-TW"/>
        </w:rPr>
      </w:pPr>
      <w:r>
        <w:rPr>
          <w:rFonts w:hint="eastAsia" w:ascii="宋体" w:hAnsi="宋体" w:eastAsia="宋体" w:cs="宋体"/>
          <w:sz w:val="36"/>
          <w:szCs w:val="36"/>
          <w:lang w:val="zh-TW"/>
        </w:rPr>
        <w:t>南京邮电大学通达学2024-2026年消防维护服务采购项目</w:t>
      </w:r>
    </w:p>
    <w:p w14:paraId="2B1D8053">
      <w:pPr>
        <w:spacing w:line="360" w:lineRule="auto"/>
        <w:jc w:val="center"/>
        <w:rPr>
          <w:rFonts w:ascii="宋体" w:hAnsi="宋体" w:eastAsia="宋体" w:cs="宋体"/>
          <w:sz w:val="36"/>
          <w:szCs w:val="36"/>
          <w:u w:color="000000"/>
        </w:rPr>
      </w:pPr>
      <w:r>
        <w:rPr>
          <w:rFonts w:hint="eastAsia" w:ascii="宋体" w:hAnsi="宋体" w:eastAsia="宋体" w:cs="宋体"/>
          <w:sz w:val="36"/>
          <w:szCs w:val="36"/>
          <w:u w:color="000000"/>
        </w:rPr>
        <w:t>项目编号：TDCG2024014</w:t>
      </w:r>
    </w:p>
    <w:p w14:paraId="17B2C326">
      <w:pPr>
        <w:spacing w:line="360" w:lineRule="auto"/>
        <w:rPr>
          <w:rFonts w:ascii="宋体" w:hAnsi="宋体" w:eastAsia="宋体" w:cs="宋体"/>
          <w:sz w:val="36"/>
          <w:szCs w:val="36"/>
          <w:u w:color="000000"/>
        </w:rPr>
      </w:pPr>
    </w:p>
    <w:p w14:paraId="004E1785">
      <w:pPr>
        <w:spacing w:line="360" w:lineRule="auto"/>
        <w:jc w:val="center"/>
        <w:rPr>
          <w:rFonts w:ascii="宋体" w:hAnsi="宋体" w:eastAsia="宋体" w:cs="宋体"/>
          <w:sz w:val="36"/>
          <w:szCs w:val="36"/>
          <w:u w:color="000000"/>
        </w:rPr>
      </w:pPr>
    </w:p>
    <w:p w14:paraId="1457E01E">
      <w:pPr>
        <w:spacing w:after="120"/>
        <w:jc w:val="center"/>
        <w:rPr>
          <w:rFonts w:ascii="宋体" w:hAnsi="宋体" w:eastAsia="宋体" w:cs="宋体"/>
          <w:sz w:val="52"/>
          <w:szCs w:val="52"/>
          <w:u w:color="000000"/>
        </w:rPr>
      </w:pPr>
      <w:r>
        <w:rPr>
          <w:rFonts w:hint="eastAsia" w:ascii="宋体" w:hAnsi="宋体" w:eastAsia="宋体" w:cs="宋体"/>
          <w:sz w:val="52"/>
          <w:szCs w:val="52"/>
          <w:u w:color="000000"/>
          <w:lang w:val="zh-TW"/>
        </w:rPr>
        <w:t>投标</w:t>
      </w:r>
      <w:r>
        <w:rPr>
          <w:rFonts w:hint="eastAsia" w:ascii="宋体" w:hAnsi="宋体" w:eastAsia="宋体" w:cs="宋体"/>
          <w:sz w:val="52"/>
          <w:szCs w:val="52"/>
          <w:u w:color="000000"/>
          <w:lang w:val="zh-TW" w:eastAsia="zh-TW"/>
        </w:rPr>
        <w:t>文件</w:t>
      </w:r>
    </w:p>
    <w:p w14:paraId="37312CD4">
      <w:pPr>
        <w:spacing w:line="360" w:lineRule="auto"/>
        <w:jc w:val="center"/>
        <w:rPr>
          <w:rFonts w:ascii="宋体" w:hAnsi="宋体" w:eastAsia="宋体" w:cs="宋体"/>
          <w:b/>
          <w:bCs/>
          <w:sz w:val="28"/>
          <w:szCs w:val="28"/>
          <w:u w:color="000000"/>
        </w:rPr>
      </w:pPr>
    </w:p>
    <w:p w14:paraId="08D6DDD1">
      <w:pPr>
        <w:spacing w:line="360" w:lineRule="auto"/>
        <w:jc w:val="center"/>
        <w:rPr>
          <w:rFonts w:ascii="宋体" w:hAnsi="宋体" w:eastAsia="宋体" w:cs="宋体"/>
          <w:b/>
          <w:bCs/>
          <w:sz w:val="28"/>
          <w:szCs w:val="28"/>
          <w:u w:color="000000"/>
        </w:rPr>
      </w:pPr>
    </w:p>
    <w:p w14:paraId="69ECB176">
      <w:pPr>
        <w:spacing w:line="360" w:lineRule="auto"/>
        <w:jc w:val="center"/>
        <w:rPr>
          <w:rFonts w:ascii="宋体" w:hAnsi="宋体" w:eastAsia="宋体" w:cs="宋体"/>
          <w:b/>
          <w:bCs/>
          <w:sz w:val="28"/>
          <w:szCs w:val="28"/>
          <w:u w:color="000000"/>
        </w:rPr>
      </w:pPr>
    </w:p>
    <w:p w14:paraId="3C5C3BDE">
      <w:pPr>
        <w:spacing w:line="360" w:lineRule="auto"/>
        <w:jc w:val="center"/>
        <w:rPr>
          <w:rFonts w:ascii="宋体" w:hAnsi="宋体" w:eastAsia="宋体" w:cs="宋体"/>
          <w:b/>
          <w:bCs/>
          <w:sz w:val="28"/>
          <w:szCs w:val="28"/>
          <w:u w:color="000000"/>
        </w:rPr>
      </w:pPr>
    </w:p>
    <w:p w14:paraId="277BEDAE">
      <w:pPr>
        <w:spacing w:line="360" w:lineRule="auto"/>
        <w:jc w:val="center"/>
        <w:rPr>
          <w:rFonts w:ascii="宋体" w:hAnsi="宋体" w:eastAsia="宋体" w:cs="宋体"/>
          <w:b/>
          <w:bCs/>
          <w:sz w:val="28"/>
          <w:szCs w:val="28"/>
          <w:u w:color="000000"/>
        </w:rPr>
      </w:pPr>
    </w:p>
    <w:p w14:paraId="027BDB77">
      <w:pPr>
        <w:spacing w:line="360" w:lineRule="auto"/>
        <w:jc w:val="center"/>
        <w:rPr>
          <w:rFonts w:ascii="宋体" w:hAnsi="宋体" w:eastAsia="宋体" w:cs="宋体"/>
          <w:sz w:val="28"/>
          <w:szCs w:val="28"/>
          <w:u w:color="000000"/>
        </w:rPr>
      </w:pPr>
      <w:r>
        <w:rPr>
          <w:rFonts w:hint="eastAsia" w:ascii="宋体" w:hAnsi="宋体" w:eastAsia="宋体" w:cs="宋体"/>
          <w:sz w:val="28"/>
          <w:szCs w:val="28"/>
          <w:u w:color="000000"/>
          <w:lang w:val="zh-TW"/>
        </w:rPr>
        <w:t>投标人</w:t>
      </w:r>
      <w:r>
        <w:rPr>
          <w:rFonts w:hint="eastAsia" w:ascii="宋体" w:hAnsi="宋体" w:eastAsia="宋体" w:cs="宋体"/>
          <w:sz w:val="28"/>
          <w:szCs w:val="28"/>
          <w:u w:color="000000"/>
          <w:lang w:val="zh-TW" w:eastAsia="zh-TW"/>
        </w:rPr>
        <w:t>：</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val="single"/>
          <w:lang w:val="zh-TW" w:eastAsia="zh-TW"/>
        </w:rPr>
        <w:t xml:space="preserve">   </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color="000000"/>
          <w:lang w:val="zh-TW" w:eastAsia="zh-TW"/>
        </w:rPr>
        <w:t>（盖单位章）</w:t>
      </w:r>
    </w:p>
    <w:p w14:paraId="21E0FF9E">
      <w:pPr>
        <w:spacing w:line="360" w:lineRule="auto"/>
        <w:jc w:val="center"/>
        <w:rPr>
          <w:rFonts w:ascii="宋体" w:hAnsi="宋体" w:eastAsia="宋体" w:cs="宋体"/>
          <w:sz w:val="28"/>
          <w:szCs w:val="28"/>
          <w:u w:val="single" w:color="000000"/>
        </w:rPr>
      </w:pPr>
      <w:r>
        <w:rPr>
          <w:rFonts w:hint="eastAsia" w:ascii="宋体" w:hAnsi="宋体" w:eastAsia="宋体" w:cs="宋体"/>
          <w:sz w:val="28"/>
          <w:szCs w:val="28"/>
          <w:u w:color="000000"/>
          <w:lang w:val="zh-TW" w:eastAsia="zh-TW"/>
        </w:rPr>
        <w:t>法定代表人或其委托代理人：</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color="000000"/>
          <w:lang w:val="zh-TW" w:eastAsia="zh-TW"/>
        </w:rPr>
        <w:t>（签字）</w:t>
      </w:r>
    </w:p>
    <w:p w14:paraId="53ACCEDB">
      <w:pPr>
        <w:spacing w:line="360" w:lineRule="auto"/>
        <w:jc w:val="center"/>
        <w:rPr>
          <w:rFonts w:ascii="宋体" w:hAnsi="宋体" w:eastAsia="宋体" w:cs="宋体"/>
        </w:rPr>
      </w:pPr>
      <w:r>
        <w:rPr>
          <w:rFonts w:hint="eastAsia" w:ascii="宋体" w:hAnsi="宋体" w:eastAsia="宋体" w:cs="宋体"/>
          <w:sz w:val="28"/>
          <w:szCs w:val="28"/>
          <w:u w:val="single" w:color="000000"/>
        </w:rPr>
        <w:t xml:space="preserve">       </w:t>
      </w:r>
      <w:r>
        <w:rPr>
          <w:rFonts w:hint="eastAsia" w:ascii="宋体" w:hAnsi="宋体" w:eastAsia="宋体" w:cs="宋体"/>
          <w:sz w:val="28"/>
          <w:szCs w:val="28"/>
          <w:u w:color="000000"/>
          <w:lang w:val="zh-TW" w:eastAsia="zh-TW"/>
        </w:rPr>
        <w:t>年</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color="000000"/>
          <w:lang w:val="zh-TW" w:eastAsia="zh-TW"/>
        </w:rPr>
        <w:t>月</w:t>
      </w:r>
      <w:r>
        <w:rPr>
          <w:rFonts w:hint="eastAsia" w:ascii="宋体" w:hAnsi="宋体" w:eastAsia="宋体" w:cs="宋体"/>
          <w:sz w:val="28"/>
          <w:szCs w:val="28"/>
          <w:u w:val="single"/>
          <w:lang w:val="zh-TW"/>
        </w:rPr>
        <w:t xml:space="preserve">     </w:t>
      </w:r>
      <w:r>
        <w:rPr>
          <w:rFonts w:hint="eastAsia" w:ascii="宋体" w:hAnsi="宋体" w:eastAsia="宋体" w:cs="宋体"/>
          <w:sz w:val="28"/>
          <w:szCs w:val="28"/>
          <w:u w:color="000000"/>
          <w:lang w:val="zh-TW" w:eastAsia="zh-TW"/>
        </w:rPr>
        <w:t>日</w:t>
      </w:r>
      <w:r>
        <w:rPr>
          <w:rFonts w:hint="eastAsia" w:ascii="宋体" w:hAnsi="宋体" w:eastAsia="宋体" w:cs="宋体"/>
        </w:rPr>
        <w:br w:type="page"/>
      </w:r>
    </w:p>
    <w:p w14:paraId="6BF24090">
      <w:pPr>
        <w:spacing w:line="360" w:lineRule="auto"/>
        <w:jc w:val="center"/>
        <w:rPr>
          <w:rFonts w:ascii="宋体" w:hAnsi="宋体" w:eastAsia="宋体" w:cs="宋体"/>
          <w:sz w:val="28"/>
          <w:szCs w:val="28"/>
        </w:rPr>
      </w:pPr>
      <w:r>
        <w:rPr>
          <w:rFonts w:hint="eastAsia" w:ascii="宋体" w:hAnsi="宋体" w:eastAsia="宋体" w:cs="宋体"/>
          <w:sz w:val="28"/>
          <w:szCs w:val="28"/>
        </w:rPr>
        <w:t>资格性和符合性检查响应对照及评分索引表</w:t>
      </w:r>
    </w:p>
    <w:p w14:paraId="2D0E0D88">
      <w:pPr>
        <w:spacing w:before="156" w:beforeLines="50" w:after="156" w:afterLines="50" w:line="360" w:lineRule="auto"/>
        <w:jc w:val="left"/>
        <w:rPr>
          <w:rFonts w:ascii="宋体" w:hAnsi="宋体" w:eastAsia="宋体" w:cs="宋体"/>
          <w:sz w:val="24"/>
          <w:szCs w:val="24"/>
        </w:rPr>
      </w:pPr>
      <w:r>
        <w:rPr>
          <w:rFonts w:hint="eastAsia" w:ascii="宋体" w:hAnsi="宋体" w:eastAsia="宋体" w:cs="宋体"/>
          <w:sz w:val="24"/>
          <w:szCs w:val="24"/>
        </w:rPr>
        <w:t>投标人全称（加盖公章）：</w:t>
      </w:r>
      <w:r>
        <w:rPr>
          <w:rFonts w:hint="eastAsia" w:ascii="宋体" w:hAnsi="宋体" w:eastAsia="宋体" w:cs="宋体"/>
          <w:sz w:val="24"/>
          <w:szCs w:val="24"/>
          <w:u w:val="single"/>
        </w:rPr>
        <w:t xml:space="preserve">                            </w:t>
      </w:r>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14:paraId="747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14:paraId="4AEABCB9">
            <w:pPr>
              <w:snapToGrid w:val="0"/>
              <w:spacing w:line="240" w:lineRule="atLeast"/>
              <w:jc w:val="center"/>
              <w:rPr>
                <w:rFonts w:ascii="宋体" w:hAnsi="宋体" w:eastAsia="宋体" w:cs="宋体"/>
                <w:b/>
              </w:rPr>
            </w:pPr>
            <w:r>
              <w:rPr>
                <w:rFonts w:hint="eastAsia" w:ascii="宋体" w:hAnsi="宋体" w:eastAsia="宋体" w:cs="宋体"/>
                <w:b/>
              </w:rPr>
              <w:t>序号</w:t>
            </w:r>
          </w:p>
        </w:tc>
        <w:tc>
          <w:tcPr>
            <w:tcW w:w="4838" w:type="dxa"/>
            <w:vAlign w:val="center"/>
          </w:tcPr>
          <w:p w14:paraId="4F78A738">
            <w:pPr>
              <w:snapToGrid w:val="0"/>
              <w:spacing w:line="240" w:lineRule="atLeast"/>
              <w:jc w:val="center"/>
              <w:rPr>
                <w:rFonts w:ascii="宋体" w:hAnsi="宋体" w:eastAsia="宋体" w:cs="宋体"/>
                <w:b/>
              </w:rPr>
            </w:pPr>
            <w:r>
              <w:rPr>
                <w:rFonts w:hint="eastAsia" w:ascii="宋体" w:hAnsi="宋体" w:eastAsia="宋体" w:cs="宋体"/>
                <w:b/>
              </w:rPr>
              <w:t>资格性和符合性检查响应内容</w:t>
            </w:r>
          </w:p>
        </w:tc>
        <w:tc>
          <w:tcPr>
            <w:tcW w:w="1756" w:type="dxa"/>
            <w:vAlign w:val="center"/>
          </w:tcPr>
          <w:p w14:paraId="37076047">
            <w:pPr>
              <w:snapToGrid w:val="0"/>
              <w:spacing w:line="240" w:lineRule="atLeast"/>
              <w:jc w:val="center"/>
              <w:rPr>
                <w:rFonts w:ascii="宋体" w:hAnsi="宋体" w:eastAsia="宋体" w:cs="宋体"/>
                <w:b/>
              </w:rPr>
            </w:pPr>
            <w:r>
              <w:rPr>
                <w:rFonts w:hint="eastAsia" w:ascii="宋体" w:hAnsi="宋体" w:eastAsia="宋体" w:cs="宋体"/>
                <w:b/>
              </w:rPr>
              <w:t>是否响应</w:t>
            </w:r>
          </w:p>
          <w:p w14:paraId="7D605689">
            <w:pPr>
              <w:snapToGrid w:val="0"/>
              <w:spacing w:line="240" w:lineRule="atLeast"/>
              <w:jc w:val="center"/>
              <w:rPr>
                <w:rFonts w:ascii="宋体" w:hAnsi="宋体" w:eastAsia="宋体" w:cs="宋体"/>
                <w:b/>
              </w:rPr>
            </w:pPr>
            <w:r>
              <w:rPr>
                <w:rFonts w:hint="eastAsia" w:ascii="宋体" w:hAnsi="宋体" w:eastAsia="宋体" w:cs="宋体"/>
                <w:b/>
              </w:rPr>
              <w:t>（填是或者否）</w:t>
            </w:r>
          </w:p>
        </w:tc>
        <w:tc>
          <w:tcPr>
            <w:tcW w:w="1738" w:type="dxa"/>
            <w:vAlign w:val="center"/>
          </w:tcPr>
          <w:p w14:paraId="69D80AF7">
            <w:pPr>
              <w:snapToGrid w:val="0"/>
              <w:spacing w:line="240" w:lineRule="atLeast"/>
              <w:jc w:val="center"/>
              <w:rPr>
                <w:rFonts w:ascii="宋体" w:hAnsi="宋体" w:eastAsia="宋体" w:cs="宋体"/>
                <w:b/>
              </w:rPr>
            </w:pPr>
            <w:r>
              <w:rPr>
                <w:rFonts w:hint="eastAsia" w:ascii="宋体" w:hAnsi="宋体" w:eastAsia="宋体" w:cs="宋体"/>
                <w:b/>
              </w:rPr>
              <w:t>投标文件中的</w:t>
            </w:r>
          </w:p>
          <w:p w14:paraId="07A55F96">
            <w:pPr>
              <w:snapToGrid w:val="0"/>
              <w:spacing w:line="240" w:lineRule="atLeast"/>
              <w:jc w:val="center"/>
              <w:rPr>
                <w:rFonts w:ascii="宋体" w:hAnsi="宋体" w:eastAsia="宋体" w:cs="宋体"/>
                <w:b/>
              </w:rPr>
            </w:pPr>
            <w:r>
              <w:rPr>
                <w:rFonts w:hint="eastAsia" w:ascii="宋体" w:hAnsi="宋体" w:eastAsia="宋体" w:cs="宋体"/>
                <w:b/>
              </w:rPr>
              <w:t>页码位置</w:t>
            </w:r>
          </w:p>
        </w:tc>
      </w:tr>
      <w:tr w14:paraId="0946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5B078A84">
            <w:pPr>
              <w:jc w:val="center"/>
              <w:rPr>
                <w:rFonts w:ascii="宋体" w:hAnsi="宋体" w:eastAsia="宋体" w:cs="宋体"/>
              </w:rPr>
            </w:pPr>
            <w:r>
              <w:rPr>
                <w:rFonts w:hint="eastAsia" w:ascii="宋体" w:hAnsi="宋体" w:eastAsia="宋体" w:cs="宋体"/>
              </w:rPr>
              <w:t>1</w:t>
            </w:r>
          </w:p>
        </w:tc>
        <w:tc>
          <w:tcPr>
            <w:tcW w:w="4838" w:type="dxa"/>
            <w:vAlign w:val="center"/>
          </w:tcPr>
          <w:p w14:paraId="769A213D">
            <w:pPr>
              <w:spacing w:line="480" w:lineRule="exact"/>
              <w:rPr>
                <w:rFonts w:ascii="宋体" w:hAnsi="宋体" w:eastAsia="宋体" w:cs="宋体"/>
                <w:iCs/>
              </w:rPr>
            </w:pPr>
          </w:p>
        </w:tc>
        <w:tc>
          <w:tcPr>
            <w:tcW w:w="1756" w:type="dxa"/>
            <w:vAlign w:val="center"/>
          </w:tcPr>
          <w:p w14:paraId="1CC8A073">
            <w:pPr>
              <w:rPr>
                <w:rFonts w:ascii="宋体" w:hAnsi="宋体" w:eastAsia="宋体" w:cs="宋体"/>
                <w:b/>
              </w:rPr>
            </w:pPr>
          </w:p>
        </w:tc>
        <w:tc>
          <w:tcPr>
            <w:tcW w:w="1738" w:type="dxa"/>
            <w:vAlign w:val="center"/>
          </w:tcPr>
          <w:p w14:paraId="4FAEE17B">
            <w:pPr>
              <w:rPr>
                <w:rFonts w:ascii="宋体" w:hAnsi="宋体" w:eastAsia="宋体" w:cs="宋体"/>
                <w:b/>
              </w:rPr>
            </w:pPr>
          </w:p>
        </w:tc>
      </w:tr>
      <w:tr w14:paraId="3E5C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4811B25D">
            <w:pPr>
              <w:jc w:val="center"/>
              <w:rPr>
                <w:rFonts w:ascii="宋体" w:hAnsi="宋体" w:eastAsia="宋体" w:cs="宋体"/>
              </w:rPr>
            </w:pPr>
            <w:r>
              <w:rPr>
                <w:rFonts w:hint="eastAsia" w:ascii="宋体" w:hAnsi="宋体" w:eastAsia="宋体" w:cs="宋体"/>
              </w:rPr>
              <w:t>2</w:t>
            </w:r>
          </w:p>
        </w:tc>
        <w:tc>
          <w:tcPr>
            <w:tcW w:w="4838" w:type="dxa"/>
            <w:vAlign w:val="center"/>
          </w:tcPr>
          <w:p w14:paraId="458D895C">
            <w:pPr>
              <w:snapToGrid w:val="0"/>
              <w:spacing w:before="50" w:after="156" w:afterLines="50"/>
              <w:rPr>
                <w:rFonts w:ascii="宋体" w:hAnsi="宋体" w:eastAsia="宋体" w:cs="宋体"/>
                <w:b/>
                <w:sz w:val="28"/>
                <w:szCs w:val="28"/>
              </w:rPr>
            </w:pPr>
          </w:p>
        </w:tc>
        <w:tc>
          <w:tcPr>
            <w:tcW w:w="1756" w:type="dxa"/>
            <w:vAlign w:val="center"/>
          </w:tcPr>
          <w:p w14:paraId="35DAD934">
            <w:pPr>
              <w:rPr>
                <w:rFonts w:ascii="宋体" w:hAnsi="宋体" w:eastAsia="宋体" w:cs="宋体"/>
              </w:rPr>
            </w:pPr>
          </w:p>
        </w:tc>
        <w:tc>
          <w:tcPr>
            <w:tcW w:w="1738" w:type="dxa"/>
            <w:vAlign w:val="center"/>
          </w:tcPr>
          <w:p w14:paraId="7115E8F2">
            <w:pPr>
              <w:rPr>
                <w:rFonts w:ascii="宋体" w:hAnsi="宋体" w:eastAsia="宋体" w:cs="宋体"/>
              </w:rPr>
            </w:pPr>
          </w:p>
        </w:tc>
      </w:tr>
      <w:tr w14:paraId="442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3D5BD899">
            <w:pPr>
              <w:jc w:val="center"/>
              <w:rPr>
                <w:rFonts w:ascii="宋体" w:hAnsi="宋体" w:eastAsia="宋体" w:cs="宋体"/>
              </w:rPr>
            </w:pPr>
            <w:r>
              <w:rPr>
                <w:rFonts w:hint="eastAsia" w:ascii="宋体" w:hAnsi="宋体" w:eastAsia="宋体" w:cs="宋体"/>
              </w:rPr>
              <w:t>3</w:t>
            </w:r>
          </w:p>
        </w:tc>
        <w:tc>
          <w:tcPr>
            <w:tcW w:w="4838" w:type="dxa"/>
            <w:vAlign w:val="center"/>
          </w:tcPr>
          <w:p w14:paraId="7C8C9FD3">
            <w:pPr>
              <w:spacing w:line="480" w:lineRule="exact"/>
              <w:rPr>
                <w:rFonts w:ascii="宋体" w:hAnsi="宋体" w:eastAsia="宋体" w:cs="宋体"/>
                <w:iCs/>
              </w:rPr>
            </w:pPr>
          </w:p>
        </w:tc>
        <w:tc>
          <w:tcPr>
            <w:tcW w:w="1756" w:type="dxa"/>
            <w:vAlign w:val="center"/>
          </w:tcPr>
          <w:p w14:paraId="1DAA5224">
            <w:pPr>
              <w:rPr>
                <w:rFonts w:ascii="宋体" w:hAnsi="宋体" w:eastAsia="宋体" w:cs="宋体"/>
              </w:rPr>
            </w:pPr>
          </w:p>
        </w:tc>
        <w:tc>
          <w:tcPr>
            <w:tcW w:w="1738" w:type="dxa"/>
            <w:vAlign w:val="center"/>
          </w:tcPr>
          <w:p w14:paraId="68D64F56">
            <w:pPr>
              <w:rPr>
                <w:rFonts w:ascii="宋体" w:hAnsi="宋体" w:eastAsia="宋体" w:cs="宋体"/>
              </w:rPr>
            </w:pPr>
          </w:p>
        </w:tc>
      </w:tr>
      <w:tr w14:paraId="67C0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051BCF56">
            <w:pPr>
              <w:jc w:val="center"/>
              <w:rPr>
                <w:rFonts w:ascii="宋体" w:hAnsi="宋体" w:eastAsia="宋体" w:cs="宋体"/>
              </w:rPr>
            </w:pPr>
            <w:r>
              <w:rPr>
                <w:rFonts w:hint="eastAsia" w:ascii="宋体" w:hAnsi="宋体" w:eastAsia="宋体" w:cs="宋体"/>
              </w:rPr>
              <w:t>4</w:t>
            </w:r>
          </w:p>
        </w:tc>
        <w:tc>
          <w:tcPr>
            <w:tcW w:w="4838" w:type="dxa"/>
            <w:vAlign w:val="center"/>
          </w:tcPr>
          <w:p w14:paraId="23A781A1">
            <w:pPr>
              <w:spacing w:line="360" w:lineRule="auto"/>
              <w:rPr>
                <w:rFonts w:ascii="宋体" w:hAnsi="宋体" w:eastAsia="宋体" w:cs="宋体"/>
                <w:iCs/>
              </w:rPr>
            </w:pPr>
          </w:p>
        </w:tc>
        <w:tc>
          <w:tcPr>
            <w:tcW w:w="1756" w:type="dxa"/>
            <w:vAlign w:val="center"/>
          </w:tcPr>
          <w:p w14:paraId="6B7AE63F">
            <w:pPr>
              <w:rPr>
                <w:rFonts w:ascii="宋体" w:hAnsi="宋体" w:eastAsia="宋体" w:cs="宋体"/>
              </w:rPr>
            </w:pPr>
          </w:p>
        </w:tc>
        <w:tc>
          <w:tcPr>
            <w:tcW w:w="1738" w:type="dxa"/>
            <w:vAlign w:val="center"/>
          </w:tcPr>
          <w:p w14:paraId="3786DFC3">
            <w:pPr>
              <w:rPr>
                <w:rFonts w:ascii="宋体" w:hAnsi="宋体" w:eastAsia="宋体" w:cs="宋体"/>
              </w:rPr>
            </w:pPr>
          </w:p>
        </w:tc>
      </w:tr>
      <w:tr w14:paraId="4188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729927B0">
            <w:pPr>
              <w:jc w:val="center"/>
              <w:rPr>
                <w:rFonts w:ascii="宋体" w:hAnsi="宋体" w:eastAsia="宋体" w:cs="宋体"/>
              </w:rPr>
            </w:pPr>
            <w:r>
              <w:rPr>
                <w:rFonts w:hint="eastAsia" w:ascii="宋体" w:hAnsi="宋体" w:eastAsia="宋体" w:cs="宋体"/>
              </w:rPr>
              <w:t>5</w:t>
            </w:r>
          </w:p>
        </w:tc>
        <w:tc>
          <w:tcPr>
            <w:tcW w:w="4838" w:type="dxa"/>
            <w:vAlign w:val="center"/>
          </w:tcPr>
          <w:p w14:paraId="24986551">
            <w:pPr>
              <w:snapToGrid w:val="0"/>
              <w:spacing w:line="590" w:lineRule="atLeast"/>
              <w:rPr>
                <w:rFonts w:ascii="宋体" w:hAnsi="宋体" w:eastAsia="宋体" w:cs="宋体"/>
                <w:iCs/>
              </w:rPr>
            </w:pPr>
          </w:p>
        </w:tc>
        <w:tc>
          <w:tcPr>
            <w:tcW w:w="1756" w:type="dxa"/>
            <w:vAlign w:val="center"/>
          </w:tcPr>
          <w:p w14:paraId="4DB767F2">
            <w:pPr>
              <w:rPr>
                <w:rFonts w:ascii="宋体" w:hAnsi="宋体" w:eastAsia="宋体" w:cs="宋体"/>
              </w:rPr>
            </w:pPr>
          </w:p>
        </w:tc>
        <w:tc>
          <w:tcPr>
            <w:tcW w:w="1738" w:type="dxa"/>
            <w:vAlign w:val="center"/>
          </w:tcPr>
          <w:p w14:paraId="14D2019C">
            <w:pPr>
              <w:rPr>
                <w:rFonts w:ascii="宋体" w:hAnsi="宋体" w:eastAsia="宋体" w:cs="宋体"/>
              </w:rPr>
            </w:pPr>
          </w:p>
        </w:tc>
      </w:tr>
      <w:tr w14:paraId="7D8D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4AC9C333">
            <w:pPr>
              <w:spacing w:line="360" w:lineRule="auto"/>
              <w:jc w:val="center"/>
              <w:rPr>
                <w:rFonts w:ascii="宋体" w:hAnsi="宋体" w:eastAsia="宋体" w:cs="宋体"/>
                <w:b/>
                <w:bCs/>
              </w:rPr>
            </w:pPr>
            <w:r>
              <w:rPr>
                <w:rFonts w:hint="eastAsia" w:ascii="宋体" w:hAnsi="宋体" w:eastAsia="宋体" w:cs="宋体"/>
                <w:b/>
                <w:bCs/>
              </w:rPr>
              <w:t>评分项</w:t>
            </w:r>
          </w:p>
        </w:tc>
        <w:tc>
          <w:tcPr>
            <w:tcW w:w="3494" w:type="dxa"/>
            <w:gridSpan w:val="2"/>
            <w:tcBorders>
              <w:top w:val="single" w:color="000000" w:sz="4" w:space="0"/>
              <w:left w:val="nil"/>
              <w:bottom w:val="single" w:color="000000" w:sz="4" w:space="0"/>
              <w:right w:val="single" w:color="000000" w:sz="4" w:space="0"/>
            </w:tcBorders>
            <w:vAlign w:val="center"/>
          </w:tcPr>
          <w:p w14:paraId="57D714B0">
            <w:pPr>
              <w:spacing w:line="360" w:lineRule="auto"/>
              <w:jc w:val="center"/>
              <w:rPr>
                <w:rFonts w:ascii="宋体" w:hAnsi="宋体" w:eastAsia="宋体" w:cs="宋体"/>
                <w:b/>
                <w:bCs/>
              </w:rPr>
            </w:pPr>
            <w:r>
              <w:rPr>
                <w:rFonts w:hint="eastAsia" w:ascii="宋体" w:hAnsi="宋体" w:eastAsia="宋体" w:cs="宋体"/>
                <w:b/>
                <w:bCs/>
              </w:rPr>
              <w:t>在投标文件中的页码位置</w:t>
            </w:r>
          </w:p>
        </w:tc>
      </w:tr>
      <w:tr w14:paraId="7632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43AFCF67">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3BA15F50">
            <w:pPr>
              <w:spacing w:line="360" w:lineRule="auto"/>
              <w:ind w:firstLine="420"/>
              <w:jc w:val="center"/>
              <w:rPr>
                <w:rFonts w:ascii="宋体" w:hAnsi="宋体" w:eastAsia="宋体" w:cs="宋体"/>
                <w:b/>
                <w:bCs/>
              </w:rPr>
            </w:pPr>
          </w:p>
        </w:tc>
      </w:tr>
      <w:tr w14:paraId="21AA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17786579">
            <w:pPr>
              <w:spacing w:line="360" w:lineRule="auto"/>
              <w:jc w:val="center"/>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474B2B1C">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11CF62CD">
            <w:pPr>
              <w:spacing w:line="360" w:lineRule="auto"/>
              <w:ind w:firstLine="420"/>
              <w:jc w:val="center"/>
              <w:rPr>
                <w:rFonts w:ascii="宋体" w:hAnsi="宋体" w:eastAsia="宋体" w:cs="宋体"/>
                <w:b/>
                <w:bCs/>
              </w:rPr>
            </w:pPr>
          </w:p>
        </w:tc>
      </w:tr>
      <w:tr w14:paraId="7075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205523D2">
            <w:pPr>
              <w:spacing w:line="360" w:lineRule="auto"/>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531B42C4">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2A3EC914">
            <w:pPr>
              <w:spacing w:line="360" w:lineRule="auto"/>
              <w:ind w:firstLine="420"/>
              <w:jc w:val="center"/>
              <w:rPr>
                <w:rFonts w:ascii="宋体" w:hAnsi="宋体" w:eastAsia="宋体" w:cs="宋体"/>
                <w:b/>
                <w:bCs/>
              </w:rPr>
            </w:pPr>
          </w:p>
        </w:tc>
      </w:tr>
      <w:tr w14:paraId="0448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0D9C77DF">
            <w:pPr>
              <w:spacing w:line="360" w:lineRule="auto"/>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4B368FF1">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77FE301A">
            <w:pPr>
              <w:spacing w:line="360" w:lineRule="auto"/>
              <w:ind w:firstLine="420"/>
              <w:jc w:val="center"/>
              <w:rPr>
                <w:rFonts w:ascii="宋体" w:hAnsi="宋体" w:eastAsia="宋体" w:cs="宋体"/>
                <w:b/>
                <w:bCs/>
              </w:rPr>
            </w:pPr>
          </w:p>
        </w:tc>
      </w:tr>
      <w:tr w14:paraId="5784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085C782A">
            <w:pPr>
              <w:spacing w:line="360" w:lineRule="auto"/>
              <w:jc w:val="center"/>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671FB0B5">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66E4BC5A">
            <w:pPr>
              <w:spacing w:line="360" w:lineRule="auto"/>
              <w:ind w:firstLine="420"/>
              <w:jc w:val="center"/>
              <w:rPr>
                <w:rFonts w:ascii="宋体" w:hAnsi="宋体" w:eastAsia="宋体" w:cs="宋体"/>
                <w:b/>
                <w:bCs/>
              </w:rPr>
            </w:pPr>
          </w:p>
        </w:tc>
      </w:tr>
      <w:tr w14:paraId="742B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4DBA653B">
            <w:pPr>
              <w:spacing w:line="360" w:lineRule="auto"/>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758840D0">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0E553AF1">
            <w:pPr>
              <w:spacing w:line="360" w:lineRule="auto"/>
              <w:ind w:firstLine="420"/>
              <w:jc w:val="center"/>
              <w:rPr>
                <w:rFonts w:ascii="宋体" w:hAnsi="宋体" w:eastAsia="宋体" w:cs="宋体"/>
                <w:b/>
                <w:bCs/>
              </w:rPr>
            </w:pPr>
          </w:p>
        </w:tc>
      </w:tr>
      <w:tr w14:paraId="46D9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5FC01E3A">
            <w:pPr>
              <w:spacing w:line="360" w:lineRule="auto"/>
              <w:rPr>
                <w:rFonts w:ascii="宋体" w:hAnsi="宋体" w:eastAsia="宋体" w:cs="宋体"/>
                <w:b/>
                <w:bCs/>
              </w:rPr>
            </w:pPr>
          </w:p>
        </w:tc>
        <w:tc>
          <w:tcPr>
            <w:tcW w:w="4838" w:type="dxa"/>
            <w:tcBorders>
              <w:top w:val="single" w:color="000000" w:sz="4" w:space="0"/>
              <w:left w:val="nil"/>
              <w:bottom w:val="single" w:color="000000" w:sz="4" w:space="0"/>
              <w:right w:val="single" w:color="000000" w:sz="4" w:space="0"/>
            </w:tcBorders>
            <w:vAlign w:val="center"/>
          </w:tcPr>
          <w:p w14:paraId="5F00F3AA">
            <w:pPr>
              <w:spacing w:line="360" w:lineRule="auto"/>
              <w:rPr>
                <w:rFonts w:ascii="宋体" w:hAnsi="宋体" w:eastAsia="宋体" w:cs="宋体"/>
              </w:rPr>
            </w:pPr>
          </w:p>
        </w:tc>
        <w:tc>
          <w:tcPr>
            <w:tcW w:w="3494" w:type="dxa"/>
            <w:gridSpan w:val="2"/>
            <w:tcBorders>
              <w:top w:val="single" w:color="000000" w:sz="4" w:space="0"/>
              <w:left w:val="nil"/>
              <w:bottom w:val="single" w:color="000000" w:sz="4" w:space="0"/>
              <w:right w:val="single" w:color="000000" w:sz="4" w:space="0"/>
            </w:tcBorders>
            <w:vAlign w:val="center"/>
          </w:tcPr>
          <w:p w14:paraId="278E2EBF">
            <w:pPr>
              <w:spacing w:line="360" w:lineRule="auto"/>
              <w:ind w:firstLine="420"/>
              <w:jc w:val="center"/>
              <w:rPr>
                <w:rFonts w:ascii="宋体" w:hAnsi="宋体" w:eastAsia="宋体" w:cs="宋体"/>
                <w:b/>
                <w:bCs/>
              </w:rPr>
            </w:pPr>
          </w:p>
        </w:tc>
      </w:tr>
    </w:tbl>
    <w:p w14:paraId="1264C061">
      <w:pPr>
        <w:spacing w:line="360" w:lineRule="auto"/>
        <w:jc w:val="left"/>
        <w:rPr>
          <w:rFonts w:ascii="宋体" w:hAnsi="宋体" w:eastAsia="宋体" w:cs="宋体"/>
        </w:rPr>
      </w:pPr>
    </w:p>
    <w:p w14:paraId="7B1300C1">
      <w:pPr>
        <w:spacing w:line="360" w:lineRule="auto"/>
        <w:jc w:val="left"/>
        <w:rPr>
          <w:rFonts w:ascii="宋体" w:hAnsi="宋体" w:eastAsia="宋体" w:cs="宋体"/>
        </w:rPr>
      </w:pPr>
    </w:p>
    <w:p w14:paraId="7FE64934">
      <w:pPr>
        <w:jc w:val="left"/>
        <w:rPr>
          <w:rFonts w:ascii="宋体" w:hAnsi="宋体" w:eastAsia="宋体" w:cs="宋体"/>
        </w:rPr>
      </w:pPr>
      <w:r>
        <w:rPr>
          <w:rFonts w:hint="eastAsia" w:ascii="宋体" w:hAnsi="宋体" w:eastAsia="宋体" w:cs="宋体"/>
        </w:rPr>
        <w:br w:type="page"/>
      </w:r>
    </w:p>
    <w:p w14:paraId="1B459455">
      <w:pPr>
        <w:spacing w:before="312" w:beforeLines="100" w:after="312" w:afterLines="100" w:line="360" w:lineRule="auto"/>
        <w:jc w:val="center"/>
        <w:rPr>
          <w:rFonts w:ascii="宋体" w:hAnsi="宋体" w:eastAsia="宋体" w:cs="宋体"/>
          <w:sz w:val="36"/>
          <w:szCs w:val="36"/>
          <w:u w:color="000000"/>
        </w:rPr>
      </w:pPr>
      <w:r>
        <w:rPr>
          <w:rFonts w:hint="eastAsia" w:ascii="宋体" w:hAnsi="宋体" w:eastAsia="宋体" w:cs="宋体"/>
          <w:sz w:val="36"/>
          <w:szCs w:val="36"/>
          <w:u w:color="000000"/>
          <w:lang w:val="zh-TW" w:eastAsia="zh-TW"/>
        </w:rPr>
        <w:t>目</w:t>
      </w:r>
      <w:r>
        <w:rPr>
          <w:rFonts w:hint="eastAsia" w:ascii="宋体" w:hAnsi="宋体" w:eastAsia="宋体" w:cs="宋体"/>
          <w:sz w:val="36"/>
          <w:szCs w:val="36"/>
          <w:u w:color="000000"/>
          <w:lang w:val="zh-TW"/>
        </w:rPr>
        <w:t xml:space="preserve">  </w:t>
      </w:r>
      <w:r>
        <w:rPr>
          <w:rFonts w:hint="eastAsia" w:ascii="宋体" w:hAnsi="宋体" w:eastAsia="宋体" w:cs="宋体"/>
          <w:sz w:val="36"/>
          <w:szCs w:val="36"/>
          <w:u w:color="000000"/>
          <w:lang w:val="zh-TW" w:eastAsia="zh-TW"/>
        </w:rPr>
        <w:t>录</w:t>
      </w:r>
    </w:p>
    <w:p w14:paraId="4F367113">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一、投标函</w:t>
      </w:r>
    </w:p>
    <w:p w14:paraId="764338E5">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二、投标一览表</w:t>
      </w:r>
    </w:p>
    <w:p w14:paraId="02F44CE8">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三、法人授权书</w:t>
      </w:r>
    </w:p>
    <w:p w14:paraId="6D4148BC">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四、资格证明文件</w:t>
      </w:r>
    </w:p>
    <w:p w14:paraId="243488B4">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五、商务条款响应及偏离表</w:t>
      </w:r>
    </w:p>
    <w:p w14:paraId="74A63407">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六、技术参数响应及偏离表</w:t>
      </w:r>
    </w:p>
    <w:p w14:paraId="5FE01159">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七、技术规范点对点应答</w:t>
      </w:r>
    </w:p>
    <w:p w14:paraId="0A448E4B">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八、综合实力证明</w:t>
      </w:r>
    </w:p>
    <w:p w14:paraId="3E290264">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九、技术方案</w:t>
      </w:r>
    </w:p>
    <w:p w14:paraId="35861401">
      <w:pPr>
        <w:spacing w:line="360" w:lineRule="auto"/>
        <w:rPr>
          <w:rFonts w:ascii="宋体" w:hAnsi="宋体" w:eastAsia="宋体" w:cs="宋体"/>
          <w:sz w:val="24"/>
          <w:szCs w:val="24"/>
          <w:u w:color="000000"/>
        </w:rPr>
      </w:pPr>
      <w:r>
        <w:rPr>
          <w:rFonts w:hint="eastAsia" w:ascii="宋体" w:hAnsi="宋体" w:eastAsia="宋体" w:cs="宋体"/>
          <w:sz w:val="24"/>
          <w:szCs w:val="24"/>
          <w:u w:color="000000"/>
        </w:rPr>
        <w:t>十、投标人其它声明及材料</w:t>
      </w:r>
    </w:p>
    <w:p w14:paraId="2C3F9E66">
      <w:pPr>
        <w:spacing w:line="360" w:lineRule="auto"/>
        <w:rPr>
          <w:rFonts w:ascii="宋体" w:hAnsi="宋体" w:eastAsia="宋体" w:cs="宋体"/>
          <w:sz w:val="28"/>
          <w:szCs w:val="28"/>
          <w:u w:color="000000"/>
        </w:rPr>
      </w:pPr>
    </w:p>
    <w:p w14:paraId="49CC49B4">
      <w:pPr>
        <w:jc w:val="left"/>
        <w:rPr>
          <w:rFonts w:ascii="宋体" w:hAnsi="宋体" w:eastAsia="宋体" w:cs="宋体"/>
        </w:rPr>
      </w:pPr>
      <w:r>
        <w:rPr>
          <w:rFonts w:hint="eastAsia" w:ascii="宋体" w:hAnsi="宋体" w:eastAsia="宋体" w:cs="宋体"/>
        </w:rPr>
        <w:br w:type="page"/>
      </w:r>
    </w:p>
    <w:p w14:paraId="792BB426">
      <w:pPr>
        <w:tabs>
          <w:tab w:val="left" w:pos="576"/>
        </w:tabs>
        <w:spacing w:before="156" w:beforeLines="50" w:after="156" w:afterLines="50" w:line="360" w:lineRule="auto"/>
        <w:outlineLvl w:val="2"/>
        <w:rPr>
          <w:rFonts w:ascii="宋体" w:hAnsi="宋体" w:eastAsia="宋体" w:cs="宋体"/>
          <w:sz w:val="24"/>
          <w:szCs w:val="24"/>
          <w:u w:color="000000"/>
        </w:rPr>
      </w:pPr>
      <w:bookmarkStart w:id="16" w:name="_Toc50"/>
      <w:bookmarkStart w:id="17" w:name="_Toc448069988"/>
      <w:bookmarkStart w:id="18" w:name="_Toc415494574"/>
      <w:bookmarkStart w:id="19" w:name="_Toc11859491"/>
      <w:bookmarkStart w:id="20" w:name="_Toc20393"/>
      <w:r>
        <w:rPr>
          <w:rFonts w:hint="eastAsia" w:ascii="宋体" w:hAnsi="宋体" w:eastAsia="宋体" w:cs="宋体"/>
          <w:sz w:val="24"/>
          <w:szCs w:val="24"/>
          <w:u w:color="000000"/>
        </w:rPr>
        <w:t xml:space="preserve">6.1 </w:t>
      </w:r>
      <w:bookmarkEnd w:id="16"/>
      <w:bookmarkEnd w:id="17"/>
      <w:bookmarkEnd w:id="18"/>
      <w:r>
        <w:rPr>
          <w:rFonts w:hint="eastAsia" w:ascii="宋体" w:hAnsi="宋体" w:eastAsia="宋体" w:cs="宋体"/>
          <w:sz w:val="24"/>
          <w:szCs w:val="24"/>
          <w:u w:color="000000"/>
        </w:rPr>
        <w:t>投标函</w:t>
      </w:r>
      <w:bookmarkEnd w:id="19"/>
      <w:bookmarkEnd w:id="20"/>
    </w:p>
    <w:p w14:paraId="1CFE844E">
      <w:pPr>
        <w:snapToGrid w:val="0"/>
        <w:spacing w:line="360" w:lineRule="auto"/>
        <w:jc w:val="center"/>
        <w:rPr>
          <w:rFonts w:ascii="宋体" w:hAnsi="宋体" w:eastAsia="宋体" w:cs="宋体"/>
          <w:sz w:val="28"/>
          <w:szCs w:val="24"/>
          <w:u w:color="000000"/>
          <w:lang w:val="zh-TW" w:eastAsia="zh-TW"/>
        </w:rPr>
      </w:pPr>
      <w:r>
        <w:rPr>
          <w:rFonts w:hint="eastAsia" w:ascii="宋体" w:hAnsi="宋体" w:eastAsia="宋体" w:cs="宋体"/>
          <w:sz w:val="28"/>
          <w:szCs w:val="24"/>
          <w:u w:color="000000"/>
          <w:lang w:val="zh-TW" w:eastAsia="zh-TW"/>
        </w:rPr>
        <w:t>投标函</w:t>
      </w:r>
    </w:p>
    <w:p w14:paraId="457D5873">
      <w:pPr>
        <w:pStyle w:val="48"/>
        <w:spacing w:before="0" w:after="0" w:line="300" w:lineRule="auto"/>
        <w:ind w:firstLine="0"/>
        <w:rPr>
          <w:rFonts w:ascii="宋体" w:hAnsi="宋体" w:cs="宋体"/>
          <w:kern w:val="2"/>
          <w:szCs w:val="21"/>
        </w:rPr>
      </w:pPr>
      <w:r>
        <w:rPr>
          <w:rFonts w:hint="eastAsia" w:ascii="宋体" w:hAnsi="宋体" w:cs="宋体"/>
          <w:kern w:val="2"/>
          <w:szCs w:val="21"/>
        </w:rPr>
        <w:t>致：南京邮电大学通达学院</w:t>
      </w:r>
    </w:p>
    <w:p w14:paraId="50C15F1E">
      <w:pPr>
        <w:pStyle w:val="48"/>
        <w:spacing w:before="0" w:after="0" w:line="300" w:lineRule="auto"/>
        <w:ind w:firstLineChars="200"/>
        <w:rPr>
          <w:rFonts w:ascii="宋体" w:hAnsi="宋体" w:cs="宋体"/>
          <w:kern w:val="2"/>
          <w:szCs w:val="21"/>
        </w:rPr>
      </w:pPr>
      <w:r>
        <w:rPr>
          <w:rFonts w:hint="eastAsia" w:ascii="宋体" w:hAnsi="宋体" w:cs="宋体"/>
          <w:kern w:val="2"/>
          <w:szCs w:val="21"/>
        </w:rPr>
        <w:t>根据贵方</w:t>
      </w:r>
      <w:r>
        <w:rPr>
          <w:rFonts w:hint="eastAsia" w:ascii="宋体" w:hAnsi="宋体" w:cs="宋体"/>
          <w:kern w:val="2"/>
          <w:szCs w:val="21"/>
          <w:u w:val="single"/>
        </w:rPr>
        <w:t>南京邮电大学通达学2024-2026年消防维护服务采购项目（项目编号：TDCG2024014）</w:t>
      </w:r>
      <w:r>
        <w:rPr>
          <w:rFonts w:hint="eastAsia" w:ascii="宋体" w:hAnsi="宋体" w:cs="宋体"/>
          <w:kern w:val="2"/>
          <w:szCs w:val="21"/>
        </w:rPr>
        <w:t>的招标文件，正式授权下述签字人____________（姓名和职务）代表我方____________（投标人的名称），全权处理本次项目投标的有关事宜。</w:t>
      </w:r>
    </w:p>
    <w:p w14:paraId="0A4F6622">
      <w:pPr>
        <w:pStyle w:val="48"/>
        <w:spacing w:before="0" w:after="0" w:line="300" w:lineRule="auto"/>
        <w:ind w:firstLineChars="200"/>
        <w:rPr>
          <w:rFonts w:ascii="宋体" w:hAnsi="宋体" w:cs="宋体"/>
          <w:kern w:val="2"/>
          <w:szCs w:val="21"/>
        </w:rPr>
      </w:pPr>
      <w:r>
        <w:rPr>
          <w:rFonts w:hint="eastAsia" w:ascii="宋体" w:hAnsi="宋体" w:cs="宋体"/>
          <w:kern w:val="2"/>
          <w:szCs w:val="21"/>
        </w:rPr>
        <w:t>据此函，投标人宣布同意如下：</w:t>
      </w:r>
    </w:p>
    <w:p w14:paraId="2766A07D">
      <w:pPr>
        <w:pStyle w:val="48"/>
        <w:spacing w:before="0" w:after="0" w:line="300" w:lineRule="auto"/>
        <w:rPr>
          <w:rFonts w:ascii="宋体" w:hAnsi="宋体" w:cs="宋体"/>
          <w:kern w:val="2"/>
          <w:szCs w:val="21"/>
        </w:rPr>
      </w:pPr>
      <w:r>
        <w:rPr>
          <w:rFonts w:hint="eastAsia" w:ascii="宋体" w:hAnsi="宋体" w:cs="宋体"/>
          <w:kern w:val="2"/>
          <w:szCs w:val="21"/>
        </w:rPr>
        <w:t>1.按招标文件规定的各项要求，向买方提供所需货物与服务。</w:t>
      </w:r>
    </w:p>
    <w:p w14:paraId="5B607493">
      <w:pPr>
        <w:pStyle w:val="48"/>
        <w:spacing w:before="0" w:after="0" w:line="300" w:lineRule="auto"/>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14:paraId="3DD50D46">
      <w:pPr>
        <w:pStyle w:val="48"/>
        <w:spacing w:before="0" w:after="0" w:line="300" w:lineRule="auto"/>
        <w:ind w:firstLineChars="200"/>
        <w:rPr>
          <w:rFonts w:ascii="宋体" w:hAnsi="宋体" w:cs="宋体"/>
          <w:kern w:val="2"/>
          <w:szCs w:val="21"/>
        </w:rPr>
      </w:pPr>
      <w:r>
        <w:rPr>
          <w:rFonts w:hint="eastAsia" w:ascii="宋体" w:hAnsi="宋体" w:cs="宋体"/>
          <w:kern w:val="2"/>
          <w:szCs w:val="21"/>
        </w:rPr>
        <w:t>3.我们已详细审核全部招标文件及其有效补充文件，我们知道必须放弃提出含糊不清或误解问题的权利。</w:t>
      </w:r>
    </w:p>
    <w:p w14:paraId="3D4F31B9">
      <w:pPr>
        <w:pStyle w:val="48"/>
        <w:spacing w:before="0" w:after="0" w:line="300" w:lineRule="auto"/>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14:paraId="79F1107C">
      <w:pPr>
        <w:pStyle w:val="48"/>
        <w:spacing w:before="0" w:after="0" w:line="300" w:lineRule="auto"/>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14:paraId="266EFAA5">
      <w:pPr>
        <w:pStyle w:val="48"/>
        <w:spacing w:before="0" w:after="0" w:line="300" w:lineRule="auto"/>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14:paraId="16F5A6A5">
      <w:pPr>
        <w:pStyle w:val="48"/>
        <w:spacing w:before="0" w:after="0" w:line="300" w:lineRule="auto"/>
        <w:rPr>
          <w:rFonts w:ascii="宋体" w:hAnsi="宋体" w:cs="宋体"/>
          <w:kern w:val="2"/>
          <w:szCs w:val="21"/>
        </w:rPr>
      </w:pPr>
      <w:r>
        <w:rPr>
          <w:rFonts w:hint="eastAsia" w:ascii="宋体" w:hAnsi="宋体" w:cs="宋体"/>
          <w:kern w:val="2"/>
          <w:szCs w:val="21"/>
        </w:rPr>
        <w:t>7.一旦我方中标,我方将根据招标文件的规定，严格履行合同的责任和义务,并保证在招标文件规定的时间完成项目，交付买方验收、使用。</w:t>
      </w:r>
    </w:p>
    <w:p w14:paraId="457BAEAB">
      <w:pPr>
        <w:pStyle w:val="48"/>
        <w:spacing w:before="0" w:after="0" w:line="300" w:lineRule="auto"/>
        <w:ind w:firstLineChars="200"/>
        <w:rPr>
          <w:rFonts w:ascii="宋体" w:hAnsi="宋体" w:cs="宋体"/>
          <w:kern w:val="2"/>
          <w:szCs w:val="21"/>
        </w:rPr>
      </w:pPr>
      <w:r>
        <w:rPr>
          <w:rFonts w:hint="eastAsia" w:ascii="宋体" w:hAnsi="宋体" w:cs="宋体"/>
          <w:kern w:val="2"/>
          <w:szCs w:val="21"/>
        </w:rPr>
        <w:t>8.遵守招标文件中要求的收费项目和标准。</w:t>
      </w:r>
    </w:p>
    <w:p w14:paraId="72AFD7E6">
      <w:pPr>
        <w:pStyle w:val="48"/>
        <w:spacing w:before="0" w:after="0" w:line="300" w:lineRule="auto"/>
        <w:ind w:firstLineChars="200"/>
        <w:rPr>
          <w:rFonts w:ascii="宋体" w:hAnsi="宋体" w:cs="宋体"/>
          <w:kern w:val="2"/>
          <w:szCs w:val="21"/>
        </w:rPr>
      </w:pPr>
      <w:r>
        <w:rPr>
          <w:rFonts w:hint="eastAsia" w:ascii="宋体" w:hAnsi="宋体" w:cs="宋体"/>
          <w:kern w:val="2"/>
          <w:szCs w:val="21"/>
        </w:rPr>
        <w:t>9.与本投标有关的正式通讯地址为：</w:t>
      </w:r>
    </w:p>
    <w:p w14:paraId="393C2D8E">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地        址：</w:t>
      </w:r>
    </w:p>
    <w:p w14:paraId="6B73E6E6">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邮        编：</w:t>
      </w:r>
    </w:p>
    <w:p w14:paraId="4D19DC0E">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电        话：</w:t>
      </w:r>
    </w:p>
    <w:p w14:paraId="4B861427">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传        真：</w:t>
      </w:r>
    </w:p>
    <w:p w14:paraId="66BB3425">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投标人开户行：</w:t>
      </w:r>
    </w:p>
    <w:p w14:paraId="65601C14">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 xml:space="preserve">账        户： </w:t>
      </w:r>
    </w:p>
    <w:p w14:paraId="376C085F">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14:paraId="0C3977BF">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14:paraId="37B92C10">
      <w:pPr>
        <w:pStyle w:val="48"/>
        <w:spacing w:before="0" w:after="0" w:line="300" w:lineRule="auto"/>
        <w:ind w:left="420" w:leftChars="200" w:firstLineChars="200"/>
        <w:rPr>
          <w:rFonts w:ascii="宋体" w:hAnsi="宋体" w:cs="宋体"/>
          <w:kern w:val="2"/>
          <w:szCs w:val="21"/>
        </w:rPr>
      </w:pPr>
      <w:r>
        <w:rPr>
          <w:rFonts w:hint="eastAsia" w:ascii="宋体" w:hAnsi="宋体" w:cs="宋体"/>
          <w:kern w:val="2"/>
          <w:szCs w:val="21"/>
        </w:rPr>
        <w:t>日        期：________年____月____日</w:t>
      </w:r>
    </w:p>
    <w:p w14:paraId="6DEA3F56">
      <w:pPr>
        <w:snapToGrid w:val="0"/>
        <w:spacing w:line="360" w:lineRule="auto"/>
        <w:jc w:val="right"/>
        <w:rPr>
          <w:rFonts w:ascii="宋体" w:hAnsi="宋体" w:eastAsia="宋体" w:cs="宋体"/>
          <w:szCs w:val="21"/>
          <w:u w:color="000000"/>
        </w:rPr>
      </w:pPr>
    </w:p>
    <w:p w14:paraId="5E5C79C6">
      <w:pPr>
        <w:spacing w:line="360" w:lineRule="auto"/>
        <w:jc w:val="right"/>
        <w:rPr>
          <w:rFonts w:ascii="宋体" w:hAnsi="宋体" w:eastAsia="宋体" w:cs="宋体"/>
          <w:szCs w:val="21"/>
          <w:u w:color="000000"/>
        </w:rPr>
      </w:pPr>
    </w:p>
    <w:p w14:paraId="1D413616">
      <w:pPr>
        <w:jc w:val="left"/>
        <w:rPr>
          <w:rFonts w:ascii="宋体" w:hAnsi="宋体" w:eastAsia="宋体" w:cs="宋体"/>
        </w:rPr>
      </w:pPr>
      <w:r>
        <w:rPr>
          <w:rFonts w:hint="eastAsia" w:ascii="宋体" w:hAnsi="宋体" w:eastAsia="宋体" w:cs="宋体"/>
        </w:rPr>
        <w:br w:type="page"/>
      </w:r>
    </w:p>
    <w:p w14:paraId="270FDA53">
      <w:pPr>
        <w:tabs>
          <w:tab w:val="left" w:pos="576"/>
        </w:tabs>
        <w:spacing w:before="156" w:beforeLines="50" w:after="156" w:afterLines="50" w:line="360" w:lineRule="auto"/>
        <w:outlineLvl w:val="2"/>
        <w:rPr>
          <w:rFonts w:ascii="宋体" w:hAnsi="宋体" w:eastAsia="宋体" w:cs="宋体"/>
          <w:sz w:val="24"/>
          <w:szCs w:val="24"/>
          <w:u w:color="000000"/>
        </w:rPr>
      </w:pPr>
      <w:bookmarkStart w:id="21" w:name="_Toc448069992"/>
      <w:bookmarkStart w:id="22" w:name="_Toc415494579"/>
      <w:bookmarkStart w:id="23" w:name="_Toc11859492"/>
      <w:bookmarkStart w:id="24" w:name="_Toc12813"/>
      <w:bookmarkStart w:id="25" w:name="_Toc452541709"/>
      <w:bookmarkStart w:id="26" w:name="_Toc448069989"/>
      <w:bookmarkStart w:id="27" w:name="_Toc415494575"/>
      <w:bookmarkStart w:id="28" w:name="_Toc51"/>
      <w:r>
        <w:rPr>
          <w:rFonts w:hint="eastAsia" w:ascii="宋体" w:hAnsi="宋体" w:eastAsia="宋体" w:cs="宋体"/>
          <w:sz w:val="24"/>
          <w:szCs w:val="24"/>
          <w:u w:color="000000"/>
        </w:rPr>
        <w:t>6.2 投标一览表</w:t>
      </w:r>
      <w:bookmarkEnd w:id="21"/>
      <w:bookmarkEnd w:id="22"/>
      <w:bookmarkEnd w:id="23"/>
      <w:bookmarkEnd w:id="24"/>
    </w:p>
    <w:p w14:paraId="7EDFBD56">
      <w:pPr>
        <w:snapToGrid w:val="0"/>
        <w:spacing w:line="360" w:lineRule="auto"/>
        <w:jc w:val="center"/>
        <w:rPr>
          <w:rFonts w:ascii="宋体" w:hAnsi="宋体" w:eastAsia="宋体" w:cs="宋体"/>
          <w:sz w:val="28"/>
          <w:szCs w:val="24"/>
          <w:u w:color="000000"/>
          <w:lang w:val="zh-TW" w:eastAsia="zh-TW"/>
        </w:rPr>
      </w:pPr>
      <w:r>
        <w:rPr>
          <w:rFonts w:hint="eastAsia" w:ascii="宋体" w:hAnsi="宋体" w:eastAsia="宋体" w:cs="宋体"/>
          <w:sz w:val="28"/>
          <w:szCs w:val="24"/>
          <w:u w:color="000000"/>
          <w:lang w:val="zh-TW" w:eastAsia="zh-TW"/>
        </w:rPr>
        <w:t>投标一览表</w:t>
      </w:r>
    </w:p>
    <w:p w14:paraId="0D53BFD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投标人全称（加盖公章）：</w:t>
      </w:r>
    </w:p>
    <w:p w14:paraId="787E9FC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项目名称：南京邮电大学通达学2024-2026年消防维护服务采购项目</w:t>
      </w:r>
    </w:p>
    <w:p w14:paraId="66FD757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项目编号：TDCG2024014</w:t>
      </w:r>
    </w:p>
    <w:tbl>
      <w:tblPr>
        <w:tblStyle w:val="26"/>
        <w:tblW w:w="8537" w:type="dxa"/>
        <w:tblInd w:w="-21" w:type="dxa"/>
        <w:tblLayout w:type="fixed"/>
        <w:tblCellMar>
          <w:top w:w="0" w:type="dxa"/>
          <w:left w:w="108" w:type="dxa"/>
          <w:bottom w:w="0" w:type="dxa"/>
          <w:right w:w="108" w:type="dxa"/>
        </w:tblCellMar>
      </w:tblPr>
      <w:tblGrid>
        <w:gridCol w:w="2423"/>
        <w:gridCol w:w="6114"/>
      </w:tblGrid>
      <w:tr w14:paraId="51CBC70A">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14:paraId="4CF9C73F">
            <w:pPr>
              <w:widowControl/>
              <w:jc w:val="center"/>
              <w:rPr>
                <w:rFonts w:ascii="宋体" w:hAnsi="宋体" w:eastAsia="宋体" w:cs="宋体"/>
                <w:kern w:val="0"/>
                <w:sz w:val="28"/>
                <w:szCs w:val="28"/>
              </w:rPr>
            </w:pPr>
            <w:r>
              <w:rPr>
                <w:rFonts w:hint="eastAsia" w:ascii="宋体" w:hAnsi="宋体" w:eastAsia="宋体" w:cs="宋体"/>
                <w:kern w:val="0"/>
                <w:sz w:val="28"/>
                <w:szCs w:val="28"/>
              </w:rPr>
              <w:t>项目名称</w:t>
            </w:r>
          </w:p>
        </w:tc>
        <w:tc>
          <w:tcPr>
            <w:tcW w:w="6114" w:type="dxa"/>
            <w:tcBorders>
              <w:top w:val="single" w:color="000000" w:sz="4" w:space="0"/>
              <w:left w:val="single" w:color="000000" w:sz="4" w:space="0"/>
              <w:bottom w:val="single" w:color="000000" w:sz="4" w:space="0"/>
              <w:right w:val="single" w:color="000000" w:sz="4" w:space="0"/>
            </w:tcBorders>
            <w:vAlign w:val="center"/>
          </w:tcPr>
          <w:p w14:paraId="7B1073A1">
            <w:pPr>
              <w:widowControl/>
              <w:jc w:val="left"/>
              <w:rPr>
                <w:rFonts w:ascii="宋体" w:hAnsi="宋体" w:eastAsia="宋体" w:cs="宋体"/>
                <w:kern w:val="0"/>
                <w:sz w:val="28"/>
                <w:szCs w:val="28"/>
              </w:rPr>
            </w:pPr>
            <w:r>
              <w:rPr>
                <w:rFonts w:hint="eastAsia" w:ascii="宋体" w:hAnsi="宋体" w:eastAsia="宋体" w:cs="宋体"/>
                <w:b/>
                <w:bCs/>
                <w:kern w:val="0"/>
                <w:sz w:val="28"/>
                <w:szCs w:val="28"/>
              </w:rPr>
              <w:t xml:space="preserve">  </w:t>
            </w:r>
          </w:p>
        </w:tc>
      </w:tr>
      <w:tr w14:paraId="0A398E35">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14:paraId="4F98556E">
            <w:pPr>
              <w:widowControl/>
              <w:jc w:val="center"/>
              <w:rPr>
                <w:rFonts w:ascii="宋体" w:hAnsi="宋体" w:eastAsia="宋体" w:cs="宋体"/>
                <w:kern w:val="0"/>
                <w:sz w:val="28"/>
                <w:szCs w:val="28"/>
              </w:rPr>
            </w:pPr>
            <w:r>
              <w:rPr>
                <w:rFonts w:hint="eastAsia" w:ascii="宋体" w:hAnsi="宋体" w:eastAsia="宋体" w:cs="宋体"/>
                <w:kern w:val="0"/>
                <w:sz w:val="28"/>
                <w:szCs w:val="28"/>
              </w:rPr>
              <w:t>项目编号</w:t>
            </w:r>
          </w:p>
        </w:tc>
        <w:tc>
          <w:tcPr>
            <w:tcW w:w="6114" w:type="dxa"/>
            <w:tcBorders>
              <w:top w:val="single" w:color="000000" w:sz="4" w:space="0"/>
              <w:left w:val="single" w:color="000000" w:sz="4" w:space="0"/>
              <w:bottom w:val="single" w:color="000000" w:sz="4" w:space="0"/>
              <w:right w:val="single" w:color="000000" w:sz="4" w:space="0"/>
            </w:tcBorders>
            <w:vAlign w:val="center"/>
          </w:tcPr>
          <w:p w14:paraId="55F0CF52">
            <w:pPr>
              <w:widowControl/>
              <w:spacing w:line="360" w:lineRule="auto"/>
              <w:ind w:firstLine="36" w:firstLineChars="13"/>
              <w:rPr>
                <w:rFonts w:ascii="宋体" w:hAnsi="宋体" w:eastAsia="宋体" w:cs="宋体"/>
                <w:kern w:val="0"/>
                <w:sz w:val="28"/>
                <w:szCs w:val="28"/>
              </w:rPr>
            </w:pPr>
          </w:p>
        </w:tc>
      </w:tr>
      <w:tr w14:paraId="0EB49C6C">
        <w:tblPrEx>
          <w:tblCellMar>
            <w:top w:w="0" w:type="dxa"/>
            <w:left w:w="108" w:type="dxa"/>
            <w:bottom w:w="0" w:type="dxa"/>
            <w:right w:w="108" w:type="dxa"/>
          </w:tblCellMar>
        </w:tblPrEx>
        <w:trPr>
          <w:trHeight w:val="3764" w:hRule="atLeast"/>
        </w:trPr>
        <w:tc>
          <w:tcPr>
            <w:tcW w:w="2423" w:type="dxa"/>
            <w:tcBorders>
              <w:top w:val="single" w:color="000000" w:sz="4" w:space="0"/>
              <w:left w:val="single" w:color="000000" w:sz="4" w:space="0"/>
              <w:bottom w:val="single" w:color="000000" w:sz="4" w:space="0"/>
              <w:right w:val="single" w:color="000000" w:sz="4" w:space="0"/>
            </w:tcBorders>
            <w:vAlign w:val="center"/>
          </w:tcPr>
          <w:p w14:paraId="5C5AEC76">
            <w:pPr>
              <w:jc w:val="center"/>
              <w:rPr>
                <w:rFonts w:ascii="宋体" w:hAnsi="宋体" w:eastAsia="宋体" w:cs="宋体"/>
                <w:bCs/>
                <w:sz w:val="28"/>
                <w:szCs w:val="28"/>
              </w:rPr>
            </w:pPr>
            <w:r>
              <w:rPr>
                <w:rFonts w:hint="eastAsia" w:ascii="宋体" w:hAnsi="宋体" w:eastAsia="宋体" w:cs="宋体"/>
                <w:bCs/>
                <w:sz w:val="28"/>
                <w:szCs w:val="28"/>
              </w:rPr>
              <w:t>投标报价（元/年）</w:t>
            </w:r>
          </w:p>
          <w:p w14:paraId="58B8017A">
            <w:pPr>
              <w:jc w:val="center"/>
              <w:rPr>
                <w:rFonts w:ascii="宋体" w:hAnsi="宋体" w:eastAsia="宋体" w:cs="宋体"/>
                <w:bCs/>
                <w:sz w:val="28"/>
                <w:szCs w:val="28"/>
              </w:rPr>
            </w:pPr>
          </w:p>
        </w:tc>
        <w:tc>
          <w:tcPr>
            <w:tcW w:w="6114" w:type="dxa"/>
            <w:tcBorders>
              <w:top w:val="single" w:color="000000" w:sz="4" w:space="0"/>
              <w:left w:val="single" w:color="000000" w:sz="4" w:space="0"/>
              <w:bottom w:val="single" w:color="000000" w:sz="4" w:space="0"/>
              <w:right w:val="single" w:color="000000" w:sz="4" w:space="0"/>
            </w:tcBorders>
            <w:vAlign w:val="center"/>
          </w:tcPr>
          <w:p w14:paraId="178A287A">
            <w:pPr>
              <w:spacing w:line="360" w:lineRule="auto"/>
              <w:jc w:val="center"/>
              <w:rPr>
                <w:rFonts w:ascii="宋体" w:hAnsi="宋体" w:eastAsia="宋体" w:cs="宋体"/>
                <w:sz w:val="24"/>
                <w:szCs w:val="24"/>
              </w:rPr>
            </w:pPr>
          </w:p>
        </w:tc>
      </w:tr>
    </w:tbl>
    <w:p w14:paraId="6E67DBB6">
      <w:pPr>
        <w:adjustRightInd w:val="0"/>
        <w:snapToGrid w:val="0"/>
        <w:spacing w:line="360" w:lineRule="auto"/>
        <w:ind w:firstLine="480" w:firstLineChars="200"/>
        <w:rPr>
          <w:rFonts w:ascii="宋体" w:hAnsi="宋体" w:eastAsia="宋体" w:cs="宋体"/>
          <w:sz w:val="24"/>
          <w:szCs w:val="24"/>
        </w:rPr>
      </w:pPr>
    </w:p>
    <w:p w14:paraId="44D5DD41">
      <w:pPr>
        <w:adjustRightInd w:val="0"/>
        <w:snapToGrid w:val="0"/>
        <w:jc w:val="right"/>
        <w:rPr>
          <w:rFonts w:ascii="宋体" w:hAnsi="宋体" w:eastAsia="宋体" w:cs="宋体"/>
          <w:sz w:val="24"/>
          <w:szCs w:val="24"/>
        </w:rPr>
      </w:pPr>
    </w:p>
    <w:p w14:paraId="6BE489C5">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法定代表人（授权代表）签字：</w:t>
      </w:r>
      <w:r>
        <w:rPr>
          <w:rFonts w:hint="eastAsia" w:ascii="宋体" w:hAnsi="宋体" w:eastAsia="宋体" w:cs="宋体"/>
          <w:sz w:val="24"/>
          <w:szCs w:val="24"/>
          <w:u w:val="single"/>
        </w:rPr>
        <w:t xml:space="preserve"> </w:t>
      </w:r>
    </w:p>
    <w:p w14:paraId="48B74F44">
      <w:pPr>
        <w:adjustRightInd w:val="0"/>
        <w:snapToGrid w:val="0"/>
        <w:spacing w:line="360" w:lineRule="auto"/>
        <w:ind w:firstLine="5880" w:firstLineChars="2450"/>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90D9AD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填写说明：</w:t>
      </w:r>
    </w:p>
    <w:p w14:paraId="47021BC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1、投标一览表必须加盖投标单位公章，并单独装在小信封内于投标截止时间前与投标文件一起递交。</w:t>
      </w:r>
    </w:p>
    <w:p w14:paraId="62B0DE4A">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2、投标报价不得高于最高限价，超过最高限价将否决投标。报价保留小数点后两位。</w:t>
      </w:r>
    </w:p>
    <w:p w14:paraId="06F98822">
      <w:pPr>
        <w:widowControl/>
        <w:jc w:val="left"/>
        <w:rPr>
          <w:rFonts w:ascii="宋体" w:hAnsi="宋体" w:eastAsia="宋体" w:cs="宋体"/>
          <w:sz w:val="24"/>
          <w:szCs w:val="24"/>
        </w:rPr>
      </w:pPr>
      <w:r>
        <w:rPr>
          <w:rFonts w:hint="eastAsia" w:ascii="宋体" w:hAnsi="宋体" w:eastAsia="宋体" w:cs="宋体"/>
          <w:sz w:val="24"/>
          <w:szCs w:val="24"/>
        </w:rPr>
        <w:br w:type="page"/>
      </w:r>
    </w:p>
    <w:p w14:paraId="1088D961">
      <w:pPr>
        <w:jc w:val="left"/>
        <w:rPr>
          <w:rFonts w:ascii="宋体" w:hAnsi="宋体" w:eastAsia="宋体" w:cs="宋体"/>
          <w:sz w:val="24"/>
          <w:szCs w:val="24"/>
          <w:u w:color="000000"/>
        </w:rPr>
      </w:pPr>
      <w:bookmarkStart w:id="29" w:name="_Toc11859493"/>
      <w:bookmarkStart w:id="30" w:name="_Toc8435"/>
      <w:bookmarkStart w:id="31" w:name="_Toc448069993"/>
      <w:bookmarkStart w:id="32" w:name="_Toc55"/>
      <w:bookmarkStart w:id="33" w:name="_Toc415494580"/>
      <w:r>
        <w:rPr>
          <w:rFonts w:hint="eastAsia" w:ascii="宋体" w:hAnsi="宋体" w:eastAsia="宋体" w:cs="宋体"/>
          <w:sz w:val="24"/>
          <w:szCs w:val="24"/>
          <w:u w:color="000000"/>
        </w:rPr>
        <w:t>6.3 法定代表人授权委托书</w:t>
      </w:r>
      <w:bookmarkEnd w:id="29"/>
      <w:bookmarkEnd w:id="30"/>
      <w:bookmarkEnd w:id="31"/>
      <w:bookmarkEnd w:id="32"/>
      <w:bookmarkEnd w:id="33"/>
    </w:p>
    <w:p w14:paraId="0D50C3B0">
      <w:pPr>
        <w:spacing w:before="312" w:beforeLines="100" w:after="312" w:afterLines="100" w:line="360" w:lineRule="auto"/>
        <w:jc w:val="center"/>
        <w:rPr>
          <w:rFonts w:ascii="宋体" w:hAnsi="宋体" w:eastAsia="宋体" w:cs="宋体"/>
          <w:sz w:val="28"/>
          <w:szCs w:val="28"/>
          <w:u w:color="000000"/>
        </w:rPr>
      </w:pPr>
      <w:r>
        <w:rPr>
          <w:rFonts w:hint="eastAsia" w:ascii="宋体" w:hAnsi="宋体" w:eastAsia="宋体" w:cs="宋体"/>
          <w:bCs/>
          <w:sz w:val="28"/>
          <w:szCs w:val="28"/>
          <w:u w:color="000000"/>
          <w:lang w:val="zh-TW"/>
        </w:rPr>
        <w:t>法定代表人</w:t>
      </w:r>
      <w:r>
        <w:rPr>
          <w:rFonts w:hint="eastAsia" w:ascii="宋体" w:hAnsi="宋体" w:eastAsia="宋体" w:cs="宋体"/>
          <w:bCs/>
          <w:sz w:val="28"/>
          <w:szCs w:val="28"/>
          <w:u w:color="000000"/>
          <w:lang w:val="zh-TW" w:eastAsia="zh-TW"/>
        </w:rPr>
        <w:t>授权</w:t>
      </w:r>
      <w:r>
        <w:rPr>
          <w:rFonts w:hint="eastAsia" w:ascii="宋体" w:hAnsi="宋体" w:eastAsia="宋体" w:cs="宋体"/>
          <w:bCs/>
          <w:sz w:val="28"/>
          <w:szCs w:val="28"/>
          <w:u w:color="000000"/>
          <w:lang w:val="zh-TW"/>
        </w:rPr>
        <w:t>委托</w:t>
      </w:r>
      <w:r>
        <w:rPr>
          <w:rFonts w:hint="eastAsia" w:ascii="宋体" w:hAnsi="宋体" w:eastAsia="宋体" w:cs="宋体"/>
          <w:bCs/>
          <w:sz w:val="28"/>
          <w:szCs w:val="28"/>
          <w:u w:color="000000"/>
          <w:lang w:val="zh-TW" w:eastAsia="zh-TW"/>
        </w:rPr>
        <w:t>书</w:t>
      </w:r>
    </w:p>
    <w:p w14:paraId="136B8561">
      <w:pPr>
        <w:shd w:val="clear" w:color="auto" w:fill="FFFFFF"/>
        <w:snapToGrid w:val="0"/>
        <w:spacing w:line="360" w:lineRule="auto"/>
        <w:ind w:firstLine="482"/>
        <w:rPr>
          <w:rFonts w:ascii="宋体" w:hAnsi="宋体" w:eastAsia="宋体" w:cs="宋体"/>
          <w:bCs/>
          <w:sz w:val="24"/>
          <w:szCs w:val="24"/>
        </w:rPr>
      </w:pPr>
      <w:r>
        <w:rPr>
          <w:rFonts w:hint="eastAsia" w:ascii="宋体" w:hAnsi="宋体" w:eastAsia="宋体" w:cs="宋体"/>
          <w:bCs/>
          <w:sz w:val="24"/>
          <w:szCs w:val="24"/>
        </w:rPr>
        <w:t>本授权书声明：____________（投标人名称）授权________________（被授权人的姓名、职务）为我方就</w:t>
      </w:r>
      <w:r>
        <w:rPr>
          <w:rFonts w:hint="eastAsia" w:ascii="宋体" w:hAnsi="宋体" w:eastAsia="宋体" w:cs="宋体"/>
          <w:bCs/>
          <w:sz w:val="24"/>
          <w:szCs w:val="24"/>
          <w:u w:val="single"/>
        </w:rPr>
        <w:t>南京邮电大学通达学2024-2026年消防维护服务采购项目</w:t>
      </w:r>
      <w:r>
        <w:rPr>
          <w:rFonts w:hint="eastAsia" w:ascii="宋体" w:hAnsi="宋体" w:eastAsia="宋体" w:cs="宋体"/>
          <w:bCs/>
          <w:sz w:val="24"/>
          <w:szCs w:val="24"/>
        </w:rPr>
        <w:t>（项目编号：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）采购活动的合法代理人，以本单位名义全权处理一切与该项目采购有关的事务。</w:t>
      </w:r>
    </w:p>
    <w:p w14:paraId="1C4CB865">
      <w:pPr>
        <w:shd w:val="clear" w:color="auto" w:fill="FFFFFF"/>
        <w:snapToGrid w:val="0"/>
        <w:spacing w:line="360" w:lineRule="auto"/>
        <w:ind w:firstLine="482"/>
        <w:rPr>
          <w:rFonts w:ascii="宋体" w:hAnsi="宋体" w:eastAsia="宋体" w:cs="宋体"/>
          <w:bCs/>
          <w:sz w:val="24"/>
          <w:szCs w:val="24"/>
        </w:rPr>
      </w:pPr>
      <w:r>
        <w:rPr>
          <w:rFonts w:hint="eastAsia" w:ascii="宋体" w:hAnsi="宋体" w:eastAsia="宋体" w:cs="宋体"/>
          <w:bCs/>
          <w:sz w:val="24"/>
          <w:szCs w:val="24"/>
        </w:rPr>
        <w:t>本授权书于______年____月____日起生效，特此声明。</w:t>
      </w:r>
    </w:p>
    <w:p w14:paraId="7E9AD981">
      <w:pPr>
        <w:shd w:val="clear" w:color="auto" w:fill="FFFFFF"/>
        <w:snapToGrid w:val="0"/>
        <w:spacing w:line="360" w:lineRule="auto"/>
        <w:ind w:firstLine="480"/>
        <w:rPr>
          <w:rFonts w:ascii="宋体" w:hAnsi="宋体" w:eastAsia="宋体" w:cs="宋体"/>
          <w:bCs/>
        </w:rPr>
      </w:pPr>
    </w:p>
    <w:p w14:paraId="6B855DA4">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授权单位盖章：_________________________________</w:t>
      </w:r>
    </w:p>
    <w:p w14:paraId="27ABB05F">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单位名称：_____________________________________</w:t>
      </w:r>
    </w:p>
    <w:p w14:paraId="36502A27">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法人签字：_____________________________________</w:t>
      </w:r>
    </w:p>
    <w:p w14:paraId="38C64098">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代理人（被授权人）签字：_______________________</w:t>
      </w:r>
    </w:p>
    <w:p w14:paraId="6CD76130">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职    务：_____________________________________</w:t>
      </w:r>
    </w:p>
    <w:p w14:paraId="7F14BD06">
      <w:pPr>
        <w:shd w:val="clear" w:color="auto" w:fill="FFFFFF"/>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地址：</w:t>
      </w:r>
      <w:r>
        <w:rPr>
          <w:rFonts w:hint="eastAsia" w:ascii="宋体" w:hAnsi="宋体" w:eastAsia="宋体" w:cs="宋体"/>
          <w:bCs/>
          <w:sz w:val="24"/>
          <w:szCs w:val="24"/>
          <w:u w:val="single"/>
        </w:rPr>
        <w:t xml:space="preserve">                                         </w:t>
      </w:r>
    </w:p>
    <w:p w14:paraId="32F3A64E">
      <w:pPr>
        <w:shd w:val="clear" w:color="auto" w:fill="FFFFFF"/>
        <w:snapToGrid w:val="0"/>
        <w:spacing w:line="360" w:lineRule="auto"/>
        <w:rPr>
          <w:rFonts w:ascii="宋体" w:hAnsi="宋体" w:eastAsia="宋体" w:cs="宋体"/>
          <w:sz w:val="24"/>
          <w:szCs w:val="24"/>
        </w:rPr>
      </w:pPr>
      <w:r>
        <w:rPr>
          <w:rFonts w:hint="eastAsia" w:ascii="宋体" w:hAnsi="宋体" w:eastAsia="宋体" w:cs="宋体"/>
          <w:bCs/>
          <w:sz w:val="24"/>
          <w:szCs w:val="24"/>
        </w:rPr>
        <w:t xml:space="preserve">         日期：______年____月____日</w:t>
      </w:r>
    </w:p>
    <w:p w14:paraId="08B508BE">
      <w:pPr>
        <w:spacing w:line="360" w:lineRule="auto"/>
        <w:rPr>
          <w:rFonts w:ascii="宋体" w:hAnsi="宋体" w:eastAsia="宋体" w:cs="宋体"/>
          <w:b/>
          <w:bCs/>
          <w:kern w:val="11"/>
          <w:szCs w:val="21"/>
          <w:u w:val="single" w:color="000000"/>
          <w:lang w:val="zh-TW"/>
        </w:rPr>
      </w:pPr>
    </w:p>
    <w:p w14:paraId="7A914B15">
      <w:pPr>
        <w:spacing w:line="360" w:lineRule="auto"/>
        <w:ind w:right="420"/>
        <w:rPr>
          <w:rFonts w:ascii="宋体" w:hAnsi="宋体" w:eastAsia="宋体" w:cs="宋体"/>
          <w:szCs w:val="21"/>
          <w:u w:color="000000"/>
          <w:lang w:val="zh-TW" w:eastAsia="zh-TW"/>
        </w:rPr>
      </w:pPr>
    </w:p>
    <w:p w14:paraId="6CE132A4">
      <w:pPr>
        <w:spacing w:line="360" w:lineRule="auto"/>
        <w:ind w:right="420"/>
        <w:rPr>
          <w:rFonts w:ascii="宋体" w:hAnsi="宋体" w:eastAsia="宋体" w:cs="宋体"/>
          <w:b/>
          <w:szCs w:val="21"/>
          <w:u w:color="000000"/>
          <w:lang w:val="zh-TW"/>
        </w:rPr>
      </w:pPr>
      <w:r>
        <w:rPr>
          <w:rFonts w:hint="eastAsia" w:ascii="宋体" w:hAnsi="宋体" w:eastAsia="宋体" w:cs="宋体"/>
          <w:b/>
          <w:szCs w:val="21"/>
          <w:u w:color="000000"/>
          <w:lang w:val="zh-TW" w:eastAsia="zh-TW"/>
        </w:rPr>
        <w:t>注：</w:t>
      </w:r>
      <w:r>
        <w:rPr>
          <w:rFonts w:hint="eastAsia" w:ascii="宋体" w:hAnsi="宋体" w:eastAsia="宋体" w:cs="宋体"/>
          <w:b/>
          <w:szCs w:val="21"/>
          <w:u w:color="000000"/>
          <w:lang w:val="zh-TW"/>
        </w:rPr>
        <w:t>代理</w:t>
      </w:r>
      <w:r>
        <w:rPr>
          <w:rFonts w:hint="eastAsia" w:ascii="宋体" w:hAnsi="宋体" w:eastAsia="宋体" w:cs="宋体"/>
          <w:b/>
          <w:szCs w:val="21"/>
          <w:u w:color="000000"/>
          <w:lang w:val="zh-TW" w:eastAsia="zh-TW"/>
        </w:rPr>
        <w:t>人应持本</w:t>
      </w:r>
      <w:r>
        <w:rPr>
          <w:rFonts w:hint="eastAsia" w:ascii="宋体" w:hAnsi="宋体" w:eastAsia="宋体" w:cs="宋体"/>
          <w:b/>
          <w:szCs w:val="21"/>
          <w:u w:color="000000"/>
          <w:lang w:val="zh-TW"/>
        </w:rPr>
        <w:t>授权书</w:t>
      </w:r>
      <w:r>
        <w:rPr>
          <w:rFonts w:hint="eastAsia" w:ascii="宋体" w:hAnsi="宋体" w:eastAsia="宋体" w:cs="宋体"/>
          <w:b/>
          <w:szCs w:val="21"/>
          <w:u w:color="000000"/>
          <w:lang w:val="zh-TW" w:eastAsia="zh-TW"/>
        </w:rPr>
        <w:t>参加</w:t>
      </w:r>
      <w:r>
        <w:rPr>
          <w:rFonts w:hint="eastAsia" w:ascii="宋体" w:hAnsi="宋体" w:eastAsia="宋体" w:cs="宋体"/>
          <w:b/>
          <w:szCs w:val="21"/>
          <w:u w:color="000000"/>
          <w:lang w:val="zh-TW"/>
        </w:rPr>
        <w:t>投标</w:t>
      </w:r>
      <w:r>
        <w:rPr>
          <w:rFonts w:hint="eastAsia" w:ascii="宋体" w:hAnsi="宋体" w:eastAsia="宋体" w:cs="宋体"/>
          <w:b/>
          <w:szCs w:val="21"/>
          <w:u w:color="000000"/>
          <w:lang w:val="zh-TW" w:eastAsia="zh-TW"/>
        </w:rPr>
        <w:t>，并提供一份原件在</w:t>
      </w:r>
      <w:r>
        <w:rPr>
          <w:rFonts w:hint="eastAsia" w:ascii="宋体" w:hAnsi="宋体" w:eastAsia="宋体" w:cs="宋体"/>
          <w:b/>
          <w:szCs w:val="21"/>
          <w:u w:color="000000"/>
          <w:lang w:val="zh-TW"/>
        </w:rPr>
        <w:t>投标</w:t>
      </w:r>
      <w:r>
        <w:rPr>
          <w:rFonts w:hint="eastAsia" w:ascii="宋体" w:hAnsi="宋体" w:eastAsia="宋体" w:cs="宋体"/>
          <w:b/>
          <w:szCs w:val="21"/>
          <w:u w:color="000000"/>
          <w:lang w:val="zh-TW" w:eastAsia="zh-TW"/>
        </w:rPr>
        <w:t>文件中</w:t>
      </w:r>
      <w:r>
        <w:rPr>
          <w:rFonts w:hint="eastAsia" w:ascii="宋体" w:hAnsi="宋体" w:eastAsia="宋体" w:cs="宋体"/>
          <w:b/>
          <w:szCs w:val="21"/>
          <w:u w:color="000000"/>
          <w:lang w:val="zh-TW"/>
        </w:rPr>
        <w:t>。</w:t>
      </w:r>
    </w:p>
    <w:p w14:paraId="15261C4E">
      <w:pPr>
        <w:spacing w:line="360" w:lineRule="auto"/>
        <w:ind w:right="420"/>
        <w:rPr>
          <w:rFonts w:ascii="宋体" w:hAnsi="宋体" w:eastAsia="宋体" w:cs="宋体"/>
          <w:szCs w:val="21"/>
          <w:u w:color="000000"/>
        </w:rPr>
      </w:pPr>
    </w:p>
    <w:p w14:paraId="348AD3F1">
      <w:pPr>
        <w:jc w:val="left"/>
        <w:rPr>
          <w:rFonts w:ascii="宋体" w:hAnsi="宋体" w:eastAsia="宋体" w:cs="宋体"/>
          <w:szCs w:val="21"/>
          <w:u w:color="000000"/>
        </w:rPr>
      </w:pPr>
      <w:r>
        <w:rPr>
          <w:rFonts w:hint="eastAsia" w:ascii="宋体" w:hAnsi="宋体" w:eastAsia="宋体" w:cs="宋体"/>
          <w:szCs w:val="21"/>
          <w:u w:color="000000"/>
        </w:rPr>
        <w:br w:type="page"/>
      </w:r>
    </w:p>
    <w:p w14:paraId="44430328">
      <w:pPr>
        <w:snapToGrid w:val="0"/>
        <w:spacing w:line="360" w:lineRule="auto"/>
        <w:ind w:firstLine="482"/>
        <w:rPr>
          <w:rFonts w:ascii="宋体" w:hAnsi="宋体" w:eastAsia="宋体" w:cs="宋体"/>
          <w:sz w:val="24"/>
          <w:szCs w:val="24"/>
          <w:u w:color="000000"/>
          <w:lang w:val="zh-TW"/>
        </w:rPr>
      </w:pPr>
      <w:r>
        <w:rPr>
          <w:rFonts w:hint="eastAsia" w:ascii="宋体" w:hAnsi="宋体" w:eastAsia="宋体" w:cs="宋体"/>
          <w:sz w:val="24"/>
          <w:szCs w:val="24"/>
          <w:u w:color="000000"/>
          <w:lang w:val="zh-TW" w:eastAsia="zh-TW"/>
        </w:rPr>
        <w:t>附：</w:t>
      </w:r>
      <w:r>
        <w:rPr>
          <w:rFonts w:hint="eastAsia" w:ascii="宋体" w:hAnsi="宋体" w:eastAsia="宋体" w:cs="宋体"/>
          <w:bCs/>
          <w:sz w:val="24"/>
          <w:szCs w:val="24"/>
        </w:rPr>
        <w:t>法人</w:t>
      </w:r>
      <w:r>
        <w:rPr>
          <w:rFonts w:hint="eastAsia" w:ascii="宋体" w:hAnsi="宋体" w:eastAsia="宋体" w:cs="宋体"/>
          <w:sz w:val="24"/>
          <w:szCs w:val="24"/>
          <w:u w:color="000000"/>
          <w:lang w:val="zh-TW" w:eastAsia="zh-TW"/>
        </w:rPr>
        <w:t>身份证复印件</w:t>
      </w:r>
      <w:r>
        <w:rPr>
          <w:rFonts w:hint="eastAsia" w:ascii="宋体" w:hAnsi="宋体" w:eastAsia="宋体" w:cs="宋体"/>
          <w:sz w:val="24"/>
          <w:szCs w:val="24"/>
          <w:u w:color="000000"/>
          <w:lang w:val="zh-TW"/>
        </w:rPr>
        <w:t>（</w:t>
      </w:r>
      <w:r>
        <w:rPr>
          <w:rFonts w:hint="eastAsia" w:ascii="宋体" w:hAnsi="宋体" w:eastAsia="宋体" w:cs="宋体"/>
          <w:sz w:val="24"/>
          <w:szCs w:val="24"/>
          <w:u w:color="000000"/>
          <w:lang w:val="zh-TW" w:eastAsia="zh-TW"/>
        </w:rPr>
        <w:t>需同时提供正面及背面</w:t>
      </w:r>
      <w:r>
        <w:rPr>
          <w:rFonts w:hint="eastAsia" w:ascii="宋体" w:hAnsi="宋体" w:eastAsia="宋体" w:cs="宋体"/>
          <w:sz w:val="24"/>
          <w:szCs w:val="24"/>
          <w:u w:color="000000"/>
          <w:lang w:val="zh-TW"/>
        </w:rPr>
        <w:t>）</w:t>
      </w:r>
    </w:p>
    <w:tbl>
      <w:tblPr>
        <w:tblStyle w:val="26"/>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6E53325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14:paraId="3B718AAA">
            <w:pPr>
              <w:jc w:val="center"/>
              <w:rPr>
                <w:rFonts w:ascii="宋体" w:hAnsi="宋体" w:eastAsia="宋体" w:cs="宋体"/>
                <w:sz w:val="24"/>
                <w:szCs w:val="24"/>
              </w:rPr>
            </w:pPr>
            <w:r>
              <w:rPr>
                <w:rFonts w:hint="eastAsia" w:ascii="宋体" w:hAnsi="宋体" w:eastAsia="宋体" w:cs="宋体"/>
                <w:bCs/>
                <w:sz w:val="24"/>
                <w:szCs w:val="24"/>
              </w:rPr>
              <w:t>法人</w:t>
            </w:r>
            <w:r>
              <w:rPr>
                <w:rFonts w:hint="eastAsia" w:ascii="宋体" w:hAnsi="宋体" w:eastAsia="宋体" w:cs="宋体"/>
                <w:sz w:val="24"/>
                <w:szCs w:val="24"/>
              </w:rPr>
              <w:t>身份证复印件正面</w:t>
            </w:r>
          </w:p>
        </w:tc>
        <w:tc>
          <w:tcPr>
            <w:tcW w:w="4001" w:type="dxa"/>
            <w:vAlign w:val="center"/>
          </w:tcPr>
          <w:p w14:paraId="7F704F3F">
            <w:pPr>
              <w:jc w:val="center"/>
              <w:rPr>
                <w:rFonts w:ascii="宋体" w:hAnsi="宋体" w:eastAsia="宋体" w:cs="宋体"/>
                <w:sz w:val="24"/>
                <w:szCs w:val="24"/>
              </w:rPr>
            </w:pPr>
            <w:r>
              <w:rPr>
                <w:rFonts w:hint="eastAsia" w:ascii="宋体" w:hAnsi="宋体" w:eastAsia="宋体" w:cs="宋体"/>
                <w:bCs/>
                <w:sz w:val="24"/>
                <w:szCs w:val="24"/>
              </w:rPr>
              <w:t>法人</w:t>
            </w:r>
            <w:r>
              <w:rPr>
                <w:rFonts w:hint="eastAsia" w:ascii="宋体" w:hAnsi="宋体" w:eastAsia="宋体" w:cs="宋体"/>
                <w:sz w:val="24"/>
                <w:szCs w:val="24"/>
              </w:rPr>
              <w:t>身份证复印件背面</w:t>
            </w:r>
          </w:p>
        </w:tc>
      </w:tr>
    </w:tbl>
    <w:p w14:paraId="13078592">
      <w:pPr>
        <w:snapToGrid w:val="0"/>
        <w:spacing w:line="360" w:lineRule="auto"/>
        <w:ind w:firstLine="482"/>
        <w:rPr>
          <w:rFonts w:ascii="宋体" w:hAnsi="宋体" w:eastAsia="宋体" w:cs="宋体"/>
          <w:sz w:val="24"/>
          <w:szCs w:val="24"/>
          <w:u w:color="000000"/>
          <w:lang w:eastAsia="zh-TW"/>
        </w:rPr>
      </w:pPr>
    </w:p>
    <w:p w14:paraId="39B5C0EC">
      <w:pPr>
        <w:snapToGrid w:val="0"/>
        <w:spacing w:line="360" w:lineRule="auto"/>
        <w:ind w:firstLine="482"/>
        <w:rPr>
          <w:rFonts w:ascii="宋体" w:hAnsi="宋体" w:eastAsia="宋体" w:cs="宋体"/>
          <w:sz w:val="24"/>
          <w:szCs w:val="24"/>
          <w:u w:color="000000"/>
          <w:lang w:eastAsia="zh-TW"/>
        </w:rPr>
      </w:pPr>
    </w:p>
    <w:p w14:paraId="55F794F8">
      <w:pPr>
        <w:snapToGrid w:val="0"/>
        <w:spacing w:line="360" w:lineRule="auto"/>
        <w:ind w:firstLine="482"/>
        <w:rPr>
          <w:rFonts w:ascii="宋体" w:hAnsi="宋体" w:eastAsia="宋体" w:cs="宋体"/>
          <w:sz w:val="24"/>
          <w:szCs w:val="24"/>
          <w:u w:color="000000"/>
          <w:lang w:val="zh-TW"/>
        </w:rPr>
      </w:pPr>
      <w:r>
        <w:rPr>
          <w:rFonts w:hint="eastAsia" w:ascii="宋体" w:hAnsi="宋体" w:eastAsia="宋体" w:cs="宋体"/>
          <w:sz w:val="24"/>
          <w:szCs w:val="24"/>
          <w:u w:color="000000"/>
          <w:lang w:val="zh-TW" w:eastAsia="zh-TW"/>
        </w:rPr>
        <w:t>附：委托代理人身份证复印件</w:t>
      </w:r>
      <w:r>
        <w:rPr>
          <w:rFonts w:hint="eastAsia" w:ascii="宋体" w:hAnsi="宋体" w:eastAsia="宋体" w:cs="宋体"/>
          <w:sz w:val="24"/>
          <w:szCs w:val="24"/>
          <w:u w:color="000000"/>
          <w:lang w:val="zh-TW"/>
        </w:rPr>
        <w:t>（</w:t>
      </w:r>
      <w:r>
        <w:rPr>
          <w:rFonts w:hint="eastAsia" w:ascii="宋体" w:hAnsi="宋体" w:eastAsia="宋体" w:cs="宋体"/>
          <w:sz w:val="24"/>
          <w:szCs w:val="24"/>
          <w:u w:color="000000"/>
          <w:lang w:val="zh-TW" w:eastAsia="zh-TW"/>
        </w:rPr>
        <w:t>需同时提供正面及背面</w:t>
      </w:r>
      <w:r>
        <w:rPr>
          <w:rFonts w:hint="eastAsia" w:ascii="宋体" w:hAnsi="宋体" w:eastAsia="宋体" w:cs="宋体"/>
          <w:sz w:val="24"/>
          <w:szCs w:val="24"/>
          <w:u w:color="000000"/>
          <w:lang w:val="zh-TW"/>
        </w:rPr>
        <w:t>）</w:t>
      </w:r>
    </w:p>
    <w:tbl>
      <w:tblPr>
        <w:tblStyle w:val="26"/>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1854E31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14:paraId="64D3512D">
            <w:pPr>
              <w:jc w:val="center"/>
              <w:rPr>
                <w:rFonts w:ascii="宋体" w:hAnsi="宋体" w:eastAsia="宋体" w:cs="宋体"/>
                <w:sz w:val="24"/>
                <w:szCs w:val="24"/>
              </w:rPr>
            </w:pPr>
            <w:r>
              <w:rPr>
                <w:rFonts w:hint="eastAsia" w:ascii="宋体" w:hAnsi="宋体" w:eastAsia="宋体" w:cs="宋体"/>
                <w:sz w:val="24"/>
                <w:szCs w:val="24"/>
                <w:u w:color="000000"/>
                <w:lang w:val="zh-TW" w:eastAsia="zh-TW"/>
              </w:rPr>
              <w:t>代理人</w:t>
            </w:r>
            <w:r>
              <w:rPr>
                <w:rFonts w:hint="eastAsia" w:ascii="宋体" w:hAnsi="宋体" w:eastAsia="宋体" w:cs="宋体"/>
                <w:sz w:val="24"/>
                <w:szCs w:val="24"/>
              </w:rPr>
              <w:t>身份证复印件正面</w:t>
            </w:r>
          </w:p>
        </w:tc>
        <w:tc>
          <w:tcPr>
            <w:tcW w:w="4001" w:type="dxa"/>
            <w:vAlign w:val="center"/>
          </w:tcPr>
          <w:p w14:paraId="2D968F60">
            <w:pPr>
              <w:jc w:val="center"/>
              <w:rPr>
                <w:rFonts w:ascii="宋体" w:hAnsi="宋体" w:eastAsia="宋体" w:cs="宋体"/>
                <w:sz w:val="24"/>
                <w:szCs w:val="24"/>
              </w:rPr>
            </w:pPr>
            <w:r>
              <w:rPr>
                <w:rFonts w:hint="eastAsia" w:ascii="宋体" w:hAnsi="宋体" w:eastAsia="宋体" w:cs="宋体"/>
                <w:sz w:val="24"/>
                <w:szCs w:val="24"/>
                <w:u w:color="000000"/>
                <w:lang w:val="zh-TW" w:eastAsia="zh-TW"/>
              </w:rPr>
              <w:t>代理人</w:t>
            </w:r>
            <w:r>
              <w:rPr>
                <w:rFonts w:hint="eastAsia" w:ascii="宋体" w:hAnsi="宋体" w:eastAsia="宋体" w:cs="宋体"/>
                <w:sz w:val="24"/>
                <w:szCs w:val="24"/>
              </w:rPr>
              <w:t>身份证复印件背面</w:t>
            </w:r>
          </w:p>
        </w:tc>
      </w:tr>
    </w:tbl>
    <w:p w14:paraId="79145853">
      <w:pPr>
        <w:spacing w:line="360" w:lineRule="auto"/>
        <w:ind w:right="420"/>
        <w:rPr>
          <w:rFonts w:ascii="宋体" w:hAnsi="宋体" w:eastAsia="宋体" w:cs="宋体"/>
          <w:szCs w:val="21"/>
          <w:u w:color="000000"/>
        </w:rPr>
      </w:pPr>
    </w:p>
    <w:p w14:paraId="4B0BA50F">
      <w:pPr>
        <w:spacing w:line="360" w:lineRule="auto"/>
        <w:ind w:right="420"/>
        <w:rPr>
          <w:rFonts w:ascii="宋体" w:hAnsi="宋体" w:eastAsia="宋体" w:cs="宋体"/>
          <w:szCs w:val="21"/>
          <w:u w:color="000000"/>
        </w:rPr>
      </w:pPr>
    </w:p>
    <w:p w14:paraId="72ADFC7D">
      <w:pPr>
        <w:jc w:val="left"/>
        <w:rPr>
          <w:rFonts w:ascii="宋体" w:hAnsi="宋体" w:eastAsia="宋体" w:cs="宋体"/>
        </w:rPr>
      </w:pPr>
      <w:r>
        <w:rPr>
          <w:rFonts w:hint="eastAsia" w:ascii="宋体" w:hAnsi="宋体" w:eastAsia="宋体" w:cs="宋体"/>
        </w:rPr>
        <w:br w:type="page"/>
      </w:r>
    </w:p>
    <w:p w14:paraId="32A796AC">
      <w:pPr>
        <w:tabs>
          <w:tab w:val="left" w:pos="576"/>
        </w:tabs>
        <w:spacing w:before="156" w:beforeLines="50" w:after="156" w:afterLines="50" w:line="360" w:lineRule="auto"/>
        <w:outlineLvl w:val="2"/>
        <w:rPr>
          <w:rFonts w:ascii="宋体" w:hAnsi="宋体" w:eastAsia="宋体" w:cs="宋体"/>
          <w:sz w:val="24"/>
          <w:szCs w:val="24"/>
          <w:u w:color="000000"/>
        </w:rPr>
      </w:pPr>
      <w:bookmarkStart w:id="34" w:name="_Toc20352"/>
      <w:bookmarkStart w:id="35" w:name="_Toc56"/>
      <w:bookmarkStart w:id="36" w:name="_Toc11859494"/>
      <w:bookmarkStart w:id="37" w:name="_Toc448069994"/>
      <w:bookmarkStart w:id="38" w:name="_Toc415494581"/>
      <w:r>
        <w:rPr>
          <w:rFonts w:hint="eastAsia" w:ascii="宋体" w:hAnsi="宋体" w:eastAsia="宋体" w:cs="宋体"/>
          <w:sz w:val="24"/>
          <w:szCs w:val="24"/>
          <w:u w:color="000000"/>
        </w:rPr>
        <w:t>6.4 资格证明文件</w:t>
      </w:r>
      <w:bookmarkEnd w:id="34"/>
      <w:bookmarkEnd w:id="35"/>
      <w:bookmarkEnd w:id="36"/>
      <w:bookmarkEnd w:id="37"/>
      <w:bookmarkEnd w:id="38"/>
    </w:p>
    <w:p w14:paraId="07E2E8B9">
      <w:pPr>
        <w:pStyle w:val="25"/>
        <w:ind w:left="0" w:firstLine="0"/>
        <w:rPr>
          <w:rFonts w:ascii="宋体" w:hAnsi="宋体" w:eastAsia="宋体" w:cs="宋体"/>
          <w:bCs/>
          <w:kern w:val="2"/>
          <w:sz w:val="24"/>
          <w:szCs w:val="24"/>
        </w:rPr>
      </w:pPr>
      <w:r>
        <w:rPr>
          <w:rFonts w:hint="eastAsia" w:ascii="宋体" w:hAnsi="宋体" w:eastAsia="宋体" w:cs="宋体"/>
          <w:bCs/>
          <w:kern w:val="2"/>
          <w:sz w:val="24"/>
          <w:szCs w:val="24"/>
        </w:rPr>
        <w:t>（详见招标公告：二、申请人的资格要求）</w:t>
      </w:r>
    </w:p>
    <w:p w14:paraId="120BBD03">
      <w:pPr>
        <w:spacing w:before="156" w:beforeLines="50" w:after="156" w:afterLines="50" w:line="360" w:lineRule="auto"/>
        <w:jc w:val="center"/>
        <w:rPr>
          <w:rFonts w:ascii="宋体" w:hAnsi="宋体" w:eastAsia="宋体" w:cs="宋体"/>
          <w:sz w:val="28"/>
          <w:szCs w:val="21"/>
          <w:u w:color="FF0000"/>
        </w:rPr>
      </w:pPr>
      <w:r>
        <w:rPr>
          <w:rFonts w:hint="eastAsia" w:ascii="宋体" w:hAnsi="宋体" w:eastAsia="宋体" w:cs="宋体"/>
          <w:sz w:val="28"/>
          <w:szCs w:val="21"/>
          <w:u w:color="FF0000"/>
        </w:rPr>
        <w:t>具备履行合同所必需的设备和专业技术能力的书面声明</w:t>
      </w:r>
    </w:p>
    <w:p w14:paraId="485B6B97">
      <w:pPr>
        <w:spacing w:line="460" w:lineRule="exact"/>
        <w:ind w:firstLine="492"/>
        <w:rPr>
          <w:rFonts w:ascii="宋体" w:hAnsi="宋体" w:eastAsia="宋体" w:cs="宋体"/>
          <w:bCs/>
          <w:sz w:val="24"/>
          <w:szCs w:val="24"/>
        </w:rPr>
      </w:pPr>
      <w:r>
        <w:rPr>
          <w:rFonts w:hint="eastAsia" w:ascii="宋体" w:hAnsi="宋体" w:eastAsia="宋体" w:cs="宋体"/>
          <w:bCs/>
          <w:sz w:val="24"/>
          <w:szCs w:val="24"/>
        </w:rPr>
        <w:t>我公司郑重声明：我公司具备履行本项采购合同所必需的设备和专业技术能力，为履行本项采购合同我公司具备如下主要设备和主要专业技术能力：</w:t>
      </w:r>
    </w:p>
    <w:p w14:paraId="3935B534">
      <w:pPr>
        <w:spacing w:line="460" w:lineRule="exact"/>
        <w:ind w:firstLine="492"/>
        <w:rPr>
          <w:rFonts w:ascii="宋体" w:hAnsi="宋体" w:eastAsia="宋体" w:cs="宋体"/>
          <w:bCs/>
          <w:sz w:val="24"/>
          <w:szCs w:val="24"/>
        </w:rPr>
      </w:pPr>
      <w:r>
        <w:rPr>
          <w:rFonts w:hint="eastAsia" w:ascii="宋体" w:hAnsi="宋体" w:eastAsia="宋体" w:cs="宋体"/>
          <w:bCs/>
          <w:sz w:val="24"/>
          <w:szCs w:val="24"/>
        </w:rPr>
        <w:t>主要设备有：  。</w:t>
      </w:r>
    </w:p>
    <w:p w14:paraId="42E29904">
      <w:pPr>
        <w:spacing w:line="460" w:lineRule="exact"/>
        <w:ind w:firstLine="492"/>
        <w:rPr>
          <w:rFonts w:ascii="宋体" w:hAnsi="宋体" w:eastAsia="宋体" w:cs="宋体"/>
          <w:bCs/>
          <w:sz w:val="24"/>
          <w:szCs w:val="24"/>
        </w:rPr>
      </w:pPr>
      <w:r>
        <w:rPr>
          <w:rFonts w:hint="eastAsia" w:ascii="宋体" w:hAnsi="宋体" w:eastAsia="宋体" w:cs="宋体"/>
          <w:bCs/>
          <w:sz w:val="24"/>
          <w:szCs w:val="24"/>
        </w:rPr>
        <w:t>主要专业技术能力有：   。</w:t>
      </w:r>
    </w:p>
    <w:p w14:paraId="6E18F419">
      <w:pPr>
        <w:spacing w:line="460" w:lineRule="exact"/>
        <w:ind w:firstLine="492"/>
        <w:rPr>
          <w:rFonts w:ascii="宋体" w:hAnsi="宋体" w:eastAsia="宋体" w:cs="宋体"/>
          <w:bCs/>
          <w:sz w:val="24"/>
          <w:szCs w:val="24"/>
        </w:rPr>
      </w:pPr>
    </w:p>
    <w:p w14:paraId="35A4F632">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声明人：</w:t>
      </w:r>
      <w:r>
        <w:rPr>
          <w:rFonts w:hint="eastAsia" w:ascii="宋体" w:hAnsi="宋体" w:eastAsia="宋体" w:cs="宋体"/>
          <w:sz w:val="24"/>
          <w:szCs w:val="24"/>
          <w:u w:val="single"/>
        </w:rPr>
        <w:t xml:space="preserve">                            </w:t>
      </w:r>
    </w:p>
    <w:p w14:paraId="1CEC9A4E">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bCs/>
          <w:sz w:val="24"/>
          <w:szCs w:val="24"/>
        </w:rPr>
        <w:t>（被授权人）</w:t>
      </w:r>
      <w:r>
        <w:rPr>
          <w:rFonts w:hint="eastAsia" w:ascii="宋体" w:hAnsi="宋体" w:eastAsia="宋体" w:cs="宋体"/>
          <w:sz w:val="24"/>
          <w:szCs w:val="24"/>
        </w:rPr>
        <w:t>签字：</w:t>
      </w:r>
      <w:r>
        <w:rPr>
          <w:rFonts w:hint="eastAsia" w:ascii="宋体" w:hAnsi="宋体" w:eastAsia="宋体" w:cs="宋体"/>
          <w:sz w:val="24"/>
          <w:szCs w:val="24"/>
          <w:u w:val="single"/>
        </w:rPr>
        <w:t xml:space="preserve">             </w:t>
      </w:r>
    </w:p>
    <w:p w14:paraId="583EF0A3">
      <w:pPr>
        <w:spacing w:line="460" w:lineRule="exact"/>
        <w:ind w:firstLine="3960" w:firstLineChars="16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5144CEC7">
      <w:pPr>
        <w:spacing w:line="460" w:lineRule="exact"/>
        <w:rPr>
          <w:rFonts w:ascii="宋体" w:hAnsi="宋体" w:eastAsia="宋体" w:cs="宋体"/>
          <w:bCs/>
          <w:sz w:val="24"/>
          <w:szCs w:val="24"/>
        </w:rPr>
      </w:pPr>
    </w:p>
    <w:p w14:paraId="46CC9EE5">
      <w:pPr>
        <w:spacing w:line="360" w:lineRule="auto"/>
        <w:ind w:firstLine="480" w:firstLineChars="200"/>
        <w:rPr>
          <w:rFonts w:ascii="宋体" w:hAnsi="宋体" w:eastAsia="宋体" w:cs="宋体"/>
          <w:sz w:val="24"/>
          <w:szCs w:val="24"/>
          <w:u w:color="FF0000"/>
        </w:rPr>
      </w:pPr>
    </w:p>
    <w:p w14:paraId="7803091E">
      <w:pPr>
        <w:spacing w:line="360" w:lineRule="auto"/>
        <w:ind w:firstLine="420" w:firstLineChars="200"/>
        <w:rPr>
          <w:rFonts w:ascii="宋体" w:hAnsi="宋体" w:eastAsia="宋体" w:cs="宋体"/>
          <w:szCs w:val="21"/>
          <w:u w:color="FF0000"/>
        </w:rPr>
      </w:pPr>
    </w:p>
    <w:p w14:paraId="7BF413DF">
      <w:pPr>
        <w:jc w:val="left"/>
        <w:rPr>
          <w:rFonts w:ascii="宋体" w:hAnsi="宋体" w:eastAsia="宋体" w:cs="宋体"/>
          <w:szCs w:val="21"/>
          <w:u w:color="FF0000"/>
        </w:rPr>
      </w:pPr>
      <w:r>
        <w:rPr>
          <w:rFonts w:hint="eastAsia" w:ascii="宋体" w:hAnsi="宋体" w:eastAsia="宋体" w:cs="宋体"/>
          <w:szCs w:val="21"/>
          <w:u w:color="FF0000"/>
        </w:rPr>
        <w:br w:type="page"/>
      </w:r>
    </w:p>
    <w:p w14:paraId="0989FF4E">
      <w:pPr>
        <w:adjustRightInd w:val="0"/>
        <w:snapToGrid w:val="0"/>
        <w:spacing w:before="156" w:beforeLines="50" w:after="156" w:afterLines="50" w:line="360" w:lineRule="auto"/>
        <w:jc w:val="center"/>
        <w:rPr>
          <w:rFonts w:ascii="宋体" w:hAnsi="宋体" w:eastAsia="宋体" w:cs="宋体"/>
          <w:sz w:val="28"/>
          <w:szCs w:val="28"/>
        </w:rPr>
      </w:pPr>
      <w:r>
        <w:rPr>
          <w:rFonts w:hint="eastAsia" w:ascii="宋体" w:hAnsi="宋体" w:eastAsia="宋体" w:cs="宋体"/>
          <w:sz w:val="28"/>
          <w:szCs w:val="28"/>
        </w:rPr>
        <w:t>无违法违规记录声明</w:t>
      </w:r>
    </w:p>
    <w:p w14:paraId="0E4A558D">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本单位在经营活动中没有违法违规记录，近三年内没有被司法部门或行业主管部门处罚，无被政府职能部门认定有行贿和欺诈行为。</w:t>
      </w:r>
    </w:p>
    <w:p w14:paraId="0E8709E2">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特此声明。</w:t>
      </w:r>
    </w:p>
    <w:p w14:paraId="27451B47">
      <w:pPr>
        <w:adjustRightInd w:val="0"/>
        <w:snapToGrid w:val="0"/>
        <w:spacing w:line="420" w:lineRule="exact"/>
        <w:ind w:firstLine="480" w:firstLineChars="200"/>
        <w:rPr>
          <w:rFonts w:ascii="宋体" w:hAnsi="宋体" w:eastAsia="宋体" w:cs="宋体"/>
          <w:sz w:val="24"/>
          <w:szCs w:val="24"/>
        </w:rPr>
      </w:pPr>
    </w:p>
    <w:p w14:paraId="5FDF7945">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声明人：</w:t>
      </w:r>
      <w:r>
        <w:rPr>
          <w:rFonts w:hint="eastAsia" w:ascii="宋体" w:hAnsi="宋体" w:eastAsia="宋体" w:cs="宋体"/>
          <w:sz w:val="24"/>
          <w:szCs w:val="24"/>
          <w:u w:val="single"/>
        </w:rPr>
        <w:t xml:space="preserve">                            </w:t>
      </w:r>
    </w:p>
    <w:p w14:paraId="32CBB5EB">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bCs/>
          <w:sz w:val="24"/>
          <w:szCs w:val="24"/>
        </w:rPr>
        <w:t>（被授权人）</w:t>
      </w:r>
      <w:r>
        <w:rPr>
          <w:rFonts w:hint="eastAsia" w:ascii="宋体" w:hAnsi="宋体" w:eastAsia="宋体" w:cs="宋体"/>
          <w:sz w:val="24"/>
          <w:szCs w:val="24"/>
        </w:rPr>
        <w:t>签字：</w:t>
      </w:r>
      <w:r>
        <w:rPr>
          <w:rFonts w:hint="eastAsia" w:ascii="宋体" w:hAnsi="宋体" w:eastAsia="宋体" w:cs="宋体"/>
          <w:sz w:val="24"/>
          <w:szCs w:val="24"/>
          <w:u w:val="single"/>
        </w:rPr>
        <w:t xml:space="preserve">             </w:t>
      </w:r>
    </w:p>
    <w:p w14:paraId="6F70022B">
      <w:pPr>
        <w:spacing w:line="460" w:lineRule="exact"/>
        <w:ind w:firstLine="3960" w:firstLineChars="16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18DF4EFE">
      <w:pPr>
        <w:spacing w:line="360" w:lineRule="auto"/>
        <w:ind w:firstLine="420" w:firstLineChars="200"/>
        <w:rPr>
          <w:rFonts w:ascii="宋体" w:hAnsi="宋体" w:eastAsia="宋体" w:cs="宋体"/>
          <w:szCs w:val="21"/>
          <w:u w:color="FF0000"/>
        </w:rPr>
      </w:pPr>
    </w:p>
    <w:p w14:paraId="02B4D450">
      <w:pPr>
        <w:spacing w:line="360" w:lineRule="auto"/>
        <w:ind w:firstLine="420" w:firstLineChars="200"/>
        <w:rPr>
          <w:rFonts w:ascii="宋体" w:hAnsi="宋体" w:eastAsia="宋体" w:cs="宋体"/>
          <w:szCs w:val="21"/>
          <w:u w:color="FF0000"/>
        </w:rPr>
      </w:pPr>
    </w:p>
    <w:p w14:paraId="5FFE17A5">
      <w:pPr>
        <w:spacing w:line="360" w:lineRule="auto"/>
        <w:ind w:firstLine="420" w:firstLineChars="200"/>
        <w:rPr>
          <w:rFonts w:ascii="宋体" w:hAnsi="宋体" w:eastAsia="宋体" w:cs="宋体"/>
          <w:szCs w:val="21"/>
          <w:u w:color="FF0000"/>
        </w:rPr>
      </w:pPr>
    </w:p>
    <w:p w14:paraId="5E968E9A">
      <w:pPr>
        <w:spacing w:line="500" w:lineRule="exact"/>
        <w:jc w:val="center"/>
        <w:rPr>
          <w:rFonts w:ascii="宋体" w:hAnsi="宋体" w:eastAsia="宋体" w:cs="Times New Roman"/>
          <w:b/>
          <w:szCs w:val="21"/>
        </w:rPr>
      </w:pPr>
      <w:r>
        <w:rPr>
          <w:rFonts w:hint="eastAsia" w:ascii="宋体" w:hAnsi="宋体" w:eastAsia="宋体" w:cs="宋体"/>
          <w:sz w:val="24"/>
          <w:szCs w:val="24"/>
          <w:u w:color="000000"/>
        </w:rPr>
        <w:br w:type="page"/>
      </w:r>
      <w:r>
        <w:rPr>
          <w:rFonts w:hint="eastAsia" w:ascii="宋体" w:hAnsi="宋体" w:eastAsia="宋体" w:cs="宋体"/>
          <w:sz w:val="28"/>
          <w:szCs w:val="28"/>
        </w:rPr>
        <w:t>供应商信用承诺书</w:t>
      </w:r>
    </w:p>
    <w:p w14:paraId="5A533852">
      <w:pPr>
        <w:spacing w:line="500" w:lineRule="exact"/>
        <w:rPr>
          <w:rFonts w:ascii="方正仿宋_GBK" w:hAnsi="Calibri" w:eastAsia="宋体" w:cs="Times New Roman"/>
          <w:szCs w:val="32"/>
        </w:rPr>
      </w:pPr>
    </w:p>
    <w:p w14:paraId="5685FEC8">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承诺主体名称：</w:t>
      </w:r>
    </w:p>
    <w:p w14:paraId="3F42E9EE">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统一社会信用代码：</w:t>
      </w:r>
    </w:p>
    <w:p w14:paraId="4442ED83">
      <w:pPr>
        <w:adjustRightInd w:val="0"/>
        <w:snapToGrid w:val="0"/>
        <w:spacing w:line="420" w:lineRule="exact"/>
        <w:ind w:firstLine="480" w:firstLineChars="200"/>
        <w:rPr>
          <w:rFonts w:ascii="宋体" w:hAnsi="宋体" w:eastAsia="宋体" w:cs="宋体"/>
          <w:sz w:val="24"/>
          <w:szCs w:val="24"/>
        </w:rPr>
      </w:pPr>
    </w:p>
    <w:p w14:paraId="7702A4FD">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为维护公平竞争、规范有序的市场秩序，营造诚实守信的信用环境，共同推进社会信用体系建设完善，树立企业诚信守法形象，本企业对________________________项目政府采购活动郑重承诺如下:</w:t>
      </w:r>
    </w:p>
    <w:p w14:paraId="7A61846C">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一、对提供给注册登记部门、行业管理部门、司法部门、行业组织以及在政府采购活动中提交的所有资料的合法性、真实性、准确性和有效性负责；</w:t>
      </w:r>
    </w:p>
    <w:p w14:paraId="31AB0309">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二、严格按照国家法律、法规和规章开展采购活动，全面履行应尽的责任和义务，全面做到履约守信，具备《中华人民共和国政府采购法》第二十二条第一款规定的条件;</w:t>
      </w:r>
    </w:p>
    <w:p w14:paraId="601E6C52">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三、严格依法开展生产经营活动，主动接受行业监管，自愿接受依法开展的日常检查；违法失信经营后将自愿接受约束和惩戒，并依法承担相应责任；</w:t>
      </w:r>
    </w:p>
    <w:p w14:paraId="7F4DA37D">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四、自觉接受行政管理部门、行业组织、社会公众、新闻舆论的监督；</w:t>
      </w:r>
    </w:p>
    <w:p w14:paraId="63587768">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五、自觉做到自我约束、自我管理，不制假售假、商标侵权、虚假宣传、违约毁约、恶意逃债、偷税漏税、垄断和不正当竞争，维护经营者、消费者的合法权益；</w:t>
      </w:r>
    </w:p>
    <w:p w14:paraId="6A5D9B41">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六、提出政府采购质疑和投诉坚持依法依规、诚实信用原则，在全国范围12个月内没有三次以上查无实据的政府采购投诉；</w:t>
      </w:r>
    </w:p>
    <w:p w14:paraId="3A471155">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七、严格遵守信用信息公示相关规定，向社会公示信用信息；</w:t>
      </w:r>
    </w:p>
    <w:p w14:paraId="3239B035">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八、在“信用中国”和“中国政府采购网”网站中无违法违规、较重或严重失信记录；</w:t>
      </w:r>
    </w:p>
    <w:p w14:paraId="2E339DF2">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九、如违反承诺，自愿接受管理部门依法给予的行政处罚，同意将违反承诺的行为作为不良记录记入信用档案，依法依规进行信息公示，并承担所产生的一切法律责任和经济损失。</w:t>
      </w:r>
    </w:p>
    <w:p w14:paraId="3BCCBCCD">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十、本承诺书自签订之日起生效。</w:t>
      </w:r>
    </w:p>
    <w:p w14:paraId="6A3795C0">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（注：法定代表人或负责人、主体名称发生变更的应当重新做出承诺。）</w:t>
      </w:r>
    </w:p>
    <w:p w14:paraId="405DA477">
      <w:pPr>
        <w:spacing w:line="560" w:lineRule="exact"/>
        <w:rPr>
          <w:rFonts w:ascii="宋体" w:hAnsi="宋体" w:eastAsia="宋体" w:cs="Times New Roman"/>
          <w:szCs w:val="21"/>
        </w:rPr>
      </w:pPr>
    </w:p>
    <w:p w14:paraId="766709F9">
      <w:pPr>
        <w:adjustRightInd w:val="0"/>
        <w:snapToGrid w:val="0"/>
        <w:spacing w:line="420" w:lineRule="exact"/>
        <w:ind w:firstLine="420" w:firstLineChars="200"/>
        <w:rPr>
          <w:rFonts w:ascii="宋体" w:hAnsi="宋体" w:eastAsia="宋体" w:cs="宋体"/>
          <w:sz w:val="24"/>
          <w:szCs w:val="24"/>
        </w:rPr>
      </w:pPr>
      <w:r>
        <w:rPr>
          <w:rFonts w:hint="eastAsia" w:ascii="宋体" w:hAnsi="宋体" w:eastAsia="宋体" w:cs="Times New Roman"/>
          <w:szCs w:val="21"/>
        </w:rPr>
        <w:t xml:space="preserve">　　　　　　　　　　      </w:t>
      </w:r>
      <w:r>
        <w:rPr>
          <w:rFonts w:hint="eastAsia" w:ascii="宋体" w:hAnsi="宋体" w:eastAsia="宋体" w:cs="宋体"/>
          <w:sz w:val="24"/>
          <w:szCs w:val="24"/>
        </w:rPr>
        <w:t xml:space="preserve">   承诺单位（签章）：           </w:t>
      </w:r>
    </w:p>
    <w:p w14:paraId="6CB42604">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法定代表人（负责人）：</w:t>
      </w:r>
    </w:p>
    <w:p w14:paraId="460551C5">
      <w:pPr>
        <w:spacing w:line="560" w:lineRule="exact"/>
        <w:jc w:val="center"/>
        <w:rPr>
          <w:rFonts w:ascii="宋体" w:hAnsi="宋体" w:eastAsia="宋体" w:cs="Times New Roman"/>
          <w:szCs w:val="21"/>
        </w:rPr>
      </w:pPr>
      <w:r>
        <w:rPr>
          <w:rFonts w:hint="eastAsia" w:ascii="宋体" w:hAnsi="宋体" w:eastAsia="宋体" w:cs="Times New Roman"/>
          <w:szCs w:val="21"/>
        </w:rPr>
        <w:t>　　　　　　　　　      　</w:t>
      </w:r>
      <w:r>
        <w:rPr>
          <w:rFonts w:hint="eastAsia" w:ascii="宋体" w:hAnsi="宋体" w:eastAsia="宋体" w:cs="宋体"/>
          <w:sz w:val="24"/>
          <w:szCs w:val="24"/>
        </w:rPr>
        <w:t>年    月    日</w:t>
      </w:r>
    </w:p>
    <w:p w14:paraId="4B43BF58">
      <w:pPr>
        <w:jc w:val="left"/>
        <w:rPr>
          <w:rFonts w:ascii="宋体" w:hAnsi="宋体" w:eastAsia="宋体" w:cs="宋体"/>
          <w:szCs w:val="21"/>
          <w:u w:color="FF0000"/>
        </w:rPr>
      </w:pPr>
    </w:p>
    <w:p w14:paraId="78C3B8D3">
      <w:pPr>
        <w:tabs>
          <w:tab w:val="left" w:pos="576"/>
        </w:tabs>
        <w:spacing w:before="156" w:beforeLines="50" w:after="156" w:afterLines="50" w:line="360" w:lineRule="auto"/>
        <w:outlineLvl w:val="2"/>
        <w:rPr>
          <w:rFonts w:ascii="宋体" w:hAnsi="宋体" w:eastAsia="宋体" w:cs="宋体"/>
          <w:sz w:val="24"/>
          <w:szCs w:val="24"/>
          <w:u w:color="000000"/>
        </w:rPr>
      </w:pPr>
      <w:bookmarkStart w:id="39" w:name="_Toc22989"/>
      <w:bookmarkStart w:id="40" w:name="_Toc11859495"/>
      <w:r>
        <w:rPr>
          <w:rFonts w:hint="eastAsia" w:ascii="宋体" w:hAnsi="宋体" w:eastAsia="宋体" w:cs="宋体"/>
          <w:sz w:val="24"/>
          <w:szCs w:val="24"/>
          <w:u w:color="000000"/>
        </w:rPr>
        <w:t>6.5 商务条款响应及偏离表</w:t>
      </w:r>
      <w:bookmarkEnd w:id="39"/>
      <w:bookmarkEnd w:id="40"/>
    </w:p>
    <w:p w14:paraId="764592D5">
      <w:pPr>
        <w:spacing w:before="156" w:beforeLines="50" w:after="156" w:afterLines="50" w:line="360" w:lineRule="auto"/>
        <w:jc w:val="center"/>
        <w:rPr>
          <w:rFonts w:ascii="宋体" w:hAnsi="宋体" w:eastAsia="宋体" w:cs="宋体"/>
          <w:bCs/>
          <w:sz w:val="28"/>
          <w:szCs w:val="28"/>
          <w:u w:color="000000"/>
          <w:lang w:val="zh-TW" w:eastAsia="zh-TW"/>
        </w:rPr>
      </w:pPr>
      <w:r>
        <w:rPr>
          <w:rFonts w:hint="eastAsia" w:ascii="宋体" w:hAnsi="宋体" w:eastAsia="宋体" w:cs="宋体"/>
          <w:bCs/>
          <w:sz w:val="28"/>
          <w:szCs w:val="28"/>
          <w:u w:color="000000"/>
          <w:lang w:val="zh-TW"/>
        </w:rPr>
        <w:t>商务条款响应及偏离表</w:t>
      </w:r>
    </w:p>
    <w:p w14:paraId="6740FA73">
      <w:pPr>
        <w:spacing w:line="360" w:lineRule="auto"/>
        <w:rPr>
          <w:rFonts w:ascii="宋体" w:hAnsi="宋体" w:eastAsia="宋体" w:cs="宋体"/>
          <w:sz w:val="24"/>
          <w:szCs w:val="24"/>
        </w:rPr>
      </w:pPr>
      <w:r>
        <w:rPr>
          <w:rFonts w:hint="eastAsia" w:ascii="宋体" w:hAnsi="宋体" w:eastAsia="宋体" w:cs="宋体"/>
          <w:sz w:val="24"/>
          <w:szCs w:val="24"/>
        </w:rPr>
        <w:t>投标人全称（公章）：</w:t>
      </w:r>
      <w:r>
        <w:rPr>
          <w:rFonts w:hint="eastAsia" w:ascii="宋体" w:hAnsi="宋体" w:eastAsia="宋体" w:cs="宋体"/>
          <w:sz w:val="24"/>
          <w:szCs w:val="24"/>
          <w:u w:val="single"/>
        </w:rPr>
        <w:t xml:space="preserve">                     </w:t>
      </w:r>
    </w:p>
    <w:p w14:paraId="13F10D2D">
      <w:pPr>
        <w:spacing w:line="360" w:lineRule="auto"/>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南京邮电大学通达学2024-2026年消防维护服务采购项目</w:t>
      </w:r>
    </w:p>
    <w:tbl>
      <w:tblPr>
        <w:tblStyle w:val="2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14:paraId="51415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876" w:type="dxa"/>
            <w:vAlign w:val="center"/>
          </w:tcPr>
          <w:p w14:paraId="2C6CD6AC">
            <w:pPr>
              <w:pStyle w:val="34"/>
              <w:widowControl w:val="0"/>
              <w:snapToGrid w:val="0"/>
              <w:jc w:val="center"/>
              <w:rPr>
                <w:rFonts w:hAnsi="宋体"/>
                <w:color w:val="auto"/>
              </w:rPr>
            </w:pPr>
            <w:r>
              <w:rPr>
                <w:rFonts w:hint="eastAsia" w:hAnsi="宋体"/>
                <w:color w:val="auto"/>
              </w:rPr>
              <w:t>序号</w:t>
            </w:r>
          </w:p>
        </w:tc>
        <w:tc>
          <w:tcPr>
            <w:tcW w:w="2976" w:type="dxa"/>
            <w:vAlign w:val="center"/>
          </w:tcPr>
          <w:p w14:paraId="5E81A113">
            <w:pPr>
              <w:pStyle w:val="34"/>
              <w:widowControl w:val="0"/>
              <w:snapToGrid w:val="0"/>
              <w:jc w:val="center"/>
              <w:rPr>
                <w:rFonts w:hAnsi="宋体"/>
                <w:color w:val="auto"/>
              </w:rPr>
            </w:pPr>
            <w:r>
              <w:rPr>
                <w:rFonts w:hint="eastAsia" w:hAnsi="宋体"/>
                <w:color w:val="auto"/>
              </w:rPr>
              <w:t>项目</w:t>
            </w:r>
          </w:p>
        </w:tc>
        <w:tc>
          <w:tcPr>
            <w:tcW w:w="1985" w:type="dxa"/>
            <w:vAlign w:val="center"/>
          </w:tcPr>
          <w:p w14:paraId="64B371F8">
            <w:pPr>
              <w:pStyle w:val="34"/>
              <w:widowControl w:val="0"/>
              <w:snapToGrid w:val="0"/>
              <w:jc w:val="center"/>
              <w:rPr>
                <w:rFonts w:hAnsi="宋体"/>
                <w:color w:val="auto"/>
              </w:rPr>
            </w:pPr>
            <w:r>
              <w:rPr>
                <w:rFonts w:hint="eastAsia" w:hAnsi="宋体"/>
                <w:color w:val="auto"/>
              </w:rPr>
              <w:t>招标文件要求</w:t>
            </w:r>
          </w:p>
        </w:tc>
        <w:tc>
          <w:tcPr>
            <w:tcW w:w="1843" w:type="dxa"/>
            <w:vAlign w:val="center"/>
          </w:tcPr>
          <w:p w14:paraId="3032C531">
            <w:pPr>
              <w:pStyle w:val="34"/>
              <w:widowControl w:val="0"/>
              <w:snapToGrid w:val="0"/>
              <w:jc w:val="center"/>
              <w:rPr>
                <w:rFonts w:hAnsi="宋体"/>
                <w:color w:val="auto"/>
              </w:rPr>
            </w:pPr>
            <w:r>
              <w:rPr>
                <w:rFonts w:hint="eastAsia" w:hAnsi="宋体"/>
                <w:color w:val="auto"/>
              </w:rPr>
              <w:t>投标人的承诺或说明</w:t>
            </w:r>
          </w:p>
        </w:tc>
        <w:tc>
          <w:tcPr>
            <w:tcW w:w="1687" w:type="dxa"/>
            <w:vAlign w:val="center"/>
          </w:tcPr>
          <w:p w14:paraId="6A076F4C">
            <w:pPr>
              <w:pStyle w:val="34"/>
              <w:widowControl w:val="0"/>
              <w:snapToGrid w:val="0"/>
              <w:jc w:val="center"/>
              <w:rPr>
                <w:rFonts w:hAnsi="宋体"/>
                <w:color w:val="auto"/>
              </w:rPr>
            </w:pPr>
            <w:r>
              <w:rPr>
                <w:rFonts w:hint="eastAsia" w:hAnsi="宋体"/>
                <w:color w:val="auto"/>
              </w:rPr>
              <w:t>偏离情况</w:t>
            </w:r>
          </w:p>
        </w:tc>
      </w:tr>
      <w:tr w14:paraId="75702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5BA8DF55">
            <w:pPr>
              <w:pStyle w:val="34"/>
              <w:widowControl w:val="0"/>
              <w:snapToGrid w:val="0"/>
              <w:jc w:val="center"/>
              <w:rPr>
                <w:rFonts w:hAnsi="宋体"/>
                <w:color w:val="auto"/>
              </w:rPr>
            </w:pPr>
            <w:r>
              <w:rPr>
                <w:rFonts w:hint="eastAsia" w:hAnsi="宋体"/>
                <w:color w:val="auto"/>
              </w:rPr>
              <w:t>1</w:t>
            </w:r>
          </w:p>
        </w:tc>
        <w:tc>
          <w:tcPr>
            <w:tcW w:w="2976" w:type="dxa"/>
            <w:vAlign w:val="center"/>
          </w:tcPr>
          <w:p w14:paraId="53CDBE1C">
            <w:pPr>
              <w:pStyle w:val="34"/>
              <w:widowControl w:val="0"/>
              <w:snapToGrid w:val="0"/>
              <w:jc w:val="center"/>
              <w:rPr>
                <w:rFonts w:hAnsi="宋体"/>
                <w:color w:val="auto"/>
              </w:rPr>
            </w:pPr>
          </w:p>
        </w:tc>
        <w:tc>
          <w:tcPr>
            <w:tcW w:w="1985" w:type="dxa"/>
            <w:vAlign w:val="center"/>
          </w:tcPr>
          <w:p w14:paraId="4B1261A6">
            <w:pPr>
              <w:pStyle w:val="34"/>
              <w:widowControl w:val="0"/>
              <w:snapToGrid w:val="0"/>
              <w:jc w:val="center"/>
              <w:rPr>
                <w:rFonts w:hAnsi="宋体"/>
                <w:color w:val="auto"/>
              </w:rPr>
            </w:pPr>
          </w:p>
        </w:tc>
        <w:tc>
          <w:tcPr>
            <w:tcW w:w="1843" w:type="dxa"/>
            <w:vAlign w:val="center"/>
          </w:tcPr>
          <w:p w14:paraId="47486A83">
            <w:pPr>
              <w:pStyle w:val="34"/>
              <w:widowControl w:val="0"/>
              <w:snapToGrid w:val="0"/>
              <w:jc w:val="center"/>
              <w:rPr>
                <w:rFonts w:hAnsi="宋体"/>
                <w:color w:val="auto"/>
              </w:rPr>
            </w:pPr>
          </w:p>
        </w:tc>
        <w:tc>
          <w:tcPr>
            <w:tcW w:w="1687" w:type="dxa"/>
            <w:vAlign w:val="center"/>
          </w:tcPr>
          <w:p w14:paraId="0DCB0286">
            <w:pPr>
              <w:pStyle w:val="34"/>
              <w:widowControl w:val="0"/>
              <w:snapToGrid w:val="0"/>
              <w:jc w:val="center"/>
              <w:rPr>
                <w:rFonts w:hAnsi="宋体"/>
                <w:color w:val="auto"/>
              </w:rPr>
            </w:pPr>
          </w:p>
        </w:tc>
      </w:tr>
      <w:tr w14:paraId="5AD0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D457825">
            <w:pPr>
              <w:pStyle w:val="34"/>
              <w:widowControl w:val="0"/>
              <w:snapToGrid w:val="0"/>
              <w:jc w:val="center"/>
              <w:rPr>
                <w:rFonts w:hAnsi="宋体"/>
                <w:color w:val="auto"/>
              </w:rPr>
            </w:pPr>
            <w:r>
              <w:rPr>
                <w:rFonts w:hint="eastAsia" w:hAnsi="宋体"/>
                <w:color w:val="auto"/>
              </w:rPr>
              <w:t>2</w:t>
            </w:r>
          </w:p>
        </w:tc>
        <w:tc>
          <w:tcPr>
            <w:tcW w:w="2976" w:type="dxa"/>
            <w:vAlign w:val="center"/>
          </w:tcPr>
          <w:p w14:paraId="5A68319D">
            <w:pPr>
              <w:pStyle w:val="34"/>
              <w:widowControl w:val="0"/>
              <w:snapToGrid w:val="0"/>
              <w:jc w:val="center"/>
              <w:rPr>
                <w:rFonts w:hAnsi="宋体"/>
                <w:color w:val="auto"/>
              </w:rPr>
            </w:pPr>
          </w:p>
        </w:tc>
        <w:tc>
          <w:tcPr>
            <w:tcW w:w="1985" w:type="dxa"/>
            <w:vAlign w:val="center"/>
          </w:tcPr>
          <w:p w14:paraId="69337C68">
            <w:pPr>
              <w:pStyle w:val="34"/>
              <w:widowControl w:val="0"/>
              <w:snapToGrid w:val="0"/>
              <w:jc w:val="center"/>
              <w:rPr>
                <w:rFonts w:hAnsi="宋体"/>
                <w:color w:val="auto"/>
              </w:rPr>
            </w:pPr>
          </w:p>
        </w:tc>
        <w:tc>
          <w:tcPr>
            <w:tcW w:w="1843" w:type="dxa"/>
            <w:vAlign w:val="center"/>
          </w:tcPr>
          <w:p w14:paraId="15D5BD0E">
            <w:pPr>
              <w:pStyle w:val="34"/>
              <w:widowControl w:val="0"/>
              <w:snapToGrid w:val="0"/>
              <w:jc w:val="center"/>
              <w:rPr>
                <w:rFonts w:hAnsi="宋体"/>
                <w:color w:val="auto"/>
              </w:rPr>
            </w:pPr>
          </w:p>
        </w:tc>
        <w:tc>
          <w:tcPr>
            <w:tcW w:w="1687" w:type="dxa"/>
            <w:vAlign w:val="center"/>
          </w:tcPr>
          <w:p w14:paraId="1C0791F5">
            <w:pPr>
              <w:pStyle w:val="34"/>
              <w:widowControl w:val="0"/>
              <w:snapToGrid w:val="0"/>
              <w:jc w:val="center"/>
              <w:rPr>
                <w:rFonts w:hAnsi="宋体"/>
                <w:color w:val="auto"/>
              </w:rPr>
            </w:pPr>
          </w:p>
        </w:tc>
      </w:tr>
      <w:tr w14:paraId="3948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0E2EFABD">
            <w:pPr>
              <w:pStyle w:val="34"/>
              <w:widowControl w:val="0"/>
              <w:snapToGrid w:val="0"/>
              <w:jc w:val="center"/>
              <w:rPr>
                <w:rFonts w:hAnsi="宋体"/>
                <w:color w:val="auto"/>
              </w:rPr>
            </w:pPr>
            <w:r>
              <w:rPr>
                <w:rFonts w:hint="eastAsia" w:hAnsi="宋体"/>
                <w:color w:val="auto"/>
              </w:rPr>
              <w:t>3</w:t>
            </w:r>
          </w:p>
        </w:tc>
        <w:tc>
          <w:tcPr>
            <w:tcW w:w="2976" w:type="dxa"/>
            <w:vAlign w:val="center"/>
          </w:tcPr>
          <w:p w14:paraId="122FCB57">
            <w:pPr>
              <w:pStyle w:val="34"/>
              <w:widowControl w:val="0"/>
              <w:snapToGrid w:val="0"/>
              <w:jc w:val="center"/>
              <w:rPr>
                <w:rFonts w:hAnsi="宋体"/>
                <w:color w:val="auto"/>
              </w:rPr>
            </w:pPr>
          </w:p>
        </w:tc>
        <w:tc>
          <w:tcPr>
            <w:tcW w:w="1985" w:type="dxa"/>
            <w:vAlign w:val="center"/>
          </w:tcPr>
          <w:p w14:paraId="15698BF9">
            <w:pPr>
              <w:pStyle w:val="34"/>
              <w:widowControl w:val="0"/>
              <w:snapToGrid w:val="0"/>
              <w:jc w:val="center"/>
              <w:rPr>
                <w:rFonts w:hAnsi="宋体"/>
                <w:color w:val="auto"/>
              </w:rPr>
            </w:pPr>
          </w:p>
        </w:tc>
        <w:tc>
          <w:tcPr>
            <w:tcW w:w="1843" w:type="dxa"/>
            <w:vAlign w:val="center"/>
          </w:tcPr>
          <w:p w14:paraId="504309DA">
            <w:pPr>
              <w:pStyle w:val="34"/>
              <w:widowControl w:val="0"/>
              <w:snapToGrid w:val="0"/>
              <w:jc w:val="center"/>
              <w:rPr>
                <w:rFonts w:hAnsi="宋体"/>
                <w:color w:val="auto"/>
              </w:rPr>
            </w:pPr>
          </w:p>
        </w:tc>
        <w:tc>
          <w:tcPr>
            <w:tcW w:w="1687" w:type="dxa"/>
            <w:vAlign w:val="center"/>
          </w:tcPr>
          <w:p w14:paraId="03F9A559">
            <w:pPr>
              <w:pStyle w:val="34"/>
              <w:widowControl w:val="0"/>
              <w:snapToGrid w:val="0"/>
              <w:jc w:val="center"/>
              <w:rPr>
                <w:rFonts w:hAnsi="宋体"/>
                <w:color w:val="auto"/>
              </w:rPr>
            </w:pPr>
          </w:p>
        </w:tc>
      </w:tr>
      <w:tr w14:paraId="291AC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09B6FF9">
            <w:pPr>
              <w:pStyle w:val="34"/>
              <w:widowControl w:val="0"/>
              <w:snapToGrid w:val="0"/>
              <w:jc w:val="center"/>
              <w:rPr>
                <w:rFonts w:hAnsi="宋体"/>
                <w:color w:val="auto"/>
              </w:rPr>
            </w:pPr>
            <w:r>
              <w:rPr>
                <w:rFonts w:hint="eastAsia" w:hAnsi="宋体"/>
                <w:color w:val="auto"/>
              </w:rPr>
              <w:t>4</w:t>
            </w:r>
          </w:p>
        </w:tc>
        <w:tc>
          <w:tcPr>
            <w:tcW w:w="2976" w:type="dxa"/>
            <w:vAlign w:val="center"/>
          </w:tcPr>
          <w:p w14:paraId="331A9483">
            <w:pPr>
              <w:pStyle w:val="34"/>
              <w:widowControl w:val="0"/>
              <w:snapToGrid w:val="0"/>
              <w:jc w:val="center"/>
              <w:rPr>
                <w:rFonts w:hAnsi="宋体"/>
                <w:color w:val="auto"/>
              </w:rPr>
            </w:pPr>
          </w:p>
        </w:tc>
        <w:tc>
          <w:tcPr>
            <w:tcW w:w="1985" w:type="dxa"/>
            <w:vAlign w:val="center"/>
          </w:tcPr>
          <w:p w14:paraId="585F61D9">
            <w:pPr>
              <w:pStyle w:val="34"/>
              <w:widowControl w:val="0"/>
              <w:snapToGrid w:val="0"/>
              <w:jc w:val="center"/>
              <w:rPr>
                <w:rFonts w:hAnsi="宋体"/>
                <w:color w:val="auto"/>
              </w:rPr>
            </w:pPr>
          </w:p>
        </w:tc>
        <w:tc>
          <w:tcPr>
            <w:tcW w:w="1843" w:type="dxa"/>
            <w:vAlign w:val="center"/>
          </w:tcPr>
          <w:p w14:paraId="3E63CE69">
            <w:pPr>
              <w:pStyle w:val="34"/>
              <w:widowControl w:val="0"/>
              <w:snapToGrid w:val="0"/>
              <w:jc w:val="center"/>
              <w:rPr>
                <w:rFonts w:hAnsi="宋体"/>
                <w:color w:val="auto"/>
              </w:rPr>
            </w:pPr>
          </w:p>
        </w:tc>
        <w:tc>
          <w:tcPr>
            <w:tcW w:w="1687" w:type="dxa"/>
            <w:vAlign w:val="center"/>
          </w:tcPr>
          <w:p w14:paraId="76A7B151">
            <w:pPr>
              <w:pStyle w:val="34"/>
              <w:widowControl w:val="0"/>
              <w:snapToGrid w:val="0"/>
              <w:jc w:val="center"/>
              <w:rPr>
                <w:rFonts w:hAnsi="宋体"/>
                <w:color w:val="auto"/>
              </w:rPr>
            </w:pPr>
          </w:p>
        </w:tc>
      </w:tr>
      <w:tr w14:paraId="0539A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59073AB5">
            <w:pPr>
              <w:pStyle w:val="34"/>
              <w:widowControl w:val="0"/>
              <w:snapToGrid w:val="0"/>
              <w:jc w:val="center"/>
              <w:rPr>
                <w:rFonts w:hAnsi="宋体"/>
                <w:color w:val="auto"/>
              </w:rPr>
            </w:pPr>
            <w:r>
              <w:rPr>
                <w:rFonts w:hint="eastAsia" w:hAnsi="宋体"/>
                <w:color w:val="auto"/>
              </w:rPr>
              <w:t>5</w:t>
            </w:r>
          </w:p>
        </w:tc>
        <w:tc>
          <w:tcPr>
            <w:tcW w:w="2976" w:type="dxa"/>
            <w:vAlign w:val="center"/>
          </w:tcPr>
          <w:p w14:paraId="555BEC6A">
            <w:pPr>
              <w:pStyle w:val="34"/>
              <w:widowControl w:val="0"/>
              <w:snapToGrid w:val="0"/>
              <w:jc w:val="center"/>
              <w:rPr>
                <w:rFonts w:hAnsi="宋体"/>
                <w:color w:val="auto"/>
              </w:rPr>
            </w:pPr>
          </w:p>
        </w:tc>
        <w:tc>
          <w:tcPr>
            <w:tcW w:w="1985" w:type="dxa"/>
            <w:vAlign w:val="center"/>
          </w:tcPr>
          <w:p w14:paraId="73F0E808">
            <w:pPr>
              <w:pStyle w:val="34"/>
              <w:widowControl w:val="0"/>
              <w:snapToGrid w:val="0"/>
              <w:jc w:val="center"/>
              <w:rPr>
                <w:rFonts w:hAnsi="宋体"/>
                <w:color w:val="auto"/>
              </w:rPr>
            </w:pPr>
          </w:p>
        </w:tc>
        <w:tc>
          <w:tcPr>
            <w:tcW w:w="1843" w:type="dxa"/>
            <w:vAlign w:val="center"/>
          </w:tcPr>
          <w:p w14:paraId="06DEE74A">
            <w:pPr>
              <w:pStyle w:val="34"/>
              <w:widowControl w:val="0"/>
              <w:snapToGrid w:val="0"/>
              <w:jc w:val="center"/>
              <w:rPr>
                <w:rFonts w:hAnsi="宋体"/>
                <w:color w:val="auto"/>
              </w:rPr>
            </w:pPr>
          </w:p>
        </w:tc>
        <w:tc>
          <w:tcPr>
            <w:tcW w:w="1687" w:type="dxa"/>
            <w:vAlign w:val="center"/>
          </w:tcPr>
          <w:p w14:paraId="2188C1CF">
            <w:pPr>
              <w:pStyle w:val="34"/>
              <w:widowControl w:val="0"/>
              <w:snapToGrid w:val="0"/>
              <w:jc w:val="center"/>
              <w:rPr>
                <w:rFonts w:hAnsi="宋体"/>
                <w:color w:val="auto"/>
              </w:rPr>
            </w:pPr>
          </w:p>
        </w:tc>
      </w:tr>
      <w:tr w14:paraId="49E01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49047D1">
            <w:pPr>
              <w:pStyle w:val="34"/>
              <w:widowControl w:val="0"/>
              <w:snapToGrid w:val="0"/>
              <w:jc w:val="center"/>
              <w:rPr>
                <w:rFonts w:hAnsi="宋体"/>
                <w:color w:val="auto"/>
              </w:rPr>
            </w:pPr>
            <w:r>
              <w:rPr>
                <w:rFonts w:hint="eastAsia" w:hAnsi="宋体"/>
                <w:color w:val="auto"/>
              </w:rPr>
              <w:t>6</w:t>
            </w:r>
          </w:p>
        </w:tc>
        <w:tc>
          <w:tcPr>
            <w:tcW w:w="2976" w:type="dxa"/>
            <w:vAlign w:val="center"/>
          </w:tcPr>
          <w:p w14:paraId="1B9AA6E0">
            <w:pPr>
              <w:pStyle w:val="34"/>
              <w:widowControl w:val="0"/>
              <w:snapToGrid w:val="0"/>
              <w:jc w:val="center"/>
              <w:rPr>
                <w:rFonts w:hAnsi="宋体"/>
                <w:color w:val="auto"/>
              </w:rPr>
            </w:pPr>
          </w:p>
        </w:tc>
        <w:tc>
          <w:tcPr>
            <w:tcW w:w="1985" w:type="dxa"/>
            <w:vAlign w:val="center"/>
          </w:tcPr>
          <w:p w14:paraId="6B50295A">
            <w:pPr>
              <w:pStyle w:val="34"/>
              <w:widowControl w:val="0"/>
              <w:snapToGrid w:val="0"/>
              <w:jc w:val="center"/>
              <w:rPr>
                <w:rFonts w:hAnsi="宋体"/>
                <w:color w:val="auto"/>
              </w:rPr>
            </w:pPr>
          </w:p>
        </w:tc>
        <w:tc>
          <w:tcPr>
            <w:tcW w:w="1843" w:type="dxa"/>
            <w:vAlign w:val="center"/>
          </w:tcPr>
          <w:p w14:paraId="6D10C243">
            <w:pPr>
              <w:pStyle w:val="34"/>
              <w:widowControl w:val="0"/>
              <w:snapToGrid w:val="0"/>
              <w:jc w:val="center"/>
              <w:rPr>
                <w:rFonts w:hAnsi="宋体"/>
                <w:color w:val="auto"/>
              </w:rPr>
            </w:pPr>
          </w:p>
        </w:tc>
        <w:tc>
          <w:tcPr>
            <w:tcW w:w="1687" w:type="dxa"/>
            <w:vAlign w:val="center"/>
          </w:tcPr>
          <w:p w14:paraId="2A1BC6CD">
            <w:pPr>
              <w:pStyle w:val="34"/>
              <w:widowControl w:val="0"/>
              <w:snapToGrid w:val="0"/>
              <w:jc w:val="center"/>
              <w:rPr>
                <w:rFonts w:hAnsi="宋体"/>
                <w:color w:val="auto"/>
              </w:rPr>
            </w:pPr>
          </w:p>
        </w:tc>
      </w:tr>
      <w:tr w14:paraId="4E925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A7EEB42">
            <w:pPr>
              <w:pStyle w:val="34"/>
              <w:widowControl w:val="0"/>
              <w:snapToGrid w:val="0"/>
              <w:jc w:val="center"/>
              <w:rPr>
                <w:rFonts w:hAnsi="宋体"/>
                <w:color w:val="auto"/>
              </w:rPr>
            </w:pPr>
            <w:r>
              <w:rPr>
                <w:rFonts w:hint="eastAsia" w:hAnsi="宋体"/>
                <w:color w:val="auto"/>
              </w:rPr>
              <w:t>7</w:t>
            </w:r>
          </w:p>
        </w:tc>
        <w:tc>
          <w:tcPr>
            <w:tcW w:w="2976" w:type="dxa"/>
            <w:vAlign w:val="center"/>
          </w:tcPr>
          <w:p w14:paraId="3BB71950">
            <w:pPr>
              <w:pStyle w:val="34"/>
              <w:widowControl w:val="0"/>
              <w:snapToGrid w:val="0"/>
              <w:jc w:val="center"/>
              <w:rPr>
                <w:rFonts w:hAnsi="宋体"/>
                <w:color w:val="auto"/>
              </w:rPr>
            </w:pPr>
          </w:p>
        </w:tc>
        <w:tc>
          <w:tcPr>
            <w:tcW w:w="1985" w:type="dxa"/>
            <w:vAlign w:val="center"/>
          </w:tcPr>
          <w:p w14:paraId="4D26D4AB">
            <w:pPr>
              <w:pStyle w:val="34"/>
              <w:widowControl w:val="0"/>
              <w:snapToGrid w:val="0"/>
              <w:jc w:val="center"/>
              <w:rPr>
                <w:rFonts w:hAnsi="宋体"/>
                <w:color w:val="auto"/>
              </w:rPr>
            </w:pPr>
          </w:p>
        </w:tc>
        <w:tc>
          <w:tcPr>
            <w:tcW w:w="1843" w:type="dxa"/>
            <w:vAlign w:val="center"/>
          </w:tcPr>
          <w:p w14:paraId="1A174655">
            <w:pPr>
              <w:pStyle w:val="34"/>
              <w:widowControl w:val="0"/>
              <w:snapToGrid w:val="0"/>
              <w:jc w:val="center"/>
              <w:rPr>
                <w:rFonts w:hAnsi="宋体"/>
                <w:color w:val="auto"/>
              </w:rPr>
            </w:pPr>
          </w:p>
        </w:tc>
        <w:tc>
          <w:tcPr>
            <w:tcW w:w="1687" w:type="dxa"/>
            <w:vAlign w:val="center"/>
          </w:tcPr>
          <w:p w14:paraId="242CCB65">
            <w:pPr>
              <w:pStyle w:val="34"/>
              <w:widowControl w:val="0"/>
              <w:snapToGrid w:val="0"/>
              <w:jc w:val="center"/>
              <w:rPr>
                <w:rFonts w:hAnsi="宋体"/>
                <w:color w:val="auto"/>
              </w:rPr>
            </w:pPr>
          </w:p>
        </w:tc>
      </w:tr>
      <w:tr w14:paraId="00879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3E4D3D36">
            <w:pPr>
              <w:pStyle w:val="34"/>
              <w:widowControl w:val="0"/>
              <w:snapToGrid w:val="0"/>
              <w:jc w:val="center"/>
              <w:rPr>
                <w:rFonts w:hAnsi="宋体"/>
                <w:color w:val="auto"/>
              </w:rPr>
            </w:pPr>
            <w:r>
              <w:rPr>
                <w:rFonts w:hint="eastAsia" w:hAnsi="宋体"/>
                <w:color w:val="auto"/>
              </w:rPr>
              <w:t>8</w:t>
            </w:r>
          </w:p>
        </w:tc>
        <w:tc>
          <w:tcPr>
            <w:tcW w:w="2976" w:type="dxa"/>
            <w:vAlign w:val="center"/>
          </w:tcPr>
          <w:p w14:paraId="0A0CCE9E">
            <w:pPr>
              <w:pStyle w:val="34"/>
              <w:widowControl w:val="0"/>
              <w:snapToGrid w:val="0"/>
              <w:jc w:val="center"/>
              <w:rPr>
                <w:rFonts w:hAnsi="宋体"/>
                <w:color w:val="auto"/>
              </w:rPr>
            </w:pPr>
          </w:p>
        </w:tc>
        <w:tc>
          <w:tcPr>
            <w:tcW w:w="1985" w:type="dxa"/>
            <w:vAlign w:val="center"/>
          </w:tcPr>
          <w:p w14:paraId="0EF7A579">
            <w:pPr>
              <w:pStyle w:val="34"/>
              <w:widowControl w:val="0"/>
              <w:snapToGrid w:val="0"/>
              <w:jc w:val="center"/>
              <w:rPr>
                <w:rFonts w:hAnsi="宋体"/>
                <w:color w:val="auto"/>
              </w:rPr>
            </w:pPr>
          </w:p>
        </w:tc>
        <w:tc>
          <w:tcPr>
            <w:tcW w:w="1843" w:type="dxa"/>
            <w:vAlign w:val="center"/>
          </w:tcPr>
          <w:p w14:paraId="2BE479D4">
            <w:pPr>
              <w:pStyle w:val="34"/>
              <w:widowControl w:val="0"/>
              <w:snapToGrid w:val="0"/>
              <w:jc w:val="center"/>
              <w:rPr>
                <w:rFonts w:hAnsi="宋体"/>
                <w:color w:val="auto"/>
              </w:rPr>
            </w:pPr>
          </w:p>
        </w:tc>
        <w:tc>
          <w:tcPr>
            <w:tcW w:w="1687" w:type="dxa"/>
            <w:vAlign w:val="center"/>
          </w:tcPr>
          <w:p w14:paraId="293C79C5">
            <w:pPr>
              <w:pStyle w:val="34"/>
              <w:widowControl w:val="0"/>
              <w:snapToGrid w:val="0"/>
              <w:jc w:val="center"/>
              <w:rPr>
                <w:rFonts w:hAnsi="宋体"/>
                <w:color w:val="auto"/>
              </w:rPr>
            </w:pPr>
          </w:p>
        </w:tc>
      </w:tr>
      <w:tr w14:paraId="0E84C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0F6821C1">
            <w:pPr>
              <w:pStyle w:val="34"/>
              <w:widowControl w:val="0"/>
              <w:snapToGrid w:val="0"/>
              <w:jc w:val="center"/>
              <w:rPr>
                <w:rFonts w:hAnsi="宋体"/>
                <w:color w:val="auto"/>
              </w:rPr>
            </w:pPr>
            <w:r>
              <w:rPr>
                <w:rFonts w:hint="eastAsia" w:hAnsi="宋体"/>
                <w:color w:val="auto"/>
              </w:rPr>
              <w:t>9</w:t>
            </w:r>
          </w:p>
        </w:tc>
        <w:tc>
          <w:tcPr>
            <w:tcW w:w="2976" w:type="dxa"/>
            <w:vAlign w:val="center"/>
          </w:tcPr>
          <w:p w14:paraId="69E74FAE">
            <w:pPr>
              <w:pStyle w:val="34"/>
              <w:widowControl w:val="0"/>
              <w:snapToGrid w:val="0"/>
              <w:jc w:val="center"/>
              <w:rPr>
                <w:rFonts w:hAnsi="宋体"/>
                <w:color w:val="auto"/>
              </w:rPr>
            </w:pPr>
          </w:p>
        </w:tc>
        <w:tc>
          <w:tcPr>
            <w:tcW w:w="1985" w:type="dxa"/>
            <w:vAlign w:val="center"/>
          </w:tcPr>
          <w:p w14:paraId="0EE6EF44">
            <w:pPr>
              <w:pStyle w:val="34"/>
              <w:widowControl w:val="0"/>
              <w:snapToGrid w:val="0"/>
              <w:jc w:val="center"/>
              <w:rPr>
                <w:rFonts w:hAnsi="宋体"/>
                <w:color w:val="auto"/>
              </w:rPr>
            </w:pPr>
          </w:p>
        </w:tc>
        <w:tc>
          <w:tcPr>
            <w:tcW w:w="1843" w:type="dxa"/>
            <w:vAlign w:val="center"/>
          </w:tcPr>
          <w:p w14:paraId="3ED2FB91">
            <w:pPr>
              <w:pStyle w:val="34"/>
              <w:widowControl w:val="0"/>
              <w:snapToGrid w:val="0"/>
              <w:jc w:val="center"/>
              <w:rPr>
                <w:rFonts w:hAnsi="宋体"/>
                <w:color w:val="auto"/>
              </w:rPr>
            </w:pPr>
          </w:p>
        </w:tc>
        <w:tc>
          <w:tcPr>
            <w:tcW w:w="1687" w:type="dxa"/>
            <w:vAlign w:val="center"/>
          </w:tcPr>
          <w:p w14:paraId="4FA27CD2">
            <w:pPr>
              <w:pStyle w:val="34"/>
              <w:widowControl w:val="0"/>
              <w:snapToGrid w:val="0"/>
              <w:jc w:val="center"/>
              <w:rPr>
                <w:rFonts w:hAnsi="宋体"/>
                <w:color w:val="auto"/>
              </w:rPr>
            </w:pPr>
          </w:p>
        </w:tc>
      </w:tr>
    </w:tbl>
    <w:p w14:paraId="2F0D21F8">
      <w:pPr>
        <w:pStyle w:val="34"/>
        <w:widowControl w:val="0"/>
        <w:spacing w:line="360" w:lineRule="auto"/>
        <w:ind w:firstLine="4320" w:firstLineChars="1800"/>
        <w:rPr>
          <w:rFonts w:hAnsi="宋体"/>
          <w:color w:val="auto"/>
          <w:u w:val="single"/>
        </w:rPr>
      </w:pPr>
      <w:r>
        <w:rPr>
          <w:rFonts w:hint="eastAsia" w:hAnsi="宋体"/>
          <w:color w:val="auto"/>
        </w:rPr>
        <w:t>法定代表人（授权代表）签字：</w:t>
      </w:r>
      <w:r>
        <w:rPr>
          <w:rFonts w:hint="eastAsia" w:hAnsi="宋体"/>
          <w:color w:val="auto"/>
          <w:u w:val="single"/>
        </w:rPr>
        <w:t xml:space="preserve">         </w:t>
      </w:r>
    </w:p>
    <w:p w14:paraId="0A1C738E">
      <w:pPr>
        <w:pStyle w:val="34"/>
        <w:widowControl w:val="0"/>
        <w:spacing w:line="360" w:lineRule="auto"/>
        <w:ind w:firstLine="5640" w:firstLineChars="2350"/>
        <w:rPr>
          <w:rFonts w:hAnsi="宋体"/>
          <w:color w:val="auto"/>
          <w:u w:val="single"/>
        </w:rPr>
      </w:pPr>
      <w:r>
        <w:rPr>
          <w:rFonts w:hint="eastAsia" w:hAnsi="宋体"/>
          <w:bCs/>
          <w:color w:val="auto"/>
        </w:rPr>
        <w:t>日期：</w:t>
      </w: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日</w:t>
      </w:r>
    </w:p>
    <w:p w14:paraId="3689DA49">
      <w:pPr>
        <w:adjustRightInd w:val="0"/>
        <w:snapToGrid w:val="0"/>
        <w:spacing w:line="400" w:lineRule="exact"/>
        <w:ind w:left="693" w:hanging="693" w:hangingChars="330"/>
        <w:rPr>
          <w:rFonts w:ascii="宋体" w:hAnsi="宋体" w:eastAsia="宋体" w:cs="宋体"/>
          <w:szCs w:val="21"/>
        </w:rPr>
      </w:pPr>
      <w:r>
        <w:rPr>
          <w:rFonts w:hint="eastAsia" w:ascii="宋体" w:hAnsi="宋体" w:eastAsia="宋体" w:cs="宋体"/>
          <w:szCs w:val="21"/>
        </w:rPr>
        <w:t>注：</w:t>
      </w:r>
    </w:p>
    <w:p w14:paraId="3B213A3E">
      <w:pPr>
        <w:pStyle w:val="47"/>
        <w:spacing w:line="400" w:lineRule="exact"/>
        <w:ind w:firstLine="420"/>
        <w:rPr>
          <w:rFonts w:ascii="宋体" w:hAnsi="宋体" w:cs="宋体"/>
          <w:sz w:val="21"/>
        </w:rPr>
      </w:pPr>
      <w:r>
        <w:rPr>
          <w:rFonts w:hint="eastAsia" w:ascii="宋体" w:hAnsi="宋体" w:cs="宋体"/>
          <w:sz w:val="21"/>
        </w:rPr>
        <w:t>1．投标人应当逐条对照招标文件合同条款，就投标文件对合同条款存在的偏差与例外逐条做出说明；</w:t>
      </w:r>
    </w:p>
    <w:p w14:paraId="31090DB0">
      <w:pPr>
        <w:pStyle w:val="47"/>
        <w:spacing w:line="400" w:lineRule="exact"/>
        <w:ind w:firstLine="420"/>
        <w:rPr>
          <w:rFonts w:ascii="宋体" w:hAnsi="宋体" w:cs="宋体"/>
          <w:sz w:val="21"/>
        </w:rPr>
      </w:pPr>
      <w:r>
        <w:rPr>
          <w:rFonts w:hint="eastAsia" w:ascii="宋体" w:hAnsi="宋体" w:cs="宋体"/>
          <w:sz w:val="21"/>
        </w:rPr>
        <w:t>2．如投标文件对合同条款无任何偏差，投标人仅需在本偏离表中填写“无偏离”即可。</w:t>
      </w:r>
    </w:p>
    <w:p w14:paraId="6B513381">
      <w:pPr>
        <w:pStyle w:val="47"/>
        <w:spacing w:line="400" w:lineRule="exact"/>
        <w:ind w:firstLine="420"/>
        <w:rPr>
          <w:rFonts w:ascii="宋体" w:hAnsi="宋体" w:cs="宋体"/>
          <w:sz w:val="21"/>
        </w:rPr>
      </w:pPr>
      <w:r>
        <w:rPr>
          <w:rFonts w:hint="eastAsia" w:ascii="宋体" w:hAnsi="宋体" w:cs="宋体"/>
          <w:sz w:val="21"/>
        </w:rPr>
        <w:t>3. 投标人未填写该表则表示完全满足招标文件合同条款要求。</w:t>
      </w:r>
    </w:p>
    <w:p w14:paraId="19788DE4">
      <w:pPr>
        <w:spacing w:line="360" w:lineRule="auto"/>
        <w:ind w:firstLine="420" w:firstLineChars="200"/>
        <w:rPr>
          <w:rFonts w:ascii="宋体" w:hAnsi="宋体" w:eastAsia="宋体" w:cs="宋体"/>
          <w:szCs w:val="21"/>
          <w:u w:color="FF0000"/>
        </w:rPr>
      </w:pPr>
    </w:p>
    <w:p w14:paraId="07D7C057">
      <w:pPr>
        <w:jc w:val="left"/>
        <w:rPr>
          <w:rFonts w:ascii="宋体" w:hAnsi="宋体" w:eastAsia="宋体" w:cs="宋体"/>
          <w:sz w:val="24"/>
          <w:szCs w:val="24"/>
          <w:u w:color="000000"/>
        </w:rPr>
      </w:pPr>
      <w:r>
        <w:rPr>
          <w:rFonts w:hint="eastAsia" w:ascii="宋体" w:hAnsi="宋体" w:eastAsia="宋体" w:cs="宋体"/>
          <w:sz w:val="24"/>
          <w:szCs w:val="24"/>
          <w:u w:color="000000"/>
        </w:rPr>
        <w:br w:type="page"/>
      </w:r>
    </w:p>
    <w:p w14:paraId="11598853">
      <w:pPr>
        <w:tabs>
          <w:tab w:val="left" w:pos="576"/>
        </w:tabs>
        <w:spacing w:before="156" w:beforeLines="50" w:after="156" w:afterLines="50" w:line="360" w:lineRule="auto"/>
        <w:outlineLvl w:val="2"/>
        <w:rPr>
          <w:rFonts w:ascii="宋体" w:hAnsi="宋体" w:eastAsia="宋体" w:cs="宋体"/>
          <w:sz w:val="24"/>
          <w:szCs w:val="24"/>
          <w:u w:color="000000"/>
        </w:rPr>
      </w:pPr>
      <w:bookmarkStart w:id="41" w:name="_Toc11859496"/>
      <w:bookmarkStart w:id="42" w:name="_Toc8695"/>
      <w:r>
        <w:rPr>
          <w:rFonts w:hint="eastAsia" w:ascii="宋体" w:hAnsi="宋体" w:eastAsia="宋体" w:cs="宋体"/>
          <w:sz w:val="24"/>
          <w:szCs w:val="24"/>
          <w:u w:color="000000"/>
        </w:rPr>
        <w:t>6.6 技术参数响应及偏离表</w:t>
      </w:r>
      <w:bookmarkEnd w:id="41"/>
      <w:bookmarkEnd w:id="42"/>
    </w:p>
    <w:p w14:paraId="3E838D6D">
      <w:pPr>
        <w:spacing w:before="156" w:beforeLines="50" w:after="156" w:afterLines="50" w:line="360" w:lineRule="auto"/>
        <w:jc w:val="center"/>
        <w:rPr>
          <w:rFonts w:ascii="宋体" w:hAnsi="宋体" w:eastAsia="宋体" w:cs="宋体"/>
          <w:bCs/>
          <w:sz w:val="28"/>
          <w:szCs w:val="28"/>
          <w:u w:color="000000"/>
          <w:lang w:val="zh-TW" w:eastAsia="zh-TW"/>
        </w:rPr>
      </w:pPr>
      <w:r>
        <w:rPr>
          <w:rFonts w:hint="eastAsia" w:ascii="宋体" w:hAnsi="宋体" w:eastAsia="宋体" w:cs="宋体"/>
          <w:bCs/>
          <w:sz w:val="28"/>
          <w:szCs w:val="28"/>
          <w:u w:color="000000"/>
          <w:lang w:val="zh-TW"/>
        </w:rPr>
        <w:t>技术参数响应及偏离表</w:t>
      </w:r>
    </w:p>
    <w:p w14:paraId="6D49A87B">
      <w:pPr>
        <w:spacing w:line="360" w:lineRule="auto"/>
        <w:rPr>
          <w:rFonts w:ascii="宋体" w:hAnsi="宋体" w:eastAsia="宋体" w:cs="宋体"/>
          <w:sz w:val="24"/>
          <w:szCs w:val="24"/>
        </w:rPr>
      </w:pPr>
      <w:r>
        <w:rPr>
          <w:rFonts w:hint="eastAsia" w:ascii="宋体" w:hAnsi="宋体" w:eastAsia="宋体" w:cs="宋体"/>
          <w:sz w:val="24"/>
          <w:szCs w:val="24"/>
        </w:rPr>
        <w:t>投标人全称（公章）：</w:t>
      </w:r>
      <w:r>
        <w:rPr>
          <w:rFonts w:hint="eastAsia" w:ascii="宋体" w:hAnsi="宋体" w:eastAsia="宋体" w:cs="宋体"/>
          <w:sz w:val="24"/>
          <w:szCs w:val="24"/>
          <w:u w:val="single"/>
        </w:rPr>
        <w:t xml:space="preserve">                     </w:t>
      </w:r>
    </w:p>
    <w:p w14:paraId="3AAABD7B">
      <w:pPr>
        <w:spacing w:line="360" w:lineRule="auto"/>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南京邮电大学通达学2024-2026年消防维护服务采购项目</w:t>
      </w:r>
    </w:p>
    <w:tbl>
      <w:tblPr>
        <w:tblStyle w:val="2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14:paraId="34619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61A3DFAE">
            <w:pPr>
              <w:adjustRightInd w:val="0"/>
              <w:snapToGrid w:val="0"/>
              <w:jc w:val="center"/>
              <w:rPr>
                <w:rFonts w:ascii="宋体" w:hAnsi="宋体" w:eastAsia="宋体" w:cs="宋体"/>
                <w:sz w:val="24"/>
                <w:szCs w:val="24"/>
              </w:rPr>
            </w:pPr>
            <w:r>
              <w:rPr>
                <w:rFonts w:hint="eastAsia" w:ascii="宋体" w:hAnsi="宋体" w:eastAsia="宋体" w:cs="宋体"/>
                <w:sz w:val="24"/>
                <w:szCs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14:paraId="44AD5863">
            <w:pPr>
              <w:adjustRightInd w:val="0"/>
              <w:snapToGrid w:val="0"/>
              <w:jc w:val="center"/>
              <w:rPr>
                <w:rFonts w:ascii="宋体" w:hAnsi="宋体" w:eastAsia="宋体" w:cs="宋体"/>
                <w:sz w:val="24"/>
                <w:szCs w:val="24"/>
              </w:rPr>
            </w:pPr>
            <w:r>
              <w:rPr>
                <w:rFonts w:hint="eastAsia" w:ascii="宋体" w:hAnsi="宋体" w:eastAsia="宋体" w:cs="宋体"/>
                <w:sz w:val="24"/>
                <w:szCs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14:paraId="7C90D582">
            <w:pPr>
              <w:adjustRightInd w:val="0"/>
              <w:snapToGrid w:val="0"/>
              <w:jc w:val="center"/>
              <w:rPr>
                <w:rFonts w:ascii="宋体" w:hAnsi="宋体" w:eastAsia="宋体" w:cs="宋体"/>
                <w:sz w:val="24"/>
                <w:szCs w:val="24"/>
              </w:rPr>
            </w:pPr>
            <w:r>
              <w:rPr>
                <w:rFonts w:hint="eastAsia" w:ascii="宋体" w:hAnsi="宋体" w:eastAsia="宋体" w:cs="宋体"/>
                <w:sz w:val="24"/>
                <w:szCs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14:paraId="4118ED76">
            <w:pPr>
              <w:adjustRightInd w:val="0"/>
              <w:snapToGrid w:val="0"/>
              <w:jc w:val="center"/>
              <w:rPr>
                <w:rFonts w:ascii="宋体" w:hAnsi="宋体" w:eastAsia="宋体" w:cs="宋体"/>
                <w:sz w:val="24"/>
                <w:szCs w:val="24"/>
              </w:rPr>
            </w:pPr>
            <w:r>
              <w:rPr>
                <w:rFonts w:hint="eastAsia" w:ascii="宋体" w:hAnsi="宋体" w:eastAsia="宋体" w:cs="宋体"/>
                <w:sz w:val="24"/>
                <w:szCs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14:paraId="0B538911">
            <w:pPr>
              <w:adjustRightInd w:val="0"/>
              <w:snapToGrid w:val="0"/>
              <w:jc w:val="center"/>
              <w:rPr>
                <w:rFonts w:ascii="宋体" w:hAnsi="宋体" w:eastAsia="宋体" w:cs="宋体"/>
                <w:sz w:val="24"/>
                <w:szCs w:val="24"/>
              </w:rPr>
            </w:pPr>
            <w:r>
              <w:rPr>
                <w:rFonts w:hint="eastAsia" w:ascii="宋体" w:hAnsi="宋体" w:eastAsia="宋体" w:cs="宋体"/>
                <w:sz w:val="24"/>
                <w:szCs w:val="24"/>
              </w:rPr>
              <w:t>原因</w:t>
            </w:r>
          </w:p>
        </w:tc>
      </w:tr>
      <w:tr w14:paraId="646B1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567F7FF0">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32B6F278">
            <w:pPr>
              <w:jc w:val="cente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12441A92">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4E5B4D50">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5D4ECFDF">
            <w:pPr>
              <w:jc w:val="center"/>
              <w:rPr>
                <w:rFonts w:ascii="宋体" w:hAnsi="宋体" w:eastAsia="宋体" w:cs="宋体"/>
                <w:sz w:val="24"/>
                <w:szCs w:val="24"/>
              </w:rPr>
            </w:pPr>
          </w:p>
        </w:tc>
      </w:tr>
      <w:tr w14:paraId="297B6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127266C4">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44908AF1">
            <w:pPr>
              <w:jc w:val="cente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789BA9F8">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267664FE">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5C442EE5">
            <w:pPr>
              <w:jc w:val="center"/>
              <w:rPr>
                <w:rFonts w:ascii="宋体" w:hAnsi="宋体" w:eastAsia="宋体" w:cs="宋体"/>
                <w:sz w:val="24"/>
                <w:szCs w:val="24"/>
              </w:rPr>
            </w:pPr>
          </w:p>
        </w:tc>
      </w:tr>
      <w:tr w14:paraId="4CBA1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5C9E4CD3">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40E54354">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094267D8">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32C128A0">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0141FAA5">
            <w:pPr>
              <w:jc w:val="center"/>
              <w:rPr>
                <w:rFonts w:ascii="宋体" w:hAnsi="宋体" w:eastAsia="宋体" w:cs="宋体"/>
                <w:sz w:val="24"/>
                <w:szCs w:val="24"/>
              </w:rPr>
            </w:pPr>
          </w:p>
        </w:tc>
      </w:tr>
      <w:tr w14:paraId="2C34F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555FA5D">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7A80D6C8">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1A6C0C1B">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15375009">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686BFDEE">
            <w:pPr>
              <w:jc w:val="center"/>
              <w:rPr>
                <w:rFonts w:ascii="宋体" w:hAnsi="宋体" w:eastAsia="宋体" w:cs="宋体"/>
                <w:sz w:val="24"/>
                <w:szCs w:val="24"/>
              </w:rPr>
            </w:pPr>
          </w:p>
        </w:tc>
      </w:tr>
      <w:tr w14:paraId="0C5F6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2B7A9B3C">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27A521F9">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0E02183A">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5893D48E">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17809C5B">
            <w:pPr>
              <w:jc w:val="center"/>
              <w:rPr>
                <w:rFonts w:ascii="宋体" w:hAnsi="宋体" w:eastAsia="宋体" w:cs="宋体"/>
                <w:sz w:val="24"/>
                <w:szCs w:val="24"/>
              </w:rPr>
            </w:pPr>
          </w:p>
        </w:tc>
      </w:tr>
      <w:tr w14:paraId="73DDB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9C65385">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4A56A7CF">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0E7CDABD">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23A20CBA">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2B3A454F">
            <w:pPr>
              <w:jc w:val="center"/>
              <w:rPr>
                <w:rFonts w:ascii="宋体" w:hAnsi="宋体" w:eastAsia="宋体" w:cs="宋体"/>
                <w:sz w:val="24"/>
                <w:szCs w:val="24"/>
              </w:rPr>
            </w:pPr>
          </w:p>
        </w:tc>
      </w:tr>
      <w:tr w14:paraId="4FCA7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76B9B7D3">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747467F8">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0627A91B">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34438CE2">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16000BA4">
            <w:pPr>
              <w:jc w:val="center"/>
              <w:rPr>
                <w:rFonts w:ascii="宋体" w:hAnsi="宋体" w:eastAsia="宋体" w:cs="宋体"/>
                <w:sz w:val="24"/>
                <w:szCs w:val="24"/>
              </w:rPr>
            </w:pPr>
          </w:p>
        </w:tc>
      </w:tr>
      <w:tr w14:paraId="3DCFD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0F922C5C">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790D5A17">
            <w:pPr>
              <w:rPr>
                <w:rFonts w:ascii="宋体" w:hAnsi="宋体" w:eastAsia="宋体" w:cs="宋体"/>
                <w:sz w:val="24"/>
                <w:szCs w:val="24"/>
              </w:rPr>
            </w:pPr>
          </w:p>
        </w:tc>
        <w:tc>
          <w:tcPr>
            <w:tcW w:w="1618" w:type="dxa"/>
            <w:tcBorders>
              <w:top w:val="single" w:color="auto" w:sz="4" w:space="0"/>
              <w:left w:val="single" w:color="auto" w:sz="4" w:space="0"/>
              <w:bottom w:val="single" w:color="auto" w:sz="4" w:space="0"/>
              <w:right w:val="single" w:color="auto" w:sz="4" w:space="0"/>
            </w:tcBorders>
          </w:tcPr>
          <w:p w14:paraId="4B83FF1C">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0D8F5047">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44AE2DE5">
            <w:pPr>
              <w:jc w:val="center"/>
              <w:rPr>
                <w:rFonts w:ascii="宋体" w:hAnsi="宋体" w:eastAsia="宋体" w:cs="宋体"/>
                <w:sz w:val="24"/>
                <w:szCs w:val="24"/>
              </w:rPr>
            </w:pPr>
          </w:p>
        </w:tc>
      </w:tr>
      <w:tr w14:paraId="11AAC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55B7313">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4B5C50ED">
            <w:pPr>
              <w:rPr>
                <w:rFonts w:ascii="宋体" w:hAnsi="宋体" w:eastAsia="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14:paraId="414F459F">
            <w:pPr>
              <w:jc w:val="center"/>
              <w:rPr>
                <w:rFonts w:ascii="宋体" w:hAnsi="宋体" w:eastAsia="宋体" w:cs="宋体"/>
                <w:sz w:val="24"/>
                <w:szCs w:val="24"/>
              </w:rPr>
            </w:pPr>
          </w:p>
        </w:tc>
        <w:tc>
          <w:tcPr>
            <w:tcW w:w="1308" w:type="dxa"/>
            <w:tcBorders>
              <w:top w:val="single" w:color="auto" w:sz="4" w:space="0"/>
              <w:left w:val="single" w:color="auto" w:sz="4" w:space="0"/>
              <w:bottom w:val="single" w:color="auto" w:sz="4" w:space="0"/>
              <w:right w:val="single" w:color="auto" w:sz="4" w:space="0"/>
            </w:tcBorders>
          </w:tcPr>
          <w:p w14:paraId="50643B9A">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7BD86B54">
            <w:pPr>
              <w:jc w:val="center"/>
              <w:rPr>
                <w:rFonts w:ascii="宋体" w:hAnsi="宋体" w:eastAsia="宋体" w:cs="宋体"/>
                <w:sz w:val="24"/>
                <w:szCs w:val="24"/>
              </w:rPr>
            </w:pPr>
          </w:p>
        </w:tc>
      </w:tr>
      <w:tr w14:paraId="64334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857DD4B">
            <w:pPr>
              <w:jc w:val="center"/>
              <w:rPr>
                <w:rFonts w:ascii="宋体" w:hAnsi="宋体" w:eastAsia="宋体" w:cs="宋体"/>
                <w:sz w:val="24"/>
                <w:szCs w:val="24"/>
              </w:rPr>
            </w:pPr>
          </w:p>
        </w:tc>
        <w:tc>
          <w:tcPr>
            <w:tcW w:w="4086" w:type="dxa"/>
            <w:tcBorders>
              <w:top w:val="single" w:color="auto" w:sz="4" w:space="0"/>
              <w:left w:val="single" w:color="auto" w:sz="4" w:space="0"/>
              <w:bottom w:val="single" w:color="auto" w:sz="4" w:space="0"/>
              <w:right w:val="single" w:color="auto" w:sz="4" w:space="0"/>
            </w:tcBorders>
          </w:tcPr>
          <w:p w14:paraId="45BE3E1B">
            <w:pPr>
              <w:rPr>
                <w:rFonts w:ascii="宋体" w:hAnsi="宋体" w:eastAsia="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14:paraId="14B91403">
            <w:pPr>
              <w:rPr>
                <w:rFonts w:ascii="宋体" w:hAnsi="宋体" w:eastAsia="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14:paraId="1F837FA0">
            <w:pPr>
              <w:jc w:val="center"/>
              <w:rPr>
                <w:rFonts w:ascii="宋体" w:hAnsi="宋体" w:eastAsia="宋体" w:cs="宋体"/>
                <w:sz w:val="24"/>
                <w:szCs w:val="24"/>
              </w:rPr>
            </w:pPr>
          </w:p>
        </w:tc>
        <w:tc>
          <w:tcPr>
            <w:tcW w:w="1173" w:type="dxa"/>
            <w:tcBorders>
              <w:top w:val="single" w:color="auto" w:sz="4" w:space="0"/>
              <w:left w:val="single" w:color="auto" w:sz="4" w:space="0"/>
              <w:bottom w:val="single" w:color="auto" w:sz="4" w:space="0"/>
              <w:right w:val="single" w:color="auto" w:sz="4" w:space="0"/>
            </w:tcBorders>
          </w:tcPr>
          <w:p w14:paraId="5D376EFE">
            <w:pPr>
              <w:jc w:val="center"/>
              <w:rPr>
                <w:rFonts w:ascii="宋体" w:hAnsi="宋体" w:eastAsia="宋体" w:cs="宋体"/>
                <w:sz w:val="24"/>
                <w:szCs w:val="24"/>
              </w:rPr>
            </w:pPr>
          </w:p>
        </w:tc>
      </w:tr>
    </w:tbl>
    <w:p w14:paraId="7BA2B9FF">
      <w:pPr>
        <w:pStyle w:val="34"/>
        <w:widowControl w:val="0"/>
        <w:spacing w:line="360" w:lineRule="auto"/>
        <w:ind w:firstLine="4320" w:firstLineChars="1800"/>
        <w:rPr>
          <w:rFonts w:hAnsi="宋体"/>
          <w:color w:val="auto"/>
          <w:u w:val="single"/>
        </w:rPr>
      </w:pPr>
      <w:r>
        <w:rPr>
          <w:rFonts w:hint="eastAsia" w:hAnsi="宋体"/>
          <w:color w:val="auto"/>
        </w:rPr>
        <w:t>法定代表人（授权代表）签字：</w:t>
      </w:r>
      <w:r>
        <w:rPr>
          <w:rFonts w:hint="eastAsia" w:hAnsi="宋体"/>
          <w:color w:val="auto"/>
          <w:u w:val="single"/>
        </w:rPr>
        <w:t xml:space="preserve">         </w:t>
      </w:r>
    </w:p>
    <w:p w14:paraId="0E5D1C6F">
      <w:pPr>
        <w:pStyle w:val="34"/>
        <w:widowControl w:val="0"/>
        <w:spacing w:line="360" w:lineRule="auto"/>
        <w:ind w:firstLine="5640" w:firstLineChars="2350"/>
        <w:rPr>
          <w:rFonts w:hAnsi="宋体"/>
          <w:color w:val="auto"/>
          <w:u w:val="single"/>
        </w:rPr>
      </w:pPr>
      <w:r>
        <w:rPr>
          <w:rFonts w:hint="eastAsia" w:hAnsi="宋体"/>
          <w:bCs/>
          <w:color w:val="auto"/>
        </w:rPr>
        <w:t>日期：</w:t>
      </w: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日</w:t>
      </w:r>
    </w:p>
    <w:p w14:paraId="304A0B66">
      <w:pPr>
        <w:pStyle w:val="47"/>
        <w:snapToGrid w:val="0"/>
        <w:spacing w:line="400" w:lineRule="exact"/>
        <w:ind w:firstLine="420"/>
        <w:rPr>
          <w:rFonts w:ascii="宋体" w:hAnsi="宋体" w:cs="宋体"/>
          <w:sz w:val="21"/>
        </w:rPr>
      </w:pPr>
    </w:p>
    <w:p w14:paraId="2F2A6904">
      <w:pPr>
        <w:pStyle w:val="47"/>
        <w:snapToGrid w:val="0"/>
        <w:spacing w:line="400" w:lineRule="exact"/>
        <w:ind w:firstLine="420"/>
        <w:rPr>
          <w:rFonts w:ascii="宋体" w:hAnsi="宋体" w:cs="宋体"/>
          <w:sz w:val="21"/>
        </w:rPr>
      </w:pPr>
      <w:r>
        <w:rPr>
          <w:rFonts w:hint="eastAsia" w:ascii="宋体" w:hAnsi="宋体" w:cs="宋体"/>
          <w:sz w:val="21"/>
        </w:rPr>
        <w:t>注：1．投标人应当逐条对照招标文件技术条款，就投标文件对技术条款存在的偏差与例外逐条做出说明；</w:t>
      </w:r>
    </w:p>
    <w:p w14:paraId="78433A6B">
      <w:pPr>
        <w:pStyle w:val="47"/>
        <w:snapToGrid w:val="0"/>
        <w:spacing w:line="400" w:lineRule="exact"/>
        <w:ind w:firstLine="420"/>
        <w:rPr>
          <w:rFonts w:ascii="宋体" w:hAnsi="宋体" w:cs="宋体"/>
          <w:sz w:val="21"/>
        </w:rPr>
      </w:pPr>
      <w:r>
        <w:rPr>
          <w:rFonts w:hint="eastAsia" w:ascii="宋体" w:hAnsi="宋体" w:cs="宋体"/>
          <w:sz w:val="21"/>
        </w:rPr>
        <w:t>2．如投标文件对技术条款无任何偏差，投标人仅需在本偏离表中填写“无偏离”即可。</w:t>
      </w:r>
    </w:p>
    <w:p w14:paraId="4F2CD957">
      <w:pPr>
        <w:shd w:val="clear" w:color="auto" w:fill="FFFFFF"/>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3. 投标人未填写该表则表示完全满足招标文件技术条款要求。</w:t>
      </w:r>
    </w:p>
    <w:p w14:paraId="3CB67749">
      <w:pPr>
        <w:spacing w:line="360" w:lineRule="auto"/>
        <w:rPr>
          <w:rFonts w:ascii="宋体" w:hAnsi="宋体" w:eastAsia="宋体" w:cs="宋体"/>
          <w:szCs w:val="21"/>
          <w:u w:color="FF0000"/>
        </w:rPr>
      </w:pPr>
    </w:p>
    <w:p w14:paraId="3D5BD607">
      <w:pPr>
        <w:widowControl/>
        <w:jc w:val="left"/>
        <w:rPr>
          <w:rFonts w:ascii="宋体" w:hAnsi="宋体" w:eastAsia="宋体" w:cs="宋体"/>
          <w:szCs w:val="21"/>
          <w:u w:color="FF0000"/>
        </w:rPr>
      </w:pPr>
      <w:r>
        <w:rPr>
          <w:rFonts w:hint="eastAsia" w:ascii="宋体" w:hAnsi="宋体" w:eastAsia="宋体" w:cs="宋体"/>
          <w:szCs w:val="21"/>
          <w:u w:color="FF0000"/>
        </w:rPr>
        <w:br w:type="page"/>
      </w:r>
    </w:p>
    <w:p w14:paraId="2F7E279D">
      <w:pPr>
        <w:tabs>
          <w:tab w:val="left" w:pos="576"/>
        </w:tabs>
        <w:spacing w:before="156" w:beforeLines="50" w:after="156" w:afterLines="50" w:line="360" w:lineRule="auto"/>
        <w:outlineLvl w:val="2"/>
        <w:rPr>
          <w:rFonts w:ascii="宋体" w:hAnsi="宋体" w:eastAsia="宋体" w:cs="宋体"/>
          <w:sz w:val="24"/>
          <w:szCs w:val="24"/>
          <w:u w:color="000000"/>
        </w:rPr>
      </w:pPr>
      <w:bookmarkStart w:id="43" w:name="_Toc22906"/>
      <w:r>
        <w:rPr>
          <w:rFonts w:hint="eastAsia" w:ascii="宋体" w:hAnsi="宋体" w:eastAsia="宋体" w:cs="宋体"/>
          <w:sz w:val="24"/>
          <w:szCs w:val="24"/>
          <w:u w:color="000000"/>
        </w:rPr>
        <w:t>6.7 技术规范点对点应答</w:t>
      </w:r>
      <w:bookmarkEnd w:id="43"/>
    </w:p>
    <w:p w14:paraId="3F624D64">
      <w:pPr>
        <w:spacing w:line="360" w:lineRule="auto"/>
        <w:rPr>
          <w:rFonts w:ascii="宋体" w:hAnsi="宋体" w:eastAsia="宋体" w:cs="宋体"/>
          <w:szCs w:val="21"/>
          <w:u w:color="FF0000"/>
        </w:rPr>
      </w:pPr>
    </w:p>
    <w:p w14:paraId="3C614BE9">
      <w:pPr>
        <w:spacing w:line="360" w:lineRule="auto"/>
        <w:rPr>
          <w:rFonts w:ascii="宋体" w:hAnsi="宋体" w:eastAsia="宋体" w:cs="宋体"/>
          <w:szCs w:val="21"/>
          <w:u w:color="FF0000"/>
        </w:rPr>
      </w:pPr>
    </w:p>
    <w:p w14:paraId="6E0128CC">
      <w:pPr>
        <w:spacing w:line="360" w:lineRule="auto"/>
        <w:rPr>
          <w:rFonts w:ascii="宋体" w:hAnsi="宋体" w:eastAsia="宋体" w:cs="宋体"/>
          <w:szCs w:val="21"/>
          <w:u w:color="FF0000"/>
        </w:rPr>
      </w:pPr>
    </w:p>
    <w:p w14:paraId="740FE713">
      <w:pPr>
        <w:widowControl/>
        <w:jc w:val="left"/>
        <w:rPr>
          <w:rFonts w:ascii="宋体" w:hAnsi="宋体" w:eastAsia="宋体" w:cs="宋体"/>
          <w:sz w:val="24"/>
          <w:szCs w:val="24"/>
          <w:u w:color="000000"/>
        </w:rPr>
      </w:pPr>
      <w:r>
        <w:rPr>
          <w:rFonts w:hint="eastAsia" w:ascii="宋体" w:hAnsi="宋体" w:eastAsia="宋体" w:cs="宋体"/>
          <w:sz w:val="24"/>
          <w:szCs w:val="24"/>
          <w:u w:color="000000"/>
        </w:rPr>
        <w:br w:type="page"/>
      </w:r>
    </w:p>
    <w:p w14:paraId="2C197735">
      <w:pPr>
        <w:tabs>
          <w:tab w:val="left" w:pos="576"/>
        </w:tabs>
        <w:spacing w:before="156" w:beforeLines="50" w:after="156" w:afterLines="50" w:line="360" w:lineRule="auto"/>
        <w:outlineLvl w:val="2"/>
        <w:rPr>
          <w:rFonts w:ascii="宋体" w:hAnsi="宋体" w:eastAsia="宋体" w:cs="宋体"/>
          <w:sz w:val="24"/>
          <w:szCs w:val="24"/>
          <w:u w:color="000000"/>
        </w:rPr>
      </w:pPr>
      <w:bookmarkStart w:id="44" w:name="_Toc29532"/>
      <w:r>
        <w:rPr>
          <w:rFonts w:hint="eastAsia" w:ascii="宋体" w:hAnsi="宋体" w:eastAsia="宋体" w:cs="宋体"/>
          <w:sz w:val="24"/>
          <w:szCs w:val="24"/>
          <w:u w:color="000000"/>
        </w:rPr>
        <w:t>6.8 综合实力证明</w:t>
      </w:r>
      <w:bookmarkEnd w:id="44"/>
    </w:p>
    <w:p w14:paraId="260D0320">
      <w:pPr>
        <w:jc w:val="center"/>
        <w:rPr>
          <w:rFonts w:ascii="宋体" w:hAnsi="宋体" w:eastAsia="宋体" w:cs="宋体"/>
          <w:sz w:val="28"/>
          <w:szCs w:val="24"/>
          <w:u w:color="000000"/>
          <w:lang w:val="zh-TW" w:eastAsia="zh-TW"/>
        </w:rPr>
      </w:pPr>
      <w:r>
        <w:rPr>
          <w:rFonts w:hint="eastAsia" w:ascii="宋体" w:hAnsi="宋体" w:eastAsia="宋体" w:cs="宋体"/>
          <w:sz w:val="28"/>
          <w:szCs w:val="24"/>
          <w:u w:color="000000"/>
          <w:lang w:val="zh-TW" w:eastAsia="zh-TW"/>
        </w:rPr>
        <w:t>业绩情况表</w:t>
      </w:r>
    </w:p>
    <w:p w14:paraId="53D2B4D2">
      <w:pPr>
        <w:pStyle w:val="33"/>
        <w:widowControl w:val="0"/>
        <w:ind w:firstLine="0" w:firstLineChars="0"/>
        <w:jc w:val="center"/>
        <w:rPr>
          <w:rFonts w:hint="default" w:ascii="宋体" w:hAnsi="宋体" w:eastAsia="宋体" w:cs="宋体"/>
          <w:bCs/>
          <w:color w:val="auto"/>
          <w:sz w:val="21"/>
          <w:szCs w:val="21"/>
          <w:lang w:eastAsia="zh-CN"/>
        </w:rPr>
      </w:pPr>
      <w:r>
        <w:rPr>
          <w:rFonts w:ascii="宋体" w:hAnsi="宋体" w:eastAsia="宋体" w:cs="宋体"/>
          <w:bCs/>
          <w:color w:val="auto"/>
          <w:sz w:val="21"/>
          <w:szCs w:val="21"/>
          <w:lang w:eastAsia="zh-CN"/>
        </w:rPr>
        <w:t>近年（</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年</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月</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日至</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年</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月</w:t>
      </w:r>
      <w:r>
        <w:rPr>
          <w:rFonts w:ascii="宋体" w:hAnsi="宋体" w:eastAsia="宋体" w:cs="宋体"/>
          <w:bCs/>
          <w:color w:val="auto"/>
          <w:sz w:val="21"/>
          <w:szCs w:val="21"/>
          <w:u w:val="single"/>
          <w:lang w:eastAsia="zh-CN"/>
        </w:rPr>
        <w:t xml:space="preserve">  </w:t>
      </w:r>
      <w:r>
        <w:rPr>
          <w:rFonts w:ascii="宋体" w:hAnsi="宋体" w:eastAsia="宋体" w:cs="宋体"/>
          <w:bCs/>
          <w:color w:val="auto"/>
          <w:sz w:val="21"/>
          <w:szCs w:val="21"/>
          <w:lang w:eastAsia="zh-CN"/>
        </w:rPr>
        <w:t>日）业绩情况表</w:t>
      </w:r>
    </w:p>
    <w:tbl>
      <w:tblPr>
        <w:tblStyle w:val="26"/>
        <w:tblW w:w="9003"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95"/>
        <w:gridCol w:w="1095"/>
        <w:gridCol w:w="1003"/>
        <w:gridCol w:w="913"/>
        <w:gridCol w:w="731"/>
        <w:gridCol w:w="913"/>
        <w:gridCol w:w="913"/>
        <w:gridCol w:w="1005"/>
        <w:gridCol w:w="697"/>
      </w:tblGrid>
      <w:tr w14:paraId="072ADD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1352452">
            <w:pPr>
              <w:spacing w:before="124" w:beforeLines="40" w:after="124" w:afterLines="40"/>
              <w:jc w:val="center"/>
              <w:rPr>
                <w:rFonts w:ascii="宋体" w:hAnsi="宋体" w:eastAsia="宋体" w:cs="宋体"/>
                <w:szCs w:val="21"/>
              </w:rPr>
            </w:pPr>
            <w:r>
              <w:rPr>
                <w:rFonts w:hint="eastAsia" w:ascii="宋体" w:hAnsi="宋体" w:eastAsia="宋体" w:cs="宋体"/>
                <w:szCs w:val="21"/>
              </w:rPr>
              <w:t>序号</w:t>
            </w:r>
          </w:p>
        </w:tc>
        <w:tc>
          <w:tcPr>
            <w:tcW w:w="1095" w:type="dxa"/>
            <w:vAlign w:val="center"/>
          </w:tcPr>
          <w:p w14:paraId="73E240F1">
            <w:pPr>
              <w:spacing w:before="124" w:beforeLines="40" w:after="124" w:afterLines="40"/>
              <w:jc w:val="center"/>
              <w:rPr>
                <w:rFonts w:ascii="宋体" w:hAnsi="宋体" w:eastAsia="宋体" w:cs="宋体"/>
                <w:szCs w:val="21"/>
              </w:rPr>
            </w:pPr>
            <w:r>
              <w:rPr>
                <w:rFonts w:hint="eastAsia" w:ascii="宋体" w:hAnsi="宋体" w:eastAsia="宋体" w:cs="宋体"/>
                <w:szCs w:val="21"/>
              </w:rPr>
              <w:t>合同名称</w:t>
            </w:r>
          </w:p>
        </w:tc>
        <w:tc>
          <w:tcPr>
            <w:tcW w:w="1095" w:type="dxa"/>
            <w:vAlign w:val="center"/>
          </w:tcPr>
          <w:p w14:paraId="5FD04407">
            <w:pPr>
              <w:spacing w:before="124" w:beforeLines="40" w:after="124" w:afterLines="40"/>
              <w:jc w:val="center"/>
              <w:rPr>
                <w:rFonts w:ascii="宋体" w:hAnsi="宋体" w:eastAsia="宋体" w:cs="宋体"/>
                <w:szCs w:val="21"/>
              </w:rPr>
            </w:pPr>
            <w:r>
              <w:rPr>
                <w:rFonts w:hint="eastAsia" w:ascii="宋体" w:hAnsi="宋体" w:eastAsia="宋体" w:cs="宋体"/>
                <w:szCs w:val="21"/>
              </w:rPr>
              <w:t>合同编号</w:t>
            </w:r>
          </w:p>
        </w:tc>
        <w:tc>
          <w:tcPr>
            <w:tcW w:w="1003" w:type="dxa"/>
            <w:vAlign w:val="center"/>
          </w:tcPr>
          <w:p w14:paraId="6974F354">
            <w:pPr>
              <w:spacing w:before="124" w:beforeLines="40" w:after="124" w:afterLines="40"/>
              <w:jc w:val="center"/>
              <w:rPr>
                <w:rFonts w:ascii="宋体" w:hAnsi="宋体" w:eastAsia="宋体" w:cs="宋体"/>
                <w:szCs w:val="21"/>
              </w:rPr>
            </w:pPr>
            <w:r>
              <w:rPr>
                <w:rFonts w:hint="eastAsia" w:ascii="宋体" w:hAnsi="宋体" w:eastAsia="宋体" w:cs="宋体"/>
                <w:szCs w:val="21"/>
              </w:rPr>
              <w:t>合同签订时间</w:t>
            </w:r>
          </w:p>
        </w:tc>
        <w:tc>
          <w:tcPr>
            <w:tcW w:w="913" w:type="dxa"/>
            <w:vAlign w:val="center"/>
          </w:tcPr>
          <w:p w14:paraId="2902B4F8">
            <w:pPr>
              <w:spacing w:before="124" w:beforeLines="40" w:after="124" w:afterLines="40"/>
              <w:jc w:val="center"/>
              <w:rPr>
                <w:rFonts w:ascii="宋体" w:hAnsi="宋体" w:eastAsia="宋体" w:cs="宋体"/>
                <w:szCs w:val="21"/>
              </w:rPr>
            </w:pPr>
            <w:r>
              <w:rPr>
                <w:rFonts w:hint="eastAsia" w:ascii="宋体" w:hAnsi="宋体" w:eastAsia="宋体" w:cs="宋体"/>
                <w:szCs w:val="21"/>
              </w:rPr>
              <w:t>采购内容</w:t>
            </w:r>
          </w:p>
        </w:tc>
        <w:tc>
          <w:tcPr>
            <w:tcW w:w="731" w:type="dxa"/>
            <w:vAlign w:val="center"/>
          </w:tcPr>
          <w:p w14:paraId="6963FD04">
            <w:pPr>
              <w:spacing w:before="124" w:beforeLines="40" w:after="124" w:afterLines="40"/>
              <w:jc w:val="center"/>
              <w:rPr>
                <w:rFonts w:ascii="宋体" w:hAnsi="宋体" w:eastAsia="宋体" w:cs="宋体"/>
                <w:szCs w:val="21"/>
              </w:rPr>
            </w:pPr>
            <w:r>
              <w:rPr>
                <w:rFonts w:hint="eastAsia" w:ascii="宋体" w:hAnsi="宋体" w:eastAsia="宋体" w:cs="宋体"/>
                <w:szCs w:val="21"/>
              </w:rPr>
              <w:t>合同金额（万元）</w:t>
            </w:r>
          </w:p>
        </w:tc>
        <w:tc>
          <w:tcPr>
            <w:tcW w:w="913" w:type="dxa"/>
            <w:vAlign w:val="center"/>
          </w:tcPr>
          <w:p w14:paraId="0619CDC5">
            <w:pPr>
              <w:spacing w:before="124" w:beforeLines="40" w:after="124" w:afterLines="40"/>
              <w:jc w:val="center"/>
              <w:rPr>
                <w:rFonts w:ascii="宋体" w:hAnsi="宋体" w:eastAsia="宋体" w:cs="宋体"/>
                <w:szCs w:val="21"/>
              </w:rPr>
            </w:pPr>
            <w:r>
              <w:rPr>
                <w:rFonts w:hint="eastAsia" w:ascii="宋体" w:hAnsi="宋体" w:eastAsia="宋体" w:cs="宋体"/>
                <w:szCs w:val="21"/>
              </w:rPr>
              <w:t>合同卖方</w:t>
            </w:r>
          </w:p>
        </w:tc>
        <w:tc>
          <w:tcPr>
            <w:tcW w:w="913" w:type="dxa"/>
            <w:vAlign w:val="center"/>
          </w:tcPr>
          <w:p w14:paraId="09F6CD8F">
            <w:pPr>
              <w:spacing w:before="124" w:beforeLines="40" w:after="124" w:afterLines="40"/>
              <w:jc w:val="center"/>
              <w:rPr>
                <w:rFonts w:ascii="宋体" w:hAnsi="宋体" w:eastAsia="宋体" w:cs="宋体"/>
                <w:szCs w:val="21"/>
              </w:rPr>
            </w:pPr>
            <w:r>
              <w:rPr>
                <w:rFonts w:hint="eastAsia" w:ascii="宋体" w:hAnsi="宋体" w:eastAsia="宋体" w:cs="宋体"/>
                <w:szCs w:val="21"/>
              </w:rPr>
              <w:t>合同买方</w:t>
            </w:r>
          </w:p>
        </w:tc>
        <w:tc>
          <w:tcPr>
            <w:tcW w:w="1005" w:type="dxa"/>
            <w:vAlign w:val="center"/>
          </w:tcPr>
          <w:p w14:paraId="31488A53">
            <w:pPr>
              <w:spacing w:before="124" w:beforeLines="40" w:after="124" w:afterLines="40"/>
              <w:jc w:val="center"/>
              <w:rPr>
                <w:rFonts w:ascii="宋体" w:hAnsi="宋体" w:eastAsia="宋体" w:cs="宋体"/>
                <w:szCs w:val="21"/>
              </w:rPr>
            </w:pPr>
            <w:r>
              <w:rPr>
                <w:rFonts w:hint="eastAsia" w:ascii="宋体" w:hAnsi="宋体" w:eastAsia="宋体" w:cs="宋体"/>
                <w:szCs w:val="21"/>
              </w:rPr>
              <w:t>合同买方联系人及联系电话</w:t>
            </w:r>
          </w:p>
        </w:tc>
        <w:tc>
          <w:tcPr>
            <w:tcW w:w="697" w:type="dxa"/>
            <w:vAlign w:val="center"/>
          </w:tcPr>
          <w:p w14:paraId="23379AD3">
            <w:pPr>
              <w:spacing w:before="124" w:beforeLines="40" w:after="124" w:afterLines="40"/>
              <w:jc w:val="center"/>
              <w:rPr>
                <w:rFonts w:ascii="宋体" w:hAnsi="宋体" w:eastAsia="宋体" w:cs="宋体"/>
                <w:szCs w:val="21"/>
              </w:rPr>
            </w:pPr>
            <w:r>
              <w:rPr>
                <w:rFonts w:hint="eastAsia" w:ascii="宋体" w:hAnsi="宋体" w:eastAsia="宋体" w:cs="宋体"/>
                <w:szCs w:val="21"/>
              </w:rPr>
              <w:t>备注</w:t>
            </w:r>
          </w:p>
        </w:tc>
      </w:tr>
      <w:tr w14:paraId="0BC343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14:paraId="2CB95A65">
            <w:pPr>
              <w:spacing w:before="124" w:beforeLines="40" w:after="124" w:afterLines="40"/>
              <w:jc w:val="center"/>
              <w:rPr>
                <w:rFonts w:ascii="宋体" w:hAnsi="宋体" w:eastAsia="宋体" w:cs="宋体"/>
                <w:szCs w:val="21"/>
              </w:rPr>
            </w:pPr>
          </w:p>
        </w:tc>
        <w:tc>
          <w:tcPr>
            <w:tcW w:w="1095" w:type="dxa"/>
          </w:tcPr>
          <w:p w14:paraId="38B36889">
            <w:pPr>
              <w:spacing w:before="124" w:beforeLines="40" w:after="124" w:afterLines="40"/>
              <w:jc w:val="center"/>
              <w:rPr>
                <w:rFonts w:ascii="宋体" w:hAnsi="宋体" w:eastAsia="宋体" w:cs="宋体"/>
                <w:szCs w:val="21"/>
              </w:rPr>
            </w:pPr>
          </w:p>
        </w:tc>
        <w:tc>
          <w:tcPr>
            <w:tcW w:w="1095" w:type="dxa"/>
          </w:tcPr>
          <w:p w14:paraId="7A9966AC">
            <w:pPr>
              <w:spacing w:before="124" w:beforeLines="40" w:after="124" w:afterLines="40"/>
              <w:jc w:val="center"/>
              <w:rPr>
                <w:rFonts w:ascii="宋体" w:hAnsi="宋体" w:eastAsia="宋体" w:cs="宋体"/>
                <w:szCs w:val="21"/>
              </w:rPr>
            </w:pPr>
          </w:p>
        </w:tc>
        <w:tc>
          <w:tcPr>
            <w:tcW w:w="1003" w:type="dxa"/>
          </w:tcPr>
          <w:p w14:paraId="06D4A0C4">
            <w:pPr>
              <w:spacing w:before="124" w:beforeLines="40" w:after="124" w:afterLines="40"/>
              <w:jc w:val="center"/>
              <w:rPr>
                <w:rFonts w:ascii="宋体" w:hAnsi="宋体" w:eastAsia="宋体" w:cs="宋体"/>
                <w:szCs w:val="21"/>
              </w:rPr>
            </w:pPr>
          </w:p>
        </w:tc>
        <w:tc>
          <w:tcPr>
            <w:tcW w:w="913" w:type="dxa"/>
          </w:tcPr>
          <w:p w14:paraId="26EDABC1">
            <w:pPr>
              <w:spacing w:before="124" w:beforeLines="40" w:after="124" w:afterLines="40"/>
              <w:jc w:val="center"/>
              <w:rPr>
                <w:rFonts w:ascii="宋体" w:hAnsi="宋体" w:eastAsia="宋体" w:cs="宋体"/>
                <w:szCs w:val="21"/>
              </w:rPr>
            </w:pPr>
          </w:p>
        </w:tc>
        <w:tc>
          <w:tcPr>
            <w:tcW w:w="731" w:type="dxa"/>
          </w:tcPr>
          <w:p w14:paraId="4CD42A04">
            <w:pPr>
              <w:spacing w:before="124" w:beforeLines="40" w:after="124" w:afterLines="40"/>
              <w:jc w:val="center"/>
              <w:rPr>
                <w:rFonts w:ascii="宋体" w:hAnsi="宋体" w:eastAsia="宋体" w:cs="宋体"/>
                <w:szCs w:val="21"/>
              </w:rPr>
            </w:pPr>
          </w:p>
        </w:tc>
        <w:tc>
          <w:tcPr>
            <w:tcW w:w="913" w:type="dxa"/>
          </w:tcPr>
          <w:p w14:paraId="65F1FA55">
            <w:pPr>
              <w:spacing w:before="124" w:beforeLines="40" w:after="124" w:afterLines="40"/>
              <w:jc w:val="center"/>
              <w:rPr>
                <w:rFonts w:ascii="宋体" w:hAnsi="宋体" w:eastAsia="宋体" w:cs="宋体"/>
                <w:szCs w:val="21"/>
              </w:rPr>
            </w:pPr>
          </w:p>
        </w:tc>
        <w:tc>
          <w:tcPr>
            <w:tcW w:w="913" w:type="dxa"/>
          </w:tcPr>
          <w:p w14:paraId="09C3B34D">
            <w:pPr>
              <w:spacing w:before="124" w:beforeLines="40" w:after="124" w:afterLines="40"/>
              <w:jc w:val="center"/>
              <w:rPr>
                <w:rFonts w:ascii="宋体" w:hAnsi="宋体" w:eastAsia="宋体" w:cs="宋体"/>
                <w:szCs w:val="21"/>
              </w:rPr>
            </w:pPr>
          </w:p>
        </w:tc>
        <w:tc>
          <w:tcPr>
            <w:tcW w:w="1005" w:type="dxa"/>
          </w:tcPr>
          <w:p w14:paraId="038F7C44">
            <w:pPr>
              <w:spacing w:before="124" w:beforeLines="40" w:after="124" w:afterLines="40"/>
              <w:jc w:val="center"/>
              <w:rPr>
                <w:rFonts w:ascii="宋体" w:hAnsi="宋体" w:eastAsia="宋体" w:cs="宋体"/>
                <w:szCs w:val="21"/>
              </w:rPr>
            </w:pPr>
          </w:p>
        </w:tc>
        <w:tc>
          <w:tcPr>
            <w:tcW w:w="697" w:type="dxa"/>
          </w:tcPr>
          <w:p w14:paraId="76D62A1C">
            <w:pPr>
              <w:spacing w:before="124" w:beforeLines="40" w:after="124" w:afterLines="40"/>
              <w:jc w:val="center"/>
              <w:rPr>
                <w:rFonts w:ascii="宋体" w:hAnsi="宋体" w:eastAsia="宋体" w:cs="宋体"/>
                <w:szCs w:val="21"/>
              </w:rPr>
            </w:pPr>
          </w:p>
        </w:tc>
      </w:tr>
      <w:tr w14:paraId="72EDA5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14:paraId="144C1ED3">
            <w:pPr>
              <w:spacing w:before="124" w:beforeLines="40" w:after="124" w:afterLines="40"/>
              <w:jc w:val="center"/>
              <w:rPr>
                <w:rFonts w:ascii="宋体" w:hAnsi="宋体" w:eastAsia="宋体" w:cs="宋体"/>
                <w:szCs w:val="21"/>
              </w:rPr>
            </w:pPr>
          </w:p>
        </w:tc>
        <w:tc>
          <w:tcPr>
            <w:tcW w:w="1095" w:type="dxa"/>
          </w:tcPr>
          <w:p w14:paraId="456BE189">
            <w:pPr>
              <w:spacing w:before="124" w:beforeLines="40" w:after="124" w:afterLines="40"/>
              <w:jc w:val="center"/>
              <w:rPr>
                <w:rFonts w:ascii="宋体" w:hAnsi="宋体" w:eastAsia="宋体" w:cs="宋体"/>
                <w:szCs w:val="21"/>
              </w:rPr>
            </w:pPr>
          </w:p>
        </w:tc>
        <w:tc>
          <w:tcPr>
            <w:tcW w:w="1095" w:type="dxa"/>
          </w:tcPr>
          <w:p w14:paraId="1C133C07">
            <w:pPr>
              <w:spacing w:before="124" w:beforeLines="40" w:after="124" w:afterLines="40"/>
              <w:jc w:val="center"/>
              <w:rPr>
                <w:rFonts w:ascii="宋体" w:hAnsi="宋体" w:eastAsia="宋体" w:cs="宋体"/>
                <w:szCs w:val="21"/>
              </w:rPr>
            </w:pPr>
          </w:p>
        </w:tc>
        <w:tc>
          <w:tcPr>
            <w:tcW w:w="1003" w:type="dxa"/>
          </w:tcPr>
          <w:p w14:paraId="7AB2374A">
            <w:pPr>
              <w:spacing w:before="124" w:beforeLines="40" w:after="124" w:afterLines="40"/>
              <w:jc w:val="center"/>
              <w:rPr>
                <w:rFonts w:ascii="宋体" w:hAnsi="宋体" w:eastAsia="宋体" w:cs="宋体"/>
                <w:szCs w:val="21"/>
              </w:rPr>
            </w:pPr>
          </w:p>
        </w:tc>
        <w:tc>
          <w:tcPr>
            <w:tcW w:w="913" w:type="dxa"/>
          </w:tcPr>
          <w:p w14:paraId="6BF8A2CF">
            <w:pPr>
              <w:spacing w:before="124" w:beforeLines="40" w:after="124" w:afterLines="40"/>
              <w:jc w:val="center"/>
              <w:rPr>
                <w:rFonts w:ascii="宋体" w:hAnsi="宋体" w:eastAsia="宋体" w:cs="宋体"/>
                <w:szCs w:val="21"/>
              </w:rPr>
            </w:pPr>
          </w:p>
        </w:tc>
        <w:tc>
          <w:tcPr>
            <w:tcW w:w="731" w:type="dxa"/>
          </w:tcPr>
          <w:p w14:paraId="099EC0B8">
            <w:pPr>
              <w:spacing w:before="124" w:beforeLines="40" w:after="124" w:afterLines="40"/>
              <w:jc w:val="center"/>
              <w:rPr>
                <w:rFonts w:ascii="宋体" w:hAnsi="宋体" w:eastAsia="宋体" w:cs="宋体"/>
                <w:szCs w:val="21"/>
              </w:rPr>
            </w:pPr>
          </w:p>
        </w:tc>
        <w:tc>
          <w:tcPr>
            <w:tcW w:w="913" w:type="dxa"/>
          </w:tcPr>
          <w:p w14:paraId="2F9CE1A7">
            <w:pPr>
              <w:spacing w:before="124" w:beforeLines="40" w:after="124" w:afterLines="40"/>
              <w:jc w:val="center"/>
              <w:rPr>
                <w:rFonts w:ascii="宋体" w:hAnsi="宋体" w:eastAsia="宋体" w:cs="宋体"/>
                <w:szCs w:val="21"/>
              </w:rPr>
            </w:pPr>
          </w:p>
        </w:tc>
        <w:tc>
          <w:tcPr>
            <w:tcW w:w="913" w:type="dxa"/>
          </w:tcPr>
          <w:p w14:paraId="0CD6FC37">
            <w:pPr>
              <w:spacing w:before="124" w:beforeLines="40" w:after="124" w:afterLines="40"/>
              <w:jc w:val="center"/>
              <w:rPr>
                <w:rFonts w:ascii="宋体" w:hAnsi="宋体" w:eastAsia="宋体" w:cs="宋体"/>
                <w:szCs w:val="21"/>
              </w:rPr>
            </w:pPr>
          </w:p>
        </w:tc>
        <w:tc>
          <w:tcPr>
            <w:tcW w:w="1005" w:type="dxa"/>
          </w:tcPr>
          <w:p w14:paraId="76147E88">
            <w:pPr>
              <w:spacing w:before="124" w:beforeLines="40" w:after="124" w:afterLines="40"/>
              <w:jc w:val="center"/>
              <w:rPr>
                <w:rFonts w:ascii="宋体" w:hAnsi="宋体" w:eastAsia="宋体" w:cs="宋体"/>
                <w:szCs w:val="21"/>
              </w:rPr>
            </w:pPr>
          </w:p>
        </w:tc>
        <w:tc>
          <w:tcPr>
            <w:tcW w:w="697" w:type="dxa"/>
          </w:tcPr>
          <w:p w14:paraId="03F9C085">
            <w:pPr>
              <w:spacing w:before="124" w:beforeLines="40" w:after="124" w:afterLines="40"/>
              <w:jc w:val="center"/>
              <w:rPr>
                <w:rFonts w:ascii="宋体" w:hAnsi="宋体" w:eastAsia="宋体" w:cs="宋体"/>
                <w:szCs w:val="21"/>
              </w:rPr>
            </w:pPr>
          </w:p>
        </w:tc>
      </w:tr>
      <w:tr w14:paraId="61F441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14:paraId="26D89731">
            <w:pPr>
              <w:spacing w:before="124" w:beforeLines="40" w:after="124" w:afterLines="40"/>
              <w:jc w:val="center"/>
              <w:rPr>
                <w:rFonts w:ascii="宋体" w:hAnsi="宋体" w:eastAsia="宋体" w:cs="宋体"/>
                <w:szCs w:val="21"/>
              </w:rPr>
            </w:pPr>
          </w:p>
        </w:tc>
        <w:tc>
          <w:tcPr>
            <w:tcW w:w="1095" w:type="dxa"/>
          </w:tcPr>
          <w:p w14:paraId="652A389A">
            <w:pPr>
              <w:spacing w:before="124" w:beforeLines="40" w:after="124" w:afterLines="40"/>
              <w:jc w:val="center"/>
              <w:rPr>
                <w:rFonts w:ascii="宋体" w:hAnsi="宋体" w:eastAsia="宋体" w:cs="宋体"/>
                <w:szCs w:val="21"/>
              </w:rPr>
            </w:pPr>
          </w:p>
        </w:tc>
        <w:tc>
          <w:tcPr>
            <w:tcW w:w="1095" w:type="dxa"/>
          </w:tcPr>
          <w:p w14:paraId="1334972B">
            <w:pPr>
              <w:spacing w:before="124" w:beforeLines="40" w:after="124" w:afterLines="40"/>
              <w:jc w:val="center"/>
              <w:rPr>
                <w:rFonts w:ascii="宋体" w:hAnsi="宋体" w:eastAsia="宋体" w:cs="宋体"/>
                <w:szCs w:val="21"/>
              </w:rPr>
            </w:pPr>
          </w:p>
        </w:tc>
        <w:tc>
          <w:tcPr>
            <w:tcW w:w="1003" w:type="dxa"/>
          </w:tcPr>
          <w:p w14:paraId="2671F53C">
            <w:pPr>
              <w:spacing w:before="124" w:beforeLines="40" w:after="124" w:afterLines="40"/>
              <w:jc w:val="center"/>
              <w:rPr>
                <w:rFonts w:ascii="宋体" w:hAnsi="宋体" w:eastAsia="宋体" w:cs="宋体"/>
                <w:szCs w:val="21"/>
              </w:rPr>
            </w:pPr>
          </w:p>
        </w:tc>
        <w:tc>
          <w:tcPr>
            <w:tcW w:w="913" w:type="dxa"/>
          </w:tcPr>
          <w:p w14:paraId="2970E681">
            <w:pPr>
              <w:spacing w:before="124" w:beforeLines="40" w:after="124" w:afterLines="40"/>
              <w:jc w:val="center"/>
              <w:rPr>
                <w:rFonts w:ascii="宋体" w:hAnsi="宋体" w:eastAsia="宋体" w:cs="宋体"/>
                <w:szCs w:val="21"/>
              </w:rPr>
            </w:pPr>
          </w:p>
        </w:tc>
        <w:tc>
          <w:tcPr>
            <w:tcW w:w="731" w:type="dxa"/>
          </w:tcPr>
          <w:p w14:paraId="24C332FC">
            <w:pPr>
              <w:spacing w:before="124" w:beforeLines="40" w:after="124" w:afterLines="40"/>
              <w:jc w:val="center"/>
              <w:rPr>
                <w:rFonts w:ascii="宋体" w:hAnsi="宋体" w:eastAsia="宋体" w:cs="宋体"/>
                <w:szCs w:val="21"/>
              </w:rPr>
            </w:pPr>
          </w:p>
        </w:tc>
        <w:tc>
          <w:tcPr>
            <w:tcW w:w="913" w:type="dxa"/>
          </w:tcPr>
          <w:p w14:paraId="2937C4C8">
            <w:pPr>
              <w:spacing w:before="124" w:beforeLines="40" w:after="124" w:afterLines="40"/>
              <w:jc w:val="center"/>
              <w:rPr>
                <w:rFonts w:ascii="宋体" w:hAnsi="宋体" w:eastAsia="宋体" w:cs="宋体"/>
                <w:szCs w:val="21"/>
              </w:rPr>
            </w:pPr>
          </w:p>
        </w:tc>
        <w:tc>
          <w:tcPr>
            <w:tcW w:w="913" w:type="dxa"/>
          </w:tcPr>
          <w:p w14:paraId="78B0F281">
            <w:pPr>
              <w:spacing w:before="124" w:beforeLines="40" w:after="124" w:afterLines="40"/>
              <w:jc w:val="center"/>
              <w:rPr>
                <w:rFonts w:ascii="宋体" w:hAnsi="宋体" w:eastAsia="宋体" w:cs="宋体"/>
                <w:szCs w:val="21"/>
              </w:rPr>
            </w:pPr>
          </w:p>
        </w:tc>
        <w:tc>
          <w:tcPr>
            <w:tcW w:w="1005" w:type="dxa"/>
          </w:tcPr>
          <w:p w14:paraId="4B8C5DCD">
            <w:pPr>
              <w:spacing w:before="124" w:beforeLines="40" w:after="124" w:afterLines="40"/>
              <w:jc w:val="center"/>
              <w:rPr>
                <w:rFonts w:ascii="宋体" w:hAnsi="宋体" w:eastAsia="宋体" w:cs="宋体"/>
                <w:szCs w:val="21"/>
              </w:rPr>
            </w:pPr>
          </w:p>
        </w:tc>
        <w:tc>
          <w:tcPr>
            <w:tcW w:w="697" w:type="dxa"/>
          </w:tcPr>
          <w:p w14:paraId="0CAC69C4">
            <w:pPr>
              <w:spacing w:before="124" w:beforeLines="40" w:after="124" w:afterLines="40"/>
              <w:jc w:val="center"/>
              <w:rPr>
                <w:rFonts w:ascii="宋体" w:hAnsi="宋体" w:eastAsia="宋体" w:cs="宋体"/>
                <w:szCs w:val="21"/>
              </w:rPr>
            </w:pPr>
          </w:p>
        </w:tc>
      </w:tr>
      <w:tr w14:paraId="23088B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475" w:type="dxa"/>
            <w:gridSpan w:val="6"/>
            <w:vAlign w:val="center"/>
          </w:tcPr>
          <w:p w14:paraId="0B85D643">
            <w:pPr>
              <w:spacing w:before="124" w:beforeLines="40" w:after="124" w:afterLines="40"/>
              <w:jc w:val="center"/>
              <w:rPr>
                <w:rFonts w:ascii="宋体" w:hAnsi="宋体" w:eastAsia="宋体" w:cs="宋体"/>
                <w:szCs w:val="21"/>
              </w:rPr>
            </w:pPr>
            <w:r>
              <w:rPr>
                <w:rFonts w:hint="eastAsia" w:ascii="宋体" w:hAnsi="宋体" w:eastAsia="宋体" w:cs="宋体"/>
                <w:szCs w:val="21"/>
              </w:rPr>
              <w:t>合同金额合计：</w:t>
            </w:r>
          </w:p>
        </w:tc>
        <w:tc>
          <w:tcPr>
            <w:tcW w:w="3528" w:type="dxa"/>
            <w:gridSpan w:val="4"/>
            <w:vAlign w:val="center"/>
          </w:tcPr>
          <w:p w14:paraId="4347D721">
            <w:pPr>
              <w:spacing w:before="124" w:beforeLines="40" w:after="124" w:afterLines="40"/>
              <w:jc w:val="center"/>
              <w:rPr>
                <w:rFonts w:ascii="宋体" w:hAnsi="宋体" w:eastAsia="宋体" w:cs="宋体"/>
                <w:szCs w:val="21"/>
                <w:u w:val="single"/>
              </w:rPr>
            </w:pPr>
            <w:r>
              <w:rPr>
                <w:rFonts w:hint="eastAsia" w:ascii="宋体" w:hAnsi="宋体" w:eastAsia="宋体" w:cs="宋体"/>
                <w:szCs w:val="21"/>
              </w:rPr>
              <w:t>人民币</w:t>
            </w:r>
            <w:r>
              <w:rPr>
                <w:rFonts w:hint="eastAsia" w:ascii="宋体" w:hAnsi="宋体" w:eastAsia="宋体" w:cs="宋体"/>
                <w:szCs w:val="21"/>
                <w:u w:val="single"/>
              </w:rPr>
              <w:t xml:space="preserve">        </w:t>
            </w:r>
            <w:r>
              <w:rPr>
                <w:rFonts w:hint="eastAsia" w:ascii="宋体" w:hAnsi="宋体" w:eastAsia="宋体" w:cs="宋体"/>
                <w:szCs w:val="21"/>
              </w:rPr>
              <w:t>万元</w:t>
            </w:r>
          </w:p>
        </w:tc>
      </w:tr>
    </w:tbl>
    <w:p w14:paraId="2333B93C">
      <w:pPr>
        <w:pStyle w:val="47"/>
        <w:ind w:left="315" w:hanging="315" w:hangingChars="150"/>
        <w:rPr>
          <w:rFonts w:ascii="宋体" w:hAnsi="宋体" w:cs="宋体"/>
          <w:sz w:val="21"/>
        </w:rPr>
      </w:pPr>
      <w:r>
        <w:rPr>
          <w:rFonts w:hint="eastAsia" w:ascii="宋体" w:hAnsi="宋体" w:cs="宋体"/>
          <w:sz w:val="21"/>
        </w:rPr>
        <w:t>注：若本项目对投标人业绩有要求，投标人应当如实填写本表并根据评分标准中的相关要求在本表后附相关合同关键页（须包括合同名称、服务内容、实施时间、合同金额、合同签字盖章页，如果提供的是框架合同，需提供对应框架合同结算的订单或结算单据）的复印件（加盖公章）或者其他相关证明材料。</w:t>
      </w:r>
    </w:p>
    <w:p w14:paraId="126DB58D">
      <w:pPr>
        <w:spacing w:line="360" w:lineRule="auto"/>
        <w:rPr>
          <w:rFonts w:ascii="宋体" w:hAnsi="宋体" w:eastAsia="宋体" w:cs="宋体"/>
          <w:szCs w:val="21"/>
          <w:u w:color="FF0000"/>
        </w:rPr>
      </w:pPr>
    </w:p>
    <w:p w14:paraId="4B569912">
      <w:pPr>
        <w:spacing w:line="360" w:lineRule="auto"/>
        <w:rPr>
          <w:rFonts w:ascii="宋体" w:hAnsi="宋体" w:eastAsia="宋体" w:cs="宋体"/>
          <w:szCs w:val="21"/>
          <w:u w:color="FF0000"/>
        </w:rPr>
      </w:pPr>
    </w:p>
    <w:p w14:paraId="74560519">
      <w:pPr>
        <w:jc w:val="left"/>
        <w:rPr>
          <w:rFonts w:ascii="宋体" w:hAnsi="宋体" w:eastAsia="宋体" w:cs="宋体"/>
          <w:sz w:val="24"/>
          <w:szCs w:val="24"/>
          <w:u w:color="000000"/>
        </w:rPr>
      </w:pPr>
      <w:r>
        <w:rPr>
          <w:rFonts w:hint="eastAsia" w:ascii="宋体" w:hAnsi="宋体" w:eastAsia="宋体" w:cs="宋体"/>
          <w:sz w:val="24"/>
          <w:szCs w:val="24"/>
          <w:u w:color="000000"/>
        </w:rPr>
        <w:br w:type="page"/>
      </w:r>
    </w:p>
    <w:p w14:paraId="1A0CBBEB">
      <w:pPr>
        <w:tabs>
          <w:tab w:val="left" w:pos="576"/>
        </w:tabs>
        <w:spacing w:before="156" w:beforeLines="50" w:after="156" w:afterLines="50" w:line="360" w:lineRule="auto"/>
        <w:outlineLvl w:val="2"/>
        <w:rPr>
          <w:rFonts w:ascii="宋体" w:hAnsi="宋体" w:eastAsia="宋体" w:cs="宋体"/>
          <w:sz w:val="24"/>
          <w:szCs w:val="24"/>
          <w:u w:color="000000"/>
        </w:rPr>
      </w:pPr>
      <w:bookmarkStart w:id="45" w:name="_Toc21283"/>
      <w:r>
        <w:rPr>
          <w:rFonts w:hint="eastAsia" w:ascii="宋体" w:hAnsi="宋体" w:eastAsia="宋体" w:cs="宋体"/>
          <w:sz w:val="24"/>
          <w:szCs w:val="24"/>
          <w:u w:color="000000"/>
        </w:rPr>
        <w:t>6.9 技术方案</w:t>
      </w:r>
      <w:bookmarkEnd w:id="45"/>
    </w:p>
    <w:p w14:paraId="2440EAA5">
      <w:pPr>
        <w:spacing w:line="360" w:lineRule="auto"/>
        <w:ind w:firstLine="480" w:firstLineChars="200"/>
        <w:rPr>
          <w:rFonts w:ascii="宋体" w:hAnsi="宋体" w:eastAsia="宋体" w:cs="宋体"/>
          <w:sz w:val="24"/>
          <w:szCs w:val="24"/>
          <w:u w:color="FF0000"/>
        </w:rPr>
      </w:pPr>
    </w:p>
    <w:p w14:paraId="158392D0">
      <w:pPr>
        <w:widowControl/>
        <w:jc w:val="left"/>
        <w:rPr>
          <w:rFonts w:ascii="宋体" w:hAnsi="宋体" w:eastAsia="宋体" w:cs="宋体"/>
          <w:sz w:val="24"/>
          <w:szCs w:val="24"/>
          <w:u w:color="000000"/>
        </w:rPr>
      </w:pPr>
      <w:r>
        <w:rPr>
          <w:rFonts w:hint="eastAsia" w:ascii="宋体" w:hAnsi="宋体" w:eastAsia="宋体" w:cs="宋体"/>
          <w:sz w:val="24"/>
          <w:szCs w:val="24"/>
          <w:u w:color="000000"/>
        </w:rPr>
        <w:br w:type="page"/>
      </w:r>
    </w:p>
    <w:p w14:paraId="5413D32E">
      <w:pPr>
        <w:tabs>
          <w:tab w:val="left" w:pos="576"/>
        </w:tabs>
        <w:spacing w:before="156" w:beforeLines="50" w:after="156" w:afterLines="50" w:line="360" w:lineRule="auto"/>
        <w:outlineLvl w:val="2"/>
        <w:rPr>
          <w:rFonts w:ascii="宋体" w:hAnsi="宋体" w:eastAsia="宋体" w:cs="宋体"/>
          <w:sz w:val="24"/>
          <w:szCs w:val="24"/>
          <w:u w:color="000000"/>
        </w:rPr>
      </w:pPr>
      <w:bookmarkStart w:id="46" w:name="_Toc8056"/>
      <w:bookmarkStart w:id="47" w:name="_Toc11859499"/>
      <w:r>
        <w:rPr>
          <w:rFonts w:hint="eastAsia" w:ascii="宋体" w:hAnsi="宋体" w:eastAsia="宋体" w:cs="宋体"/>
          <w:sz w:val="24"/>
          <w:szCs w:val="24"/>
          <w:u w:color="000000"/>
        </w:rPr>
        <w:t>6.10 投标人其它声明及材料</w:t>
      </w:r>
      <w:bookmarkEnd w:id="46"/>
      <w:bookmarkEnd w:id="47"/>
    </w:p>
    <w:p w14:paraId="567C862E">
      <w:pPr>
        <w:spacing w:before="156" w:beforeLines="50" w:after="156" w:afterLines="50" w:line="360" w:lineRule="auto"/>
        <w:jc w:val="center"/>
        <w:rPr>
          <w:rFonts w:ascii="宋体" w:hAnsi="宋体" w:eastAsia="宋体" w:cs="宋体"/>
          <w:sz w:val="28"/>
          <w:szCs w:val="28"/>
        </w:rPr>
      </w:pPr>
      <w:r>
        <w:rPr>
          <w:rFonts w:hint="eastAsia" w:ascii="宋体" w:hAnsi="宋体" w:eastAsia="宋体" w:cs="宋体"/>
          <w:sz w:val="28"/>
          <w:szCs w:val="28"/>
        </w:rPr>
        <w:t>投标人信息一览表</w:t>
      </w:r>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446"/>
        <w:gridCol w:w="2447"/>
        <w:gridCol w:w="2446"/>
      </w:tblGrid>
      <w:tr w14:paraId="7038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64" w:type="dxa"/>
            <w:shd w:val="clear" w:color="auto" w:fill="auto"/>
            <w:vAlign w:val="center"/>
          </w:tcPr>
          <w:p w14:paraId="74999EC1">
            <w:pPr>
              <w:spacing w:line="440" w:lineRule="exact"/>
              <w:jc w:val="center"/>
              <w:rPr>
                <w:rFonts w:ascii="宋体" w:hAnsi="宋体" w:eastAsia="宋体" w:cs="宋体"/>
                <w:sz w:val="24"/>
                <w:szCs w:val="24"/>
              </w:rPr>
            </w:pPr>
            <w:r>
              <w:rPr>
                <w:rFonts w:hint="eastAsia" w:ascii="宋体" w:hAnsi="宋体" w:eastAsia="宋体" w:cs="宋体"/>
                <w:sz w:val="24"/>
                <w:szCs w:val="24"/>
              </w:rPr>
              <w:t>投标人名称</w:t>
            </w:r>
          </w:p>
          <w:p w14:paraId="788932C5">
            <w:pPr>
              <w:spacing w:line="440" w:lineRule="exact"/>
              <w:jc w:val="center"/>
              <w:rPr>
                <w:rFonts w:ascii="宋体" w:hAnsi="宋体" w:eastAsia="宋体" w:cs="宋体"/>
                <w:sz w:val="24"/>
                <w:szCs w:val="24"/>
              </w:rPr>
            </w:pPr>
            <w:r>
              <w:rPr>
                <w:rFonts w:hint="eastAsia" w:ascii="宋体" w:hAnsi="宋体" w:eastAsia="宋体" w:cs="宋体"/>
                <w:sz w:val="24"/>
                <w:szCs w:val="24"/>
              </w:rPr>
              <w:t>（加盖公章）</w:t>
            </w:r>
          </w:p>
        </w:tc>
        <w:tc>
          <w:tcPr>
            <w:tcW w:w="7339" w:type="dxa"/>
            <w:gridSpan w:val="3"/>
            <w:shd w:val="clear" w:color="auto" w:fill="auto"/>
            <w:vAlign w:val="center"/>
          </w:tcPr>
          <w:p w14:paraId="3889A2BC">
            <w:pPr>
              <w:spacing w:line="440" w:lineRule="exact"/>
              <w:jc w:val="center"/>
              <w:rPr>
                <w:rFonts w:ascii="宋体" w:hAnsi="宋体" w:eastAsia="宋体" w:cs="宋体"/>
                <w:sz w:val="24"/>
                <w:szCs w:val="24"/>
              </w:rPr>
            </w:pPr>
          </w:p>
        </w:tc>
      </w:tr>
      <w:tr w14:paraId="1B5E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64" w:type="dxa"/>
            <w:shd w:val="clear" w:color="auto" w:fill="auto"/>
            <w:vAlign w:val="center"/>
          </w:tcPr>
          <w:p w14:paraId="29FD4380">
            <w:pPr>
              <w:spacing w:line="440" w:lineRule="exact"/>
              <w:jc w:val="center"/>
              <w:rPr>
                <w:rFonts w:ascii="宋体" w:hAnsi="宋体" w:eastAsia="宋体" w:cs="宋体"/>
                <w:sz w:val="24"/>
                <w:szCs w:val="24"/>
              </w:rPr>
            </w:pPr>
            <w:r>
              <w:rPr>
                <w:rFonts w:hint="eastAsia" w:ascii="宋体" w:hAnsi="宋体" w:eastAsia="宋体" w:cs="宋体"/>
                <w:sz w:val="24"/>
                <w:szCs w:val="24"/>
              </w:rPr>
              <w:t>注册地址</w:t>
            </w:r>
          </w:p>
        </w:tc>
        <w:tc>
          <w:tcPr>
            <w:tcW w:w="7339" w:type="dxa"/>
            <w:gridSpan w:val="3"/>
            <w:shd w:val="clear" w:color="auto" w:fill="auto"/>
            <w:vAlign w:val="center"/>
          </w:tcPr>
          <w:p w14:paraId="248AC38F">
            <w:pPr>
              <w:spacing w:line="440" w:lineRule="exact"/>
              <w:jc w:val="center"/>
              <w:rPr>
                <w:rFonts w:ascii="宋体" w:hAnsi="宋体" w:eastAsia="宋体" w:cs="宋体"/>
                <w:sz w:val="24"/>
                <w:szCs w:val="24"/>
              </w:rPr>
            </w:pPr>
          </w:p>
        </w:tc>
      </w:tr>
      <w:tr w14:paraId="69D3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664" w:type="dxa"/>
            <w:shd w:val="clear" w:color="auto" w:fill="auto"/>
            <w:vAlign w:val="center"/>
          </w:tcPr>
          <w:p w14:paraId="1298BF94">
            <w:pPr>
              <w:spacing w:line="440" w:lineRule="exact"/>
              <w:jc w:val="center"/>
              <w:rPr>
                <w:rFonts w:ascii="宋体" w:hAnsi="宋体" w:eastAsia="宋体" w:cs="宋体"/>
                <w:sz w:val="24"/>
                <w:szCs w:val="24"/>
              </w:rPr>
            </w:pPr>
            <w:r>
              <w:rPr>
                <w:rFonts w:hint="eastAsia" w:ascii="宋体" w:hAnsi="宋体" w:eastAsia="宋体" w:cs="宋体"/>
                <w:sz w:val="24"/>
                <w:szCs w:val="24"/>
              </w:rPr>
              <w:t>企业类型</w:t>
            </w:r>
          </w:p>
          <w:p w14:paraId="78E3D5F1">
            <w:pPr>
              <w:spacing w:line="440" w:lineRule="exact"/>
              <w:jc w:val="center"/>
              <w:rPr>
                <w:rFonts w:ascii="宋体" w:hAnsi="宋体" w:eastAsia="宋体" w:cs="宋体"/>
                <w:sz w:val="24"/>
                <w:szCs w:val="24"/>
              </w:rPr>
            </w:pPr>
            <w:r>
              <w:rPr>
                <w:rFonts w:hint="eastAsia" w:ascii="宋体" w:hAnsi="宋体" w:eastAsia="宋体" w:cs="宋体"/>
                <w:sz w:val="24"/>
                <w:szCs w:val="24"/>
              </w:rPr>
              <w:t>（请勾选）</w:t>
            </w:r>
          </w:p>
        </w:tc>
        <w:tc>
          <w:tcPr>
            <w:tcW w:w="7339" w:type="dxa"/>
            <w:gridSpan w:val="3"/>
            <w:shd w:val="clear" w:color="auto" w:fill="auto"/>
            <w:vAlign w:val="center"/>
          </w:tcPr>
          <w:p w14:paraId="44128D49">
            <w:pPr>
              <w:spacing w:line="440" w:lineRule="exact"/>
              <w:jc w:val="center"/>
              <w:rPr>
                <w:rFonts w:ascii="宋体" w:hAnsi="宋体" w:eastAsia="宋体" w:cs="宋体"/>
                <w:sz w:val="24"/>
                <w:szCs w:val="24"/>
              </w:rPr>
            </w:pPr>
            <w:r>
              <w:rPr>
                <w:rFonts w:hint="eastAsia" w:ascii="宋体" w:hAnsi="宋体" w:eastAsia="宋体" w:cs="宋体"/>
                <w:sz w:val="24"/>
                <w:szCs w:val="24"/>
              </w:rPr>
              <w:t>□大型企业  □中型企业  □小型企业  □微型企业</w:t>
            </w:r>
          </w:p>
        </w:tc>
      </w:tr>
      <w:tr w14:paraId="25B0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64" w:type="dxa"/>
            <w:shd w:val="clear" w:color="auto" w:fill="auto"/>
            <w:vAlign w:val="center"/>
          </w:tcPr>
          <w:p w14:paraId="47A9134D">
            <w:pPr>
              <w:spacing w:line="440" w:lineRule="exact"/>
              <w:jc w:val="center"/>
              <w:rPr>
                <w:rFonts w:ascii="宋体" w:hAnsi="宋体" w:eastAsia="宋体" w:cs="宋体"/>
                <w:sz w:val="24"/>
                <w:szCs w:val="24"/>
              </w:rPr>
            </w:pPr>
            <w:r>
              <w:rPr>
                <w:rFonts w:hint="eastAsia" w:ascii="宋体" w:hAnsi="宋体" w:eastAsia="宋体" w:cs="宋体"/>
                <w:sz w:val="24"/>
                <w:szCs w:val="24"/>
              </w:rPr>
              <w:t>所投产品属性</w:t>
            </w:r>
          </w:p>
          <w:p w14:paraId="71777BAE">
            <w:pPr>
              <w:spacing w:line="440" w:lineRule="exact"/>
              <w:jc w:val="center"/>
              <w:rPr>
                <w:rFonts w:ascii="宋体" w:hAnsi="宋体" w:eastAsia="宋体" w:cs="宋体"/>
                <w:sz w:val="24"/>
                <w:szCs w:val="24"/>
              </w:rPr>
            </w:pPr>
            <w:r>
              <w:rPr>
                <w:rFonts w:hint="eastAsia" w:ascii="宋体" w:hAnsi="宋体" w:eastAsia="宋体" w:cs="宋体"/>
                <w:sz w:val="24"/>
                <w:szCs w:val="24"/>
              </w:rPr>
              <w:t>（请勾选）</w:t>
            </w:r>
          </w:p>
        </w:tc>
        <w:tc>
          <w:tcPr>
            <w:tcW w:w="7339" w:type="dxa"/>
            <w:gridSpan w:val="3"/>
            <w:shd w:val="clear" w:color="auto" w:fill="auto"/>
            <w:vAlign w:val="center"/>
          </w:tcPr>
          <w:p w14:paraId="34FB4BA8">
            <w:pPr>
              <w:spacing w:line="440" w:lineRule="exact"/>
              <w:jc w:val="center"/>
              <w:rPr>
                <w:rFonts w:ascii="宋体" w:hAnsi="宋体" w:eastAsia="宋体" w:cs="宋体"/>
                <w:sz w:val="24"/>
                <w:szCs w:val="24"/>
              </w:rPr>
            </w:pPr>
            <w:r>
              <w:rPr>
                <w:rFonts w:hint="eastAsia" w:ascii="宋体" w:hAnsi="宋体" w:eastAsia="宋体" w:cs="宋体"/>
                <w:sz w:val="24"/>
                <w:szCs w:val="24"/>
              </w:rPr>
              <w:t>□节能  □节水  □环保  □节能环保  □节水环保</w:t>
            </w:r>
          </w:p>
          <w:p w14:paraId="41690AC8">
            <w:pPr>
              <w:spacing w:line="440" w:lineRule="exact"/>
              <w:jc w:val="center"/>
              <w:rPr>
                <w:rFonts w:ascii="宋体" w:hAnsi="宋体" w:eastAsia="宋体" w:cs="宋体"/>
                <w:sz w:val="24"/>
                <w:szCs w:val="24"/>
              </w:rPr>
            </w:pPr>
            <w:r>
              <w:rPr>
                <w:rFonts w:hint="eastAsia" w:ascii="宋体" w:hAnsi="宋体" w:eastAsia="宋体" w:cs="宋体"/>
                <w:sz w:val="24"/>
                <w:szCs w:val="24"/>
              </w:rPr>
              <w:t>□普通产品（即非节能节水环保产品）</w:t>
            </w:r>
          </w:p>
        </w:tc>
      </w:tr>
      <w:tr w14:paraId="5CC2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64" w:type="dxa"/>
            <w:shd w:val="clear" w:color="auto" w:fill="auto"/>
            <w:vAlign w:val="center"/>
          </w:tcPr>
          <w:p w14:paraId="59437447">
            <w:pPr>
              <w:spacing w:line="440" w:lineRule="exact"/>
              <w:jc w:val="center"/>
              <w:rPr>
                <w:rFonts w:ascii="宋体" w:hAnsi="宋体" w:eastAsia="宋体" w:cs="宋体"/>
                <w:sz w:val="24"/>
                <w:szCs w:val="24"/>
              </w:rPr>
            </w:pPr>
            <w:r>
              <w:rPr>
                <w:rFonts w:hint="eastAsia" w:ascii="宋体" w:hAnsi="宋体" w:eastAsia="宋体" w:cs="宋体"/>
                <w:sz w:val="24"/>
                <w:szCs w:val="24"/>
              </w:rPr>
              <w:t>授权代表姓名</w:t>
            </w:r>
          </w:p>
        </w:tc>
        <w:tc>
          <w:tcPr>
            <w:tcW w:w="2446" w:type="dxa"/>
            <w:shd w:val="clear" w:color="auto" w:fill="auto"/>
            <w:vAlign w:val="center"/>
          </w:tcPr>
          <w:p w14:paraId="63167AE8">
            <w:pPr>
              <w:spacing w:line="440" w:lineRule="exact"/>
              <w:jc w:val="center"/>
              <w:rPr>
                <w:rFonts w:ascii="宋体" w:hAnsi="宋体" w:eastAsia="宋体" w:cs="宋体"/>
                <w:sz w:val="24"/>
                <w:szCs w:val="24"/>
              </w:rPr>
            </w:pPr>
          </w:p>
        </w:tc>
        <w:tc>
          <w:tcPr>
            <w:tcW w:w="2447" w:type="dxa"/>
            <w:shd w:val="clear" w:color="auto" w:fill="auto"/>
            <w:vAlign w:val="center"/>
          </w:tcPr>
          <w:p w14:paraId="5BBB982E">
            <w:pPr>
              <w:spacing w:line="440" w:lineRule="exact"/>
              <w:jc w:val="center"/>
              <w:rPr>
                <w:rFonts w:ascii="宋体" w:hAnsi="宋体" w:eastAsia="宋体" w:cs="宋体"/>
                <w:sz w:val="24"/>
                <w:szCs w:val="24"/>
              </w:rPr>
            </w:pPr>
            <w:r>
              <w:rPr>
                <w:rFonts w:hint="eastAsia" w:ascii="宋体" w:hAnsi="宋体" w:eastAsia="宋体" w:cs="宋体"/>
                <w:sz w:val="24"/>
                <w:szCs w:val="24"/>
              </w:rPr>
              <w:t>手机号码</w:t>
            </w:r>
          </w:p>
        </w:tc>
        <w:tc>
          <w:tcPr>
            <w:tcW w:w="2446" w:type="dxa"/>
            <w:shd w:val="clear" w:color="auto" w:fill="auto"/>
            <w:vAlign w:val="center"/>
          </w:tcPr>
          <w:p w14:paraId="6A1D7396">
            <w:pPr>
              <w:spacing w:line="440" w:lineRule="exact"/>
              <w:jc w:val="center"/>
              <w:rPr>
                <w:rFonts w:ascii="宋体" w:hAnsi="宋体" w:eastAsia="宋体" w:cs="宋体"/>
                <w:sz w:val="24"/>
                <w:szCs w:val="24"/>
              </w:rPr>
            </w:pPr>
          </w:p>
        </w:tc>
      </w:tr>
    </w:tbl>
    <w:p w14:paraId="5C4FE068">
      <w:pPr>
        <w:pStyle w:val="9"/>
        <w:kinsoku w:val="0"/>
        <w:overflowPunct w:val="0"/>
        <w:spacing w:after="0" w:line="360" w:lineRule="auto"/>
        <w:ind w:firstLine="420" w:firstLineChars="200"/>
        <w:rPr>
          <w:rFonts w:ascii="宋体" w:hAnsi="宋体" w:eastAsia="宋体" w:cs="宋体"/>
        </w:rPr>
      </w:pPr>
    </w:p>
    <w:p w14:paraId="53F60C19">
      <w:pPr>
        <w:spacing w:line="360" w:lineRule="auto"/>
        <w:ind w:firstLine="420" w:firstLineChars="200"/>
        <w:rPr>
          <w:rFonts w:ascii="宋体" w:hAnsi="宋体" w:eastAsia="宋体" w:cs="宋体"/>
          <w:szCs w:val="21"/>
          <w:u w:color="FF0000"/>
        </w:rPr>
      </w:pPr>
    </w:p>
    <w:p w14:paraId="3123F060">
      <w:pPr>
        <w:spacing w:line="360" w:lineRule="auto"/>
        <w:ind w:firstLine="480" w:firstLineChars="200"/>
        <w:rPr>
          <w:rFonts w:ascii="宋体" w:hAnsi="宋体" w:eastAsia="宋体" w:cs="宋体"/>
          <w:sz w:val="24"/>
          <w:szCs w:val="24"/>
          <w:u w:color="FF0000"/>
        </w:rPr>
      </w:pPr>
    </w:p>
    <w:p w14:paraId="2D493FA1">
      <w:pPr>
        <w:rPr>
          <w:rFonts w:ascii="宋体" w:hAnsi="宋体" w:eastAsia="宋体" w:cs="宋体"/>
          <w:sz w:val="24"/>
          <w:szCs w:val="24"/>
          <w:u w:color="FF0000"/>
        </w:rPr>
      </w:pPr>
      <w:r>
        <w:rPr>
          <w:rFonts w:hint="eastAsia" w:ascii="宋体" w:hAnsi="宋体" w:eastAsia="宋体" w:cs="宋体"/>
          <w:sz w:val="24"/>
          <w:szCs w:val="24"/>
          <w:u w:color="FF0000"/>
        </w:rPr>
        <w:br w:type="page"/>
      </w:r>
    </w:p>
    <w:p w14:paraId="0D8DA5E4">
      <w:pPr>
        <w:spacing w:line="360" w:lineRule="auto"/>
        <w:rPr>
          <w:rFonts w:ascii="宋体" w:hAnsi="宋体" w:eastAsia="宋体" w:cs="宋体"/>
          <w:sz w:val="24"/>
          <w:szCs w:val="24"/>
          <w:u w:color="FF0000"/>
        </w:rPr>
      </w:pPr>
      <w:r>
        <w:rPr>
          <w:rFonts w:hint="eastAsia" w:ascii="宋体" w:hAnsi="宋体" w:eastAsia="宋体" w:cs="宋体"/>
          <w:sz w:val="24"/>
          <w:szCs w:val="24"/>
          <w:u w:color="FF0000"/>
        </w:rPr>
        <w:t>其他投标人认为需要提供的内容...</w:t>
      </w:r>
    </w:p>
    <w:bookmarkEnd w:id="25"/>
    <w:bookmarkEnd w:id="26"/>
    <w:bookmarkEnd w:id="27"/>
    <w:bookmarkEnd w:id="28"/>
    <w:p w14:paraId="08FD4506">
      <w:pPr>
        <w:widowControl/>
        <w:jc w:val="left"/>
        <w:rPr>
          <w:rFonts w:ascii="宋体" w:hAnsi="宋体" w:eastAsia="宋体" w:cs="宋体"/>
          <w:sz w:val="24"/>
          <w:szCs w:val="24"/>
          <w:u w:color="000000"/>
        </w:rPr>
      </w:pPr>
    </w:p>
    <w:sectPr>
      <w:headerReference r:id="rId7" w:type="default"/>
      <w:footerReference r:id="rId8"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方正仿宋_GBK">
    <w:altName w:val="微软雅黑"/>
    <w:panose1 w:val="00000000000000000000"/>
    <w:charset w:val="86"/>
    <w:family w:val="script"/>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61549">
    <w:pPr>
      <w:pStyle w:val="17"/>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8030">
    <w:pPr>
      <w:pStyle w:val="17"/>
      <w:jc w:val="center"/>
      <w:rPr>
        <w:rFonts w:ascii="Times New Roman" w:hAnsi="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5B0D9">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F5B0D9">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E7A03">
    <w:pPr>
      <w:pStyle w:val="17"/>
      <w:jc w:val="center"/>
      <w:rPr>
        <w:rFonts w:ascii="Times New Roman" w:hAnsi="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F663E">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A5F663E">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DC0CC">
    <w:pPr>
      <w:pStyle w:val="1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2AF22">
                          <w:pPr>
                            <w:pStyle w:val="17"/>
                            <w:jc w:val="cente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92AF22">
                    <w:pPr>
                      <w:pStyle w:val="17"/>
                      <w:jc w:val="cente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58C9">
    <w:pPr>
      <w:pStyle w:val="19"/>
      <w:jc w:val="right"/>
      <w:rPr>
        <w:rFonts w:ascii="Times New Roman" w:hAnsi="Times New Roman" w:cs="Times New Roman"/>
        <w:sz w:val="21"/>
        <w:szCs w:val="21"/>
      </w:rPr>
    </w:pPr>
    <w:r>
      <w:rPr>
        <w:rFonts w:hint="eastAsia" w:ascii="Times New Roman" w:hAnsi="Times New Roman" w:cs="Times New Roman"/>
        <w:sz w:val="21"/>
      </w:rPr>
      <w:t>南京邮电大学通达学2024-2026年消防维护服务采购项目</w:t>
    </w:r>
    <w:r>
      <w:rPr>
        <w:rFonts w:ascii="Times New Roman" w:hAnsi="Times New Roman" w:cs="Times New Roman"/>
        <w:sz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C8BC9">
    <w:pPr>
      <w:pStyle w:val="19"/>
      <w:jc w:val="right"/>
      <w:rPr>
        <w:rFonts w:ascii="Times New Roman" w:hAnsi="Times New Roman" w:cs="Times New Roman"/>
      </w:rPr>
    </w:pPr>
    <w:r>
      <w:rPr>
        <w:rFonts w:hint="eastAsia" w:ascii="Times New Roman" w:hAnsi="Times New Roman" w:cs="Times New Roman"/>
        <w:sz w:val="21"/>
      </w:rPr>
      <w:t>南京邮电大学通达学2024-2026年消防维护服务采购项目</w:t>
    </w:r>
    <w:r>
      <w:rPr>
        <w:rFonts w:ascii="Times New Roman" w:hAnsi="Times New Roman" w:cs="Times New Roman"/>
        <w:sz w:val="21"/>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ZmM4ODZmY2YwZTU2MDljY2NhZGFiMjZmZDk1ZTcifQ=="/>
    <w:docVar w:name="KSO_WPS_MARK_KEY" w:val="ebfea73d-bd20-456b-9368-2d789621f607"/>
  </w:docVars>
  <w:rsids>
    <w:rsidRoot w:val="00D17229"/>
    <w:rsid w:val="000017D3"/>
    <w:rsid w:val="000022EF"/>
    <w:rsid w:val="000031D8"/>
    <w:rsid w:val="00005096"/>
    <w:rsid w:val="000056D9"/>
    <w:rsid w:val="000056E1"/>
    <w:rsid w:val="00006D84"/>
    <w:rsid w:val="00011C0C"/>
    <w:rsid w:val="00012CB3"/>
    <w:rsid w:val="000136D5"/>
    <w:rsid w:val="000138F2"/>
    <w:rsid w:val="000177AE"/>
    <w:rsid w:val="00020746"/>
    <w:rsid w:val="00021785"/>
    <w:rsid w:val="00022EE9"/>
    <w:rsid w:val="000243B6"/>
    <w:rsid w:val="0002477E"/>
    <w:rsid w:val="0002551A"/>
    <w:rsid w:val="00025649"/>
    <w:rsid w:val="00027040"/>
    <w:rsid w:val="0003047D"/>
    <w:rsid w:val="00031DD4"/>
    <w:rsid w:val="0003270F"/>
    <w:rsid w:val="00033710"/>
    <w:rsid w:val="00034684"/>
    <w:rsid w:val="00035C7F"/>
    <w:rsid w:val="0003780A"/>
    <w:rsid w:val="00041ECF"/>
    <w:rsid w:val="00042B97"/>
    <w:rsid w:val="0004378F"/>
    <w:rsid w:val="000519F3"/>
    <w:rsid w:val="00051C12"/>
    <w:rsid w:val="00051FF7"/>
    <w:rsid w:val="000529A7"/>
    <w:rsid w:val="00052F06"/>
    <w:rsid w:val="00055251"/>
    <w:rsid w:val="00057F21"/>
    <w:rsid w:val="00060CBE"/>
    <w:rsid w:val="00061742"/>
    <w:rsid w:val="00063293"/>
    <w:rsid w:val="00064072"/>
    <w:rsid w:val="00064B14"/>
    <w:rsid w:val="000654F4"/>
    <w:rsid w:val="00067BF9"/>
    <w:rsid w:val="00070161"/>
    <w:rsid w:val="00071D24"/>
    <w:rsid w:val="000733DD"/>
    <w:rsid w:val="0007376B"/>
    <w:rsid w:val="00074A07"/>
    <w:rsid w:val="00075C4E"/>
    <w:rsid w:val="00075C6A"/>
    <w:rsid w:val="00077862"/>
    <w:rsid w:val="00077C90"/>
    <w:rsid w:val="000818B3"/>
    <w:rsid w:val="000823B6"/>
    <w:rsid w:val="00082AA9"/>
    <w:rsid w:val="00083208"/>
    <w:rsid w:val="0008394A"/>
    <w:rsid w:val="000841BE"/>
    <w:rsid w:val="000847FF"/>
    <w:rsid w:val="00085C2A"/>
    <w:rsid w:val="00086855"/>
    <w:rsid w:val="00087768"/>
    <w:rsid w:val="0009049D"/>
    <w:rsid w:val="00090E2D"/>
    <w:rsid w:val="00090E45"/>
    <w:rsid w:val="00091794"/>
    <w:rsid w:val="0009742B"/>
    <w:rsid w:val="000977F6"/>
    <w:rsid w:val="000A0BDB"/>
    <w:rsid w:val="000A1531"/>
    <w:rsid w:val="000A24F8"/>
    <w:rsid w:val="000A721E"/>
    <w:rsid w:val="000B15BC"/>
    <w:rsid w:val="000B1A64"/>
    <w:rsid w:val="000B1C64"/>
    <w:rsid w:val="000B370E"/>
    <w:rsid w:val="000B5784"/>
    <w:rsid w:val="000C17DB"/>
    <w:rsid w:val="000C4D61"/>
    <w:rsid w:val="000C5960"/>
    <w:rsid w:val="000D0593"/>
    <w:rsid w:val="000D394A"/>
    <w:rsid w:val="000D5167"/>
    <w:rsid w:val="000E2443"/>
    <w:rsid w:val="000E40F0"/>
    <w:rsid w:val="000E5CA9"/>
    <w:rsid w:val="000E5D3A"/>
    <w:rsid w:val="000F0A11"/>
    <w:rsid w:val="000F1704"/>
    <w:rsid w:val="000F28A9"/>
    <w:rsid w:val="000F29AA"/>
    <w:rsid w:val="000F3038"/>
    <w:rsid w:val="000F4052"/>
    <w:rsid w:val="000F5248"/>
    <w:rsid w:val="000F6EF7"/>
    <w:rsid w:val="000F7662"/>
    <w:rsid w:val="000F7EFA"/>
    <w:rsid w:val="00101ED5"/>
    <w:rsid w:val="001041C8"/>
    <w:rsid w:val="001061CB"/>
    <w:rsid w:val="00106F06"/>
    <w:rsid w:val="00110081"/>
    <w:rsid w:val="00110CFB"/>
    <w:rsid w:val="001153B6"/>
    <w:rsid w:val="001211A1"/>
    <w:rsid w:val="001211F5"/>
    <w:rsid w:val="00121E0C"/>
    <w:rsid w:val="00122553"/>
    <w:rsid w:val="0012333F"/>
    <w:rsid w:val="00125E7A"/>
    <w:rsid w:val="00126333"/>
    <w:rsid w:val="00126F74"/>
    <w:rsid w:val="001273C6"/>
    <w:rsid w:val="00134ACB"/>
    <w:rsid w:val="00137345"/>
    <w:rsid w:val="001377E4"/>
    <w:rsid w:val="001401FB"/>
    <w:rsid w:val="001405B1"/>
    <w:rsid w:val="0014080E"/>
    <w:rsid w:val="0014146B"/>
    <w:rsid w:val="001435C0"/>
    <w:rsid w:val="0014418D"/>
    <w:rsid w:val="001501CB"/>
    <w:rsid w:val="001512A0"/>
    <w:rsid w:val="00152247"/>
    <w:rsid w:val="00156C30"/>
    <w:rsid w:val="001576D3"/>
    <w:rsid w:val="001624C7"/>
    <w:rsid w:val="00164B11"/>
    <w:rsid w:val="00164C1F"/>
    <w:rsid w:val="0017080F"/>
    <w:rsid w:val="0017171C"/>
    <w:rsid w:val="001717C1"/>
    <w:rsid w:val="00171CA7"/>
    <w:rsid w:val="001724E1"/>
    <w:rsid w:val="001727F4"/>
    <w:rsid w:val="00173C7E"/>
    <w:rsid w:val="00174139"/>
    <w:rsid w:val="001760AB"/>
    <w:rsid w:val="001769F4"/>
    <w:rsid w:val="001810D4"/>
    <w:rsid w:val="001857CA"/>
    <w:rsid w:val="001869BD"/>
    <w:rsid w:val="00190DBD"/>
    <w:rsid w:val="00192802"/>
    <w:rsid w:val="00195465"/>
    <w:rsid w:val="00195931"/>
    <w:rsid w:val="00196C25"/>
    <w:rsid w:val="00196F5A"/>
    <w:rsid w:val="001A049E"/>
    <w:rsid w:val="001A054F"/>
    <w:rsid w:val="001A5D25"/>
    <w:rsid w:val="001B033E"/>
    <w:rsid w:val="001B1F27"/>
    <w:rsid w:val="001B6844"/>
    <w:rsid w:val="001C01D0"/>
    <w:rsid w:val="001C080E"/>
    <w:rsid w:val="001C19FF"/>
    <w:rsid w:val="001C1CA1"/>
    <w:rsid w:val="001C2329"/>
    <w:rsid w:val="001C2F31"/>
    <w:rsid w:val="001C394B"/>
    <w:rsid w:val="001C6630"/>
    <w:rsid w:val="001C6A24"/>
    <w:rsid w:val="001D0C4E"/>
    <w:rsid w:val="001D26C9"/>
    <w:rsid w:val="001D40E3"/>
    <w:rsid w:val="001D4F9C"/>
    <w:rsid w:val="001D6E90"/>
    <w:rsid w:val="001E2BFC"/>
    <w:rsid w:val="001E5FB5"/>
    <w:rsid w:val="001E711D"/>
    <w:rsid w:val="001F06C5"/>
    <w:rsid w:val="001F154A"/>
    <w:rsid w:val="001F1A04"/>
    <w:rsid w:val="001F3E71"/>
    <w:rsid w:val="001F5348"/>
    <w:rsid w:val="001F553F"/>
    <w:rsid w:val="001F6616"/>
    <w:rsid w:val="002022F4"/>
    <w:rsid w:val="00204F29"/>
    <w:rsid w:val="002060D9"/>
    <w:rsid w:val="002114D6"/>
    <w:rsid w:val="00211FBE"/>
    <w:rsid w:val="00213E33"/>
    <w:rsid w:val="00217026"/>
    <w:rsid w:val="00220B2D"/>
    <w:rsid w:val="00223BEB"/>
    <w:rsid w:val="00223DC9"/>
    <w:rsid w:val="00225B81"/>
    <w:rsid w:val="00226B8F"/>
    <w:rsid w:val="00227613"/>
    <w:rsid w:val="0023233F"/>
    <w:rsid w:val="00232A96"/>
    <w:rsid w:val="002356AB"/>
    <w:rsid w:val="002371AE"/>
    <w:rsid w:val="00237254"/>
    <w:rsid w:val="00237700"/>
    <w:rsid w:val="00241588"/>
    <w:rsid w:val="0024346F"/>
    <w:rsid w:val="002434F2"/>
    <w:rsid w:val="00255A1C"/>
    <w:rsid w:val="00255C42"/>
    <w:rsid w:val="00255DCD"/>
    <w:rsid w:val="00255F0D"/>
    <w:rsid w:val="00257273"/>
    <w:rsid w:val="002603C3"/>
    <w:rsid w:val="00260626"/>
    <w:rsid w:val="002652A7"/>
    <w:rsid w:val="00267CF4"/>
    <w:rsid w:val="0027152D"/>
    <w:rsid w:val="00271948"/>
    <w:rsid w:val="00271E99"/>
    <w:rsid w:val="00272F19"/>
    <w:rsid w:val="00274370"/>
    <w:rsid w:val="00274DB5"/>
    <w:rsid w:val="00276455"/>
    <w:rsid w:val="00280795"/>
    <w:rsid w:val="00282712"/>
    <w:rsid w:val="0028294F"/>
    <w:rsid w:val="00282DB2"/>
    <w:rsid w:val="00282E2B"/>
    <w:rsid w:val="00284433"/>
    <w:rsid w:val="002852E4"/>
    <w:rsid w:val="002855FB"/>
    <w:rsid w:val="00285883"/>
    <w:rsid w:val="0028597D"/>
    <w:rsid w:val="00285E94"/>
    <w:rsid w:val="00287B18"/>
    <w:rsid w:val="002934A2"/>
    <w:rsid w:val="00293F58"/>
    <w:rsid w:val="00295012"/>
    <w:rsid w:val="00295A8D"/>
    <w:rsid w:val="00296FA2"/>
    <w:rsid w:val="00297A13"/>
    <w:rsid w:val="00297CF8"/>
    <w:rsid w:val="00297D7D"/>
    <w:rsid w:val="002A001A"/>
    <w:rsid w:val="002A0160"/>
    <w:rsid w:val="002A19D0"/>
    <w:rsid w:val="002A23C9"/>
    <w:rsid w:val="002A2B68"/>
    <w:rsid w:val="002A38E1"/>
    <w:rsid w:val="002A3902"/>
    <w:rsid w:val="002A3A8D"/>
    <w:rsid w:val="002A725D"/>
    <w:rsid w:val="002A7B58"/>
    <w:rsid w:val="002A7B5E"/>
    <w:rsid w:val="002B141F"/>
    <w:rsid w:val="002B2DD6"/>
    <w:rsid w:val="002B3C23"/>
    <w:rsid w:val="002B3E9D"/>
    <w:rsid w:val="002B4B51"/>
    <w:rsid w:val="002B5A10"/>
    <w:rsid w:val="002B5FA2"/>
    <w:rsid w:val="002C04A6"/>
    <w:rsid w:val="002C0B34"/>
    <w:rsid w:val="002C0F09"/>
    <w:rsid w:val="002C14C5"/>
    <w:rsid w:val="002C17D9"/>
    <w:rsid w:val="002C2F68"/>
    <w:rsid w:val="002C568F"/>
    <w:rsid w:val="002D1D9D"/>
    <w:rsid w:val="002D2076"/>
    <w:rsid w:val="002D266B"/>
    <w:rsid w:val="002D3BFF"/>
    <w:rsid w:val="002D4157"/>
    <w:rsid w:val="002D4AAC"/>
    <w:rsid w:val="002D5B39"/>
    <w:rsid w:val="002E16CD"/>
    <w:rsid w:val="002E6A01"/>
    <w:rsid w:val="002E7DDA"/>
    <w:rsid w:val="002F0AC0"/>
    <w:rsid w:val="002F36BD"/>
    <w:rsid w:val="002F37C1"/>
    <w:rsid w:val="002F3ABE"/>
    <w:rsid w:val="002F7A31"/>
    <w:rsid w:val="00302E57"/>
    <w:rsid w:val="00304A73"/>
    <w:rsid w:val="00305651"/>
    <w:rsid w:val="00312F7A"/>
    <w:rsid w:val="00313C03"/>
    <w:rsid w:val="00314D70"/>
    <w:rsid w:val="00315009"/>
    <w:rsid w:val="003176B9"/>
    <w:rsid w:val="00321C8E"/>
    <w:rsid w:val="00322E79"/>
    <w:rsid w:val="00324F65"/>
    <w:rsid w:val="003274B9"/>
    <w:rsid w:val="00333D35"/>
    <w:rsid w:val="0033460E"/>
    <w:rsid w:val="00340075"/>
    <w:rsid w:val="003405A1"/>
    <w:rsid w:val="00340657"/>
    <w:rsid w:val="00343DDF"/>
    <w:rsid w:val="0034502A"/>
    <w:rsid w:val="003453DF"/>
    <w:rsid w:val="00345EE9"/>
    <w:rsid w:val="003470C8"/>
    <w:rsid w:val="003526F5"/>
    <w:rsid w:val="00352DFA"/>
    <w:rsid w:val="00352F15"/>
    <w:rsid w:val="00353B35"/>
    <w:rsid w:val="0035446D"/>
    <w:rsid w:val="0035596A"/>
    <w:rsid w:val="00356F3F"/>
    <w:rsid w:val="00357288"/>
    <w:rsid w:val="003575A3"/>
    <w:rsid w:val="00364878"/>
    <w:rsid w:val="003659EF"/>
    <w:rsid w:val="003668F7"/>
    <w:rsid w:val="00371FF0"/>
    <w:rsid w:val="00372783"/>
    <w:rsid w:val="00372973"/>
    <w:rsid w:val="003746F1"/>
    <w:rsid w:val="00377CBF"/>
    <w:rsid w:val="0038057E"/>
    <w:rsid w:val="0038085B"/>
    <w:rsid w:val="003811AF"/>
    <w:rsid w:val="0038214E"/>
    <w:rsid w:val="00383FF1"/>
    <w:rsid w:val="00386FF7"/>
    <w:rsid w:val="00390C1B"/>
    <w:rsid w:val="00391B1F"/>
    <w:rsid w:val="00393A8B"/>
    <w:rsid w:val="0039544C"/>
    <w:rsid w:val="003955DD"/>
    <w:rsid w:val="003958B6"/>
    <w:rsid w:val="003A06BC"/>
    <w:rsid w:val="003A34B7"/>
    <w:rsid w:val="003B13B9"/>
    <w:rsid w:val="003B2BFB"/>
    <w:rsid w:val="003B3EB7"/>
    <w:rsid w:val="003B5C1C"/>
    <w:rsid w:val="003B5E39"/>
    <w:rsid w:val="003B6105"/>
    <w:rsid w:val="003B63A1"/>
    <w:rsid w:val="003B79B1"/>
    <w:rsid w:val="003C0334"/>
    <w:rsid w:val="003C08EB"/>
    <w:rsid w:val="003C3AAB"/>
    <w:rsid w:val="003C47E7"/>
    <w:rsid w:val="003D17A7"/>
    <w:rsid w:val="003D1A16"/>
    <w:rsid w:val="003D23C8"/>
    <w:rsid w:val="003D4745"/>
    <w:rsid w:val="003E482A"/>
    <w:rsid w:val="003E50A1"/>
    <w:rsid w:val="003E52AB"/>
    <w:rsid w:val="003E722A"/>
    <w:rsid w:val="003E7603"/>
    <w:rsid w:val="003F16D6"/>
    <w:rsid w:val="003F27A4"/>
    <w:rsid w:val="003F30FE"/>
    <w:rsid w:val="003F357F"/>
    <w:rsid w:val="003F3817"/>
    <w:rsid w:val="003F3C1E"/>
    <w:rsid w:val="003F3EAD"/>
    <w:rsid w:val="003F4815"/>
    <w:rsid w:val="003F560A"/>
    <w:rsid w:val="003F6B5C"/>
    <w:rsid w:val="003F7813"/>
    <w:rsid w:val="00400FF2"/>
    <w:rsid w:val="004024FC"/>
    <w:rsid w:val="00403BA9"/>
    <w:rsid w:val="00405454"/>
    <w:rsid w:val="004068F7"/>
    <w:rsid w:val="004112AB"/>
    <w:rsid w:val="00411354"/>
    <w:rsid w:val="00412E8E"/>
    <w:rsid w:val="00413316"/>
    <w:rsid w:val="00413F76"/>
    <w:rsid w:val="00413FB9"/>
    <w:rsid w:val="00414180"/>
    <w:rsid w:val="00414513"/>
    <w:rsid w:val="004150B4"/>
    <w:rsid w:val="004152B9"/>
    <w:rsid w:val="004169EA"/>
    <w:rsid w:val="00420274"/>
    <w:rsid w:val="00420EEF"/>
    <w:rsid w:val="004212E4"/>
    <w:rsid w:val="004216B5"/>
    <w:rsid w:val="00423E5E"/>
    <w:rsid w:val="00425681"/>
    <w:rsid w:val="00425D6C"/>
    <w:rsid w:val="00427193"/>
    <w:rsid w:val="00427855"/>
    <w:rsid w:val="00430650"/>
    <w:rsid w:val="004329BA"/>
    <w:rsid w:val="00434E02"/>
    <w:rsid w:val="00437B0E"/>
    <w:rsid w:val="0044129B"/>
    <w:rsid w:val="004424EF"/>
    <w:rsid w:val="0044282B"/>
    <w:rsid w:val="004433C7"/>
    <w:rsid w:val="00443675"/>
    <w:rsid w:val="004452F8"/>
    <w:rsid w:val="00450097"/>
    <w:rsid w:val="00451DBD"/>
    <w:rsid w:val="004521DA"/>
    <w:rsid w:val="004523D0"/>
    <w:rsid w:val="004527E1"/>
    <w:rsid w:val="00452BCD"/>
    <w:rsid w:val="00456760"/>
    <w:rsid w:val="00457A4F"/>
    <w:rsid w:val="00461AE8"/>
    <w:rsid w:val="004625C1"/>
    <w:rsid w:val="004641F1"/>
    <w:rsid w:val="00467381"/>
    <w:rsid w:val="00467451"/>
    <w:rsid w:val="004678BE"/>
    <w:rsid w:val="00470959"/>
    <w:rsid w:val="00471D8B"/>
    <w:rsid w:val="004724A1"/>
    <w:rsid w:val="00473234"/>
    <w:rsid w:val="00473BA3"/>
    <w:rsid w:val="00474A6B"/>
    <w:rsid w:val="00481E9F"/>
    <w:rsid w:val="00486130"/>
    <w:rsid w:val="00486BA8"/>
    <w:rsid w:val="00487D6E"/>
    <w:rsid w:val="00487EF5"/>
    <w:rsid w:val="00492B22"/>
    <w:rsid w:val="00494647"/>
    <w:rsid w:val="0049745C"/>
    <w:rsid w:val="00497726"/>
    <w:rsid w:val="00497B2E"/>
    <w:rsid w:val="00497E92"/>
    <w:rsid w:val="004A0B2D"/>
    <w:rsid w:val="004A1929"/>
    <w:rsid w:val="004A3472"/>
    <w:rsid w:val="004A49F0"/>
    <w:rsid w:val="004A5E73"/>
    <w:rsid w:val="004B13D2"/>
    <w:rsid w:val="004B36B9"/>
    <w:rsid w:val="004B3C67"/>
    <w:rsid w:val="004B637A"/>
    <w:rsid w:val="004B7673"/>
    <w:rsid w:val="004C1870"/>
    <w:rsid w:val="004C21C7"/>
    <w:rsid w:val="004C47A9"/>
    <w:rsid w:val="004C5B9C"/>
    <w:rsid w:val="004C762C"/>
    <w:rsid w:val="004C7AEE"/>
    <w:rsid w:val="004D07A8"/>
    <w:rsid w:val="004D2B8E"/>
    <w:rsid w:val="004D3765"/>
    <w:rsid w:val="004D4BE2"/>
    <w:rsid w:val="004D58C1"/>
    <w:rsid w:val="004D5AC3"/>
    <w:rsid w:val="004D7696"/>
    <w:rsid w:val="004E145D"/>
    <w:rsid w:val="004E1975"/>
    <w:rsid w:val="004E48DA"/>
    <w:rsid w:val="004E6F3B"/>
    <w:rsid w:val="004F02D2"/>
    <w:rsid w:val="004F1FC7"/>
    <w:rsid w:val="004F4326"/>
    <w:rsid w:val="004F6EE6"/>
    <w:rsid w:val="004F75A0"/>
    <w:rsid w:val="005004B1"/>
    <w:rsid w:val="00500823"/>
    <w:rsid w:val="00501412"/>
    <w:rsid w:val="00501877"/>
    <w:rsid w:val="00502C0C"/>
    <w:rsid w:val="00503971"/>
    <w:rsid w:val="00505E92"/>
    <w:rsid w:val="0050798D"/>
    <w:rsid w:val="0051287F"/>
    <w:rsid w:val="00512AED"/>
    <w:rsid w:val="00512DE6"/>
    <w:rsid w:val="00513BFA"/>
    <w:rsid w:val="0052238C"/>
    <w:rsid w:val="0052238F"/>
    <w:rsid w:val="0052308D"/>
    <w:rsid w:val="00524292"/>
    <w:rsid w:val="00525E16"/>
    <w:rsid w:val="005325CC"/>
    <w:rsid w:val="005342A4"/>
    <w:rsid w:val="00534C63"/>
    <w:rsid w:val="00536846"/>
    <w:rsid w:val="00540922"/>
    <w:rsid w:val="005438D1"/>
    <w:rsid w:val="00543CD1"/>
    <w:rsid w:val="00544C00"/>
    <w:rsid w:val="0054631B"/>
    <w:rsid w:val="0054744F"/>
    <w:rsid w:val="0054760E"/>
    <w:rsid w:val="0055016C"/>
    <w:rsid w:val="005522F2"/>
    <w:rsid w:val="005540D8"/>
    <w:rsid w:val="00557DC9"/>
    <w:rsid w:val="005635C9"/>
    <w:rsid w:val="005669FD"/>
    <w:rsid w:val="005675A5"/>
    <w:rsid w:val="00570959"/>
    <w:rsid w:val="00572357"/>
    <w:rsid w:val="005773A9"/>
    <w:rsid w:val="00577C8E"/>
    <w:rsid w:val="00582367"/>
    <w:rsid w:val="005823F5"/>
    <w:rsid w:val="0058395A"/>
    <w:rsid w:val="0058423D"/>
    <w:rsid w:val="00585A6E"/>
    <w:rsid w:val="005860E9"/>
    <w:rsid w:val="00590311"/>
    <w:rsid w:val="00590713"/>
    <w:rsid w:val="00590A1B"/>
    <w:rsid w:val="00590E0F"/>
    <w:rsid w:val="00592F21"/>
    <w:rsid w:val="005933FA"/>
    <w:rsid w:val="005943FD"/>
    <w:rsid w:val="005945AE"/>
    <w:rsid w:val="00594942"/>
    <w:rsid w:val="005968D1"/>
    <w:rsid w:val="005A04F3"/>
    <w:rsid w:val="005A10EC"/>
    <w:rsid w:val="005A12A8"/>
    <w:rsid w:val="005A41C0"/>
    <w:rsid w:val="005A45BD"/>
    <w:rsid w:val="005A47CE"/>
    <w:rsid w:val="005A52A9"/>
    <w:rsid w:val="005A6217"/>
    <w:rsid w:val="005A6481"/>
    <w:rsid w:val="005B0FEC"/>
    <w:rsid w:val="005B11EB"/>
    <w:rsid w:val="005B30ED"/>
    <w:rsid w:val="005B3470"/>
    <w:rsid w:val="005B37A1"/>
    <w:rsid w:val="005C0544"/>
    <w:rsid w:val="005C058A"/>
    <w:rsid w:val="005C0958"/>
    <w:rsid w:val="005C0A53"/>
    <w:rsid w:val="005C154F"/>
    <w:rsid w:val="005C1C9D"/>
    <w:rsid w:val="005C1EF4"/>
    <w:rsid w:val="005C2888"/>
    <w:rsid w:val="005C41A2"/>
    <w:rsid w:val="005C4E37"/>
    <w:rsid w:val="005C5156"/>
    <w:rsid w:val="005C60F3"/>
    <w:rsid w:val="005C67A2"/>
    <w:rsid w:val="005D1077"/>
    <w:rsid w:val="005D29E6"/>
    <w:rsid w:val="005D4F34"/>
    <w:rsid w:val="005D533D"/>
    <w:rsid w:val="005D5E5A"/>
    <w:rsid w:val="005D6AEC"/>
    <w:rsid w:val="005D7EE6"/>
    <w:rsid w:val="005E36C9"/>
    <w:rsid w:val="005E6044"/>
    <w:rsid w:val="005E63A8"/>
    <w:rsid w:val="005F14DA"/>
    <w:rsid w:val="005F257A"/>
    <w:rsid w:val="005F2B8A"/>
    <w:rsid w:val="005F3189"/>
    <w:rsid w:val="005F31AC"/>
    <w:rsid w:val="005F45B0"/>
    <w:rsid w:val="005F6414"/>
    <w:rsid w:val="005F6A89"/>
    <w:rsid w:val="005F6AFB"/>
    <w:rsid w:val="00600F96"/>
    <w:rsid w:val="00601664"/>
    <w:rsid w:val="00603A3D"/>
    <w:rsid w:val="00603C1D"/>
    <w:rsid w:val="00604373"/>
    <w:rsid w:val="0060641A"/>
    <w:rsid w:val="00606727"/>
    <w:rsid w:val="00612C15"/>
    <w:rsid w:val="006136E6"/>
    <w:rsid w:val="006143EA"/>
    <w:rsid w:val="0061553E"/>
    <w:rsid w:val="00616107"/>
    <w:rsid w:val="006235EE"/>
    <w:rsid w:val="006240C6"/>
    <w:rsid w:val="00627ED0"/>
    <w:rsid w:val="006302E2"/>
    <w:rsid w:val="00630438"/>
    <w:rsid w:val="00630AD6"/>
    <w:rsid w:val="00631C4B"/>
    <w:rsid w:val="006333FF"/>
    <w:rsid w:val="00634CFB"/>
    <w:rsid w:val="00635874"/>
    <w:rsid w:val="00642094"/>
    <w:rsid w:val="006424DB"/>
    <w:rsid w:val="00643A07"/>
    <w:rsid w:val="00644455"/>
    <w:rsid w:val="006470AE"/>
    <w:rsid w:val="006474FB"/>
    <w:rsid w:val="00651029"/>
    <w:rsid w:val="006517ED"/>
    <w:rsid w:val="00654F3C"/>
    <w:rsid w:val="00655D33"/>
    <w:rsid w:val="0065712D"/>
    <w:rsid w:val="00660F1D"/>
    <w:rsid w:val="00662B7D"/>
    <w:rsid w:val="00663AD1"/>
    <w:rsid w:val="00671CC2"/>
    <w:rsid w:val="00671D80"/>
    <w:rsid w:val="0067375A"/>
    <w:rsid w:val="00675D5F"/>
    <w:rsid w:val="006767C0"/>
    <w:rsid w:val="00676A92"/>
    <w:rsid w:val="00681E86"/>
    <w:rsid w:val="00685167"/>
    <w:rsid w:val="00685281"/>
    <w:rsid w:val="0069072E"/>
    <w:rsid w:val="00692A24"/>
    <w:rsid w:val="00694197"/>
    <w:rsid w:val="0069480A"/>
    <w:rsid w:val="006952F7"/>
    <w:rsid w:val="00696814"/>
    <w:rsid w:val="006976B6"/>
    <w:rsid w:val="00697B96"/>
    <w:rsid w:val="006A00C5"/>
    <w:rsid w:val="006A099E"/>
    <w:rsid w:val="006A12EA"/>
    <w:rsid w:val="006A14D5"/>
    <w:rsid w:val="006A1CC4"/>
    <w:rsid w:val="006A1E62"/>
    <w:rsid w:val="006A2AA2"/>
    <w:rsid w:val="006A30A3"/>
    <w:rsid w:val="006A33F0"/>
    <w:rsid w:val="006A361C"/>
    <w:rsid w:val="006A4239"/>
    <w:rsid w:val="006A5D02"/>
    <w:rsid w:val="006A5F5B"/>
    <w:rsid w:val="006B1127"/>
    <w:rsid w:val="006B1F3D"/>
    <w:rsid w:val="006B3516"/>
    <w:rsid w:val="006B3F6C"/>
    <w:rsid w:val="006B620E"/>
    <w:rsid w:val="006B6B31"/>
    <w:rsid w:val="006B6DD9"/>
    <w:rsid w:val="006B747D"/>
    <w:rsid w:val="006C0A33"/>
    <w:rsid w:val="006C0A4A"/>
    <w:rsid w:val="006C1F9E"/>
    <w:rsid w:val="006C3BFC"/>
    <w:rsid w:val="006C4CDB"/>
    <w:rsid w:val="006C7234"/>
    <w:rsid w:val="006D0F1D"/>
    <w:rsid w:val="006D3687"/>
    <w:rsid w:val="006D415F"/>
    <w:rsid w:val="006D72B8"/>
    <w:rsid w:val="006E18FD"/>
    <w:rsid w:val="006E190B"/>
    <w:rsid w:val="006E289E"/>
    <w:rsid w:val="006E3140"/>
    <w:rsid w:val="006E4DF8"/>
    <w:rsid w:val="006E5496"/>
    <w:rsid w:val="006E67D2"/>
    <w:rsid w:val="006E7C64"/>
    <w:rsid w:val="006F02ED"/>
    <w:rsid w:val="006F04DA"/>
    <w:rsid w:val="006F0D67"/>
    <w:rsid w:val="006F131B"/>
    <w:rsid w:val="006F1F64"/>
    <w:rsid w:val="006F315C"/>
    <w:rsid w:val="006F4EFB"/>
    <w:rsid w:val="006F74DF"/>
    <w:rsid w:val="006F7E4F"/>
    <w:rsid w:val="007004C2"/>
    <w:rsid w:val="00702242"/>
    <w:rsid w:val="00702455"/>
    <w:rsid w:val="007028F5"/>
    <w:rsid w:val="00702A56"/>
    <w:rsid w:val="007078CE"/>
    <w:rsid w:val="0071296E"/>
    <w:rsid w:val="00713111"/>
    <w:rsid w:val="00713D9E"/>
    <w:rsid w:val="00714E98"/>
    <w:rsid w:val="00715DF2"/>
    <w:rsid w:val="0071769D"/>
    <w:rsid w:val="00717AFE"/>
    <w:rsid w:val="00721837"/>
    <w:rsid w:val="0072202A"/>
    <w:rsid w:val="0072423B"/>
    <w:rsid w:val="007303AC"/>
    <w:rsid w:val="00731920"/>
    <w:rsid w:val="00731BA4"/>
    <w:rsid w:val="00731D0A"/>
    <w:rsid w:val="0073276B"/>
    <w:rsid w:val="00733300"/>
    <w:rsid w:val="00733882"/>
    <w:rsid w:val="0073483C"/>
    <w:rsid w:val="007371B8"/>
    <w:rsid w:val="0074125D"/>
    <w:rsid w:val="007421E4"/>
    <w:rsid w:val="007424D1"/>
    <w:rsid w:val="0074350D"/>
    <w:rsid w:val="00743BAA"/>
    <w:rsid w:val="00745539"/>
    <w:rsid w:val="00745F99"/>
    <w:rsid w:val="007462D9"/>
    <w:rsid w:val="00746F0D"/>
    <w:rsid w:val="00751E11"/>
    <w:rsid w:val="00752D07"/>
    <w:rsid w:val="00753C5E"/>
    <w:rsid w:val="00754099"/>
    <w:rsid w:val="007540A2"/>
    <w:rsid w:val="007543F9"/>
    <w:rsid w:val="0075615C"/>
    <w:rsid w:val="00756F8E"/>
    <w:rsid w:val="0075746A"/>
    <w:rsid w:val="00764891"/>
    <w:rsid w:val="00764C0C"/>
    <w:rsid w:val="00764D9C"/>
    <w:rsid w:val="007650EB"/>
    <w:rsid w:val="00765FE0"/>
    <w:rsid w:val="007677EE"/>
    <w:rsid w:val="00771C6A"/>
    <w:rsid w:val="00772202"/>
    <w:rsid w:val="007724C2"/>
    <w:rsid w:val="00772F76"/>
    <w:rsid w:val="00775FA0"/>
    <w:rsid w:val="00777137"/>
    <w:rsid w:val="0077728A"/>
    <w:rsid w:val="00781363"/>
    <w:rsid w:val="00782E36"/>
    <w:rsid w:val="007839CF"/>
    <w:rsid w:val="00783EEC"/>
    <w:rsid w:val="00786683"/>
    <w:rsid w:val="00786760"/>
    <w:rsid w:val="00787851"/>
    <w:rsid w:val="00791FD2"/>
    <w:rsid w:val="00792171"/>
    <w:rsid w:val="007943A5"/>
    <w:rsid w:val="007A0244"/>
    <w:rsid w:val="007A045F"/>
    <w:rsid w:val="007A0763"/>
    <w:rsid w:val="007A1B29"/>
    <w:rsid w:val="007A3588"/>
    <w:rsid w:val="007A4164"/>
    <w:rsid w:val="007A58D6"/>
    <w:rsid w:val="007A6874"/>
    <w:rsid w:val="007A6ECA"/>
    <w:rsid w:val="007B4254"/>
    <w:rsid w:val="007B6BB3"/>
    <w:rsid w:val="007C135E"/>
    <w:rsid w:val="007C31E2"/>
    <w:rsid w:val="007C36AC"/>
    <w:rsid w:val="007C44A0"/>
    <w:rsid w:val="007C466B"/>
    <w:rsid w:val="007C47D7"/>
    <w:rsid w:val="007C4A00"/>
    <w:rsid w:val="007D2565"/>
    <w:rsid w:val="007D2570"/>
    <w:rsid w:val="007D287D"/>
    <w:rsid w:val="007D3112"/>
    <w:rsid w:val="007D37F2"/>
    <w:rsid w:val="007D6C3C"/>
    <w:rsid w:val="007D6CA3"/>
    <w:rsid w:val="007D74FB"/>
    <w:rsid w:val="007D7F28"/>
    <w:rsid w:val="007D7F7A"/>
    <w:rsid w:val="007E1F95"/>
    <w:rsid w:val="007E2BEE"/>
    <w:rsid w:val="007E3352"/>
    <w:rsid w:val="007E450B"/>
    <w:rsid w:val="007E5217"/>
    <w:rsid w:val="007E52C3"/>
    <w:rsid w:val="007E6E25"/>
    <w:rsid w:val="007E716E"/>
    <w:rsid w:val="007F077B"/>
    <w:rsid w:val="007F1727"/>
    <w:rsid w:val="007F1FAA"/>
    <w:rsid w:val="007F219B"/>
    <w:rsid w:val="007F3E85"/>
    <w:rsid w:val="007F4D88"/>
    <w:rsid w:val="007F539A"/>
    <w:rsid w:val="007F6CCC"/>
    <w:rsid w:val="007F6CCE"/>
    <w:rsid w:val="007F7CCF"/>
    <w:rsid w:val="0080290D"/>
    <w:rsid w:val="008029C4"/>
    <w:rsid w:val="00802B9E"/>
    <w:rsid w:val="0080507F"/>
    <w:rsid w:val="00805E73"/>
    <w:rsid w:val="0080603D"/>
    <w:rsid w:val="0080620E"/>
    <w:rsid w:val="00807C51"/>
    <w:rsid w:val="00807F64"/>
    <w:rsid w:val="0081084A"/>
    <w:rsid w:val="008128B7"/>
    <w:rsid w:val="00813D9E"/>
    <w:rsid w:val="008144F3"/>
    <w:rsid w:val="00814829"/>
    <w:rsid w:val="0081699D"/>
    <w:rsid w:val="00820680"/>
    <w:rsid w:val="00821163"/>
    <w:rsid w:val="00821C0A"/>
    <w:rsid w:val="00822711"/>
    <w:rsid w:val="0082416D"/>
    <w:rsid w:val="00826199"/>
    <w:rsid w:val="00827D80"/>
    <w:rsid w:val="00831C1B"/>
    <w:rsid w:val="00832BCF"/>
    <w:rsid w:val="0083420A"/>
    <w:rsid w:val="00834AB5"/>
    <w:rsid w:val="008361B8"/>
    <w:rsid w:val="00836E96"/>
    <w:rsid w:val="0083724E"/>
    <w:rsid w:val="00844E3D"/>
    <w:rsid w:val="00845A41"/>
    <w:rsid w:val="00846CAC"/>
    <w:rsid w:val="00847BED"/>
    <w:rsid w:val="0085041A"/>
    <w:rsid w:val="00851CBC"/>
    <w:rsid w:val="0085621B"/>
    <w:rsid w:val="00856605"/>
    <w:rsid w:val="00857886"/>
    <w:rsid w:val="00857D15"/>
    <w:rsid w:val="008615C9"/>
    <w:rsid w:val="00861B30"/>
    <w:rsid w:val="00861B61"/>
    <w:rsid w:val="00862EDD"/>
    <w:rsid w:val="008637E2"/>
    <w:rsid w:val="00864621"/>
    <w:rsid w:val="00866D26"/>
    <w:rsid w:val="008702D6"/>
    <w:rsid w:val="00870AE9"/>
    <w:rsid w:val="00874FBF"/>
    <w:rsid w:val="00875B81"/>
    <w:rsid w:val="008770E5"/>
    <w:rsid w:val="00877A41"/>
    <w:rsid w:val="00881EF0"/>
    <w:rsid w:val="00882109"/>
    <w:rsid w:val="00882706"/>
    <w:rsid w:val="00882A57"/>
    <w:rsid w:val="0088462B"/>
    <w:rsid w:val="00887FB8"/>
    <w:rsid w:val="008915B5"/>
    <w:rsid w:val="0089397A"/>
    <w:rsid w:val="00894064"/>
    <w:rsid w:val="00895870"/>
    <w:rsid w:val="008A1F11"/>
    <w:rsid w:val="008A2099"/>
    <w:rsid w:val="008A4101"/>
    <w:rsid w:val="008A4989"/>
    <w:rsid w:val="008A4C74"/>
    <w:rsid w:val="008A4F7E"/>
    <w:rsid w:val="008A59B4"/>
    <w:rsid w:val="008A7288"/>
    <w:rsid w:val="008B0FFE"/>
    <w:rsid w:val="008B36A0"/>
    <w:rsid w:val="008C084F"/>
    <w:rsid w:val="008C087A"/>
    <w:rsid w:val="008C1940"/>
    <w:rsid w:val="008C68BE"/>
    <w:rsid w:val="008D0C99"/>
    <w:rsid w:val="008D1032"/>
    <w:rsid w:val="008D13BA"/>
    <w:rsid w:val="008D34D9"/>
    <w:rsid w:val="008D522D"/>
    <w:rsid w:val="008D5AB5"/>
    <w:rsid w:val="008E1373"/>
    <w:rsid w:val="008E2E2D"/>
    <w:rsid w:val="008E2FF7"/>
    <w:rsid w:val="008E3949"/>
    <w:rsid w:val="008E544D"/>
    <w:rsid w:val="008F083E"/>
    <w:rsid w:val="008F2DF0"/>
    <w:rsid w:val="008F3D63"/>
    <w:rsid w:val="008F5FFE"/>
    <w:rsid w:val="008F7795"/>
    <w:rsid w:val="009002F8"/>
    <w:rsid w:val="009029A6"/>
    <w:rsid w:val="00904D01"/>
    <w:rsid w:val="00905914"/>
    <w:rsid w:val="00905DA6"/>
    <w:rsid w:val="00906499"/>
    <w:rsid w:val="00906DEF"/>
    <w:rsid w:val="00910CB3"/>
    <w:rsid w:val="00911168"/>
    <w:rsid w:val="0091223E"/>
    <w:rsid w:val="009142B8"/>
    <w:rsid w:val="00917B18"/>
    <w:rsid w:val="00917C0B"/>
    <w:rsid w:val="00920218"/>
    <w:rsid w:val="009225B9"/>
    <w:rsid w:val="00922F59"/>
    <w:rsid w:val="00923EE7"/>
    <w:rsid w:val="00924A78"/>
    <w:rsid w:val="00925C13"/>
    <w:rsid w:val="009268BD"/>
    <w:rsid w:val="00927288"/>
    <w:rsid w:val="00930462"/>
    <w:rsid w:val="00935304"/>
    <w:rsid w:val="009363BF"/>
    <w:rsid w:val="00937D09"/>
    <w:rsid w:val="00942AC5"/>
    <w:rsid w:val="00950E03"/>
    <w:rsid w:val="00955250"/>
    <w:rsid w:val="00956F08"/>
    <w:rsid w:val="00957C5A"/>
    <w:rsid w:val="00957C6A"/>
    <w:rsid w:val="0096087C"/>
    <w:rsid w:val="00961629"/>
    <w:rsid w:val="009628DC"/>
    <w:rsid w:val="00964181"/>
    <w:rsid w:val="009645F2"/>
    <w:rsid w:val="0097002B"/>
    <w:rsid w:val="009706C6"/>
    <w:rsid w:val="00971100"/>
    <w:rsid w:val="00971E2B"/>
    <w:rsid w:val="00972DAD"/>
    <w:rsid w:val="0097322E"/>
    <w:rsid w:val="009775A6"/>
    <w:rsid w:val="00977CA6"/>
    <w:rsid w:val="009857EC"/>
    <w:rsid w:val="009860B0"/>
    <w:rsid w:val="00986BE8"/>
    <w:rsid w:val="00987498"/>
    <w:rsid w:val="0099238A"/>
    <w:rsid w:val="009947F4"/>
    <w:rsid w:val="00994E47"/>
    <w:rsid w:val="00995D56"/>
    <w:rsid w:val="009A051D"/>
    <w:rsid w:val="009A3265"/>
    <w:rsid w:val="009A53DE"/>
    <w:rsid w:val="009A6565"/>
    <w:rsid w:val="009A7760"/>
    <w:rsid w:val="009B0ACA"/>
    <w:rsid w:val="009B19A7"/>
    <w:rsid w:val="009B2098"/>
    <w:rsid w:val="009B28A8"/>
    <w:rsid w:val="009B39FF"/>
    <w:rsid w:val="009B4F59"/>
    <w:rsid w:val="009B6788"/>
    <w:rsid w:val="009B712F"/>
    <w:rsid w:val="009B7A2B"/>
    <w:rsid w:val="009C0AEC"/>
    <w:rsid w:val="009C0D34"/>
    <w:rsid w:val="009C18C7"/>
    <w:rsid w:val="009C3A9A"/>
    <w:rsid w:val="009C42DE"/>
    <w:rsid w:val="009C6DAC"/>
    <w:rsid w:val="009C7DC7"/>
    <w:rsid w:val="009C7F7E"/>
    <w:rsid w:val="009D07FD"/>
    <w:rsid w:val="009D08F0"/>
    <w:rsid w:val="009D0D3A"/>
    <w:rsid w:val="009D414F"/>
    <w:rsid w:val="009D58D8"/>
    <w:rsid w:val="009D6158"/>
    <w:rsid w:val="009E109C"/>
    <w:rsid w:val="009E38B7"/>
    <w:rsid w:val="009E3B3B"/>
    <w:rsid w:val="009E3C63"/>
    <w:rsid w:val="009E4718"/>
    <w:rsid w:val="009E6CF5"/>
    <w:rsid w:val="009F107B"/>
    <w:rsid w:val="009F1759"/>
    <w:rsid w:val="009F2006"/>
    <w:rsid w:val="009F3D28"/>
    <w:rsid w:val="009F4BA1"/>
    <w:rsid w:val="00A018A2"/>
    <w:rsid w:val="00A050EB"/>
    <w:rsid w:val="00A06DF3"/>
    <w:rsid w:val="00A07213"/>
    <w:rsid w:val="00A07F87"/>
    <w:rsid w:val="00A11CFC"/>
    <w:rsid w:val="00A1518B"/>
    <w:rsid w:val="00A2208E"/>
    <w:rsid w:val="00A235CD"/>
    <w:rsid w:val="00A240EC"/>
    <w:rsid w:val="00A24933"/>
    <w:rsid w:val="00A27391"/>
    <w:rsid w:val="00A30B64"/>
    <w:rsid w:val="00A315BB"/>
    <w:rsid w:val="00A31AB5"/>
    <w:rsid w:val="00A32256"/>
    <w:rsid w:val="00A352AE"/>
    <w:rsid w:val="00A3556B"/>
    <w:rsid w:val="00A35CAF"/>
    <w:rsid w:val="00A35CCD"/>
    <w:rsid w:val="00A36A6E"/>
    <w:rsid w:val="00A3740E"/>
    <w:rsid w:val="00A41B25"/>
    <w:rsid w:val="00A42971"/>
    <w:rsid w:val="00A435BB"/>
    <w:rsid w:val="00A4402D"/>
    <w:rsid w:val="00A441E3"/>
    <w:rsid w:val="00A44EDB"/>
    <w:rsid w:val="00A45B05"/>
    <w:rsid w:val="00A45DC9"/>
    <w:rsid w:val="00A466A5"/>
    <w:rsid w:val="00A47C88"/>
    <w:rsid w:val="00A51F83"/>
    <w:rsid w:val="00A53B98"/>
    <w:rsid w:val="00A54418"/>
    <w:rsid w:val="00A55563"/>
    <w:rsid w:val="00A5702D"/>
    <w:rsid w:val="00A5794F"/>
    <w:rsid w:val="00A57F70"/>
    <w:rsid w:val="00A617B5"/>
    <w:rsid w:val="00A61917"/>
    <w:rsid w:val="00A63285"/>
    <w:rsid w:val="00A63672"/>
    <w:rsid w:val="00A66223"/>
    <w:rsid w:val="00A7000D"/>
    <w:rsid w:val="00A726EF"/>
    <w:rsid w:val="00A7411F"/>
    <w:rsid w:val="00A74E1C"/>
    <w:rsid w:val="00A7688E"/>
    <w:rsid w:val="00A814F9"/>
    <w:rsid w:val="00A818EE"/>
    <w:rsid w:val="00A8384A"/>
    <w:rsid w:val="00A9162E"/>
    <w:rsid w:val="00A916AD"/>
    <w:rsid w:val="00A92A61"/>
    <w:rsid w:val="00A93AA1"/>
    <w:rsid w:val="00A93F22"/>
    <w:rsid w:val="00A951AD"/>
    <w:rsid w:val="00A951DB"/>
    <w:rsid w:val="00A953D8"/>
    <w:rsid w:val="00A96608"/>
    <w:rsid w:val="00A9700B"/>
    <w:rsid w:val="00A97C63"/>
    <w:rsid w:val="00AA02A8"/>
    <w:rsid w:val="00AA0CF0"/>
    <w:rsid w:val="00AA2D92"/>
    <w:rsid w:val="00AA5B8D"/>
    <w:rsid w:val="00AA5E8F"/>
    <w:rsid w:val="00AB155C"/>
    <w:rsid w:val="00AB3127"/>
    <w:rsid w:val="00AB6B8B"/>
    <w:rsid w:val="00AB7613"/>
    <w:rsid w:val="00AC150D"/>
    <w:rsid w:val="00AC1A25"/>
    <w:rsid w:val="00AC3012"/>
    <w:rsid w:val="00AC6EAF"/>
    <w:rsid w:val="00AC7996"/>
    <w:rsid w:val="00AD0CE7"/>
    <w:rsid w:val="00AD0D9D"/>
    <w:rsid w:val="00AD108D"/>
    <w:rsid w:val="00AD184D"/>
    <w:rsid w:val="00AD3035"/>
    <w:rsid w:val="00AD3E14"/>
    <w:rsid w:val="00AD4153"/>
    <w:rsid w:val="00AE07E3"/>
    <w:rsid w:val="00AE333F"/>
    <w:rsid w:val="00AE59D5"/>
    <w:rsid w:val="00AE6D52"/>
    <w:rsid w:val="00AE766A"/>
    <w:rsid w:val="00AE7EBF"/>
    <w:rsid w:val="00AF3B1D"/>
    <w:rsid w:val="00AF4731"/>
    <w:rsid w:val="00AF6595"/>
    <w:rsid w:val="00AF7D8E"/>
    <w:rsid w:val="00B01163"/>
    <w:rsid w:val="00B02602"/>
    <w:rsid w:val="00B02FC0"/>
    <w:rsid w:val="00B0425B"/>
    <w:rsid w:val="00B05184"/>
    <w:rsid w:val="00B055C0"/>
    <w:rsid w:val="00B0564D"/>
    <w:rsid w:val="00B0571C"/>
    <w:rsid w:val="00B058D4"/>
    <w:rsid w:val="00B06E96"/>
    <w:rsid w:val="00B11BC2"/>
    <w:rsid w:val="00B1218C"/>
    <w:rsid w:val="00B129BD"/>
    <w:rsid w:val="00B14667"/>
    <w:rsid w:val="00B14E97"/>
    <w:rsid w:val="00B15120"/>
    <w:rsid w:val="00B15A5D"/>
    <w:rsid w:val="00B15D02"/>
    <w:rsid w:val="00B17A38"/>
    <w:rsid w:val="00B21868"/>
    <w:rsid w:val="00B27F36"/>
    <w:rsid w:val="00B31967"/>
    <w:rsid w:val="00B3420F"/>
    <w:rsid w:val="00B3446D"/>
    <w:rsid w:val="00B35F24"/>
    <w:rsid w:val="00B362E5"/>
    <w:rsid w:val="00B36455"/>
    <w:rsid w:val="00B41746"/>
    <w:rsid w:val="00B44AB7"/>
    <w:rsid w:val="00B450FF"/>
    <w:rsid w:val="00B4555C"/>
    <w:rsid w:val="00B47A52"/>
    <w:rsid w:val="00B50C2E"/>
    <w:rsid w:val="00B50FAA"/>
    <w:rsid w:val="00B51AD8"/>
    <w:rsid w:val="00B541CB"/>
    <w:rsid w:val="00B60A47"/>
    <w:rsid w:val="00B60D93"/>
    <w:rsid w:val="00B658AD"/>
    <w:rsid w:val="00B65938"/>
    <w:rsid w:val="00B715EF"/>
    <w:rsid w:val="00B71691"/>
    <w:rsid w:val="00B739DB"/>
    <w:rsid w:val="00B76F17"/>
    <w:rsid w:val="00B777DF"/>
    <w:rsid w:val="00B81221"/>
    <w:rsid w:val="00B82EAD"/>
    <w:rsid w:val="00B8318C"/>
    <w:rsid w:val="00B840FF"/>
    <w:rsid w:val="00B85B8B"/>
    <w:rsid w:val="00B904A1"/>
    <w:rsid w:val="00B92B80"/>
    <w:rsid w:val="00B93FD0"/>
    <w:rsid w:val="00B94214"/>
    <w:rsid w:val="00B943E5"/>
    <w:rsid w:val="00B9496F"/>
    <w:rsid w:val="00B950BE"/>
    <w:rsid w:val="00B95AC9"/>
    <w:rsid w:val="00B9723F"/>
    <w:rsid w:val="00BA3A6A"/>
    <w:rsid w:val="00BA3DF5"/>
    <w:rsid w:val="00BA672F"/>
    <w:rsid w:val="00BA6769"/>
    <w:rsid w:val="00BA67D8"/>
    <w:rsid w:val="00BA7B7F"/>
    <w:rsid w:val="00BB001A"/>
    <w:rsid w:val="00BB06A3"/>
    <w:rsid w:val="00BB1FDE"/>
    <w:rsid w:val="00BB292A"/>
    <w:rsid w:val="00BB2DDF"/>
    <w:rsid w:val="00BB2F9D"/>
    <w:rsid w:val="00BB33B7"/>
    <w:rsid w:val="00BB5D54"/>
    <w:rsid w:val="00BB6DDE"/>
    <w:rsid w:val="00BB6FEA"/>
    <w:rsid w:val="00BC1223"/>
    <w:rsid w:val="00BC3241"/>
    <w:rsid w:val="00BC42EB"/>
    <w:rsid w:val="00BC4AAD"/>
    <w:rsid w:val="00BC63A7"/>
    <w:rsid w:val="00BC6475"/>
    <w:rsid w:val="00BC7AD3"/>
    <w:rsid w:val="00BD07A5"/>
    <w:rsid w:val="00BD0E91"/>
    <w:rsid w:val="00BD37DD"/>
    <w:rsid w:val="00BD3A50"/>
    <w:rsid w:val="00BD4293"/>
    <w:rsid w:val="00BD5F58"/>
    <w:rsid w:val="00BE5B61"/>
    <w:rsid w:val="00BF16E0"/>
    <w:rsid w:val="00BF4910"/>
    <w:rsid w:val="00C00A72"/>
    <w:rsid w:val="00C00C53"/>
    <w:rsid w:val="00C03AA8"/>
    <w:rsid w:val="00C03B00"/>
    <w:rsid w:val="00C043BB"/>
    <w:rsid w:val="00C06507"/>
    <w:rsid w:val="00C105C2"/>
    <w:rsid w:val="00C11180"/>
    <w:rsid w:val="00C13534"/>
    <w:rsid w:val="00C16181"/>
    <w:rsid w:val="00C175E8"/>
    <w:rsid w:val="00C2073E"/>
    <w:rsid w:val="00C21B22"/>
    <w:rsid w:val="00C22A87"/>
    <w:rsid w:val="00C24E9D"/>
    <w:rsid w:val="00C25A97"/>
    <w:rsid w:val="00C30FC9"/>
    <w:rsid w:val="00C332B5"/>
    <w:rsid w:val="00C40F17"/>
    <w:rsid w:val="00C410D5"/>
    <w:rsid w:val="00C43681"/>
    <w:rsid w:val="00C43BBF"/>
    <w:rsid w:val="00C440F9"/>
    <w:rsid w:val="00C45491"/>
    <w:rsid w:val="00C47498"/>
    <w:rsid w:val="00C51B4F"/>
    <w:rsid w:val="00C527F3"/>
    <w:rsid w:val="00C5281E"/>
    <w:rsid w:val="00C567EA"/>
    <w:rsid w:val="00C60DDC"/>
    <w:rsid w:val="00C62B40"/>
    <w:rsid w:val="00C62E0A"/>
    <w:rsid w:val="00C6491B"/>
    <w:rsid w:val="00C6696D"/>
    <w:rsid w:val="00C706A9"/>
    <w:rsid w:val="00C73123"/>
    <w:rsid w:val="00C734C5"/>
    <w:rsid w:val="00C741C2"/>
    <w:rsid w:val="00C75BC7"/>
    <w:rsid w:val="00C75CE0"/>
    <w:rsid w:val="00C7627F"/>
    <w:rsid w:val="00C77010"/>
    <w:rsid w:val="00C77E07"/>
    <w:rsid w:val="00C806C8"/>
    <w:rsid w:val="00C80A4C"/>
    <w:rsid w:val="00C83FDF"/>
    <w:rsid w:val="00C84E97"/>
    <w:rsid w:val="00C854FA"/>
    <w:rsid w:val="00C916AA"/>
    <w:rsid w:val="00C92821"/>
    <w:rsid w:val="00C934FA"/>
    <w:rsid w:val="00C9451E"/>
    <w:rsid w:val="00C975F4"/>
    <w:rsid w:val="00CA1B4F"/>
    <w:rsid w:val="00CA3203"/>
    <w:rsid w:val="00CA6663"/>
    <w:rsid w:val="00CA6B1A"/>
    <w:rsid w:val="00CA7870"/>
    <w:rsid w:val="00CB0927"/>
    <w:rsid w:val="00CB283F"/>
    <w:rsid w:val="00CB5259"/>
    <w:rsid w:val="00CB58D1"/>
    <w:rsid w:val="00CB64E3"/>
    <w:rsid w:val="00CB69E8"/>
    <w:rsid w:val="00CB78A5"/>
    <w:rsid w:val="00CC05AF"/>
    <w:rsid w:val="00CC06F0"/>
    <w:rsid w:val="00CC2296"/>
    <w:rsid w:val="00CC2EBF"/>
    <w:rsid w:val="00CC3027"/>
    <w:rsid w:val="00CC3219"/>
    <w:rsid w:val="00CC41C9"/>
    <w:rsid w:val="00CC4CA9"/>
    <w:rsid w:val="00CD14C0"/>
    <w:rsid w:val="00CD2217"/>
    <w:rsid w:val="00CD3502"/>
    <w:rsid w:val="00CD3705"/>
    <w:rsid w:val="00CD4B4D"/>
    <w:rsid w:val="00CE041D"/>
    <w:rsid w:val="00CE2EBE"/>
    <w:rsid w:val="00CE3CC5"/>
    <w:rsid w:val="00CE67CD"/>
    <w:rsid w:val="00CE705F"/>
    <w:rsid w:val="00CE7D14"/>
    <w:rsid w:val="00CF0C8F"/>
    <w:rsid w:val="00CF1470"/>
    <w:rsid w:val="00CF1CF9"/>
    <w:rsid w:val="00CF367B"/>
    <w:rsid w:val="00CF3988"/>
    <w:rsid w:val="00CF40B2"/>
    <w:rsid w:val="00CF5A5E"/>
    <w:rsid w:val="00CF64F1"/>
    <w:rsid w:val="00CF6F66"/>
    <w:rsid w:val="00CF7BAA"/>
    <w:rsid w:val="00D0035F"/>
    <w:rsid w:val="00D00FAC"/>
    <w:rsid w:val="00D02B1E"/>
    <w:rsid w:val="00D04813"/>
    <w:rsid w:val="00D049C1"/>
    <w:rsid w:val="00D04C6F"/>
    <w:rsid w:val="00D0516B"/>
    <w:rsid w:val="00D05316"/>
    <w:rsid w:val="00D05D6C"/>
    <w:rsid w:val="00D079E5"/>
    <w:rsid w:val="00D10F5F"/>
    <w:rsid w:val="00D1137D"/>
    <w:rsid w:val="00D11B87"/>
    <w:rsid w:val="00D1287D"/>
    <w:rsid w:val="00D129E5"/>
    <w:rsid w:val="00D15699"/>
    <w:rsid w:val="00D17229"/>
    <w:rsid w:val="00D17561"/>
    <w:rsid w:val="00D17CD0"/>
    <w:rsid w:val="00D17D55"/>
    <w:rsid w:val="00D207DB"/>
    <w:rsid w:val="00D20F95"/>
    <w:rsid w:val="00D23CBA"/>
    <w:rsid w:val="00D245B9"/>
    <w:rsid w:val="00D246C9"/>
    <w:rsid w:val="00D24C47"/>
    <w:rsid w:val="00D30149"/>
    <w:rsid w:val="00D3167A"/>
    <w:rsid w:val="00D31A47"/>
    <w:rsid w:val="00D31F2F"/>
    <w:rsid w:val="00D36933"/>
    <w:rsid w:val="00D401E7"/>
    <w:rsid w:val="00D40686"/>
    <w:rsid w:val="00D40975"/>
    <w:rsid w:val="00D425EA"/>
    <w:rsid w:val="00D437FB"/>
    <w:rsid w:val="00D44DA4"/>
    <w:rsid w:val="00D45898"/>
    <w:rsid w:val="00D46ABD"/>
    <w:rsid w:val="00D474F2"/>
    <w:rsid w:val="00D516F8"/>
    <w:rsid w:val="00D51A51"/>
    <w:rsid w:val="00D51A6E"/>
    <w:rsid w:val="00D525B2"/>
    <w:rsid w:val="00D544AB"/>
    <w:rsid w:val="00D57C2F"/>
    <w:rsid w:val="00D57F61"/>
    <w:rsid w:val="00D601DE"/>
    <w:rsid w:val="00D654CB"/>
    <w:rsid w:val="00D65F79"/>
    <w:rsid w:val="00D71342"/>
    <w:rsid w:val="00D75BC3"/>
    <w:rsid w:val="00D767AE"/>
    <w:rsid w:val="00D775BE"/>
    <w:rsid w:val="00D777F0"/>
    <w:rsid w:val="00D77DF8"/>
    <w:rsid w:val="00D819A9"/>
    <w:rsid w:val="00D822EA"/>
    <w:rsid w:val="00D82C05"/>
    <w:rsid w:val="00D8308B"/>
    <w:rsid w:val="00D84526"/>
    <w:rsid w:val="00D8702A"/>
    <w:rsid w:val="00D87546"/>
    <w:rsid w:val="00D878C0"/>
    <w:rsid w:val="00D90154"/>
    <w:rsid w:val="00D907AD"/>
    <w:rsid w:val="00D90FCA"/>
    <w:rsid w:val="00D92CB5"/>
    <w:rsid w:val="00D9376C"/>
    <w:rsid w:val="00D94589"/>
    <w:rsid w:val="00D96849"/>
    <w:rsid w:val="00DA34BC"/>
    <w:rsid w:val="00DA48F4"/>
    <w:rsid w:val="00DA7DEB"/>
    <w:rsid w:val="00DB2D0D"/>
    <w:rsid w:val="00DB32B2"/>
    <w:rsid w:val="00DB524C"/>
    <w:rsid w:val="00DC126F"/>
    <w:rsid w:val="00DC2555"/>
    <w:rsid w:val="00DC35DD"/>
    <w:rsid w:val="00DC4477"/>
    <w:rsid w:val="00DD081F"/>
    <w:rsid w:val="00DD4E6C"/>
    <w:rsid w:val="00DD6F08"/>
    <w:rsid w:val="00DD7F4E"/>
    <w:rsid w:val="00DE12CC"/>
    <w:rsid w:val="00DE355D"/>
    <w:rsid w:val="00DE3F35"/>
    <w:rsid w:val="00DE42BA"/>
    <w:rsid w:val="00DE762E"/>
    <w:rsid w:val="00DE7A6B"/>
    <w:rsid w:val="00DE7EDE"/>
    <w:rsid w:val="00DF073A"/>
    <w:rsid w:val="00DF1CEC"/>
    <w:rsid w:val="00DF343A"/>
    <w:rsid w:val="00DF4374"/>
    <w:rsid w:val="00DF5F6D"/>
    <w:rsid w:val="00E02254"/>
    <w:rsid w:val="00E04AD8"/>
    <w:rsid w:val="00E057AC"/>
    <w:rsid w:val="00E06AC0"/>
    <w:rsid w:val="00E07CDB"/>
    <w:rsid w:val="00E11AF4"/>
    <w:rsid w:val="00E11BC8"/>
    <w:rsid w:val="00E1351F"/>
    <w:rsid w:val="00E140AE"/>
    <w:rsid w:val="00E1433F"/>
    <w:rsid w:val="00E1765C"/>
    <w:rsid w:val="00E20C08"/>
    <w:rsid w:val="00E21274"/>
    <w:rsid w:val="00E2137C"/>
    <w:rsid w:val="00E2242B"/>
    <w:rsid w:val="00E23FEE"/>
    <w:rsid w:val="00E24370"/>
    <w:rsid w:val="00E26269"/>
    <w:rsid w:val="00E26B8D"/>
    <w:rsid w:val="00E321A8"/>
    <w:rsid w:val="00E3281C"/>
    <w:rsid w:val="00E352BD"/>
    <w:rsid w:val="00E35305"/>
    <w:rsid w:val="00E4115E"/>
    <w:rsid w:val="00E43AF3"/>
    <w:rsid w:val="00E43B2F"/>
    <w:rsid w:val="00E43E7E"/>
    <w:rsid w:val="00E44FCC"/>
    <w:rsid w:val="00E455BC"/>
    <w:rsid w:val="00E45AC0"/>
    <w:rsid w:val="00E467BE"/>
    <w:rsid w:val="00E536FF"/>
    <w:rsid w:val="00E55852"/>
    <w:rsid w:val="00E558CD"/>
    <w:rsid w:val="00E56387"/>
    <w:rsid w:val="00E56961"/>
    <w:rsid w:val="00E57618"/>
    <w:rsid w:val="00E578AC"/>
    <w:rsid w:val="00E57C20"/>
    <w:rsid w:val="00E60909"/>
    <w:rsid w:val="00E62209"/>
    <w:rsid w:val="00E65712"/>
    <w:rsid w:val="00E66582"/>
    <w:rsid w:val="00E6659A"/>
    <w:rsid w:val="00E677E3"/>
    <w:rsid w:val="00E71356"/>
    <w:rsid w:val="00E72804"/>
    <w:rsid w:val="00E746CC"/>
    <w:rsid w:val="00E7527E"/>
    <w:rsid w:val="00E768C6"/>
    <w:rsid w:val="00E77F02"/>
    <w:rsid w:val="00E8046C"/>
    <w:rsid w:val="00E81A8B"/>
    <w:rsid w:val="00E85027"/>
    <w:rsid w:val="00E873DB"/>
    <w:rsid w:val="00E87DDD"/>
    <w:rsid w:val="00E92242"/>
    <w:rsid w:val="00E936B9"/>
    <w:rsid w:val="00E970FE"/>
    <w:rsid w:val="00EA11A0"/>
    <w:rsid w:val="00EA1616"/>
    <w:rsid w:val="00EA35E3"/>
    <w:rsid w:val="00EA52B8"/>
    <w:rsid w:val="00EA5A0A"/>
    <w:rsid w:val="00EA66ED"/>
    <w:rsid w:val="00EA6730"/>
    <w:rsid w:val="00EA7211"/>
    <w:rsid w:val="00EB02D3"/>
    <w:rsid w:val="00EB0B63"/>
    <w:rsid w:val="00EB199F"/>
    <w:rsid w:val="00EB3738"/>
    <w:rsid w:val="00EB6F00"/>
    <w:rsid w:val="00EB74B2"/>
    <w:rsid w:val="00EC2E01"/>
    <w:rsid w:val="00EC34DA"/>
    <w:rsid w:val="00EC3C4A"/>
    <w:rsid w:val="00EC7C2C"/>
    <w:rsid w:val="00EC7D0F"/>
    <w:rsid w:val="00ED17F3"/>
    <w:rsid w:val="00ED2165"/>
    <w:rsid w:val="00ED230A"/>
    <w:rsid w:val="00ED2359"/>
    <w:rsid w:val="00ED26AA"/>
    <w:rsid w:val="00ED38FB"/>
    <w:rsid w:val="00ED52C0"/>
    <w:rsid w:val="00ED560F"/>
    <w:rsid w:val="00ED56C5"/>
    <w:rsid w:val="00ED6D83"/>
    <w:rsid w:val="00EE0BEA"/>
    <w:rsid w:val="00EE0F55"/>
    <w:rsid w:val="00EE4A06"/>
    <w:rsid w:val="00EF161E"/>
    <w:rsid w:val="00EF57B5"/>
    <w:rsid w:val="00EF6624"/>
    <w:rsid w:val="00F066A2"/>
    <w:rsid w:val="00F06C1C"/>
    <w:rsid w:val="00F0700E"/>
    <w:rsid w:val="00F073E2"/>
    <w:rsid w:val="00F0741B"/>
    <w:rsid w:val="00F07D02"/>
    <w:rsid w:val="00F07D21"/>
    <w:rsid w:val="00F12331"/>
    <w:rsid w:val="00F12641"/>
    <w:rsid w:val="00F173F3"/>
    <w:rsid w:val="00F22FA8"/>
    <w:rsid w:val="00F27BC8"/>
    <w:rsid w:val="00F31629"/>
    <w:rsid w:val="00F31B32"/>
    <w:rsid w:val="00F32529"/>
    <w:rsid w:val="00F32D1E"/>
    <w:rsid w:val="00F33CF6"/>
    <w:rsid w:val="00F34683"/>
    <w:rsid w:val="00F34C88"/>
    <w:rsid w:val="00F3554A"/>
    <w:rsid w:val="00F358A6"/>
    <w:rsid w:val="00F36891"/>
    <w:rsid w:val="00F40089"/>
    <w:rsid w:val="00F415E6"/>
    <w:rsid w:val="00F4237F"/>
    <w:rsid w:val="00F43461"/>
    <w:rsid w:val="00F43E16"/>
    <w:rsid w:val="00F44D67"/>
    <w:rsid w:val="00F45078"/>
    <w:rsid w:val="00F46BB5"/>
    <w:rsid w:val="00F50C84"/>
    <w:rsid w:val="00F514FF"/>
    <w:rsid w:val="00F51838"/>
    <w:rsid w:val="00F53F9B"/>
    <w:rsid w:val="00F56F9F"/>
    <w:rsid w:val="00F571DD"/>
    <w:rsid w:val="00F61BDE"/>
    <w:rsid w:val="00F638A2"/>
    <w:rsid w:val="00F638DE"/>
    <w:rsid w:val="00F67378"/>
    <w:rsid w:val="00F738C3"/>
    <w:rsid w:val="00F74F55"/>
    <w:rsid w:val="00F777E7"/>
    <w:rsid w:val="00F804DA"/>
    <w:rsid w:val="00F8200E"/>
    <w:rsid w:val="00F83245"/>
    <w:rsid w:val="00F84D1C"/>
    <w:rsid w:val="00F85E3E"/>
    <w:rsid w:val="00F91C68"/>
    <w:rsid w:val="00F92050"/>
    <w:rsid w:val="00F92FF0"/>
    <w:rsid w:val="00F93684"/>
    <w:rsid w:val="00F939F6"/>
    <w:rsid w:val="00F94303"/>
    <w:rsid w:val="00F96A3B"/>
    <w:rsid w:val="00F96B10"/>
    <w:rsid w:val="00F97530"/>
    <w:rsid w:val="00FA2088"/>
    <w:rsid w:val="00FA2CF6"/>
    <w:rsid w:val="00FA319B"/>
    <w:rsid w:val="00FA4B13"/>
    <w:rsid w:val="00FA5724"/>
    <w:rsid w:val="00FA7D6B"/>
    <w:rsid w:val="00FB09D1"/>
    <w:rsid w:val="00FB3D44"/>
    <w:rsid w:val="00FB3E3E"/>
    <w:rsid w:val="00FB49AD"/>
    <w:rsid w:val="00FB6314"/>
    <w:rsid w:val="00FB65CB"/>
    <w:rsid w:val="00FB683F"/>
    <w:rsid w:val="00FC2B0B"/>
    <w:rsid w:val="00FC39E7"/>
    <w:rsid w:val="00FC5A30"/>
    <w:rsid w:val="00FC6704"/>
    <w:rsid w:val="00FC6F0B"/>
    <w:rsid w:val="00FC7CC4"/>
    <w:rsid w:val="00FD595D"/>
    <w:rsid w:val="00FD59B1"/>
    <w:rsid w:val="00FD5DA5"/>
    <w:rsid w:val="00FD5F2F"/>
    <w:rsid w:val="00FD685F"/>
    <w:rsid w:val="00FE3001"/>
    <w:rsid w:val="00FE3AE1"/>
    <w:rsid w:val="00FE3CF7"/>
    <w:rsid w:val="00FE549F"/>
    <w:rsid w:val="00FE59A9"/>
    <w:rsid w:val="00FE5C63"/>
    <w:rsid w:val="00FE5F90"/>
    <w:rsid w:val="00FE67D5"/>
    <w:rsid w:val="00FF18EA"/>
    <w:rsid w:val="00FF2D99"/>
    <w:rsid w:val="00FF600B"/>
    <w:rsid w:val="00FF7568"/>
    <w:rsid w:val="012E3309"/>
    <w:rsid w:val="016E040A"/>
    <w:rsid w:val="017B2D69"/>
    <w:rsid w:val="018E53BB"/>
    <w:rsid w:val="020531A4"/>
    <w:rsid w:val="020D0EA1"/>
    <w:rsid w:val="021C3352"/>
    <w:rsid w:val="02CB3DD9"/>
    <w:rsid w:val="060A6758"/>
    <w:rsid w:val="06331AE5"/>
    <w:rsid w:val="063C2701"/>
    <w:rsid w:val="068D1703"/>
    <w:rsid w:val="06B05BED"/>
    <w:rsid w:val="070F0509"/>
    <w:rsid w:val="07980C16"/>
    <w:rsid w:val="07EB0B8D"/>
    <w:rsid w:val="09151419"/>
    <w:rsid w:val="092A36C0"/>
    <w:rsid w:val="09812CE0"/>
    <w:rsid w:val="098A72E3"/>
    <w:rsid w:val="09D61298"/>
    <w:rsid w:val="0A4D205D"/>
    <w:rsid w:val="0AB01583"/>
    <w:rsid w:val="0B0F486F"/>
    <w:rsid w:val="0B60615F"/>
    <w:rsid w:val="0BEA4171"/>
    <w:rsid w:val="0CC45712"/>
    <w:rsid w:val="0CEF4E8D"/>
    <w:rsid w:val="0E1B02D4"/>
    <w:rsid w:val="0EB11F99"/>
    <w:rsid w:val="0EBD2E3C"/>
    <w:rsid w:val="0EF44384"/>
    <w:rsid w:val="0FA70733"/>
    <w:rsid w:val="0FB96A45"/>
    <w:rsid w:val="1074632C"/>
    <w:rsid w:val="11023C2D"/>
    <w:rsid w:val="1150170C"/>
    <w:rsid w:val="119D7CCC"/>
    <w:rsid w:val="11A71B81"/>
    <w:rsid w:val="12081A72"/>
    <w:rsid w:val="12086AC4"/>
    <w:rsid w:val="13E175CD"/>
    <w:rsid w:val="13E64481"/>
    <w:rsid w:val="14092304"/>
    <w:rsid w:val="142C636E"/>
    <w:rsid w:val="14740383"/>
    <w:rsid w:val="14E87B4C"/>
    <w:rsid w:val="15233C15"/>
    <w:rsid w:val="15A73C37"/>
    <w:rsid w:val="15BF2EFE"/>
    <w:rsid w:val="16557DFE"/>
    <w:rsid w:val="16C55FB6"/>
    <w:rsid w:val="17297B65"/>
    <w:rsid w:val="182E0173"/>
    <w:rsid w:val="185F55F5"/>
    <w:rsid w:val="18DE057F"/>
    <w:rsid w:val="1913606C"/>
    <w:rsid w:val="192400FF"/>
    <w:rsid w:val="19DE010A"/>
    <w:rsid w:val="1A9F7949"/>
    <w:rsid w:val="1AB95D72"/>
    <w:rsid w:val="1B0E2C71"/>
    <w:rsid w:val="1B4B17D0"/>
    <w:rsid w:val="1BAF7FB0"/>
    <w:rsid w:val="1C0A3439"/>
    <w:rsid w:val="1C4D1A75"/>
    <w:rsid w:val="1C5A21E7"/>
    <w:rsid w:val="1C74587A"/>
    <w:rsid w:val="1CD46712"/>
    <w:rsid w:val="1CF21724"/>
    <w:rsid w:val="1D422FCE"/>
    <w:rsid w:val="1DE900C7"/>
    <w:rsid w:val="1E5B7F7C"/>
    <w:rsid w:val="1F9936BA"/>
    <w:rsid w:val="1FE324F0"/>
    <w:rsid w:val="20045B09"/>
    <w:rsid w:val="20087C8F"/>
    <w:rsid w:val="211D32FD"/>
    <w:rsid w:val="224E0395"/>
    <w:rsid w:val="2264148F"/>
    <w:rsid w:val="22E80703"/>
    <w:rsid w:val="231024BC"/>
    <w:rsid w:val="23A06591"/>
    <w:rsid w:val="23C84167"/>
    <w:rsid w:val="24354CFB"/>
    <w:rsid w:val="2480271A"/>
    <w:rsid w:val="251B5C87"/>
    <w:rsid w:val="258212E1"/>
    <w:rsid w:val="25DC7C5D"/>
    <w:rsid w:val="25E1234A"/>
    <w:rsid w:val="25E71C16"/>
    <w:rsid w:val="264D0AF2"/>
    <w:rsid w:val="266A1B61"/>
    <w:rsid w:val="26B17747"/>
    <w:rsid w:val="28085519"/>
    <w:rsid w:val="287606B8"/>
    <w:rsid w:val="28B233F9"/>
    <w:rsid w:val="29A9603F"/>
    <w:rsid w:val="29EF50CB"/>
    <w:rsid w:val="2B472170"/>
    <w:rsid w:val="2BB52F16"/>
    <w:rsid w:val="2CC83DD0"/>
    <w:rsid w:val="2CCA72DE"/>
    <w:rsid w:val="2D92328E"/>
    <w:rsid w:val="2DB96E88"/>
    <w:rsid w:val="2DBA0397"/>
    <w:rsid w:val="2E212079"/>
    <w:rsid w:val="2EFE73FB"/>
    <w:rsid w:val="2F706A2D"/>
    <w:rsid w:val="302963D4"/>
    <w:rsid w:val="30302C0E"/>
    <w:rsid w:val="30405223"/>
    <w:rsid w:val="30CE5E9D"/>
    <w:rsid w:val="31605B7D"/>
    <w:rsid w:val="32A01FA9"/>
    <w:rsid w:val="32D90BB3"/>
    <w:rsid w:val="333C3C2A"/>
    <w:rsid w:val="346E6C64"/>
    <w:rsid w:val="34E9418C"/>
    <w:rsid w:val="35436864"/>
    <w:rsid w:val="356E1F34"/>
    <w:rsid w:val="36010FB1"/>
    <w:rsid w:val="365C6E9B"/>
    <w:rsid w:val="36942D11"/>
    <w:rsid w:val="36D83E00"/>
    <w:rsid w:val="373979C7"/>
    <w:rsid w:val="37556868"/>
    <w:rsid w:val="385C6972"/>
    <w:rsid w:val="38A805A5"/>
    <w:rsid w:val="38C97C97"/>
    <w:rsid w:val="38FD3937"/>
    <w:rsid w:val="393A729D"/>
    <w:rsid w:val="3A182BA7"/>
    <w:rsid w:val="3A5B15D7"/>
    <w:rsid w:val="3B981668"/>
    <w:rsid w:val="3BA0301A"/>
    <w:rsid w:val="3BB668DA"/>
    <w:rsid w:val="3BDC7444"/>
    <w:rsid w:val="3C7E15AD"/>
    <w:rsid w:val="3CB21257"/>
    <w:rsid w:val="3D8258C9"/>
    <w:rsid w:val="3E290866"/>
    <w:rsid w:val="3F7D1E45"/>
    <w:rsid w:val="3FA657D8"/>
    <w:rsid w:val="3FE905B6"/>
    <w:rsid w:val="400902CE"/>
    <w:rsid w:val="4024752B"/>
    <w:rsid w:val="40D07EFD"/>
    <w:rsid w:val="414032D5"/>
    <w:rsid w:val="41437475"/>
    <w:rsid w:val="42B831AD"/>
    <w:rsid w:val="43994F1E"/>
    <w:rsid w:val="43D768AF"/>
    <w:rsid w:val="44244A83"/>
    <w:rsid w:val="443417CC"/>
    <w:rsid w:val="44E73581"/>
    <w:rsid w:val="45DA2D01"/>
    <w:rsid w:val="46011D57"/>
    <w:rsid w:val="460875DB"/>
    <w:rsid w:val="477535AD"/>
    <w:rsid w:val="48BC2F1C"/>
    <w:rsid w:val="49365F43"/>
    <w:rsid w:val="4A0C104F"/>
    <w:rsid w:val="4A4F6337"/>
    <w:rsid w:val="4A563B69"/>
    <w:rsid w:val="4AE922E8"/>
    <w:rsid w:val="4BAF6429"/>
    <w:rsid w:val="4C012E4E"/>
    <w:rsid w:val="4C490BA2"/>
    <w:rsid w:val="4C6611F9"/>
    <w:rsid w:val="4D362EE1"/>
    <w:rsid w:val="4D527F1D"/>
    <w:rsid w:val="4DE45FE7"/>
    <w:rsid w:val="4E4F4B57"/>
    <w:rsid w:val="4E545742"/>
    <w:rsid w:val="4E624981"/>
    <w:rsid w:val="4F98203F"/>
    <w:rsid w:val="4FCE7959"/>
    <w:rsid w:val="511657D8"/>
    <w:rsid w:val="514B3CFC"/>
    <w:rsid w:val="51870AAC"/>
    <w:rsid w:val="51B36CFC"/>
    <w:rsid w:val="51C35D6F"/>
    <w:rsid w:val="52936A52"/>
    <w:rsid w:val="52945588"/>
    <w:rsid w:val="52DC7024"/>
    <w:rsid w:val="53230361"/>
    <w:rsid w:val="54B205FE"/>
    <w:rsid w:val="54DC7A5B"/>
    <w:rsid w:val="56744020"/>
    <w:rsid w:val="56DE7977"/>
    <w:rsid w:val="56F30003"/>
    <w:rsid w:val="57831D16"/>
    <w:rsid w:val="57C06B72"/>
    <w:rsid w:val="58FE583A"/>
    <w:rsid w:val="593C307C"/>
    <w:rsid w:val="59771406"/>
    <w:rsid w:val="59975510"/>
    <w:rsid w:val="59CC52AE"/>
    <w:rsid w:val="5A432F8D"/>
    <w:rsid w:val="5B2F793C"/>
    <w:rsid w:val="5BCB58F6"/>
    <w:rsid w:val="5C321E9B"/>
    <w:rsid w:val="5C361458"/>
    <w:rsid w:val="5C610041"/>
    <w:rsid w:val="5D714235"/>
    <w:rsid w:val="5D92680F"/>
    <w:rsid w:val="5DD54F55"/>
    <w:rsid w:val="5E7F3D91"/>
    <w:rsid w:val="5EA4058F"/>
    <w:rsid w:val="5EDE7F25"/>
    <w:rsid w:val="5F025C16"/>
    <w:rsid w:val="602A7A87"/>
    <w:rsid w:val="60E02B20"/>
    <w:rsid w:val="614D4D08"/>
    <w:rsid w:val="6158374E"/>
    <w:rsid w:val="627F3A39"/>
    <w:rsid w:val="62D60F4C"/>
    <w:rsid w:val="645E4E80"/>
    <w:rsid w:val="646003F3"/>
    <w:rsid w:val="64944811"/>
    <w:rsid w:val="64AC6924"/>
    <w:rsid w:val="64BE377D"/>
    <w:rsid w:val="64F355D6"/>
    <w:rsid w:val="65351598"/>
    <w:rsid w:val="654B31E9"/>
    <w:rsid w:val="65980578"/>
    <w:rsid w:val="67334BBF"/>
    <w:rsid w:val="67413ADD"/>
    <w:rsid w:val="67973093"/>
    <w:rsid w:val="68773FDE"/>
    <w:rsid w:val="689F4691"/>
    <w:rsid w:val="696F20FA"/>
    <w:rsid w:val="698C2CAC"/>
    <w:rsid w:val="698E0394"/>
    <w:rsid w:val="69A02843"/>
    <w:rsid w:val="6A8B493B"/>
    <w:rsid w:val="6AEB7F64"/>
    <w:rsid w:val="6B056872"/>
    <w:rsid w:val="6B064398"/>
    <w:rsid w:val="6B410D73"/>
    <w:rsid w:val="6B416772"/>
    <w:rsid w:val="6B9C3EC7"/>
    <w:rsid w:val="6BC856C2"/>
    <w:rsid w:val="6D0D5BA4"/>
    <w:rsid w:val="6D154ACC"/>
    <w:rsid w:val="6D6100A7"/>
    <w:rsid w:val="6D7B01B7"/>
    <w:rsid w:val="6DB93CC7"/>
    <w:rsid w:val="6DDD40E1"/>
    <w:rsid w:val="6E1D2124"/>
    <w:rsid w:val="6EF37D6B"/>
    <w:rsid w:val="6F1807A7"/>
    <w:rsid w:val="6F926156"/>
    <w:rsid w:val="6FA05E13"/>
    <w:rsid w:val="733221CE"/>
    <w:rsid w:val="745A6501"/>
    <w:rsid w:val="748374B4"/>
    <w:rsid w:val="74AA322B"/>
    <w:rsid w:val="7523019F"/>
    <w:rsid w:val="75A5421E"/>
    <w:rsid w:val="76002075"/>
    <w:rsid w:val="771E78EF"/>
    <w:rsid w:val="77285F81"/>
    <w:rsid w:val="77DD34A7"/>
    <w:rsid w:val="781F69DF"/>
    <w:rsid w:val="78743F0C"/>
    <w:rsid w:val="78A31478"/>
    <w:rsid w:val="7A041E8F"/>
    <w:rsid w:val="7A1B7E60"/>
    <w:rsid w:val="7ABD0F17"/>
    <w:rsid w:val="7BC167E5"/>
    <w:rsid w:val="7BD87918"/>
    <w:rsid w:val="7C07752F"/>
    <w:rsid w:val="7C751669"/>
    <w:rsid w:val="7CA26617"/>
    <w:rsid w:val="7DC93F96"/>
    <w:rsid w:val="7DCE6C76"/>
    <w:rsid w:val="7F4D294D"/>
    <w:rsid w:val="7F73429A"/>
    <w:rsid w:val="7F9A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54"/>
    <w:qFormat/>
    <w:uiPriority w:val="9"/>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59"/>
    <w:qFormat/>
    <w:uiPriority w:val="0"/>
    <w:pPr>
      <w:ind w:firstLine="420"/>
    </w:pPr>
    <w:rPr>
      <w:rFonts w:ascii="Times New Roman" w:hAnsi="Times New Roman" w:eastAsia="宋体" w:cs="Times New Roman"/>
      <w:szCs w:val="20"/>
    </w:rPr>
  </w:style>
  <w:style w:type="paragraph" w:styleId="7">
    <w:name w:val="annotation text"/>
    <w:basedOn w:val="1"/>
    <w:link w:val="45"/>
    <w:autoRedefine/>
    <w:qFormat/>
    <w:uiPriority w:val="0"/>
    <w:pPr>
      <w:jc w:val="left"/>
    </w:pPr>
    <w:rPr>
      <w:rFonts w:ascii="Times New Roman" w:hAnsi="Times New Roman" w:eastAsia="宋体" w:cs="Times New Roman"/>
      <w:szCs w:val="20"/>
    </w:rPr>
  </w:style>
  <w:style w:type="paragraph" w:styleId="8">
    <w:name w:val="Body Text 3"/>
    <w:basedOn w:val="1"/>
    <w:link w:val="46"/>
    <w:autoRedefine/>
    <w:qFormat/>
    <w:uiPriority w:val="0"/>
    <w:pPr>
      <w:spacing w:after="120"/>
    </w:pPr>
    <w:rPr>
      <w:rFonts w:ascii="Times New Roman" w:hAnsi="Times New Roman" w:eastAsia="宋体" w:cs="Times New Roman"/>
      <w:sz w:val="16"/>
      <w:szCs w:val="16"/>
    </w:rPr>
  </w:style>
  <w:style w:type="paragraph" w:styleId="9">
    <w:name w:val="Body Text"/>
    <w:basedOn w:val="1"/>
    <w:next w:val="10"/>
    <w:link w:val="49"/>
    <w:autoRedefine/>
    <w:unhideWhenUsed/>
    <w:qFormat/>
    <w:uiPriority w:val="99"/>
    <w:pPr>
      <w:spacing w:after="120"/>
    </w:pPr>
  </w:style>
  <w:style w:type="paragraph" w:styleId="10">
    <w:name w:val="Body Text 2"/>
    <w:basedOn w:val="1"/>
    <w:autoRedefine/>
    <w:qFormat/>
    <w:uiPriority w:val="0"/>
    <w:pPr>
      <w:spacing w:after="120" w:line="480" w:lineRule="auto"/>
    </w:pPr>
  </w:style>
  <w:style w:type="paragraph" w:styleId="11">
    <w:name w:val="Body Text Indent"/>
    <w:basedOn w:val="1"/>
    <w:next w:val="1"/>
    <w:link w:val="39"/>
    <w:autoRedefine/>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2">
    <w:name w:val="index 4"/>
    <w:basedOn w:val="1"/>
    <w:next w:val="1"/>
    <w:autoRedefine/>
    <w:unhideWhenUsed/>
    <w:qFormat/>
    <w:uiPriority w:val="99"/>
    <w:pPr>
      <w:ind w:left="600" w:leftChars="600"/>
    </w:pPr>
    <w:rPr>
      <w:rFonts w:ascii="Verdana" w:hAnsi="Verdana"/>
      <w:szCs w:val="20"/>
    </w:rPr>
  </w:style>
  <w:style w:type="paragraph" w:styleId="13">
    <w:name w:val="toc 3"/>
    <w:basedOn w:val="1"/>
    <w:next w:val="1"/>
    <w:autoRedefine/>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4">
    <w:name w:val="Plain Text"/>
    <w:basedOn w:val="1"/>
    <w:link w:val="42"/>
    <w:autoRedefine/>
    <w:qFormat/>
    <w:uiPriority w:val="0"/>
    <w:rPr>
      <w:rFonts w:ascii="宋体" w:hAnsi="Courier New" w:eastAsia="宋体" w:cs="Times New Roman"/>
      <w:szCs w:val="20"/>
    </w:rPr>
  </w:style>
  <w:style w:type="paragraph" w:styleId="15">
    <w:name w:val="Date"/>
    <w:basedOn w:val="1"/>
    <w:next w:val="1"/>
    <w:link w:val="44"/>
    <w:autoRedefine/>
    <w:semiHidden/>
    <w:unhideWhenUsed/>
    <w:qFormat/>
    <w:uiPriority w:val="99"/>
    <w:pPr>
      <w:ind w:left="100" w:leftChars="2500"/>
    </w:pPr>
  </w:style>
  <w:style w:type="paragraph" w:styleId="16">
    <w:name w:val="Balloon Text"/>
    <w:basedOn w:val="1"/>
    <w:link w:val="43"/>
    <w:semiHidden/>
    <w:unhideWhenUsed/>
    <w:qFormat/>
    <w:uiPriority w:val="99"/>
    <w:rPr>
      <w:sz w:val="18"/>
      <w:szCs w:val="18"/>
    </w:rPr>
  </w:style>
  <w:style w:type="paragraph" w:styleId="17">
    <w:name w:val="footer"/>
    <w:basedOn w:val="1"/>
    <w:link w:val="36"/>
    <w:autoRedefine/>
    <w:unhideWhenUsed/>
    <w:qFormat/>
    <w:uiPriority w:val="99"/>
    <w:pPr>
      <w:tabs>
        <w:tab w:val="center" w:pos="4153"/>
        <w:tab w:val="right" w:pos="8306"/>
      </w:tabs>
      <w:snapToGrid w:val="0"/>
      <w:jc w:val="left"/>
    </w:pPr>
    <w:rPr>
      <w:sz w:val="18"/>
      <w:szCs w:val="18"/>
    </w:rPr>
  </w:style>
  <w:style w:type="paragraph" w:styleId="18">
    <w:name w:val="envelope return"/>
    <w:basedOn w:val="1"/>
    <w:autoRedefine/>
    <w:unhideWhenUsed/>
    <w:qFormat/>
    <w:uiPriority w:val="99"/>
    <w:pPr>
      <w:snapToGrid w:val="0"/>
    </w:pPr>
    <w:rPr>
      <w:rFonts w:ascii="Arial" w:hAnsi="Arial"/>
    </w:rPr>
  </w:style>
  <w:style w:type="paragraph" w:styleId="19">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21">
    <w:name w:val="toc 2"/>
    <w:basedOn w:val="1"/>
    <w:next w:val="1"/>
    <w:autoRedefine/>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7"/>
    <w:next w:val="7"/>
    <w:link w:val="57"/>
    <w:autoRedefine/>
    <w:semiHidden/>
    <w:unhideWhenUsed/>
    <w:qFormat/>
    <w:uiPriority w:val="99"/>
    <w:rPr>
      <w:rFonts w:asciiTheme="minorHAnsi" w:hAnsiTheme="minorHAnsi" w:eastAsiaTheme="minorEastAsia" w:cstheme="minorBidi"/>
      <w:b/>
      <w:bCs/>
      <w:szCs w:val="22"/>
    </w:rPr>
  </w:style>
  <w:style w:type="paragraph" w:styleId="24">
    <w:name w:val="Body Text First Indent"/>
    <w:basedOn w:val="9"/>
    <w:link w:val="61"/>
    <w:autoRedefine/>
    <w:semiHidden/>
    <w:unhideWhenUsed/>
    <w:qFormat/>
    <w:uiPriority w:val="99"/>
    <w:pPr>
      <w:ind w:firstLine="420" w:firstLineChars="100"/>
    </w:pPr>
  </w:style>
  <w:style w:type="paragraph" w:styleId="25">
    <w:name w:val="Body Text First Indent 2"/>
    <w:basedOn w:val="11"/>
    <w:next w:val="1"/>
    <w:autoRedefine/>
    <w:qFormat/>
    <w:uiPriority w:val="0"/>
    <w:pPr>
      <w:ind w:firstLine="420"/>
    </w:pPr>
    <w:rPr>
      <w:sz w:val="20"/>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Emphasis"/>
    <w:basedOn w:val="28"/>
    <w:autoRedefine/>
    <w:qFormat/>
    <w:uiPriority w:val="20"/>
    <w:rPr>
      <w:i/>
    </w:rPr>
  </w:style>
  <w:style w:type="character" w:styleId="31">
    <w:name w:val="Hyperlink"/>
    <w:basedOn w:val="28"/>
    <w:autoRedefine/>
    <w:unhideWhenUsed/>
    <w:qFormat/>
    <w:uiPriority w:val="99"/>
    <w:rPr>
      <w:color w:val="0563C1" w:themeColor="hyperlink"/>
      <w:u w:val="single"/>
      <w14:textFill>
        <w14:solidFill>
          <w14:schemeClr w14:val="hlink"/>
        </w14:solidFill>
      </w14:textFill>
    </w:rPr>
  </w:style>
  <w:style w:type="character" w:styleId="32">
    <w:name w:val="annotation reference"/>
    <w:autoRedefine/>
    <w:qFormat/>
    <w:uiPriority w:val="0"/>
    <w:rPr>
      <w:sz w:val="21"/>
      <w:szCs w:val="21"/>
    </w:rPr>
  </w:style>
  <w:style w:type="paragraph" w:styleId="33">
    <w:name w:val="List Paragraph"/>
    <w:basedOn w:val="1"/>
    <w:link w:val="60"/>
    <w:autoRedefine/>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paragraph" w:customStyle="1" w:styleId="34">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页眉 Char"/>
    <w:basedOn w:val="28"/>
    <w:link w:val="19"/>
    <w:autoRedefine/>
    <w:qFormat/>
    <w:uiPriority w:val="99"/>
    <w:rPr>
      <w:sz w:val="18"/>
      <w:szCs w:val="18"/>
    </w:rPr>
  </w:style>
  <w:style w:type="character" w:customStyle="1" w:styleId="36">
    <w:name w:val="页脚 Char"/>
    <w:basedOn w:val="28"/>
    <w:link w:val="17"/>
    <w:autoRedefine/>
    <w:qFormat/>
    <w:uiPriority w:val="99"/>
    <w:rPr>
      <w:sz w:val="18"/>
      <w:szCs w:val="18"/>
    </w:rPr>
  </w:style>
  <w:style w:type="character" w:customStyle="1" w:styleId="37">
    <w:name w:val="标题 1 Char"/>
    <w:basedOn w:val="28"/>
    <w:link w:val="3"/>
    <w:autoRedefine/>
    <w:qFormat/>
    <w:uiPriority w:val="9"/>
    <w:rPr>
      <w:b/>
      <w:bCs/>
      <w:kern w:val="44"/>
      <w:sz w:val="44"/>
      <w:szCs w:val="44"/>
    </w:rPr>
  </w:style>
  <w:style w:type="paragraph" w:customStyle="1" w:styleId="38">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9">
    <w:name w:val="正文文本缩进 Char"/>
    <w:basedOn w:val="28"/>
    <w:link w:val="11"/>
    <w:autoRedefine/>
    <w:qFormat/>
    <w:uiPriority w:val="0"/>
    <w:rPr>
      <w:rFonts w:ascii="楷体_GB2312" w:hAnsi="Times New Roman" w:eastAsia="楷体_GB2312" w:cs="Times New Roman"/>
      <w:kern w:val="0"/>
      <w:sz w:val="28"/>
      <w:szCs w:val="20"/>
    </w:rPr>
  </w:style>
  <w:style w:type="paragraph" w:customStyle="1" w:styleId="40">
    <w:name w:val="蓝色显示"/>
    <w:basedOn w:val="1"/>
    <w:link w:val="41"/>
    <w:autoRedefine/>
    <w:qFormat/>
    <w:uiPriority w:val="0"/>
    <w:pPr>
      <w:spacing w:before="340" w:after="330" w:line="400" w:lineRule="exact"/>
    </w:pPr>
    <w:rPr>
      <w:rFonts w:ascii="Times New Roman" w:hAnsi="Times New Roman" w:eastAsia="宋体" w:cs="Times New Roman"/>
      <w:b/>
      <w:color w:val="0070C0"/>
      <w:szCs w:val="24"/>
    </w:rPr>
  </w:style>
  <w:style w:type="character" w:customStyle="1" w:styleId="41">
    <w:name w:val="蓝色显示 Char"/>
    <w:link w:val="40"/>
    <w:autoRedefine/>
    <w:qFormat/>
    <w:uiPriority w:val="0"/>
    <w:rPr>
      <w:rFonts w:ascii="Times New Roman" w:hAnsi="Times New Roman" w:eastAsia="宋体" w:cs="Times New Roman"/>
      <w:b/>
      <w:color w:val="0070C0"/>
      <w:szCs w:val="24"/>
    </w:rPr>
  </w:style>
  <w:style w:type="character" w:customStyle="1" w:styleId="42">
    <w:name w:val="纯文本 Char"/>
    <w:basedOn w:val="28"/>
    <w:link w:val="14"/>
    <w:autoRedefine/>
    <w:qFormat/>
    <w:uiPriority w:val="0"/>
    <w:rPr>
      <w:rFonts w:ascii="宋体" w:hAnsi="Courier New" w:eastAsia="宋体" w:cs="Times New Roman"/>
      <w:szCs w:val="20"/>
    </w:rPr>
  </w:style>
  <w:style w:type="character" w:customStyle="1" w:styleId="43">
    <w:name w:val="批注框文本 Char"/>
    <w:basedOn w:val="28"/>
    <w:link w:val="16"/>
    <w:autoRedefine/>
    <w:semiHidden/>
    <w:qFormat/>
    <w:uiPriority w:val="99"/>
    <w:rPr>
      <w:sz w:val="18"/>
      <w:szCs w:val="18"/>
    </w:rPr>
  </w:style>
  <w:style w:type="character" w:customStyle="1" w:styleId="44">
    <w:name w:val="日期 Char"/>
    <w:basedOn w:val="28"/>
    <w:link w:val="15"/>
    <w:autoRedefine/>
    <w:semiHidden/>
    <w:qFormat/>
    <w:uiPriority w:val="99"/>
  </w:style>
  <w:style w:type="character" w:customStyle="1" w:styleId="45">
    <w:name w:val="批注文字 Char"/>
    <w:basedOn w:val="28"/>
    <w:link w:val="7"/>
    <w:autoRedefine/>
    <w:qFormat/>
    <w:uiPriority w:val="99"/>
    <w:rPr>
      <w:rFonts w:ascii="Times New Roman" w:hAnsi="Times New Roman" w:eastAsia="宋体" w:cs="Times New Roman"/>
      <w:szCs w:val="20"/>
    </w:rPr>
  </w:style>
  <w:style w:type="character" w:customStyle="1" w:styleId="46">
    <w:name w:val="正文文本 3 Char"/>
    <w:basedOn w:val="28"/>
    <w:link w:val="8"/>
    <w:autoRedefine/>
    <w:qFormat/>
    <w:uiPriority w:val="0"/>
    <w:rPr>
      <w:rFonts w:ascii="Times New Roman" w:hAnsi="Times New Roman" w:eastAsia="宋体" w:cs="Times New Roman"/>
      <w:sz w:val="16"/>
      <w:szCs w:val="16"/>
    </w:rPr>
  </w:style>
  <w:style w:type="paragraph" w:customStyle="1" w:styleId="47">
    <w:name w:val="正文00"/>
    <w:basedOn w:val="1"/>
    <w:autoRedefine/>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8">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49">
    <w:name w:val="正文文本 Char"/>
    <w:basedOn w:val="28"/>
    <w:link w:val="9"/>
    <w:autoRedefine/>
    <w:qFormat/>
    <w:uiPriority w:val="99"/>
  </w:style>
  <w:style w:type="paragraph" w:customStyle="1" w:styleId="50">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51">
    <w:name w:val="*正文 Char"/>
    <w:link w:val="52"/>
    <w:autoRedefine/>
    <w:qFormat/>
    <w:uiPriority w:val="0"/>
    <w:rPr>
      <w:kern w:val="2"/>
      <w:sz w:val="24"/>
      <w:szCs w:val="24"/>
    </w:rPr>
  </w:style>
  <w:style w:type="paragraph" w:customStyle="1" w:styleId="52">
    <w:name w:val="*正文"/>
    <w:basedOn w:val="1"/>
    <w:link w:val="51"/>
    <w:autoRedefine/>
    <w:qFormat/>
    <w:uiPriority w:val="0"/>
    <w:pPr>
      <w:adjustRightInd w:val="0"/>
      <w:snapToGrid w:val="0"/>
      <w:spacing w:line="340" w:lineRule="exact"/>
      <w:ind w:firstLine="480" w:firstLineChars="200"/>
    </w:pPr>
    <w:rPr>
      <w:sz w:val="24"/>
      <w:szCs w:val="24"/>
    </w:rPr>
  </w:style>
  <w:style w:type="table" w:customStyle="1" w:styleId="53">
    <w:name w:val="网格型3"/>
    <w:basedOn w:val="2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标题 2 Char"/>
    <w:basedOn w:val="28"/>
    <w:link w:val="2"/>
    <w:autoRedefine/>
    <w:qFormat/>
    <w:uiPriority w:val="9"/>
    <w:rPr>
      <w:rFonts w:ascii="Arial" w:hAnsi="Arial" w:eastAsia="幼圆" w:cs="Arial"/>
      <w:b/>
      <w:bCs/>
      <w:kern w:val="2"/>
      <w:sz w:val="44"/>
      <w:szCs w:val="44"/>
    </w:rPr>
  </w:style>
  <w:style w:type="paragraph" w:customStyle="1" w:styleId="55">
    <w:name w:val="招标文件_标题3"/>
    <w:basedOn w:val="33"/>
    <w:next w:val="1"/>
    <w:link w:val="56"/>
    <w:autoRedefine/>
    <w:qFormat/>
    <w:uiPriority w:val="0"/>
    <w:pPr>
      <w:widowControl w:val="0"/>
      <w:spacing w:before="0" w:after="0"/>
      <w:ind w:firstLine="0" w:firstLineChars="0"/>
      <w:jc w:val="both"/>
      <w:outlineLvl w:val="2"/>
    </w:pPr>
    <w:rPr>
      <w:rFonts w:hint="default" w:ascii="Calibri" w:hAnsi="Calibri" w:eastAsia="宋体" w:cs="Times New Roman"/>
      <w:b/>
      <w:color w:val="auto"/>
      <w:sz w:val="28"/>
      <w:szCs w:val="30"/>
      <w:lang w:val="zh-CN" w:bidi="en-US"/>
    </w:rPr>
  </w:style>
  <w:style w:type="character" w:customStyle="1" w:styleId="56">
    <w:name w:val="招标文件_标题3 字符"/>
    <w:basedOn w:val="28"/>
    <w:link w:val="55"/>
    <w:autoRedefine/>
    <w:qFormat/>
    <w:uiPriority w:val="0"/>
    <w:rPr>
      <w:rFonts w:ascii="Calibri" w:hAnsi="Calibri" w:eastAsia="宋体" w:cs="Times New Roman"/>
      <w:b/>
      <w:sz w:val="28"/>
      <w:szCs w:val="30"/>
      <w:lang w:val="zh-CN" w:eastAsia="en-US" w:bidi="en-US"/>
    </w:rPr>
  </w:style>
  <w:style w:type="character" w:customStyle="1" w:styleId="57">
    <w:name w:val="批注主题 Char"/>
    <w:basedOn w:val="45"/>
    <w:link w:val="23"/>
    <w:autoRedefine/>
    <w:semiHidden/>
    <w:qFormat/>
    <w:uiPriority w:val="99"/>
    <w:rPr>
      <w:rFonts w:ascii="Times New Roman" w:hAnsi="Times New Roman" w:eastAsia="宋体" w:cs="Times New Roman"/>
      <w:b/>
      <w:bCs/>
      <w:kern w:val="2"/>
      <w:sz w:val="21"/>
      <w:szCs w:val="22"/>
    </w:rPr>
  </w:style>
  <w:style w:type="character" w:customStyle="1" w:styleId="58">
    <w:name w:val="标题 4 Char"/>
    <w:basedOn w:val="28"/>
    <w:link w:val="5"/>
    <w:autoRedefine/>
    <w:semiHidden/>
    <w:qFormat/>
    <w:uiPriority w:val="9"/>
    <w:rPr>
      <w:rFonts w:asciiTheme="majorHAnsi" w:hAnsiTheme="majorHAnsi" w:eastAsiaTheme="majorEastAsia" w:cstheme="majorBidi"/>
      <w:b/>
      <w:bCs/>
      <w:kern w:val="2"/>
      <w:sz w:val="28"/>
      <w:szCs w:val="28"/>
    </w:rPr>
  </w:style>
  <w:style w:type="character" w:customStyle="1" w:styleId="59">
    <w:name w:val="正文缩进 Char"/>
    <w:link w:val="6"/>
    <w:autoRedefine/>
    <w:qFormat/>
    <w:uiPriority w:val="0"/>
    <w:rPr>
      <w:rFonts w:ascii="Times New Roman" w:hAnsi="Times New Roman" w:eastAsia="宋体" w:cs="Times New Roman"/>
      <w:kern w:val="2"/>
      <w:sz w:val="21"/>
    </w:rPr>
  </w:style>
  <w:style w:type="character" w:customStyle="1" w:styleId="60">
    <w:name w:val="列出段落 Char"/>
    <w:link w:val="33"/>
    <w:autoRedefine/>
    <w:qFormat/>
    <w:locked/>
    <w:uiPriority w:val="34"/>
    <w:rPr>
      <w:rFonts w:ascii="Arial Unicode MS" w:hAnsi="Arial Unicode MS" w:eastAsia="Times New Roman" w:cs="Arial Unicode MS"/>
      <w:color w:val="000000"/>
      <w:u w:color="000000"/>
      <w:lang w:eastAsia="en-US"/>
    </w:rPr>
  </w:style>
  <w:style w:type="character" w:customStyle="1" w:styleId="61">
    <w:name w:val="正文首行缩进 Char"/>
    <w:basedOn w:val="49"/>
    <w:link w:val="24"/>
    <w:autoRedefine/>
    <w:semiHidden/>
    <w:qFormat/>
    <w:uiPriority w:val="99"/>
    <w:rPr>
      <w:kern w:val="2"/>
      <w:sz w:val="21"/>
      <w:szCs w:val="22"/>
    </w:rPr>
  </w:style>
  <w:style w:type="character" w:customStyle="1" w:styleId="62">
    <w:name w:val="sh141"/>
    <w:autoRedefine/>
    <w:qFormat/>
    <w:uiPriority w:val="0"/>
    <w:rPr>
      <w:color w:val="2B2B2B"/>
      <w:sz w:val="21"/>
      <w:szCs w:val="21"/>
    </w:rPr>
  </w:style>
  <w:style w:type="paragraph" w:customStyle="1" w:styleId="63">
    <w:name w:val="标准文本"/>
    <w:basedOn w:val="1"/>
    <w:link w:val="64"/>
    <w:autoRedefine/>
    <w:qFormat/>
    <w:uiPriority w:val="0"/>
    <w:pPr>
      <w:adjustRightInd w:val="0"/>
      <w:snapToGrid w:val="0"/>
      <w:spacing w:line="360" w:lineRule="auto"/>
      <w:ind w:firstLine="480" w:firstLineChars="200"/>
    </w:pPr>
    <w:rPr>
      <w:rFonts w:ascii="Times New Roman" w:hAnsi="Times New Roman" w:eastAsia="宋体" w:cs="宋体"/>
      <w:sz w:val="24"/>
      <w:szCs w:val="24"/>
    </w:rPr>
  </w:style>
  <w:style w:type="character" w:customStyle="1" w:styleId="64">
    <w:name w:val="标准文本 Char"/>
    <w:link w:val="63"/>
    <w:autoRedefine/>
    <w:qFormat/>
    <w:uiPriority w:val="0"/>
    <w:rPr>
      <w:rFonts w:ascii="Times New Roman" w:hAnsi="Times New Roman" w:eastAsia="宋体" w:cs="宋体"/>
      <w:kern w:val="2"/>
      <w:sz w:val="24"/>
      <w:szCs w:val="24"/>
    </w:rPr>
  </w:style>
  <w:style w:type="paragraph" w:customStyle="1" w:styleId="65">
    <w:name w:val="列出段落1"/>
    <w:basedOn w:val="1"/>
    <w:autoRedefine/>
    <w:qFormat/>
    <w:uiPriority w:val="0"/>
    <w:pPr>
      <w:ind w:left="200" w:leftChars="200"/>
      <w:jc w:val="left"/>
    </w:pPr>
    <w:rPr>
      <w:rFonts w:ascii="Calibri" w:hAnsi="Calibri" w:eastAsia="PMingLiU" w:cs="宋体"/>
      <w:sz w:val="24"/>
      <w:lang w:eastAsia="zh-TW"/>
    </w:rPr>
  </w:style>
  <w:style w:type="paragraph" w:customStyle="1" w:styleId="66">
    <w:name w:val="正文1"/>
    <w:basedOn w:val="1"/>
    <w:autoRedefine/>
    <w:qFormat/>
    <w:uiPriority w:val="0"/>
    <w:pPr>
      <w:tabs>
        <w:tab w:val="left" w:pos="1290"/>
      </w:tabs>
      <w:ind w:left="1290" w:hanging="420"/>
      <w:jc w:val="left"/>
    </w:pPr>
    <w:rPr>
      <w:rFonts w:ascii="Times New Roman" w:hAnsi="Times New Roman"/>
      <w:szCs w:val="24"/>
    </w:rPr>
  </w:style>
  <w:style w:type="paragraph" w:customStyle="1" w:styleId="67">
    <w:name w:val="首行缩进"/>
    <w:basedOn w:val="1"/>
    <w:autoRedefine/>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5F922-C689-4A6F-ABAD-D891C1DBE5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17048</Words>
  <Characters>18148</Characters>
  <Lines>143</Lines>
  <Paragraphs>40</Paragraphs>
  <TotalTime>29</TotalTime>
  <ScaleCrop>false</ScaleCrop>
  <LinksUpToDate>false</LinksUpToDate>
  <CharactersWithSpaces>19336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2020-11-30T05:46:00Z</dcterms:created>
  <dc:creator>ibm</dc:creator>
  <cp:lastModifiedBy>熊吉同学</cp:lastModifiedBy>
  <cp:lastPrinted>2016-04-14T05:56:00Z</cp:lastPrinted>
  <dcterms:modified xsi:type="dcterms:W3CDTF">2024-07-12T01:37:19Z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9BD548DDCA6A43839207058A85CB3C29_13</vt:lpwstr>
  </property>
</Properties>
</file>