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7"/>
        <w:spacing w:before="0" w:after="0"/>
        <w:ind w:firstLine="0"/>
        <w:rPr>
          <w:rFonts w:hint="eastAsia" w:ascii="宋体" w:hAnsi="宋体" w:eastAsia="宋体" w:cs="宋体"/>
          <w:color w:val="auto"/>
        </w:rPr>
      </w:pPr>
    </w:p>
    <w:p>
      <w:pPr>
        <w:pStyle w:val="47"/>
        <w:spacing w:before="0" w:after="0"/>
        <w:ind w:firstLine="0"/>
        <w:rPr>
          <w:rFonts w:hint="eastAsia" w:ascii="宋体" w:hAnsi="宋体" w:eastAsia="宋体" w:cs="宋体"/>
          <w:color w:val="auto"/>
        </w:rPr>
      </w:pPr>
    </w:p>
    <w:p>
      <w:pPr>
        <w:pStyle w:val="47"/>
        <w:spacing w:before="0" w:after="0"/>
        <w:ind w:firstLine="0"/>
        <w:rPr>
          <w:rFonts w:hint="eastAsia" w:ascii="宋体" w:hAnsi="宋体" w:eastAsia="宋体" w:cs="宋体"/>
          <w:color w:val="auto"/>
        </w:rPr>
      </w:pPr>
    </w:p>
    <w:p>
      <w:pPr>
        <w:pStyle w:val="47"/>
        <w:spacing w:before="0" w:after="0"/>
        <w:ind w:firstLine="0"/>
        <w:rPr>
          <w:rFonts w:hint="eastAsia" w:ascii="宋体" w:hAnsi="宋体" w:eastAsia="宋体" w:cs="宋体"/>
          <w:color w:val="auto"/>
        </w:rPr>
      </w:pPr>
    </w:p>
    <w:p>
      <w:pPr>
        <w:pStyle w:val="47"/>
        <w:spacing w:before="0" w:after="0"/>
        <w:ind w:firstLine="0"/>
        <w:rPr>
          <w:rFonts w:hint="eastAsia" w:ascii="宋体" w:hAnsi="宋体" w:eastAsia="宋体" w:cs="宋体"/>
          <w:color w:val="auto"/>
        </w:rPr>
      </w:pPr>
    </w:p>
    <w:p>
      <w:pPr>
        <w:pStyle w:val="47"/>
        <w:spacing w:before="0" w:after="0"/>
        <w:ind w:firstLine="0"/>
        <w:rPr>
          <w:rFonts w:hint="eastAsia" w:ascii="宋体" w:hAnsi="宋体" w:eastAsia="宋体" w:cs="宋体"/>
          <w:color w:val="auto"/>
        </w:rPr>
      </w:pPr>
    </w:p>
    <w:p>
      <w:pPr>
        <w:pStyle w:val="47"/>
        <w:ind w:left="-199" w:leftChars="-95" w:right="-218" w:rightChars="-104" w:firstLine="0" w:firstLineChars="0"/>
        <w:jc w:val="center"/>
        <w:rPr>
          <w:rFonts w:hint="eastAsia" w:ascii="黑体" w:hAnsi="黑体" w:eastAsia="黑体" w:cs="黑体"/>
          <w:color w:val="auto"/>
          <w:sz w:val="40"/>
          <w:szCs w:val="36"/>
          <w:lang w:eastAsia="zh-CN"/>
        </w:rPr>
      </w:pPr>
      <w:r>
        <w:rPr>
          <w:rFonts w:hint="eastAsia" w:ascii="黑体" w:hAnsi="黑体" w:eastAsia="黑体" w:cs="黑体"/>
          <w:color w:val="auto"/>
          <w:sz w:val="40"/>
          <w:szCs w:val="36"/>
          <w:lang w:eastAsia="zh-CN"/>
        </w:rPr>
        <w:t>南京邮电大学通达学院校内配送服务采购项目</w:t>
      </w:r>
    </w:p>
    <w:p>
      <w:pPr>
        <w:pStyle w:val="47"/>
        <w:ind w:left="-199" w:leftChars="-95" w:right="-218" w:rightChars="-104" w:firstLine="0" w:firstLineChars="0"/>
        <w:jc w:val="center"/>
        <w:rPr>
          <w:rFonts w:hint="eastAsia" w:ascii="黑体" w:hAnsi="黑体" w:eastAsia="黑体" w:cs="黑体"/>
          <w:color w:val="auto"/>
          <w:sz w:val="40"/>
          <w:szCs w:val="36"/>
          <w:lang w:eastAsia="zh-CN"/>
        </w:rPr>
      </w:pPr>
      <w:r>
        <w:rPr>
          <w:rFonts w:hint="eastAsia" w:ascii="黑体" w:hAnsi="黑体" w:eastAsia="黑体" w:cs="黑体"/>
          <w:color w:val="auto"/>
          <w:sz w:val="40"/>
          <w:szCs w:val="36"/>
          <w:lang w:eastAsia="zh-CN"/>
        </w:rPr>
        <w:t>（</w:t>
      </w:r>
      <w:r>
        <w:rPr>
          <w:rFonts w:hint="eastAsia" w:ascii="黑体" w:hAnsi="黑体" w:eastAsia="黑体" w:cs="黑体"/>
          <w:color w:val="auto"/>
          <w:sz w:val="40"/>
          <w:szCs w:val="36"/>
          <w:lang w:val="en-US" w:eastAsia="zh-CN"/>
        </w:rPr>
        <w:t>第二次</w:t>
      </w:r>
      <w:r>
        <w:rPr>
          <w:rFonts w:hint="eastAsia" w:ascii="黑体" w:hAnsi="黑体" w:eastAsia="黑体" w:cs="黑体"/>
          <w:color w:val="auto"/>
          <w:sz w:val="40"/>
          <w:szCs w:val="36"/>
          <w:lang w:eastAsia="zh-CN"/>
        </w:rPr>
        <w:t>）</w:t>
      </w:r>
    </w:p>
    <w:p>
      <w:pPr>
        <w:pStyle w:val="47"/>
        <w:ind w:firstLine="0"/>
        <w:jc w:val="center"/>
        <w:rPr>
          <w:rFonts w:hint="eastAsia" w:ascii="黑体" w:hAnsi="黑体" w:eastAsia="黑体" w:cs="黑体"/>
          <w:color w:val="auto"/>
          <w:sz w:val="36"/>
          <w:szCs w:val="36"/>
          <w:lang w:val="en-US" w:eastAsia="zh-CN"/>
        </w:rPr>
      </w:pPr>
      <w:r>
        <w:rPr>
          <w:rFonts w:hint="eastAsia" w:ascii="黑体" w:hAnsi="黑体" w:eastAsia="黑体" w:cs="黑体"/>
          <w:color w:val="auto"/>
          <w:sz w:val="36"/>
          <w:szCs w:val="36"/>
        </w:rPr>
        <w:t>项目编号：</w:t>
      </w:r>
      <w:r>
        <w:rPr>
          <w:rFonts w:hint="eastAsia" w:ascii="黑体" w:hAnsi="黑体" w:eastAsia="黑体" w:cs="黑体"/>
          <w:color w:val="auto"/>
          <w:sz w:val="36"/>
          <w:szCs w:val="36"/>
          <w:lang w:val="en-US" w:eastAsia="zh-CN"/>
        </w:rPr>
        <w:t>TDCG2023024</w:t>
      </w:r>
    </w:p>
    <w:p>
      <w:pPr>
        <w:pStyle w:val="47"/>
        <w:ind w:firstLine="0"/>
        <w:jc w:val="center"/>
        <w:rPr>
          <w:rFonts w:hint="eastAsia" w:ascii="黑体" w:hAnsi="黑体" w:eastAsia="黑体" w:cs="黑体"/>
          <w:color w:val="auto"/>
          <w:sz w:val="36"/>
          <w:szCs w:val="36"/>
        </w:rPr>
      </w:pPr>
    </w:p>
    <w:p>
      <w:pPr>
        <w:pStyle w:val="47"/>
        <w:ind w:firstLine="0"/>
        <w:jc w:val="center"/>
        <w:rPr>
          <w:rFonts w:hint="eastAsia" w:ascii="黑体" w:hAnsi="黑体" w:eastAsia="黑体" w:cs="黑体"/>
          <w:color w:val="auto"/>
          <w:sz w:val="36"/>
          <w:szCs w:val="36"/>
        </w:rPr>
      </w:pPr>
    </w:p>
    <w:p>
      <w:pPr>
        <w:pStyle w:val="47"/>
        <w:ind w:firstLine="0"/>
        <w:jc w:val="center"/>
        <w:rPr>
          <w:rFonts w:hint="eastAsia" w:ascii="黑体" w:hAnsi="黑体" w:eastAsia="黑体" w:cs="黑体"/>
          <w:bCs/>
          <w:color w:val="auto"/>
          <w:sz w:val="52"/>
        </w:rPr>
      </w:pPr>
      <w:r>
        <w:rPr>
          <w:rFonts w:hint="eastAsia" w:ascii="黑体" w:hAnsi="黑体" w:eastAsia="黑体" w:cs="黑体"/>
          <w:bCs/>
          <w:color w:val="auto"/>
          <w:sz w:val="52"/>
        </w:rPr>
        <w:t>招 标 文 件</w:t>
      </w:r>
    </w:p>
    <w:p>
      <w:pPr>
        <w:pStyle w:val="47"/>
        <w:ind w:firstLine="0"/>
        <w:jc w:val="center"/>
        <w:rPr>
          <w:rFonts w:hint="eastAsia" w:ascii="黑体" w:hAnsi="黑体" w:eastAsia="黑体" w:cs="黑体"/>
          <w:b/>
          <w:bCs/>
          <w:color w:val="auto"/>
          <w:sz w:val="32"/>
        </w:rPr>
      </w:pPr>
    </w:p>
    <w:p>
      <w:pPr>
        <w:pStyle w:val="47"/>
        <w:spacing w:before="0" w:after="0"/>
        <w:ind w:firstLine="0"/>
        <w:rPr>
          <w:rFonts w:hint="eastAsia" w:ascii="黑体" w:hAnsi="黑体" w:eastAsia="黑体" w:cs="黑体"/>
          <w:color w:val="auto"/>
        </w:rPr>
      </w:pPr>
    </w:p>
    <w:p>
      <w:pPr>
        <w:pStyle w:val="47"/>
        <w:spacing w:before="0" w:after="0"/>
        <w:ind w:firstLine="0"/>
        <w:rPr>
          <w:rFonts w:hint="eastAsia" w:ascii="黑体" w:hAnsi="黑体" w:eastAsia="黑体" w:cs="黑体"/>
          <w:color w:val="auto"/>
        </w:rPr>
      </w:pPr>
    </w:p>
    <w:p>
      <w:pPr>
        <w:pStyle w:val="47"/>
        <w:spacing w:before="0" w:after="0"/>
        <w:ind w:firstLine="0"/>
        <w:rPr>
          <w:rFonts w:hint="eastAsia" w:ascii="黑体" w:hAnsi="黑体" w:eastAsia="黑体" w:cs="黑体"/>
          <w:color w:val="auto"/>
        </w:rPr>
      </w:pPr>
    </w:p>
    <w:p>
      <w:pPr>
        <w:pStyle w:val="47"/>
        <w:spacing w:before="0" w:after="0"/>
        <w:ind w:firstLine="0"/>
        <w:rPr>
          <w:rFonts w:hint="eastAsia" w:ascii="黑体" w:hAnsi="黑体" w:eastAsia="黑体" w:cs="黑体"/>
          <w:color w:val="auto"/>
        </w:rPr>
      </w:pPr>
    </w:p>
    <w:p>
      <w:pPr>
        <w:pStyle w:val="47"/>
        <w:spacing w:before="0" w:after="0"/>
        <w:ind w:firstLine="0"/>
        <w:rPr>
          <w:rFonts w:hint="eastAsia" w:ascii="黑体" w:hAnsi="黑体" w:eastAsia="黑体" w:cs="黑体"/>
          <w:color w:val="auto"/>
        </w:rPr>
      </w:pPr>
    </w:p>
    <w:p>
      <w:pPr>
        <w:pStyle w:val="47"/>
        <w:spacing w:before="0" w:after="0"/>
        <w:ind w:firstLine="0"/>
        <w:rPr>
          <w:rFonts w:hint="eastAsia" w:ascii="黑体" w:hAnsi="黑体" w:eastAsia="黑体" w:cs="黑体"/>
          <w:color w:val="auto"/>
        </w:rPr>
      </w:pPr>
    </w:p>
    <w:p>
      <w:pPr>
        <w:pStyle w:val="47"/>
        <w:spacing w:before="0" w:after="0"/>
        <w:ind w:firstLine="0"/>
        <w:rPr>
          <w:rFonts w:hint="eastAsia" w:ascii="黑体" w:hAnsi="黑体" w:eastAsia="黑体" w:cs="黑体"/>
          <w:color w:val="auto"/>
        </w:rPr>
      </w:pPr>
    </w:p>
    <w:p>
      <w:pPr>
        <w:pStyle w:val="47"/>
        <w:spacing w:before="0" w:after="0"/>
        <w:ind w:firstLine="0"/>
        <w:jc w:val="center"/>
        <w:rPr>
          <w:rFonts w:hint="eastAsia" w:ascii="黑体" w:hAnsi="黑体" w:eastAsia="黑体" w:cs="黑体"/>
          <w:color w:val="auto"/>
          <w:sz w:val="30"/>
          <w:szCs w:val="30"/>
          <w:lang w:val="en-US" w:eastAsia="zh-CN"/>
        </w:rPr>
      </w:pPr>
      <w:r>
        <w:rPr>
          <w:rFonts w:hint="eastAsia" w:ascii="黑体" w:hAnsi="黑体" w:eastAsia="黑体" w:cs="黑体"/>
          <w:color w:val="auto"/>
          <w:sz w:val="30"/>
          <w:szCs w:val="30"/>
        </w:rPr>
        <w:t>招标人：南京邮电大学</w:t>
      </w:r>
      <w:r>
        <w:rPr>
          <w:rFonts w:hint="eastAsia" w:ascii="黑体" w:hAnsi="黑体" w:eastAsia="黑体" w:cs="黑体"/>
          <w:color w:val="auto"/>
          <w:sz w:val="30"/>
          <w:szCs w:val="30"/>
          <w:lang w:val="en-US" w:eastAsia="zh-CN"/>
        </w:rPr>
        <w:t>通达学院</w:t>
      </w:r>
    </w:p>
    <w:p>
      <w:pPr>
        <w:pStyle w:val="47"/>
        <w:spacing w:before="0" w:after="0"/>
        <w:ind w:firstLine="0"/>
        <w:jc w:val="center"/>
        <w:rPr>
          <w:rFonts w:hint="eastAsia" w:ascii="黑体" w:hAnsi="黑体" w:eastAsia="黑体" w:cs="黑体"/>
          <w:color w:val="auto"/>
          <w:sz w:val="30"/>
          <w:szCs w:val="30"/>
        </w:rPr>
      </w:pPr>
      <w:r>
        <w:rPr>
          <w:rFonts w:hint="eastAsia" w:ascii="黑体" w:hAnsi="黑体" w:eastAsia="黑体" w:cs="黑体"/>
          <w:color w:val="auto"/>
          <w:sz w:val="30"/>
          <w:szCs w:val="30"/>
        </w:rPr>
        <w:t>招标代理机构：中通服咨询设计研究院有限公司</w:t>
      </w:r>
    </w:p>
    <w:p>
      <w:pPr>
        <w:spacing w:line="360" w:lineRule="auto"/>
        <w:jc w:val="center"/>
        <w:rPr>
          <w:rFonts w:hint="eastAsia" w:ascii="黑体" w:hAnsi="黑体" w:eastAsia="黑体" w:cs="黑体"/>
          <w:color w:val="auto"/>
          <w:sz w:val="28"/>
          <w:szCs w:val="28"/>
          <w:u w:color="000000"/>
        </w:rPr>
      </w:pPr>
      <w:r>
        <w:rPr>
          <w:rFonts w:hint="eastAsia" w:ascii="黑体" w:hAnsi="黑体" w:eastAsia="黑体" w:cs="黑体"/>
          <w:color w:val="auto"/>
          <w:sz w:val="30"/>
          <w:szCs w:val="30"/>
        </w:rPr>
        <w:t>20</w:t>
      </w:r>
      <w:r>
        <w:rPr>
          <w:rFonts w:hint="eastAsia" w:ascii="黑体" w:hAnsi="黑体" w:eastAsia="黑体" w:cs="黑体"/>
          <w:color w:val="auto"/>
          <w:sz w:val="30"/>
          <w:szCs w:val="30"/>
          <w:lang w:val="en-US" w:eastAsia="zh-CN"/>
        </w:rPr>
        <w:t>23</w:t>
      </w:r>
      <w:r>
        <w:rPr>
          <w:rFonts w:hint="eastAsia" w:ascii="黑体" w:hAnsi="黑体" w:eastAsia="黑体" w:cs="黑体"/>
          <w:color w:val="auto"/>
          <w:sz w:val="30"/>
          <w:szCs w:val="30"/>
        </w:rPr>
        <w:t>年</w:t>
      </w:r>
      <w:r>
        <w:rPr>
          <w:rFonts w:hint="eastAsia" w:ascii="黑体" w:hAnsi="黑体" w:eastAsia="黑体" w:cs="黑体"/>
          <w:color w:val="auto"/>
          <w:sz w:val="30"/>
          <w:szCs w:val="30"/>
          <w:lang w:val="en-US" w:eastAsia="zh-CN"/>
        </w:rPr>
        <w:t>8</w:t>
      </w:r>
      <w:r>
        <w:rPr>
          <w:rFonts w:hint="eastAsia" w:ascii="黑体" w:hAnsi="黑体" w:eastAsia="黑体" w:cs="黑体"/>
          <w:color w:val="auto"/>
          <w:sz w:val="30"/>
          <w:szCs w:val="30"/>
        </w:rPr>
        <w:t>月</w:t>
      </w:r>
    </w:p>
    <w:p>
      <w:pPr>
        <w:rPr>
          <w:rFonts w:hint="eastAsia" w:ascii="黑体" w:hAnsi="黑体" w:eastAsia="黑体" w:cs="黑体"/>
          <w:color w:val="auto"/>
        </w:rPr>
      </w:pPr>
    </w:p>
    <w:p>
      <w:pPr>
        <w:widowControl/>
        <w:jc w:val="left"/>
        <w:rPr>
          <w:rFonts w:hint="eastAsia" w:ascii="黑体" w:hAnsi="黑体" w:eastAsia="黑体" w:cs="黑体"/>
          <w:color w:val="auto"/>
        </w:rPr>
        <w:sectPr>
          <w:pgSz w:w="11906" w:h="16838"/>
          <w:pgMar w:top="1418" w:right="1385" w:bottom="1418" w:left="1701" w:header="851" w:footer="992" w:gutter="0"/>
          <w:cols w:space="425" w:num="1"/>
          <w:docGrid w:type="lines" w:linePitch="312" w:charSpace="0"/>
        </w:sectPr>
      </w:pPr>
    </w:p>
    <w:p>
      <w:pPr>
        <w:widowControl/>
        <w:spacing w:line="360" w:lineRule="auto"/>
        <w:jc w:val="center"/>
        <w:rPr>
          <w:rFonts w:hint="eastAsia" w:ascii="黑体" w:hAnsi="黑体" w:eastAsia="黑体" w:cs="黑体"/>
          <w:color w:val="auto"/>
          <w:sz w:val="36"/>
          <w:szCs w:val="36"/>
        </w:rPr>
      </w:pPr>
      <w:r>
        <w:rPr>
          <w:rFonts w:hint="eastAsia" w:ascii="黑体" w:hAnsi="黑体" w:eastAsia="黑体" w:cs="黑体"/>
          <w:color w:val="auto"/>
          <w:sz w:val="36"/>
          <w:szCs w:val="36"/>
        </w:rPr>
        <w:t>目  录</w:t>
      </w:r>
    </w:p>
    <w:sdt>
      <w:sdtPr>
        <w:rPr>
          <w:rFonts w:hint="eastAsia" w:ascii="黑体" w:hAnsi="黑体" w:eastAsia="黑体" w:cs="黑体"/>
          <w:color w:val="auto"/>
          <w:sz w:val="32"/>
          <w:szCs w:val="32"/>
          <w:lang w:val="zh-CN"/>
        </w:rPr>
        <w:id w:val="-1199246136"/>
        <w:docPartObj>
          <w:docPartGallery w:val="Table of Contents"/>
          <w:docPartUnique/>
        </w:docPartObj>
      </w:sdtPr>
      <w:sdtEndPr>
        <w:rPr>
          <w:rFonts w:hint="eastAsia" w:ascii="宋体" w:hAnsi="宋体" w:eastAsia="宋体" w:cs="宋体"/>
          <w:b/>
          <w:bCs/>
          <w:color w:val="auto"/>
          <w:sz w:val="24"/>
          <w:szCs w:val="22"/>
          <w:lang w:val="zh-CN"/>
        </w:rPr>
      </w:sdtEndPr>
      <w:sdtContent>
        <w:p>
          <w:pPr>
            <w:pStyle w:val="20"/>
            <w:rPr>
              <w:rFonts w:hint="eastAsia" w:ascii="黑体" w:hAnsi="黑体" w:eastAsia="黑体" w:cs="黑体"/>
              <w:color w:val="auto"/>
              <w:kern w:val="0"/>
              <w:sz w:val="24"/>
              <w:szCs w:val="22"/>
              <w:lang w:val="en-US" w:eastAsia="zh-CN" w:bidi="ar-SA"/>
            </w:rPr>
          </w:pPr>
          <w:r>
            <w:rPr>
              <w:rFonts w:hint="eastAsia" w:ascii="黑体" w:hAnsi="黑体" w:eastAsia="黑体" w:cs="黑体"/>
              <w:color w:val="auto"/>
            </w:rPr>
            <w:fldChar w:fldCharType="begin"/>
          </w:r>
          <w:r>
            <w:rPr>
              <w:rFonts w:hint="eastAsia" w:ascii="黑体" w:hAnsi="黑体" w:eastAsia="黑体" w:cs="黑体"/>
              <w:color w:val="auto"/>
            </w:rPr>
            <w:instrText xml:space="preserve"> TOC \o "1-3" \h \z \u </w:instrText>
          </w:r>
          <w:r>
            <w:rPr>
              <w:rFonts w:hint="eastAsia" w:ascii="黑体" w:hAnsi="黑体" w:eastAsia="黑体" w:cs="黑体"/>
              <w:color w:val="auto"/>
            </w:rPr>
            <w:fldChar w:fldCharType="separate"/>
          </w:r>
        </w:p>
        <w:p>
          <w:pPr>
            <w:pStyle w:val="20"/>
            <w:tabs>
              <w:tab w:val="right" w:leader="dot" w:pos="8787"/>
              <w:tab w:val="clear" w:pos="8777"/>
            </w:tabs>
          </w:pPr>
          <w:r>
            <w:rPr>
              <w:rFonts w:hint="eastAsia" w:ascii="黑体" w:hAnsi="黑体" w:eastAsia="黑体" w:cs="黑体"/>
              <w:color w:val="auto"/>
            </w:rPr>
            <w:fldChar w:fldCharType="begin"/>
          </w:r>
          <w:r>
            <w:rPr>
              <w:rFonts w:hint="eastAsia" w:ascii="黑体" w:hAnsi="黑体" w:eastAsia="黑体" w:cs="黑体"/>
            </w:rPr>
            <w:instrText xml:space="preserve"> HYPERLINK \l _Toc31277 </w:instrText>
          </w:r>
          <w:r>
            <w:rPr>
              <w:rFonts w:hint="eastAsia" w:ascii="黑体" w:hAnsi="黑体" w:eastAsia="黑体" w:cs="黑体"/>
            </w:rPr>
            <w:fldChar w:fldCharType="separate"/>
          </w:r>
          <w:r>
            <w:rPr>
              <w:rFonts w:hint="eastAsia" w:ascii="宋体" w:hAnsi="宋体" w:eastAsia="宋体" w:cs="宋体"/>
              <w:kern w:val="44"/>
              <w:szCs w:val="36"/>
              <w:lang w:val="zh-TW" w:eastAsia="zh-TW"/>
            </w:rPr>
            <w:t xml:space="preserve">第一章  </w:t>
          </w:r>
          <w:r>
            <w:rPr>
              <w:rFonts w:hint="eastAsia" w:ascii="宋体" w:hAnsi="宋体" w:eastAsia="宋体" w:cs="宋体"/>
              <w:kern w:val="44"/>
              <w:szCs w:val="36"/>
              <w:lang w:val="zh-TW"/>
            </w:rPr>
            <w:t>招标</w:t>
          </w:r>
          <w:r>
            <w:rPr>
              <w:rFonts w:hint="eastAsia" w:ascii="宋体" w:hAnsi="宋体" w:eastAsia="宋体" w:cs="宋体"/>
              <w:kern w:val="44"/>
              <w:szCs w:val="36"/>
              <w:lang w:val="zh-TW" w:eastAsia="zh-TW"/>
            </w:rPr>
            <w:t>公告</w:t>
          </w:r>
          <w:r>
            <w:tab/>
          </w:r>
          <w:r>
            <w:fldChar w:fldCharType="begin"/>
          </w:r>
          <w:r>
            <w:instrText xml:space="preserve"> PAGEREF _Toc31277 \h </w:instrText>
          </w:r>
          <w:r>
            <w:fldChar w:fldCharType="separate"/>
          </w:r>
          <w:r>
            <w:t>1</w:t>
          </w:r>
          <w:r>
            <w:fldChar w:fldCharType="end"/>
          </w:r>
          <w:r>
            <w:rPr>
              <w:rFonts w:hint="eastAsia" w:ascii="黑体" w:hAnsi="黑体" w:eastAsia="黑体" w:cs="黑体"/>
              <w:color w:val="auto"/>
            </w:rPr>
            <w:fldChar w:fldCharType="end"/>
          </w:r>
        </w:p>
        <w:p>
          <w:pPr>
            <w:pStyle w:val="20"/>
            <w:tabs>
              <w:tab w:val="right" w:leader="dot" w:pos="8787"/>
              <w:tab w:val="clear" w:pos="8777"/>
            </w:tabs>
          </w:pPr>
          <w:r>
            <w:rPr>
              <w:rFonts w:hint="eastAsia" w:ascii="黑体" w:hAnsi="黑体" w:eastAsia="黑体" w:cs="黑体"/>
              <w:color w:val="auto"/>
            </w:rPr>
            <w:fldChar w:fldCharType="begin"/>
          </w:r>
          <w:r>
            <w:rPr>
              <w:rFonts w:hint="eastAsia" w:ascii="黑体" w:hAnsi="黑体" w:eastAsia="黑体" w:cs="黑体"/>
            </w:rPr>
            <w:instrText xml:space="preserve"> HYPERLINK \l _Toc30510 </w:instrText>
          </w:r>
          <w:r>
            <w:rPr>
              <w:rFonts w:hint="eastAsia" w:ascii="黑体" w:hAnsi="黑体" w:eastAsia="黑体" w:cs="黑体"/>
            </w:rPr>
            <w:fldChar w:fldCharType="separate"/>
          </w:r>
          <w:r>
            <w:rPr>
              <w:rFonts w:hint="eastAsia" w:ascii="宋体" w:hAnsi="宋体" w:eastAsia="宋体" w:cs="宋体"/>
              <w:kern w:val="44"/>
              <w:szCs w:val="36"/>
              <w:lang w:val="zh-TW" w:eastAsia="zh-TW"/>
            </w:rPr>
            <w:t xml:space="preserve">第二章  </w:t>
          </w:r>
          <w:r>
            <w:rPr>
              <w:rFonts w:hint="eastAsia" w:ascii="宋体" w:hAnsi="宋体" w:eastAsia="宋体" w:cs="宋体"/>
              <w:kern w:val="44"/>
              <w:szCs w:val="36"/>
              <w:lang w:val="zh-TW"/>
            </w:rPr>
            <w:t>投标人</w:t>
          </w:r>
          <w:r>
            <w:rPr>
              <w:rFonts w:hint="eastAsia" w:ascii="宋体" w:hAnsi="宋体" w:eastAsia="宋体" w:cs="宋体"/>
              <w:kern w:val="44"/>
              <w:szCs w:val="36"/>
              <w:lang w:val="zh-TW" w:eastAsia="zh-TW"/>
            </w:rPr>
            <w:t>须知</w:t>
          </w:r>
          <w:r>
            <w:tab/>
          </w:r>
          <w:r>
            <w:fldChar w:fldCharType="begin"/>
          </w:r>
          <w:r>
            <w:instrText xml:space="preserve"> PAGEREF _Toc30510 \h </w:instrText>
          </w:r>
          <w:r>
            <w:fldChar w:fldCharType="separate"/>
          </w:r>
          <w:r>
            <w:t>4</w:t>
          </w:r>
          <w:r>
            <w:fldChar w:fldCharType="end"/>
          </w:r>
          <w:r>
            <w:rPr>
              <w:rFonts w:hint="eastAsia" w:ascii="黑体" w:hAnsi="黑体" w:eastAsia="黑体" w:cs="黑体"/>
              <w:color w:val="auto"/>
            </w:rPr>
            <w:fldChar w:fldCharType="end"/>
          </w:r>
        </w:p>
        <w:p>
          <w:pPr>
            <w:pStyle w:val="20"/>
            <w:tabs>
              <w:tab w:val="right" w:leader="dot" w:pos="8787"/>
              <w:tab w:val="clear" w:pos="8777"/>
            </w:tabs>
          </w:pPr>
          <w:r>
            <w:rPr>
              <w:rFonts w:hint="eastAsia" w:ascii="黑体" w:hAnsi="黑体" w:eastAsia="黑体" w:cs="黑体"/>
              <w:color w:val="auto"/>
            </w:rPr>
            <w:fldChar w:fldCharType="begin"/>
          </w:r>
          <w:r>
            <w:rPr>
              <w:rFonts w:hint="eastAsia" w:ascii="黑体" w:hAnsi="黑体" w:eastAsia="黑体" w:cs="黑体"/>
            </w:rPr>
            <w:instrText xml:space="preserve"> HYPERLINK \l _Toc10510 </w:instrText>
          </w:r>
          <w:r>
            <w:rPr>
              <w:rFonts w:hint="eastAsia" w:ascii="黑体" w:hAnsi="黑体" w:eastAsia="黑体" w:cs="黑体"/>
            </w:rPr>
            <w:fldChar w:fldCharType="separate"/>
          </w:r>
          <w:r>
            <w:rPr>
              <w:rFonts w:hint="eastAsia" w:ascii="宋体" w:hAnsi="宋体" w:eastAsia="宋体" w:cs="宋体"/>
              <w:kern w:val="44"/>
              <w:szCs w:val="36"/>
              <w:lang w:val="zh-TW" w:eastAsia="zh-TW"/>
            </w:rPr>
            <w:t>第</w:t>
          </w:r>
          <w:r>
            <w:rPr>
              <w:rFonts w:hint="eastAsia" w:ascii="宋体" w:hAnsi="宋体" w:eastAsia="宋体" w:cs="宋体"/>
              <w:kern w:val="44"/>
              <w:szCs w:val="36"/>
              <w:lang w:val="zh-TW"/>
            </w:rPr>
            <w:t>三</w:t>
          </w:r>
          <w:r>
            <w:rPr>
              <w:rFonts w:hint="eastAsia" w:ascii="宋体" w:hAnsi="宋体" w:eastAsia="宋体" w:cs="宋体"/>
              <w:kern w:val="44"/>
              <w:szCs w:val="36"/>
              <w:lang w:val="zh-TW" w:eastAsia="zh-TW"/>
            </w:rPr>
            <w:t>章  合同条款及格式</w:t>
          </w:r>
          <w:r>
            <w:tab/>
          </w:r>
          <w:r>
            <w:fldChar w:fldCharType="begin"/>
          </w:r>
          <w:r>
            <w:instrText xml:space="preserve"> PAGEREF _Toc10510 \h </w:instrText>
          </w:r>
          <w:r>
            <w:fldChar w:fldCharType="separate"/>
          </w:r>
          <w:r>
            <w:t>14</w:t>
          </w:r>
          <w:r>
            <w:fldChar w:fldCharType="end"/>
          </w:r>
          <w:r>
            <w:rPr>
              <w:rFonts w:hint="eastAsia" w:ascii="黑体" w:hAnsi="黑体" w:eastAsia="黑体" w:cs="黑体"/>
              <w:color w:val="auto"/>
            </w:rPr>
            <w:fldChar w:fldCharType="end"/>
          </w:r>
        </w:p>
        <w:p>
          <w:pPr>
            <w:pStyle w:val="20"/>
            <w:tabs>
              <w:tab w:val="right" w:leader="dot" w:pos="8787"/>
              <w:tab w:val="clear" w:pos="8777"/>
            </w:tabs>
          </w:pPr>
          <w:r>
            <w:rPr>
              <w:rFonts w:hint="eastAsia" w:ascii="黑体" w:hAnsi="黑体" w:eastAsia="黑体" w:cs="黑体"/>
              <w:color w:val="auto"/>
            </w:rPr>
            <w:fldChar w:fldCharType="begin"/>
          </w:r>
          <w:r>
            <w:rPr>
              <w:rFonts w:hint="eastAsia" w:ascii="黑体" w:hAnsi="黑体" w:eastAsia="黑体" w:cs="黑体"/>
            </w:rPr>
            <w:instrText xml:space="preserve"> HYPERLINK \l _Toc16438 </w:instrText>
          </w:r>
          <w:r>
            <w:rPr>
              <w:rFonts w:hint="eastAsia" w:ascii="黑体" w:hAnsi="黑体" w:eastAsia="黑体" w:cs="黑体"/>
            </w:rPr>
            <w:fldChar w:fldCharType="separate"/>
          </w:r>
          <w:r>
            <w:rPr>
              <w:rFonts w:hint="eastAsia" w:ascii="宋体" w:hAnsi="宋体" w:eastAsia="宋体" w:cs="宋体"/>
              <w:kern w:val="44"/>
              <w:szCs w:val="36"/>
              <w:lang w:val="zh-TW" w:eastAsia="zh-TW"/>
            </w:rPr>
            <w:t>第</w:t>
          </w:r>
          <w:r>
            <w:rPr>
              <w:rFonts w:hint="eastAsia" w:ascii="宋体" w:hAnsi="宋体" w:eastAsia="宋体" w:cs="宋体"/>
              <w:kern w:val="44"/>
              <w:szCs w:val="36"/>
              <w:lang w:val="zh-TW"/>
            </w:rPr>
            <w:t>四</w:t>
          </w:r>
          <w:r>
            <w:rPr>
              <w:rFonts w:hint="eastAsia" w:ascii="宋体" w:hAnsi="宋体" w:eastAsia="宋体" w:cs="宋体"/>
              <w:kern w:val="44"/>
              <w:szCs w:val="36"/>
              <w:lang w:val="zh-TW" w:eastAsia="zh-TW"/>
            </w:rPr>
            <w:t xml:space="preserve">章  </w:t>
          </w:r>
          <w:r>
            <w:rPr>
              <w:rFonts w:hint="eastAsia" w:ascii="宋体" w:hAnsi="宋体" w:eastAsia="宋体" w:cs="宋体"/>
              <w:kern w:val="44"/>
              <w:szCs w:val="36"/>
              <w:lang w:val="zh-TW"/>
            </w:rPr>
            <w:t>项目需求</w:t>
          </w:r>
          <w:r>
            <w:tab/>
          </w:r>
          <w:r>
            <w:fldChar w:fldCharType="begin"/>
          </w:r>
          <w:r>
            <w:instrText xml:space="preserve"> PAGEREF _Toc16438 \h </w:instrText>
          </w:r>
          <w:r>
            <w:fldChar w:fldCharType="separate"/>
          </w:r>
          <w:r>
            <w:t>15</w:t>
          </w:r>
          <w:r>
            <w:fldChar w:fldCharType="end"/>
          </w:r>
          <w:r>
            <w:rPr>
              <w:rFonts w:hint="eastAsia" w:ascii="黑体" w:hAnsi="黑体" w:eastAsia="黑体" w:cs="黑体"/>
              <w:color w:val="auto"/>
            </w:rPr>
            <w:fldChar w:fldCharType="end"/>
          </w:r>
        </w:p>
        <w:p>
          <w:pPr>
            <w:pStyle w:val="20"/>
            <w:tabs>
              <w:tab w:val="right" w:leader="dot" w:pos="8787"/>
              <w:tab w:val="clear" w:pos="8777"/>
            </w:tabs>
          </w:pPr>
          <w:r>
            <w:rPr>
              <w:rFonts w:hint="eastAsia" w:ascii="黑体" w:hAnsi="黑体" w:eastAsia="黑体" w:cs="黑体"/>
              <w:color w:val="auto"/>
            </w:rPr>
            <w:fldChar w:fldCharType="begin"/>
          </w:r>
          <w:r>
            <w:rPr>
              <w:rFonts w:hint="eastAsia" w:ascii="黑体" w:hAnsi="黑体" w:eastAsia="黑体" w:cs="黑体"/>
            </w:rPr>
            <w:instrText xml:space="preserve"> HYPERLINK \l _Toc15896 </w:instrText>
          </w:r>
          <w:r>
            <w:rPr>
              <w:rFonts w:hint="eastAsia" w:ascii="黑体" w:hAnsi="黑体" w:eastAsia="黑体" w:cs="黑体"/>
            </w:rPr>
            <w:fldChar w:fldCharType="separate"/>
          </w:r>
          <w:r>
            <w:rPr>
              <w:rFonts w:hint="eastAsia" w:ascii="宋体" w:hAnsi="宋体" w:eastAsia="宋体" w:cs="宋体"/>
              <w:kern w:val="44"/>
              <w:szCs w:val="36"/>
              <w:lang w:val="zh-TW" w:eastAsia="zh-TW"/>
            </w:rPr>
            <w:t>第</w:t>
          </w:r>
          <w:r>
            <w:rPr>
              <w:rFonts w:hint="eastAsia" w:ascii="宋体" w:hAnsi="宋体" w:eastAsia="宋体" w:cs="宋体"/>
              <w:kern w:val="44"/>
              <w:szCs w:val="36"/>
              <w:lang w:val="zh-TW"/>
            </w:rPr>
            <w:t>五</w:t>
          </w:r>
          <w:r>
            <w:rPr>
              <w:rFonts w:hint="eastAsia" w:ascii="宋体" w:hAnsi="宋体" w:eastAsia="宋体" w:cs="宋体"/>
              <w:kern w:val="44"/>
              <w:szCs w:val="36"/>
              <w:lang w:val="zh-TW" w:eastAsia="zh-TW"/>
            </w:rPr>
            <w:t>章  评标方法与评标标准</w:t>
          </w:r>
          <w:r>
            <w:tab/>
          </w:r>
          <w:r>
            <w:fldChar w:fldCharType="begin"/>
          </w:r>
          <w:r>
            <w:instrText xml:space="preserve"> PAGEREF _Toc15896 \h </w:instrText>
          </w:r>
          <w:r>
            <w:fldChar w:fldCharType="separate"/>
          </w:r>
          <w:r>
            <w:t>18</w:t>
          </w:r>
          <w:r>
            <w:fldChar w:fldCharType="end"/>
          </w:r>
          <w:r>
            <w:rPr>
              <w:rFonts w:hint="eastAsia" w:ascii="黑体" w:hAnsi="黑体" w:eastAsia="黑体" w:cs="黑体"/>
              <w:color w:val="auto"/>
            </w:rPr>
            <w:fldChar w:fldCharType="end"/>
          </w:r>
        </w:p>
        <w:p>
          <w:pPr>
            <w:pStyle w:val="20"/>
            <w:tabs>
              <w:tab w:val="right" w:leader="dot" w:pos="8787"/>
              <w:tab w:val="clear" w:pos="8777"/>
            </w:tabs>
          </w:pPr>
          <w:r>
            <w:rPr>
              <w:rFonts w:hint="eastAsia" w:ascii="黑体" w:hAnsi="黑体" w:eastAsia="黑体" w:cs="黑体"/>
              <w:color w:val="auto"/>
            </w:rPr>
            <w:fldChar w:fldCharType="begin"/>
          </w:r>
          <w:r>
            <w:rPr>
              <w:rFonts w:hint="eastAsia" w:ascii="黑体" w:hAnsi="黑体" w:eastAsia="黑体" w:cs="黑体"/>
            </w:rPr>
            <w:instrText xml:space="preserve"> HYPERLINK \l _Toc5120 </w:instrText>
          </w:r>
          <w:r>
            <w:rPr>
              <w:rFonts w:hint="eastAsia" w:ascii="黑体" w:hAnsi="黑体" w:eastAsia="黑体" w:cs="黑体"/>
            </w:rPr>
            <w:fldChar w:fldCharType="separate"/>
          </w:r>
          <w:r>
            <w:rPr>
              <w:rFonts w:hint="eastAsia" w:ascii="宋体" w:hAnsi="宋体" w:eastAsia="宋体" w:cs="宋体"/>
              <w:kern w:val="44"/>
              <w:szCs w:val="36"/>
              <w:lang w:val="zh-TW" w:eastAsia="zh-TW"/>
            </w:rPr>
            <w:t>第</w:t>
          </w:r>
          <w:r>
            <w:rPr>
              <w:rFonts w:hint="eastAsia" w:ascii="宋体" w:hAnsi="宋体" w:eastAsia="宋体" w:cs="宋体"/>
              <w:kern w:val="44"/>
              <w:szCs w:val="36"/>
              <w:lang w:val="zh-TW"/>
            </w:rPr>
            <w:t>六</w:t>
          </w:r>
          <w:r>
            <w:rPr>
              <w:rFonts w:hint="eastAsia" w:ascii="宋体" w:hAnsi="宋体" w:eastAsia="宋体" w:cs="宋体"/>
              <w:kern w:val="44"/>
              <w:szCs w:val="36"/>
              <w:lang w:val="zh-TW" w:eastAsia="zh-TW"/>
            </w:rPr>
            <w:t>章  投标文件格式</w:t>
          </w:r>
          <w:r>
            <w:tab/>
          </w:r>
          <w:r>
            <w:fldChar w:fldCharType="begin"/>
          </w:r>
          <w:r>
            <w:instrText xml:space="preserve"> PAGEREF _Toc5120 \h </w:instrText>
          </w:r>
          <w:r>
            <w:fldChar w:fldCharType="separate"/>
          </w:r>
          <w:r>
            <w:t>21</w:t>
          </w:r>
          <w:r>
            <w:fldChar w:fldCharType="end"/>
          </w:r>
          <w:r>
            <w:rPr>
              <w:rFonts w:hint="eastAsia" w:ascii="黑体" w:hAnsi="黑体" w:eastAsia="黑体" w:cs="黑体"/>
              <w:color w:val="auto"/>
            </w:rPr>
            <w:fldChar w:fldCharType="end"/>
          </w:r>
        </w:p>
        <w:p>
          <w:pPr>
            <w:pStyle w:val="20"/>
            <w:rPr>
              <w:rFonts w:hint="eastAsia" w:ascii="宋体" w:hAnsi="宋体" w:eastAsia="宋体" w:cs="宋体"/>
              <w:color w:val="auto"/>
            </w:rPr>
          </w:pPr>
          <w:r>
            <w:rPr>
              <w:rFonts w:hint="eastAsia" w:ascii="黑体" w:hAnsi="黑体" w:eastAsia="黑体" w:cs="黑体"/>
              <w:color w:val="auto"/>
            </w:rPr>
            <w:fldChar w:fldCharType="end"/>
          </w:r>
        </w:p>
      </w:sdtContent>
    </w:sdt>
    <w:p>
      <w:pPr>
        <w:widowControl/>
        <w:jc w:val="left"/>
        <w:rPr>
          <w:rFonts w:hint="eastAsia" w:ascii="宋体" w:hAnsi="宋体" w:eastAsia="宋体" w:cs="宋体"/>
          <w:color w:val="auto"/>
        </w:rPr>
        <w:sectPr>
          <w:headerReference r:id="rId3" w:type="default"/>
          <w:footerReference r:id="rId4" w:type="default"/>
          <w:pgSz w:w="11906" w:h="16838"/>
          <w:pgMar w:top="1418" w:right="1418" w:bottom="1418" w:left="1701" w:header="851" w:footer="992" w:gutter="0"/>
          <w:pgNumType w:fmt="upperRoman" w:start="1"/>
          <w:cols w:space="425" w:num="1"/>
          <w:docGrid w:type="lines" w:linePitch="312" w:charSpace="0"/>
        </w:sectPr>
      </w:pPr>
    </w:p>
    <w:p>
      <w:pPr>
        <w:keepNext/>
        <w:keepLines/>
        <w:spacing w:before="312" w:beforeLines="100" w:after="312" w:afterLines="100" w:line="360" w:lineRule="auto"/>
        <w:jc w:val="center"/>
        <w:outlineLvl w:val="0"/>
        <w:rPr>
          <w:rFonts w:hint="eastAsia" w:ascii="宋体" w:hAnsi="宋体" w:eastAsia="宋体" w:cs="宋体"/>
          <w:color w:val="auto"/>
          <w:kern w:val="44"/>
          <w:sz w:val="36"/>
          <w:szCs w:val="36"/>
          <w:u w:color="000000"/>
          <w:lang w:val="zh-TW" w:eastAsia="zh-TW"/>
        </w:rPr>
      </w:pPr>
      <w:bookmarkStart w:id="0" w:name="_Toc"/>
      <w:bookmarkStart w:id="1" w:name="_Toc415494523"/>
      <w:bookmarkStart w:id="2" w:name="_Toc448069940"/>
      <w:bookmarkStart w:id="3" w:name="_Toc31277"/>
      <w:r>
        <w:rPr>
          <w:rFonts w:hint="eastAsia" w:ascii="宋体" w:hAnsi="宋体" w:eastAsia="宋体" w:cs="宋体"/>
          <w:color w:val="auto"/>
          <w:kern w:val="44"/>
          <w:sz w:val="36"/>
          <w:szCs w:val="36"/>
          <w:u w:color="000000"/>
          <w:lang w:val="zh-TW" w:eastAsia="zh-TW"/>
        </w:rPr>
        <w:t xml:space="preserve">第一章  </w:t>
      </w:r>
      <w:r>
        <w:rPr>
          <w:rFonts w:hint="eastAsia" w:ascii="宋体" w:hAnsi="宋体" w:eastAsia="宋体" w:cs="宋体"/>
          <w:color w:val="auto"/>
          <w:kern w:val="44"/>
          <w:sz w:val="36"/>
          <w:szCs w:val="36"/>
          <w:u w:color="000000"/>
          <w:lang w:val="zh-TW"/>
        </w:rPr>
        <w:t>招标</w:t>
      </w:r>
      <w:r>
        <w:rPr>
          <w:rFonts w:hint="eastAsia" w:ascii="宋体" w:hAnsi="宋体" w:eastAsia="宋体" w:cs="宋体"/>
          <w:color w:val="auto"/>
          <w:kern w:val="44"/>
          <w:sz w:val="36"/>
          <w:szCs w:val="36"/>
          <w:u w:color="000000"/>
          <w:lang w:val="zh-TW" w:eastAsia="zh-TW"/>
        </w:rPr>
        <w:t>公告</w:t>
      </w:r>
      <w:bookmarkEnd w:id="0"/>
      <w:bookmarkEnd w:id="1"/>
      <w:bookmarkEnd w:id="2"/>
      <w:bookmarkEnd w:id="3"/>
    </w:p>
    <w:p>
      <w:pPr>
        <w:spacing w:line="360" w:lineRule="auto"/>
        <w:ind w:firstLine="482" w:firstLineChars="200"/>
        <w:rPr>
          <w:rFonts w:hint="eastAsia" w:ascii="宋体" w:hAnsi="宋体" w:eastAsia="宋体" w:cs="宋体"/>
          <w:b/>
          <w:color w:val="auto"/>
          <w:sz w:val="24"/>
          <w:szCs w:val="24"/>
        </w:rPr>
      </w:pPr>
      <w:bookmarkStart w:id="4" w:name="_Toc448069941"/>
      <w:bookmarkStart w:id="5" w:name="_Toc415494524"/>
      <w:bookmarkStart w:id="6" w:name="_Toc1"/>
      <w:r>
        <w:rPr>
          <w:rFonts w:hint="eastAsia" w:ascii="宋体" w:hAnsi="宋体" w:eastAsia="宋体" w:cs="宋体"/>
          <w:b/>
          <w:color w:val="auto"/>
          <w:sz w:val="24"/>
          <w:szCs w:val="24"/>
        </w:rPr>
        <w:t>项目概况</w:t>
      </w:r>
    </w:p>
    <w:p>
      <w:pPr>
        <w:spacing w:line="360" w:lineRule="auto"/>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lang w:eastAsia="zh-CN"/>
        </w:rPr>
        <w:t>南京邮电大学通达学院校内配送服务采购项目</w:t>
      </w:r>
      <w:r>
        <w:rPr>
          <w:rFonts w:hint="eastAsia" w:ascii="宋体" w:hAnsi="宋体" w:eastAsia="宋体" w:cs="宋体"/>
          <w:color w:val="auto"/>
          <w:sz w:val="24"/>
          <w:szCs w:val="24"/>
        </w:rPr>
        <w:t>招标项目（第二次）的潜在投标人应在</w:t>
      </w:r>
      <w:r>
        <w:rPr>
          <w:rFonts w:hint="eastAsia" w:ascii="宋体" w:hAnsi="宋体" w:eastAsia="宋体" w:cs="宋体"/>
          <w:b/>
          <w:color w:val="auto"/>
          <w:sz w:val="24"/>
          <w:szCs w:val="24"/>
        </w:rPr>
        <w:t>中通服咨询设计研究院有限公司</w:t>
      </w:r>
      <w:r>
        <w:rPr>
          <w:rFonts w:hint="eastAsia" w:ascii="宋体" w:hAnsi="宋体" w:eastAsia="宋体" w:cs="宋体"/>
          <w:color w:val="auto"/>
          <w:sz w:val="24"/>
          <w:szCs w:val="24"/>
        </w:rPr>
        <w:t>获取招标文件，并于</w:t>
      </w:r>
      <w:r>
        <w:rPr>
          <w:rFonts w:hint="eastAsia" w:ascii="宋体" w:hAnsi="宋体" w:eastAsia="宋体" w:cs="宋体"/>
          <w:b/>
          <w:color w:val="auto"/>
          <w:sz w:val="24"/>
          <w:szCs w:val="24"/>
        </w:rPr>
        <w:t>20</w:t>
      </w:r>
      <w:r>
        <w:rPr>
          <w:rFonts w:hint="eastAsia" w:ascii="宋体" w:hAnsi="宋体" w:eastAsia="宋体" w:cs="宋体"/>
          <w:b/>
          <w:color w:val="auto"/>
          <w:sz w:val="24"/>
          <w:szCs w:val="24"/>
          <w:lang w:val="en-US" w:eastAsia="zh-CN"/>
        </w:rPr>
        <w:t>23</w:t>
      </w:r>
      <w:r>
        <w:rPr>
          <w:rFonts w:hint="eastAsia" w:ascii="宋体" w:hAnsi="宋体" w:eastAsia="宋体" w:cs="宋体"/>
          <w:b/>
          <w:color w:val="auto"/>
          <w:sz w:val="24"/>
          <w:szCs w:val="24"/>
        </w:rPr>
        <w:t>年</w:t>
      </w:r>
      <w:r>
        <w:rPr>
          <w:rFonts w:hint="eastAsia" w:ascii="宋体" w:hAnsi="宋体" w:eastAsia="宋体" w:cs="宋体"/>
          <w:b/>
          <w:color w:val="auto"/>
          <w:sz w:val="24"/>
          <w:szCs w:val="24"/>
          <w:lang w:val="en-US" w:eastAsia="zh-CN"/>
        </w:rPr>
        <w:t>8</w:t>
      </w:r>
      <w:r>
        <w:rPr>
          <w:rFonts w:hint="eastAsia" w:ascii="宋体" w:hAnsi="宋体" w:eastAsia="宋体" w:cs="宋体"/>
          <w:b/>
          <w:color w:val="auto"/>
          <w:sz w:val="24"/>
          <w:szCs w:val="24"/>
        </w:rPr>
        <w:t>月</w:t>
      </w:r>
      <w:r>
        <w:rPr>
          <w:rFonts w:hint="eastAsia" w:ascii="宋体" w:hAnsi="宋体" w:eastAsia="宋体" w:cs="宋体"/>
          <w:b/>
          <w:color w:val="auto"/>
          <w:sz w:val="24"/>
          <w:szCs w:val="24"/>
          <w:lang w:val="en-US" w:eastAsia="zh-CN"/>
        </w:rPr>
        <w:t>16</w:t>
      </w:r>
      <w:r>
        <w:rPr>
          <w:rFonts w:hint="eastAsia" w:ascii="宋体" w:hAnsi="宋体" w:eastAsia="宋体" w:cs="宋体"/>
          <w:b/>
          <w:color w:val="auto"/>
          <w:sz w:val="24"/>
          <w:szCs w:val="24"/>
        </w:rPr>
        <w:t>日</w:t>
      </w:r>
      <w:r>
        <w:rPr>
          <w:rFonts w:hint="eastAsia" w:ascii="宋体" w:hAnsi="宋体" w:eastAsia="宋体" w:cs="宋体"/>
          <w:b/>
          <w:color w:val="auto"/>
          <w:sz w:val="24"/>
          <w:szCs w:val="24"/>
          <w:lang w:val="en-US" w:eastAsia="zh-CN"/>
        </w:rPr>
        <w:t>14</w:t>
      </w:r>
      <w:r>
        <w:rPr>
          <w:rFonts w:hint="eastAsia" w:ascii="宋体" w:hAnsi="宋体" w:eastAsia="宋体" w:cs="宋体"/>
          <w:b/>
          <w:color w:val="auto"/>
          <w:sz w:val="24"/>
          <w:szCs w:val="24"/>
        </w:rPr>
        <w:t>时</w:t>
      </w:r>
      <w:r>
        <w:rPr>
          <w:rFonts w:hint="eastAsia" w:ascii="宋体" w:hAnsi="宋体" w:eastAsia="宋体" w:cs="宋体"/>
          <w:b/>
          <w:color w:val="auto"/>
          <w:sz w:val="24"/>
          <w:szCs w:val="24"/>
          <w:lang w:val="en-US" w:eastAsia="zh-CN"/>
        </w:rPr>
        <w:t>30</w:t>
      </w:r>
      <w:r>
        <w:rPr>
          <w:rFonts w:hint="eastAsia" w:ascii="宋体" w:hAnsi="宋体" w:eastAsia="宋体" w:cs="宋体"/>
          <w:b/>
          <w:color w:val="auto"/>
          <w:sz w:val="24"/>
          <w:szCs w:val="24"/>
        </w:rPr>
        <w:t>分</w:t>
      </w:r>
      <w:r>
        <w:rPr>
          <w:rFonts w:hint="eastAsia" w:ascii="宋体" w:hAnsi="宋体" w:eastAsia="宋体" w:cs="宋体"/>
          <w:color w:val="auto"/>
          <w:sz w:val="24"/>
          <w:szCs w:val="24"/>
        </w:rPr>
        <w:t>（北京时间）前递交投标文件。</w:t>
      </w:r>
    </w:p>
    <w:p>
      <w:pPr>
        <w:spacing w:line="360" w:lineRule="auto"/>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一、项目基本情况</w:t>
      </w:r>
    </w:p>
    <w:p>
      <w:pPr>
        <w:spacing w:line="360" w:lineRule="auto"/>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1.1</w:t>
      </w:r>
      <w:r>
        <w:rPr>
          <w:rFonts w:hint="eastAsia" w:ascii="宋体" w:hAnsi="宋体" w:eastAsia="宋体" w:cs="宋体"/>
          <w:color w:val="auto"/>
          <w:sz w:val="24"/>
          <w:szCs w:val="24"/>
        </w:rPr>
        <w:t>项目编号：</w:t>
      </w:r>
      <w:r>
        <w:rPr>
          <w:rFonts w:hint="eastAsia" w:ascii="宋体" w:hAnsi="宋体" w:eastAsia="宋体" w:cs="宋体"/>
          <w:color w:val="auto"/>
          <w:sz w:val="24"/>
          <w:szCs w:val="24"/>
          <w:lang w:eastAsia="zh-CN"/>
        </w:rPr>
        <w:t>TDCG2023024</w:t>
      </w:r>
    </w:p>
    <w:p>
      <w:pPr>
        <w:spacing w:line="360" w:lineRule="auto"/>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1.2</w:t>
      </w:r>
      <w:r>
        <w:rPr>
          <w:rFonts w:hint="eastAsia" w:ascii="宋体" w:hAnsi="宋体" w:eastAsia="宋体" w:cs="宋体"/>
          <w:color w:val="auto"/>
          <w:sz w:val="24"/>
          <w:szCs w:val="24"/>
        </w:rPr>
        <w:t>项目名称：</w:t>
      </w:r>
      <w:r>
        <w:rPr>
          <w:rFonts w:hint="eastAsia" w:ascii="宋体" w:hAnsi="宋体" w:eastAsia="宋体" w:cs="宋体"/>
          <w:color w:val="auto"/>
          <w:sz w:val="24"/>
          <w:szCs w:val="24"/>
          <w:lang w:eastAsia="zh-CN"/>
        </w:rPr>
        <w:t>南京邮电大学通达学院校内配送服务采购项目</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1.3采购内容：主要负责服务校内食堂外卖配送等服务项目。本校师生员工可通过本项目的订餐送餐平台线上订餐、选择服务（配送或自提），供应商通过派驻专人管理、招募组建配送团队、投放智能保温自提柜，保障校园食堂外卖安全配送。</w:t>
      </w:r>
    </w:p>
    <w:p>
      <w:pPr>
        <w:spacing w:line="360" w:lineRule="auto"/>
        <w:ind w:firstLine="480" w:firstLineChars="200"/>
        <w:rPr>
          <w:rFonts w:hint="eastAsia" w:ascii="宋体" w:hAnsi="宋体" w:eastAsia="宋体" w:cs="宋体"/>
          <w:b w:val="0"/>
          <w:bCs w:val="0"/>
          <w:color w:val="auto"/>
          <w:sz w:val="24"/>
          <w:szCs w:val="24"/>
          <w:u w:val="none"/>
          <w:lang w:eastAsia="zh-CN"/>
        </w:rPr>
      </w:pPr>
      <w:r>
        <w:rPr>
          <w:rFonts w:hint="eastAsia" w:ascii="宋体" w:hAnsi="宋体" w:eastAsia="宋体" w:cs="宋体"/>
          <w:color w:val="auto"/>
          <w:kern w:val="2"/>
          <w:sz w:val="24"/>
          <w:szCs w:val="24"/>
          <w:lang w:val="en-US" w:eastAsia="zh-CN" w:bidi="ar-SA"/>
        </w:rPr>
        <w:t>1.4服务期限：</w:t>
      </w:r>
      <w:r>
        <w:rPr>
          <w:rFonts w:hint="eastAsia" w:ascii="宋体" w:hAnsi="宋体" w:eastAsia="宋体" w:cs="宋体"/>
          <w:b w:val="0"/>
          <w:bCs w:val="0"/>
          <w:color w:val="auto"/>
          <w:kern w:val="2"/>
          <w:sz w:val="24"/>
          <w:szCs w:val="24"/>
          <w:u w:val="none"/>
          <w:lang w:val="en-US" w:eastAsia="zh-CN" w:bidi="ar-SA"/>
        </w:rPr>
        <w:t>5年，合同一年一签。服务期内未出现无违法、违规、违约行为和安全责任事故，</w:t>
      </w:r>
      <w:r>
        <w:rPr>
          <w:rFonts w:hint="eastAsia" w:ascii="宋体" w:hAnsi="宋体" w:eastAsia="宋体" w:cs="宋体"/>
          <w:b w:val="0"/>
          <w:bCs w:val="0"/>
          <w:color w:val="auto"/>
          <w:sz w:val="24"/>
          <w:szCs w:val="24"/>
          <w:u w:val="none"/>
        </w:rPr>
        <w:t>由学校后勤</w:t>
      </w:r>
      <w:r>
        <w:rPr>
          <w:rFonts w:hint="eastAsia" w:ascii="宋体" w:hAnsi="宋体" w:eastAsia="宋体" w:cs="宋体"/>
          <w:b w:val="0"/>
          <w:bCs w:val="0"/>
          <w:color w:val="auto"/>
          <w:sz w:val="24"/>
          <w:szCs w:val="24"/>
          <w:u w:val="none"/>
          <w:lang w:eastAsia="zh-CN"/>
        </w:rPr>
        <w:t>管理处</w:t>
      </w:r>
      <w:r>
        <w:rPr>
          <w:rFonts w:hint="eastAsia" w:ascii="宋体" w:hAnsi="宋体" w:eastAsia="宋体" w:cs="宋体"/>
          <w:b w:val="0"/>
          <w:bCs w:val="0"/>
          <w:color w:val="auto"/>
          <w:sz w:val="24"/>
          <w:szCs w:val="24"/>
          <w:u w:val="none"/>
        </w:rPr>
        <w:t>组织项目运营效果年度综合考核, 考核合格后签订下一</w:t>
      </w:r>
      <w:r>
        <w:rPr>
          <w:rFonts w:hint="eastAsia" w:ascii="宋体" w:hAnsi="宋体" w:eastAsia="宋体" w:cs="宋体"/>
          <w:b w:val="0"/>
          <w:bCs w:val="0"/>
          <w:color w:val="auto"/>
          <w:sz w:val="24"/>
          <w:szCs w:val="24"/>
          <w:u w:val="none"/>
          <w:lang w:val="en-US" w:eastAsia="zh-CN"/>
        </w:rPr>
        <w:t>年</w:t>
      </w:r>
      <w:r>
        <w:rPr>
          <w:rFonts w:hint="eastAsia" w:ascii="宋体" w:hAnsi="宋体" w:eastAsia="宋体" w:cs="宋体"/>
          <w:b w:val="0"/>
          <w:bCs w:val="0"/>
          <w:color w:val="auto"/>
          <w:sz w:val="24"/>
          <w:szCs w:val="24"/>
          <w:u w:val="none"/>
        </w:rPr>
        <w:t>合同</w:t>
      </w:r>
      <w:r>
        <w:rPr>
          <w:rFonts w:hint="eastAsia" w:ascii="宋体" w:hAnsi="宋体" w:eastAsia="宋体" w:cs="宋体"/>
          <w:b w:val="0"/>
          <w:bCs w:val="0"/>
          <w:color w:val="auto"/>
          <w:sz w:val="24"/>
          <w:szCs w:val="24"/>
          <w:u w:val="none"/>
          <w:lang w:eastAsia="zh-CN"/>
        </w:rPr>
        <w:t>。</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1.5交付要求：合同签订之日起20日内完成全部设备和订餐平台的安装及调试。</w:t>
      </w:r>
    </w:p>
    <w:p>
      <w:pPr>
        <w:spacing w:line="360" w:lineRule="auto"/>
        <w:ind w:firstLine="480" w:firstLineChars="20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1.6服务地点：南京邮电大学通达学院内，招标人指定地点。</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1.7</w:t>
      </w:r>
      <w:r>
        <w:rPr>
          <w:rFonts w:hint="eastAsia" w:ascii="宋体" w:hAnsi="宋体" w:eastAsia="宋体" w:cs="宋体"/>
          <w:color w:val="auto"/>
          <w:sz w:val="24"/>
          <w:szCs w:val="24"/>
        </w:rPr>
        <w:t>本项目不接受联合体投标。</w:t>
      </w:r>
    </w:p>
    <w:p>
      <w:pPr>
        <w:spacing w:line="360" w:lineRule="auto"/>
        <w:ind w:firstLine="480" w:firstLineChars="200"/>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1.8本次招标为本项目第二次招标，如投标人不足三家或者通过资格审查或符合性审查的投标人不足三家的，将自动转为竞争性谈判或单一来源采购。</w:t>
      </w:r>
    </w:p>
    <w:p>
      <w:pPr>
        <w:spacing w:line="360" w:lineRule="auto"/>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二、申请人的资格要求：</w:t>
      </w:r>
    </w:p>
    <w:p>
      <w:pPr>
        <w:spacing w:line="360" w:lineRule="auto"/>
        <w:ind w:left="0" w:leftChars="0" w:firstLine="420" w:firstLineChars="175"/>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w:t>
      </w:r>
      <w:r>
        <w:rPr>
          <w:rFonts w:hint="eastAsia" w:ascii="宋体" w:hAnsi="宋体" w:eastAsia="宋体" w:cs="宋体"/>
          <w:sz w:val="24"/>
          <w:szCs w:val="24"/>
        </w:rPr>
        <w:t>满足《中华人民共和国政府采购法》第二十二条规定</w:t>
      </w:r>
      <w:r>
        <w:rPr>
          <w:rFonts w:hint="eastAsia" w:ascii="宋体" w:hAnsi="宋体" w:eastAsia="宋体" w:cs="宋体"/>
          <w:sz w:val="24"/>
          <w:szCs w:val="24"/>
          <w:lang w:eastAsia="zh-CN"/>
        </w:rPr>
        <w:t>；</w:t>
      </w:r>
    </w:p>
    <w:p>
      <w:pPr>
        <w:keepNext w:val="0"/>
        <w:keepLines w:val="0"/>
        <w:pageBreakBefore w:val="0"/>
        <w:kinsoku/>
        <w:wordWrap/>
        <w:overflowPunct/>
        <w:topLinePunct w:val="0"/>
        <w:autoSpaceDE/>
        <w:autoSpaceDN/>
        <w:bidi w:val="0"/>
        <w:adjustRightInd/>
        <w:snapToGrid/>
        <w:spacing w:line="390" w:lineRule="exact"/>
        <w:ind w:left="0" w:leftChars="0" w:firstLine="420" w:firstLineChars="175"/>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（2）投标人须是具有独立承担民事责任能力，在中华人民共和国境内注册并合法运作的法人机构或其他组织，具有增值电信业务许可证，不接受分公司、分支机构、代理商、合作商参与投标；</w:t>
      </w:r>
    </w:p>
    <w:p>
      <w:pPr>
        <w:keepNext w:val="0"/>
        <w:keepLines w:val="0"/>
        <w:pageBreakBefore w:val="0"/>
        <w:kinsoku/>
        <w:wordWrap/>
        <w:overflowPunct/>
        <w:topLinePunct w:val="0"/>
        <w:autoSpaceDE/>
        <w:autoSpaceDN/>
        <w:bidi w:val="0"/>
        <w:adjustRightInd/>
        <w:snapToGrid/>
        <w:spacing w:line="390" w:lineRule="exact"/>
        <w:ind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3）近三年内投标人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w:t>
      </w:r>
      <w:r>
        <w:rPr>
          <w:rFonts w:hint="eastAsia" w:ascii="宋体" w:hAnsi="宋体" w:eastAsia="宋体" w:cs="宋体"/>
          <w:color w:val="auto"/>
          <w:sz w:val="24"/>
          <w:szCs w:val="24"/>
          <w:highlight w:val="none"/>
        </w:rPr>
        <w:t>（投标时提供复印件加盖公章，原件备查）</w:t>
      </w:r>
      <w:r>
        <w:rPr>
          <w:rFonts w:hint="eastAsia" w:ascii="宋体" w:hAnsi="宋体" w:eastAsia="宋体" w:cs="宋体"/>
          <w:color w:val="auto"/>
          <w:sz w:val="24"/>
          <w:szCs w:val="24"/>
          <w:highlight w:val="none"/>
          <w:lang w:eastAsia="zh-CN"/>
        </w:rPr>
        <w:t>。</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4</w:t>
      </w:r>
      <w:r>
        <w:rPr>
          <w:rFonts w:hint="eastAsia" w:ascii="宋体" w:hAnsi="宋体" w:eastAsia="宋体" w:cs="宋体"/>
          <w:sz w:val="24"/>
          <w:szCs w:val="24"/>
        </w:rPr>
        <w:t>）法律、行政法规规定的其他条件：无</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2.落实政府采购政策需满足的资格要求：无</w:t>
      </w:r>
    </w:p>
    <w:p>
      <w:pPr>
        <w:shd w:val="clea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3.本项目的特定资格要求：</w:t>
      </w:r>
    </w:p>
    <w:p>
      <w:pPr>
        <w:shd w:val="clear"/>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b w:val="0"/>
          <w:bCs w:val="0"/>
          <w:color w:val="auto"/>
          <w:sz w:val="24"/>
          <w:szCs w:val="24"/>
          <w:highlight w:val="none"/>
          <w:lang w:val="en-US" w:eastAsia="zh-CN"/>
        </w:rPr>
        <w:t>（1）投标人须具备有效期内的食品经营许可证</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（投标时提供复印件加盖公章，原件备查）</w:t>
      </w:r>
      <w:r>
        <w:rPr>
          <w:rFonts w:hint="eastAsia" w:ascii="宋体" w:hAnsi="宋体" w:eastAsia="宋体" w:cs="宋体"/>
          <w:color w:val="auto"/>
          <w:sz w:val="24"/>
          <w:szCs w:val="24"/>
          <w:highlight w:val="none"/>
          <w:lang w:eastAsia="zh-CN"/>
        </w:rPr>
        <w:t>。</w:t>
      </w:r>
    </w:p>
    <w:p>
      <w:pPr>
        <w:shd w:val="clear"/>
        <w:spacing w:line="360" w:lineRule="auto"/>
        <w:ind w:firstLine="480" w:firstLineChars="200"/>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（2）投标人须提供2021年度或2022年度纳税证明和截止投标日前拟投入本项目人员近六个月社保缴纳证明</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（投标时提供复印件加盖公章，原件备查）</w:t>
      </w:r>
      <w:r>
        <w:rPr>
          <w:rFonts w:hint="eastAsia" w:ascii="宋体" w:hAnsi="宋体" w:eastAsia="宋体" w:cs="宋体"/>
          <w:b w:val="0"/>
          <w:bCs w:val="0"/>
          <w:color w:val="auto"/>
          <w:sz w:val="24"/>
          <w:szCs w:val="24"/>
          <w:highlight w:val="none"/>
          <w:lang w:val="en-US" w:eastAsia="zh-CN"/>
        </w:rPr>
        <w:t>。</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4.本项目拒绝下述投标人参加投标：</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4.1</w:t>
      </w:r>
      <w:r>
        <w:rPr>
          <w:rFonts w:hint="eastAsia" w:ascii="宋体" w:hAnsi="宋体" w:eastAsia="宋体" w:cs="宋体"/>
          <w:sz w:val="24"/>
          <w:szCs w:val="24"/>
        </w:rPr>
        <w:t>投标人单位负责人为同一人或者存在直接控股、管理关系的不同投标人，不得参加同一合同项下的政府采购活动。</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4.2</w:t>
      </w:r>
      <w:r>
        <w:rPr>
          <w:rFonts w:hint="eastAsia" w:ascii="宋体" w:hAnsi="宋体" w:eastAsia="宋体" w:cs="宋体"/>
          <w:sz w:val="24"/>
          <w:szCs w:val="24"/>
        </w:rPr>
        <w:t>凡为采购项目提供整体设计、规范编制或者项目管理、监理、检测等服务的投标人，不得再参加本项目的采购活动。</w:t>
      </w:r>
    </w:p>
    <w:p>
      <w:pPr>
        <w:spacing w:line="360" w:lineRule="auto"/>
        <w:ind w:firstLine="480" w:firstLineChars="200"/>
      </w:pPr>
      <w:r>
        <w:rPr>
          <w:rFonts w:hint="eastAsia" w:ascii="宋体" w:hAnsi="宋体" w:eastAsia="宋体" w:cs="宋体"/>
          <w:sz w:val="24"/>
          <w:szCs w:val="24"/>
          <w:lang w:val="en-US" w:eastAsia="zh-CN"/>
        </w:rPr>
        <w:t>4.3</w:t>
      </w:r>
      <w:r>
        <w:rPr>
          <w:rFonts w:hint="eastAsia" w:ascii="宋体" w:hAnsi="宋体" w:eastAsia="宋体" w:cs="宋体"/>
          <w:sz w:val="24"/>
          <w:szCs w:val="24"/>
        </w:rPr>
        <w:t>投标人被“信用中国”网站（www.creditchina.gov.cn）、“中国政府采购网”(www.ccgp.gov.cn)列入失信被执行人、重大税收违法案件当事人名单、政府采购严重违法失信行为记录名单。</w:t>
      </w:r>
    </w:p>
    <w:p>
      <w:pPr>
        <w:spacing w:line="360" w:lineRule="auto"/>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三、获取招标文件</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时间：202</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年</w:t>
      </w: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rPr>
        <w:t>月</w:t>
      </w: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rPr>
        <w:t>日至20</w:t>
      </w:r>
      <w:r>
        <w:rPr>
          <w:rFonts w:hint="eastAsia" w:ascii="宋体" w:hAnsi="宋体" w:eastAsia="宋体" w:cs="宋体"/>
          <w:color w:val="auto"/>
          <w:sz w:val="24"/>
          <w:szCs w:val="24"/>
          <w:lang w:val="en-US" w:eastAsia="zh-CN"/>
        </w:rPr>
        <w:t>23</w:t>
      </w:r>
      <w:r>
        <w:rPr>
          <w:rFonts w:hint="eastAsia" w:ascii="宋体" w:hAnsi="宋体" w:eastAsia="宋体" w:cs="宋体"/>
          <w:color w:val="auto"/>
          <w:sz w:val="24"/>
          <w:szCs w:val="24"/>
        </w:rPr>
        <w:t>年</w:t>
      </w: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rPr>
        <w:t>月</w:t>
      </w:r>
      <w:r>
        <w:rPr>
          <w:rFonts w:hint="eastAsia" w:ascii="宋体" w:hAnsi="宋体" w:eastAsia="宋体" w:cs="宋体"/>
          <w:color w:val="auto"/>
          <w:sz w:val="24"/>
          <w:szCs w:val="24"/>
          <w:lang w:val="en-US" w:eastAsia="zh-CN"/>
        </w:rPr>
        <w:t>11</w:t>
      </w:r>
      <w:r>
        <w:rPr>
          <w:rFonts w:hint="eastAsia" w:ascii="宋体" w:hAnsi="宋体" w:eastAsia="宋体" w:cs="宋体"/>
          <w:color w:val="auto"/>
          <w:sz w:val="24"/>
          <w:szCs w:val="24"/>
        </w:rPr>
        <w:t>日，每天上午8时30分到11时30分，下午14时00分到17时30分（北京时间，法定节假日除外）</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方式：</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报名需将下述资料盖章扫描件（1份）发邮件至zhangweichu_xm.cicdi@chinaccs.cn，进行线上报名：</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（1）营业执照副本；</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（2）法人授权委托书和被授权人身份证；</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（3）标书费付款凭证。</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售价：</w:t>
      </w:r>
      <w:r>
        <w:rPr>
          <w:rFonts w:hint="eastAsia" w:ascii="宋体" w:hAnsi="宋体" w:eastAsia="宋体" w:cs="宋体"/>
          <w:color w:val="auto"/>
          <w:sz w:val="24"/>
          <w:szCs w:val="24"/>
          <w:lang w:val="en-US" w:eastAsia="zh-CN"/>
        </w:rPr>
        <w:t>300</w:t>
      </w:r>
      <w:r>
        <w:rPr>
          <w:rFonts w:hint="eastAsia" w:ascii="宋体" w:hAnsi="宋体" w:eastAsia="宋体" w:cs="宋体"/>
          <w:color w:val="auto"/>
          <w:sz w:val="24"/>
          <w:szCs w:val="24"/>
        </w:rPr>
        <w:t>元人民币</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汇款账号信息如下：</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收款单位：中通服咨询设计研究院有限公司</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开户银行：招商银行南京分行城北支行</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帐    号：1259 0209 5710 1030 0005</w:t>
      </w:r>
    </w:p>
    <w:p>
      <w:pPr>
        <w:spacing w:line="360" w:lineRule="auto"/>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rPr>
        <w:t>转帐事由：吴鑫乐+项目名称</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可简写</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 标书费</w:t>
      </w:r>
    </w:p>
    <w:p>
      <w:pPr>
        <w:spacing w:line="360" w:lineRule="auto"/>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四、提交投标文件截止时间、开标时间和地点</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提交投标文件截止时间及开标时间：20</w:t>
      </w:r>
      <w:r>
        <w:rPr>
          <w:rFonts w:hint="eastAsia" w:ascii="宋体" w:hAnsi="宋体" w:eastAsia="宋体" w:cs="宋体"/>
          <w:color w:val="auto"/>
          <w:sz w:val="24"/>
          <w:szCs w:val="24"/>
          <w:lang w:val="en-US" w:eastAsia="zh-CN"/>
        </w:rPr>
        <w:t>23</w:t>
      </w:r>
      <w:r>
        <w:rPr>
          <w:rFonts w:hint="eastAsia" w:ascii="宋体" w:hAnsi="宋体" w:eastAsia="宋体" w:cs="宋体"/>
          <w:color w:val="auto"/>
          <w:sz w:val="24"/>
          <w:szCs w:val="24"/>
        </w:rPr>
        <w:t>年</w:t>
      </w: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rPr>
        <w:t>月</w:t>
      </w:r>
      <w:r>
        <w:rPr>
          <w:rFonts w:hint="eastAsia" w:ascii="宋体" w:hAnsi="宋体" w:eastAsia="宋体" w:cs="宋体"/>
          <w:color w:val="auto"/>
          <w:sz w:val="24"/>
          <w:szCs w:val="24"/>
          <w:lang w:val="en-US" w:eastAsia="zh-CN"/>
        </w:rPr>
        <w:t>16</w:t>
      </w:r>
      <w:r>
        <w:rPr>
          <w:rFonts w:hint="eastAsia" w:ascii="宋体" w:hAnsi="宋体" w:eastAsia="宋体" w:cs="宋体"/>
          <w:color w:val="auto"/>
          <w:sz w:val="24"/>
          <w:szCs w:val="24"/>
        </w:rPr>
        <w:t>日</w:t>
      </w:r>
      <w:r>
        <w:rPr>
          <w:rFonts w:hint="eastAsia" w:ascii="宋体" w:hAnsi="宋体" w:eastAsia="宋体" w:cs="宋体"/>
          <w:color w:val="auto"/>
          <w:sz w:val="24"/>
          <w:szCs w:val="24"/>
          <w:lang w:val="en-US" w:eastAsia="zh-CN"/>
        </w:rPr>
        <w:t>14</w:t>
      </w:r>
      <w:r>
        <w:rPr>
          <w:rFonts w:hint="eastAsia" w:ascii="宋体" w:hAnsi="宋体" w:eastAsia="宋体" w:cs="宋体"/>
          <w:color w:val="auto"/>
          <w:sz w:val="24"/>
          <w:szCs w:val="24"/>
        </w:rPr>
        <w:t>时</w:t>
      </w:r>
      <w:r>
        <w:rPr>
          <w:rFonts w:hint="eastAsia" w:ascii="宋体" w:hAnsi="宋体" w:eastAsia="宋体" w:cs="宋体"/>
          <w:color w:val="auto"/>
          <w:sz w:val="24"/>
          <w:szCs w:val="24"/>
          <w:lang w:val="en-US" w:eastAsia="zh-CN"/>
        </w:rPr>
        <w:t>30</w:t>
      </w:r>
      <w:r>
        <w:rPr>
          <w:rFonts w:hint="eastAsia" w:ascii="宋体" w:hAnsi="宋体" w:eastAsia="宋体" w:cs="宋体"/>
          <w:color w:val="auto"/>
          <w:sz w:val="24"/>
          <w:szCs w:val="24"/>
        </w:rPr>
        <w:t>分（北京时间）</w:t>
      </w:r>
    </w:p>
    <w:p>
      <w:pPr>
        <w:spacing w:line="360" w:lineRule="auto"/>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rPr>
        <w:t>提交投标文件及开标地点：</w:t>
      </w:r>
      <w:r>
        <w:rPr>
          <w:rFonts w:hint="eastAsia" w:ascii="宋体" w:hAnsi="宋体" w:eastAsia="宋体" w:cs="宋体"/>
          <w:color w:val="auto"/>
          <w:sz w:val="24"/>
          <w:szCs w:val="24"/>
          <w:lang w:eastAsia="zh-CN"/>
        </w:rPr>
        <w:t>江苏省扬州市邗江区江阳中路万象汇利大厦6楼会议室</w:t>
      </w:r>
    </w:p>
    <w:p>
      <w:pPr>
        <w:spacing w:line="360" w:lineRule="auto"/>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五、公告期限</w:t>
      </w:r>
      <w:bookmarkStart w:id="49" w:name="_GoBack"/>
      <w:bookmarkEnd w:id="49"/>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自本公告发布之日起5个工作日。</w:t>
      </w:r>
    </w:p>
    <w:p>
      <w:pPr>
        <w:spacing w:line="360" w:lineRule="auto"/>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六、其他补充事宜</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w:t>
      </w:r>
      <w:r>
        <w:rPr>
          <w:rFonts w:hint="default" w:ascii="宋体" w:hAnsi="宋体" w:eastAsia="宋体" w:cs="宋体"/>
          <w:color w:val="auto"/>
          <w:sz w:val="24"/>
          <w:szCs w:val="24"/>
          <w:lang w:val="en-US" w:eastAsia="zh-CN"/>
        </w:rPr>
        <w:t>拒绝下述供应商参加本次采购活动：</w:t>
      </w:r>
    </w:p>
    <w:p>
      <w:pPr>
        <w:spacing w:line="360" w:lineRule="auto"/>
        <w:ind w:firstLine="480" w:firstLineChars="200"/>
        <w:rPr>
          <w:rFonts w:hint="default" w:ascii="宋体" w:hAnsi="宋体" w:eastAsia="宋体" w:cs="宋体"/>
          <w:color w:val="auto"/>
          <w:sz w:val="24"/>
          <w:szCs w:val="24"/>
        </w:rPr>
      </w:pPr>
      <w:r>
        <w:rPr>
          <w:rFonts w:hint="eastAsia" w:ascii="宋体" w:hAnsi="宋体" w:eastAsia="宋体" w:cs="宋体"/>
          <w:color w:val="auto"/>
          <w:sz w:val="24"/>
          <w:szCs w:val="24"/>
          <w:lang w:val="en-US" w:eastAsia="zh-CN"/>
        </w:rPr>
        <w:t>1</w:t>
      </w:r>
      <w:r>
        <w:rPr>
          <w:rFonts w:hint="default" w:ascii="宋体" w:hAnsi="宋体" w:eastAsia="宋体" w:cs="宋体"/>
          <w:color w:val="auto"/>
          <w:sz w:val="24"/>
          <w:szCs w:val="24"/>
          <w:lang w:val="en-US" w:eastAsia="zh-CN"/>
        </w:rPr>
        <w:t>.1</w:t>
      </w:r>
      <w:r>
        <w:rPr>
          <w:rFonts w:hint="eastAsia" w:ascii="宋体" w:hAnsi="宋体" w:eastAsia="宋体" w:cs="宋体"/>
          <w:color w:val="auto"/>
          <w:sz w:val="24"/>
          <w:szCs w:val="24"/>
          <w:lang w:val="en-US" w:eastAsia="zh-CN"/>
        </w:rPr>
        <w:t>投标人</w:t>
      </w:r>
      <w:r>
        <w:rPr>
          <w:rFonts w:hint="default" w:ascii="宋体" w:hAnsi="宋体" w:eastAsia="宋体" w:cs="宋体"/>
          <w:color w:val="auto"/>
          <w:sz w:val="24"/>
          <w:szCs w:val="24"/>
          <w:lang w:val="en-US" w:eastAsia="zh-CN"/>
        </w:rPr>
        <w:t>单位负责人为同一人或者存在直接控股、管理关系的不同</w:t>
      </w:r>
      <w:r>
        <w:rPr>
          <w:rFonts w:hint="eastAsia" w:ascii="宋体" w:hAnsi="宋体" w:eastAsia="宋体" w:cs="宋体"/>
          <w:color w:val="auto"/>
          <w:sz w:val="24"/>
          <w:szCs w:val="24"/>
          <w:lang w:val="en-US" w:eastAsia="zh-CN"/>
        </w:rPr>
        <w:t>投标人</w:t>
      </w:r>
      <w:r>
        <w:rPr>
          <w:rFonts w:hint="default" w:ascii="宋体" w:hAnsi="宋体" w:eastAsia="宋体" w:cs="宋体"/>
          <w:color w:val="auto"/>
          <w:sz w:val="24"/>
          <w:szCs w:val="24"/>
          <w:lang w:val="en-US" w:eastAsia="zh-CN"/>
        </w:rPr>
        <w:t>，不得参加同一合同项下的政府采购活动。</w:t>
      </w:r>
    </w:p>
    <w:p>
      <w:pPr>
        <w:spacing w:line="360" w:lineRule="auto"/>
        <w:ind w:firstLine="480" w:firstLineChars="200"/>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w:t>
      </w:r>
      <w:r>
        <w:rPr>
          <w:rFonts w:hint="default" w:ascii="宋体" w:hAnsi="宋体" w:eastAsia="宋体" w:cs="宋体"/>
          <w:color w:val="auto"/>
          <w:sz w:val="24"/>
          <w:szCs w:val="24"/>
          <w:lang w:val="en-US" w:eastAsia="zh-CN"/>
        </w:rPr>
        <w:t>.2凡为采购项目提供整体设计、规范编制或者项目管理、监理、检测等服务的</w:t>
      </w:r>
      <w:r>
        <w:rPr>
          <w:rFonts w:hint="eastAsia" w:ascii="宋体" w:hAnsi="宋体" w:eastAsia="宋体" w:cs="宋体"/>
          <w:color w:val="auto"/>
          <w:sz w:val="24"/>
          <w:szCs w:val="24"/>
          <w:lang w:val="en-US" w:eastAsia="zh-CN"/>
        </w:rPr>
        <w:t>投标人</w:t>
      </w:r>
      <w:r>
        <w:rPr>
          <w:rFonts w:hint="default" w:ascii="宋体" w:hAnsi="宋体" w:eastAsia="宋体" w:cs="宋体"/>
          <w:color w:val="auto"/>
          <w:sz w:val="24"/>
          <w:szCs w:val="24"/>
          <w:lang w:val="en-US" w:eastAsia="zh-CN"/>
        </w:rPr>
        <w:t>，不得再参加该项目的其他采购活动。</w:t>
      </w:r>
    </w:p>
    <w:p>
      <w:pPr>
        <w:spacing w:line="360" w:lineRule="auto"/>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七、对本次招标提出询问，请按以下方式联系。</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eastAsia="zh-CN"/>
        </w:rPr>
        <w:t>招标人</w:t>
      </w:r>
      <w:r>
        <w:rPr>
          <w:rFonts w:hint="eastAsia" w:ascii="宋体" w:hAnsi="宋体" w:eastAsia="宋体" w:cs="宋体"/>
          <w:color w:val="auto"/>
          <w:sz w:val="24"/>
          <w:szCs w:val="24"/>
        </w:rPr>
        <w:t>信息</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名 称：南京邮电大学</w:t>
      </w:r>
      <w:r>
        <w:rPr>
          <w:rFonts w:hint="eastAsia" w:ascii="宋体" w:hAnsi="宋体" w:eastAsia="宋体" w:cs="宋体"/>
          <w:color w:val="auto"/>
          <w:sz w:val="24"/>
          <w:szCs w:val="24"/>
          <w:lang w:val="en-US" w:eastAsia="zh-CN"/>
        </w:rPr>
        <w:t>通达学院</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地</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址：</w:t>
      </w:r>
      <w:r>
        <w:rPr>
          <w:rFonts w:hint="eastAsia" w:ascii="宋体" w:hAnsi="宋体" w:eastAsia="宋体" w:cs="宋体"/>
          <w:color w:val="auto"/>
          <w:sz w:val="24"/>
          <w:szCs w:val="24"/>
          <w:lang w:val="en-US" w:eastAsia="zh-CN"/>
        </w:rPr>
        <w:t>扬州市邗江区润扬南路33号</w:t>
      </w:r>
    </w:p>
    <w:p>
      <w:pPr>
        <w:pStyle w:val="20"/>
        <w:rPr>
          <w:rFonts w:hint="default"/>
          <w:color w:val="auto"/>
          <w:lang w:val="en-US"/>
        </w:rPr>
      </w:pPr>
      <w:r>
        <w:rPr>
          <w:rFonts w:hint="eastAsia" w:ascii="宋体" w:hAnsi="宋体" w:eastAsia="宋体" w:cs="宋体"/>
          <w:color w:val="auto"/>
          <w:sz w:val="24"/>
          <w:szCs w:val="24"/>
          <w:lang w:val="en-US" w:eastAsia="zh-CN"/>
        </w:rPr>
        <w:t xml:space="preserve">    联系人：季老师</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2.采购代理机构信息</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名 称：中通服咨询设计研究院有限公司</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地　址：南京市建邺区楠溪江东街58号</w:t>
      </w:r>
    </w:p>
    <w:p>
      <w:pPr>
        <w:spacing w:line="360" w:lineRule="auto"/>
        <w:ind w:firstLine="480" w:firstLineChars="200"/>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联系人：张伟楚（报名）、吴鑫乐、</w:t>
      </w:r>
      <w:r>
        <w:rPr>
          <w:rFonts w:hint="eastAsia" w:ascii="宋体" w:hAnsi="宋体" w:eastAsia="宋体" w:cs="宋体"/>
          <w:color w:val="auto"/>
          <w:sz w:val="24"/>
          <w:szCs w:val="24"/>
        </w:rPr>
        <w:t>朱闵远</w:t>
      </w:r>
    </w:p>
    <w:p>
      <w:pPr>
        <w:spacing w:line="360" w:lineRule="auto"/>
        <w:ind w:firstLine="480" w:firstLineChars="200"/>
        <w:rPr>
          <w:rFonts w:hint="eastAsia" w:ascii="宋体" w:hAnsi="宋体" w:eastAsia="宋体" w:cs="宋体"/>
          <w:color w:val="auto"/>
          <w:kern w:val="44"/>
          <w:sz w:val="36"/>
          <w:szCs w:val="36"/>
          <w:u w:color="000000"/>
          <w:lang w:val="zh-TW" w:eastAsia="zh-TW"/>
        </w:rPr>
      </w:pPr>
      <w:r>
        <w:rPr>
          <w:rFonts w:hint="eastAsia" w:ascii="宋体" w:hAnsi="宋体" w:eastAsia="宋体" w:cs="宋体"/>
          <w:color w:val="auto"/>
          <w:sz w:val="24"/>
          <w:szCs w:val="24"/>
        </w:rPr>
        <w:t>联系</w:t>
      </w:r>
      <w:r>
        <w:rPr>
          <w:rFonts w:hint="eastAsia" w:ascii="宋体" w:hAnsi="宋体" w:eastAsia="宋体" w:cs="宋体"/>
          <w:color w:val="auto"/>
          <w:sz w:val="24"/>
          <w:szCs w:val="24"/>
          <w:lang w:val="en-US" w:eastAsia="zh-CN"/>
        </w:rPr>
        <w:t>电话</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19951762792（报名）、15301580836</w:t>
      </w:r>
      <w:r>
        <w:rPr>
          <w:rFonts w:hint="eastAsia" w:ascii="宋体" w:hAnsi="宋体" w:eastAsia="宋体" w:cs="宋体"/>
          <w:color w:val="auto"/>
          <w:kern w:val="44"/>
          <w:sz w:val="36"/>
          <w:szCs w:val="36"/>
          <w:u w:color="000000"/>
          <w:lang w:val="zh-TW" w:eastAsia="zh-TW"/>
        </w:rPr>
        <w:br w:type="page"/>
      </w:r>
    </w:p>
    <w:p>
      <w:pPr>
        <w:keepNext/>
        <w:keepLines/>
        <w:spacing w:before="312" w:beforeLines="100" w:after="312" w:afterLines="100" w:line="360" w:lineRule="auto"/>
        <w:jc w:val="center"/>
        <w:outlineLvl w:val="0"/>
        <w:rPr>
          <w:rFonts w:hint="eastAsia" w:ascii="宋体" w:hAnsi="宋体" w:eastAsia="宋体" w:cs="宋体"/>
          <w:color w:val="auto"/>
          <w:kern w:val="44"/>
          <w:sz w:val="36"/>
          <w:szCs w:val="36"/>
          <w:u w:color="000000"/>
          <w:lang w:val="zh-TW" w:eastAsia="zh-TW"/>
        </w:rPr>
      </w:pPr>
      <w:bookmarkStart w:id="7" w:name="_Toc30510"/>
      <w:r>
        <w:rPr>
          <w:rFonts w:hint="eastAsia" w:ascii="宋体" w:hAnsi="宋体" w:eastAsia="宋体" w:cs="宋体"/>
          <w:color w:val="auto"/>
          <w:kern w:val="44"/>
          <w:sz w:val="36"/>
          <w:szCs w:val="36"/>
          <w:u w:color="000000"/>
          <w:lang w:val="zh-TW" w:eastAsia="zh-TW"/>
        </w:rPr>
        <w:t xml:space="preserve">第二章  </w:t>
      </w:r>
      <w:r>
        <w:rPr>
          <w:rFonts w:hint="eastAsia" w:ascii="宋体" w:hAnsi="宋体" w:eastAsia="宋体" w:cs="宋体"/>
          <w:color w:val="auto"/>
          <w:kern w:val="44"/>
          <w:sz w:val="36"/>
          <w:szCs w:val="36"/>
          <w:u w:color="000000"/>
          <w:lang w:val="zh-TW"/>
        </w:rPr>
        <w:t>投标人</w:t>
      </w:r>
      <w:r>
        <w:rPr>
          <w:rFonts w:hint="eastAsia" w:ascii="宋体" w:hAnsi="宋体" w:eastAsia="宋体" w:cs="宋体"/>
          <w:color w:val="auto"/>
          <w:kern w:val="44"/>
          <w:sz w:val="36"/>
          <w:szCs w:val="36"/>
          <w:u w:color="000000"/>
          <w:lang w:val="zh-TW" w:eastAsia="zh-TW"/>
        </w:rPr>
        <w:t>须知</w:t>
      </w:r>
      <w:bookmarkEnd w:id="4"/>
      <w:bookmarkEnd w:id="5"/>
      <w:bookmarkEnd w:id="6"/>
      <w:bookmarkEnd w:id="7"/>
    </w:p>
    <w:p>
      <w:pPr>
        <w:snapToGrid w:val="0"/>
        <w:spacing w:line="360" w:lineRule="auto"/>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一、总则</w:t>
      </w:r>
    </w:p>
    <w:p>
      <w:pPr>
        <w:snapToGrid w:val="0"/>
        <w:spacing w:line="360" w:lineRule="auto"/>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l、采购方式</w:t>
      </w:r>
    </w:p>
    <w:p>
      <w:pPr>
        <w:adjustRightInd w:val="0"/>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1.1本次采购采用公开招标方式，本招标文件仅适用于招标公告中所述项目。</w:t>
      </w:r>
    </w:p>
    <w:p>
      <w:pPr>
        <w:snapToGrid w:val="0"/>
        <w:spacing w:line="360" w:lineRule="auto"/>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2、合格的投标人</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2.1满足招标公告中投标人资质要求的规定。</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2.2 满足本文件实质性条款的规定。</w:t>
      </w:r>
    </w:p>
    <w:p>
      <w:pPr>
        <w:snapToGrid w:val="0"/>
        <w:spacing w:line="360" w:lineRule="auto"/>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3、适用法律</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3.1本次采购及由本次采购产生的合同受中华人民共和国有关法律法规制约和保护。</w:t>
      </w:r>
    </w:p>
    <w:p>
      <w:pPr>
        <w:snapToGrid w:val="0"/>
        <w:spacing w:line="360" w:lineRule="auto"/>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4、投标费用</w:t>
      </w:r>
    </w:p>
    <w:p>
      <w:pPr>
        <w:snapToGrid w:val="0"/>
        <w:spacing w:line="360" w:lineRule="auto"/>
        <w:ind w:firstLine="480" w:firstLineChars="20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4.1投标人应自行承担所有参与投标有关费用，无论投标过程中的做法和结果如何，</w:t>
      </w:r>
      <w:r>
        <w:rPr>
          <w:rFonts w:hint="eastAsia" w:ascii="宋体" w:hAnsi="宋体" w:eastAsia="宋体" w:cs="宋体"/>
          <w:color w:val="auto"/>
          <w:sz w:val="24"/>
          <w:szCs w:val="24"/>
          <w:u w:val="none"/>
          <w:lang w:eastAsia="zh-CN"/>
        </w:rPr>
        <w:t>招标人</w:t>
      </w:r>
      <w:r>
        <w:rPr>
          <w:rFonts w:hint="eastAsia" w:ascii="宋体" w:hAnsi="宋体" w:eastAsia="宋体" w:cs="宋体"/>
          <w:color w:val="auto"/>
          <w:sz w:val="24"/>
          <w:szCs w:val="24"/>
          <w:u w:val="none"/>
        </w:rPr>
        <w:t>在任何情况下均无义务和责任承担这些费用。</w:t>
      </w:r>
    </w:p>
    <w:p>
      <w:pPr>
        <w:snapToGrid w:val="0"/>
        <w:spacing w:line="360" w:lineRule="auto"/>
        <w:ind w:firstLine="480" w:firstLineChars="20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4.2本项目收取投标人标书费见公告，招标代理服务费由中标人支付，按照国家发展和改革委员会下发的《关于降低部分建设项目收费标准规范收费行为等有关问题的通知》（发改价格[2011]534号）所列招标代理服务费收费标准</w:t>
      </w:r>
      <w:r>
        <w:rPr>
          <w:rFonts w:hint="eastAsia" w:ascii="宋体" w:hAnsi="宋体" w:eastAsia="宋体" w:cs="宋体"/>
          <w:color w:val="auto"/>
          <w:sz w:val="24"/>
          <w:szCs w:val="24"/>
          <w:u w:val="none"/>
          <w:lang w:val="en-US" w:eastAsia="zh-CN"/>
        </w:rPr>
        <w:t>的65</w:t>
      </w:r>
      <w:r>
        <w:rPr>
          <w:rFonts w:hint="eastAsia" w:ascii="宋体" w:hAnsi="宋体" w:eastAsia="宋体" w:cs="宋体"/>
          <w:color w:val="auto"/>
          <w:sz w:val="24"/>
          <w:szCs w:val="24"/>
          <w:u w:val="none"/>
        </w:rPr>
        <w:t>%收取</w:t>
      </w:r>
      <w:r>
        <w:rPr>
          <w:rFonts w:hint="eastAsia" w:ascii="宋体" w:hAnsi="宋体" w:eastAsia="宋体" w:cs="宋体"/>
          <w:color w:val="auto"/>
          <w:sz w:val="24"/>
          <w:szCs w:val="24"/>
          <w:u w:val="none"/>
          <w:lang w:eastAsia="zh-CN"/>
        </w:rPr>
        <w:t>，</w:t>
      </w:r>
      <w:r>
        <w:rPr>
          <w:rFonts w:hint="eastAsia" w:ascii="宋体" w:hAnsi="宋体" w:eastAsia="宋体" w:cs="宋体"/>
          <w:color w:val="auto"/>
          <w:sz w:val="24"/>
          <w:szCs w:val="24"/>
          <w:u w:val="none"/>
          <w:lang w:val="en-US" w:eastAsia="zh-CN"/>
        </w:rPr>
        <w:t>最低收费金额为1000元</w:t>
      </w:r>
      <w:r>
        <w:rPr>
          <w:rFonts w:hint="eastAsia" w:ascii="宋体" w:hAnsi="宋体" w:eastAsia="宋体" w:cs="宋体"/>
          <w:color w:val="auto"/>
          <w:sz w:val="24"/>
          <w:szCs w:val="24"/>
          <w:u w:val="none"/>
        </w:rPr>
        <w:t>。</w:t>
      </w:r>
    </w:p>
    <w:p>
      <w:pPr>
        <w:snapToGrid w:val="0"/>
        <w:spacing w:line="360" w:lineRule="auto"/>
        <w:ind w:firstLine="480" w:firstLineChars="200"/>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u w:val="none"/>
          <w:lang w:val="en-US" w:eastAsia="zh-CN"/>
        </w:rPr>
        <w:t xml:space="preserve"> 4.3本项目的</w:t>
      </w:r>
      <w:r>
        <w:rPr>
          <w:rFonts w:hint="eastAsia" w:ascii="宋体" w:hAnsi="宋体" w:eastAsia="宋体" w:cs="宋体"/>
          <w:color w:val="auto"/>
          <w:sz w:val="24"/>
          <w:szCs w:val="24"/>
          <w:u w:val="none"/>
        </w:rPr>
        <w:t>专家论证费、专家评审费暂按</w:t>
      </w:r>
      <w:r>
        <w:rPr>
          <w:rFonts w:hint="eastAsia" w:ascii="宋体" w:hAnsi="宋体" w:eastAsia="宋体" w:cs="宋体"/>
          <w:color w:val="auto"/>
          <w:sz w:val="24"/>
          <w:szCs w:val="24"/>
          <w:u w:val="none"/>
          <w:lang w:val="en-US" w:eastAsia="zh-CN"/>
        </w:rPr>
        <w:t>4500</w:t>
      </w:r>
      <w:r>
        <w:rPr>
          <w:rFonts w:hint="eastAsia" w:ascii="宋体" w:hAnsi="宋体" w:eastAsia="宋体" w:cs="宋体"/>
          <w:color w:val="auto"/>
          <w:sz w:val="24"/>
          <w:szCs w:val="24"/>
          <w:u w:val="none"/>
        </w:rPr>
        <w:t>元向中标人收取。具体按实际发生结算。</w:t>
      </w:r>
    </w:p>
    <w:p>
      <w:pPr>
        <w:snapToGrid w:val="0"/>
        <w:spacing w:line="360" w:lineRule="auto"/>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5、招标文件的约束力</w:t>
      </w:r>
    </w:p>
    <w:p>
      <w:pPr>
        <w:snapToGrid w:val="0"/>
        <w:spacing w:line="360" w:lineRule="auto"/>
        <w:ind w:firstLine="480" w:firstLineChars="200"/>
        <w:rPr>
          <w:rFonts w:hint="eastAsia" w:ascii="宋体" w:hAnsi="宋体" w:eastAsia="宋体" w:cs="宋体"/>
          <w:color w:val="auto"/>
        </w:rPr>
      </w:pPr>
      <w:r>
        <w:rPr>
          <w:rFonts w:hint="eastAsia" w:ascii="宋体" w:hAnsi="宋体" w:eastAsia="宋体" w:cs="宋体"/>
          <w:color w:val="auto"/>
          <w:sz w:val="24"/>
          <w:szCs w:val="24"/>
        </w:rPr>
        <w:t>5.1投标人一旦下载了本招标文件并参与投标，即被认为接受了本招标文件中的所有条件和规定。</w:t>
      </w:r>
    </w:p>
    <w:p>
      <w:pPr>
        <w:snapToGrid w:val="0"/>
        <w:spacing w:line="360" w:lineRule="auto"/>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二、招标文件</w:t>
      </w:r>
    </w:p>
    <w:p>
      <w:pPr>
        <w:snapToGrid w:val="0"/>
        <w:spacing w:line="360" w:lineRule="auto"/>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6、招标文件的构成</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6.1招标文件由以下部分组成：</w:t>
      </w:r>
    </w:p>
    <w:p>
      <w:pPr>
        <w:snapToGrid w:val="0"/>
        <w:spacing w:line="360" w:lineRule="auto"/>
        <w:ind w:firstLine="360" w:firstLineChars="150"/>
        <w:rPr>
          <w:rFonts w:hint="eastAsia" w:ascii="宋体" w:hAnsi="宋体" w:eastAsia="宋体" w:cs="宋体"/>
          <w:color w:val="auto"/>
          <w:sz w:val="24"/>
          <w:szCs w:val="24"/>
        </w:rPr>
      </w:pPr>
      <w:r>
        <w:rPr>
          <w:rFonts w:hint="eastAsia" w:ascii="宋体" w:hAnsi="宋体" w:eastAsia="宋体" w:cs="宋体"/>
          <w:color w:val="auto"/>
          <w:sz w:val="24"/>
          <w:szCs w:val="24"/>
        </w:rPr>
        <w:t>（1）招标公告</w:t>
      </w:r>
    </w:p>
    <w:p>
      <w:pPr>
        <w:snapToGrid w:val="0"/>
        <w:spacing w:line="360" w:lineRule="auto"/>
        <w:ind w:firstLine="360" w:firstLineChars="150"/>
        <w:rPr>
          <w:rFonts w:hint="eastAsia" w:ascii="宋体" w:hAnsi="宋体" w:eastAsia="宋体" w:cs="宋体"/>
          <w:color w:val="auto"/>
          <w:sz w:val="24"/>
          <w:szCs w:val="24"/>
        </w:rPr>
      </w:pPr>
      <w:r>
        <w:rPr>
          <w:rFonts w:hint="eastAsia" w:ascii="宋体" w:hAnsi="宋体" w:eastAsia="宋体" w:cs="宋体"/>
          <w:color w:val="auto"/>
          <w:sz w:val="24"/>
          <w:szCs w:val="24"/>
        </w:rPr>
        <w:t>（2）投标人须知</w:t>
      </w:r>
    </w:p>
    <w:p>
      <w:pPr>
        <w:snapToGrid w:val="0"/>
        <w:spacing w:line="360" w:lineRule="auto"/>
        <w:ind w:firstLine="360" w:firstLineChars="150"/>
        <w:rPr>
          <w:rFonts w:hint="eastAsia" w:ascii="宋体" w:hAnsi="宋体" w:eastAsia="宋体" w:cs="宋体"/>
          <w:color w:val="auto"/>
          <w:sz w:val="24"/>
          <w:szCs w:val="24"/>
        </w:rPr>
      </w:pPr>
      <w:r>
        <w:rPr>
          <w:rFonts w:hint="eastAsia" w:ascii="宋体" w:hAnsi="宋体" w:eastAsia="宋体" w:cs="宋体"/>
          <w:color w:val="auto"/>
          <w:sz w:val="24"/>
          <w:szCs w:val="24"/>
        </w:rPr>
        <w:t>（3）合同条款及格式</w:t>
      </w:r>
    </w:p>
    <w:p>
      <w:pPr>
        <w:snapToGrid w:val="0"/>
        <w:spacing w:line="360" w:lineRule="auto"/>
        <w:ind w:firstLine="360" w:firstLineChars="150"/>
        <w:rPr>
          <w:rFonts w:hint="eastAsia" w:ascii="宋体" w:hAnsi="宋体" w:eastAsia="宋体" w:cs="宋体"/>
          <w:color w:val="auto"/>
          <w:sz w:val="24"/>
          <w:szCs w:val="24"/>
        </w:rPr>
      </w:pPr>
      <w:r>
        <w:rPr>
          <w:rFonts w:hint="eastAsia" w:ascii="宋体" w:hAnsi="宋体" w:eastAsia="宋体" w:cs="宋体"/>
          <w:color w:val="auto"/>
          <w:sz w:val="24"/>
          <w:szCs w:val="24"/>
        </w:rPr>
        <w:t>（4）项目需求</w:t>
      </w:r>
    </w:p>
    <w:p>
      <w:pPr>
        <w:snapToGrid w:val="0"/>
        <w:spacing w:line="360" w:lineRule="auto"/>
        <w:ind w:firstLine="360" w:firstLineChars="150"/>
        <w:rPr>
          <w:rFonts w:hint="eastAsia" w:ascii="宋体" w:hAnsi="宋体" w:eastAsia="宋体" w:cs="宋体"/>
          <w:color w:val="auto"/>
          <w:sz w:val="24"/>
          <w:szCs w:val="24"/>
        </w:rPr>
      </w:pPr>
      <w:r>
        <w:rPr>
          <w:rFonts w:hint="eastAsia" w:ascii="宋体" w:hAnsi="宋体" w:eastAsia="宋体" w:cs="宋体"/>
          <w:color w:val="auto"/>
          <w:sz w:val="24"/>
          <w:szCs w:val="24"/>
        </w:rPr>
        <w:t>（5）评标方法与评标标准</w:t>
      </w:r>
    </w:p>
    <w:p>
      <w:pPr>
        <w:snapToGrid w:val="0"/>
        <w:spacing w:line="360" w:lineRule="auto"/>
        <w:ind w:firstLine="360" w:firstLineChars="150"/>
        <w:rPr>
          <w:rFonts w:hint="eastAsia" w:ascii="宋体" w:hAnsi="宋体" w:eastAsia="宋体" w:cs="宋体"/>
          <w:color w:val="auto"/>
          <w:sz w:val="24"/>
          <w:szCs w:val="24"/>
        </w:rPr>
      </w:pPr>
      <w:r>
        <w:rPr>
          <w:rFonts w:hint="eastAsia" w:ascii="宋体" w:hAnsi="宋体" w:eastAsia="宋体" w:cs="宋体"/>
          <w:color w:val="auto"/>
          <w:sz w:val="24"/>
          <w:szCs w:val="24"/>
        </w:rPr>
        <w:t>（6）投标文件格式</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请仔细检查招标文件是否齐全，如有缺漏请立即与招标代理机构联系解决。</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6.2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snapToGrid w:val="0"/>
        <w:spacing w:line="360" w:lineRule="auto"/>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7、招标文件的澄清</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任何要求对招标文件进行澄清的投标人，均应在投标截止期前十日前以书面形式通知</w:t>
      </w:r>
      <w:r>
        <w:rPr>
          <w:rFonts w:hint="eastAsia" w:ascii="宋体" w:hAnsi="宋体" w:eastAsia="宋体" w:cs="宋体"/>
          <w:color w:val="auto"/>
          <w:sz w:val="24"/>
          <w:szCs w:val="24"/>
          <w:lang w:eastAsia="zh-CN"/>
        </w:rPr>
        <w:t>招标人</w:t>
      </w:r>
      <w:r>
        <w:rPr>
          <w:rFonts w:hint="eastAsia" w:ascii="宋体" w:hAnsi="宋体" w:eastAsia="宋体" w:cs="宋体"/>
          <w:color w:val="auto"/>
          <w:sz w:val="24"/>
          <w:szCs w:val="24"/>
        </w:rPr>
        <w:t>。</w:t>
      </w:r>
    </w:p>
    <w:p>
      <w:pPr>
        <w:snapToGrid w:val="0"/>
        <w:spacing w:line="360" w:lineRule="auto"/>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8、招标文件的修改</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8.l在投标截止日期前，无论何种原因，</w:t>
      </w:r>
      <w:r>
        <w:rPr>
          <w:rFonts w:hint="eastAsia" w:ascii="宋体" w:hAnsi="宋体" w:eastAsia="宋体" w:cs="宋体"/>
          <w:color w:val="auto"/>
          <w:sz w:val="24"/>
          <w:szCs w:val="24"/>
          <w:lang w:eastAsia="zh-CN"/>
        </w:rPr>
        <w:t>招标人</w:t>
      </w:r>
      <w:r>
        <w:rPr>
          <w:rFonts w:hint="eastAsia" w:ascii="宋体" w:hAnsi="宋体" w:eastAsia="宋体" w:cs="宋体"/>
          <w:color w:val="auto"/>
          <w:sz w:val="24"/>
          <w:szCs w:val="24"/>
        </w:rPr>
        <w:t>均可主动或在解答投标人提出的澄清问题时对招标文件进行修改。</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8.2招标文件的修改将在“南京邮电大学采购招标管理办公室网站及南京邮电大学通达学院采购招标信息网”网站上公布，并对所有投标人具有约束力。</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8.3为使投标人编写标书有充分时间对标书文件的修改部分进行分析、研究，</w:t>
      </w:r>
      <w:r>
        <w:rPr>
          <w:rFonts w:hint="eastAsia" w:ascii="宋体" w:hAnsi="宋体" w:eastAsia="宋体" w:cs="宋体"/>
          <w:color w:val="auto"/>
          <w:sz w:val="24"/>
          <w:szCs w:val="24"/>
          <w:lang w:eastAsia="zh-CN"/>
        </w:rPr>
        <w:t>招标人</w:t>
      </w:r>
      <w:r>
        <w:rPr>
          <w:rFonts w:hint="eastAsia" w:ascii="宋体" w:hAnsi="宋体" w:eastAsia="宋体" w:cs="宋体"/>
          <w:color w:val="auto"/>
          <w:sz w:val="24"/>
          <w:szCs w:val="24"/>
        </w:rPr>
        <w:t>有权推迟投标截止日期和开标日期，并将此变更书面通知所有购买招标文件的投标人。</w:t>
      </w:r>
    </w:p>
    <w:p>
      <w:pPr>
        <w:snapToGrid w:val="0"/>
        <w:spacing w:line="360" w:lineRule="auto"/>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三、投标文件的编制</w:t>
      </w:r>
    </w:p>
    <w:p>
      <w:pPr>
        <w:snapToGrid w:val="0"/>
        <w:spacing w:line="360" w:lineRule="auto"/>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9、投标语言及度量衡单位</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9.1投标人提供的投标文件以及投标人与</w:t>
      </w:r>
      <w:r>
        <w:rPr>
          <w:rFonts w:hint="eastAsia" w:ascii="宋体" w:hAnsi="宋体" w:eastAsia="宋体" w:cs="宋体"/>
          <w:color w:val="auto"/>
          <w:sz w:val="24"/>
          <w:szCs w:val="24"/>
          <w:lang w:eastAsia="zh-CN"/>
        </w:rPr>
        <w:t>招标人</w:t>
      </w:r>
      <w:r>
        <w:rPr>
          <w:rFonts w:hint="eastAsia" w:ascii="宋体" w:hAnsi="宋体" w:eastAsia="宋体" w:cs="宋体"/>
          <w:color w:val="auto"/>
          <w:sz w:val="24"/>
          <w:szCs w:val="24"/>
        </w:rPr>
        <w:t>就有关投标的所有来往通知、函件和文件均使用</w:t>
      </w:r>
      <w:r>
        <w:rPr>
          <w:rFonts w:hint="eastAsia" w:ascii="宋体" w:hAnsi="宋体" w:eastAsia="宋体" w:cs="宋体"/>
          <w:b/>
          <w:color w:val="auto"/>
          <w:sz w:val="24"/>
          <w:szCs w:val="24"/>
        </w:rPr>
        <w:t>简体中文</w:t>
      </w:r>
      <w:r>
        <w:rPr>
          <w:rFonts w:hint="eastAsia" w:ascii="宋体" w:hAnsi="宋体" w:eastAsia="宋体" w:cs="宋体"/>
          <w:color w:val="auto"/>
          <w:sz w:val="24"/>
          <w:szCs w:val="24"/>
        </w:rPr>
        <w:t>。</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9.2除技术性能另有规定外，投标文件所使用的度量衡单位，均采用国家法定计量单位。</w:t>
      </w:r>
    </w:p>
    <w:p>
      <w:pPr>
        <w:snapToGrid w:val="0"/>
        <w:spacing w:line="360" w:lineRule="auto"/>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10、投标文件的构成</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投标人编写的投标文件应包括下列部分：</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10.1投标文件目录；</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10.2投标函：须含投标人的开户名称、开户银行、账号、电话、传真、E-mail等联系方式；</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10.3投标人资格证明材料；</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（1）法人或者其他组织的营业执照等证明文件（复印件）；</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（2）相关资质证明材料（复印件）；</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（3）法人授权委托书（复印件）；</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（4）法定代表人的身份证复印件；</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（5）授权代表的身份证复印件（开标现场查验原件）；</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（6）具有项目必须的技术条件或经营能力的书面声明；</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（7）无违法违规记录声明；</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（8）招标文件中的其他资格性要求（详见招标公告第二条投标人资格要求）。</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上述文件均应加盖公章。</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10.4开标一览表：</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（1）投标人应按照招标文件中提供的格式完整、正确地填写开标一览表。</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投标人应采用分项报价最终汇总的方式进行，按照招标文件要求报价，在表中标明所提供的设备品牌、规格型号和原产地，主要部件型号及其功能的中文说明，供货期等；每项货物和服务只允许有一个报价，任何有选择的报价将不予接受（如有备选配件，备选配件的报价不属于选择的报价）。</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（3）报价采取总承包方式，包括所投产品、安装调试、服务、运输、税金及其它有关的为完成本项目发生的所有费用，招标文件中另有规定的除外。国产设备以人民币报价。</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开标一览表中的价格应与投标文件中的报价表中价格一致，如不一致，评标时一律按开标一览表中价格为准。开标一览表必须盖章，加盖公章后的“开标一览表”除应装订在投标文件中，还必须单独（此份不放在投标文件内）装在小信封内于投标截止时间前与投标文件一起递交。</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（5）报价必须充分考虑所有可能影响到报价的价格因素，一旦投标结束最终成交，总价将包定，合同期内不予调整。如发生漏、缺、少项，都将被认为是中标人的报价让利行为。</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10.5投标人参照投标文件中技术条款对本项目所投产品的技术指标响应进行准确描述，并附《技术参数响应及偏离表》；定型产品须提供所投产品带有技术参数的产品说明书；加工定制及配套装置须提供所投产品的性能指标、实施方案，其中主要部件为定型产品的，则须提供与投标文件相一致的带有技术参数的产品说明书；</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10.6投标人按照投标文件中商务条款提供交货安装、工期保证等方案以及产品售后服务和质量承诺，并附《商务条款响应及偏离表》；</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10.7投标人的业绩情况；</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10.8投标人认为有必要提供的文件材料；</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10.9投标人应将投标文件按上述顺序分别装订成册。</w:t>
      </w:r>
    </w:p>
    <w:p>
      <w:pPr>
        <w:snapToGrid w:val="0"/>
        <w:spacing w:line="360" w:lineRule="auto"/>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11、其它费用处理</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招标文件未列明，而投标单位认为必需的费用也需列入报价。</w:t>
      </w:r>
    </w:p>
    <w:p>
      <w:pPr>
        <w:snapToGrid w:val="0"/>
        <w:spacing w:line="360" w:lineRule="auto"/>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12、投标保证金</w:t>
      </w:r>
    </w:p>
    <w:p>
      <w:pPr>
        <w:snapToGrid w:val="0"/>
        <w:spacing w:line="360" w:lineRule="auto"/>
        <w:ind w:firstLine="482" w:firstLineChars="200"/>
        <w:rPr>
          <w:rFonts w:hint="eastAsia" w:ascii="宋体" w:hAnsi="宋体" w:eastAsia="宋体" w:cs="宋体"/>
          <w:color w:val="auto"/>
          <w:sz w:val="24"/>
          <w:szCs w:val="24"/>
        </w:rPr>
      </w:pPr>
      <w:r>
        <w:rPr>
          <w:rFonts w:hint="eastAsia" w:ascii="宋体" w:hAnsi="宋体" w:eastAsia="宋体" w:cs="宋体"/>
          <w:b/>
          <w:color w:val="auto"/>
          <w:sz w:val="24"/>
          <w:szCs w:val="24"/>
        </w:rPr>
        <w:t>本次招标不收取投标保证金。</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12.1在开标时，对于未按要求提交投标保证金的投标无效。</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12.2投标保证金是为了保护</w:t>
      </w:r>
      <w:r>
        <w:rPr>
          <w:rFonts w:hint="eastAsia" w:ascii="宋体" w:hAnsi="宋体" w:eastAsia="宋体" w:cs="宋体"/>
          <w:color w:val="auto"/>
          <w:sz w:val="24"/>
          <w:szCs w:val="24"/>
          <w:lang w:eastAsia="zh-CN"/>
        </w:rPr>
        <w:t>招标人</w:t>
      </w:r>
      <w:r>
        <w:rPr>
          <w:rFonts w:hint="eastAsia" w:ascii="宋体" w:hAnsi="宋体" w:eastAsia="宋体" w:cs="宋体"/>
          <w:color w:val="auto"/>
          <w:sz w:val="24"/>
          <w:szCs w:val="24"/>
        </w:rPr>
        <w:t>免遭因投标人的不良行为而蒙受的损失，</w:t>
      </w:r>
      <w:r>
        <w:rPr>
          <w:rFonts w:hint="eastAsia" w:ascii="宋体" w:hAnsi="宋体" w:eastAsia="宋体" w:cs="宋体"/>
          <w:color w:val="auto"/>
          <w:sz w:val="24"/>
          <w:szCs w:val="24"/>
          <w:lang w:eastAsia="zh-CN"/>
        </w:rPr>
        <w:t>招标人</w:t>
      </w:r>
      <w:r>
        <w:rPr>
          <w:rFonts w:hint="eastAsia" w:ascii="宋体" w:hAnsi="宋体" w:eastAsia="宋体" w:cs="宋体"/>
          <w:color w:val="auto"/>
          <w:sz w:val="24"/>
          <w:szCs w:val="24"/>
        </w:rPr>
        <w:t>在因投标人的行为遭受损失时，可根据第12.4条的规定没收投标人的投标保证金。</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12.3未中标的投标人的投标保证金，将在中标通知书发出之日起5个工作日内退还，但不计利息。</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12.4下列任何情况发生时，投标保证金将被没收：</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(1)投标人在投标有效期内撤回其投标；</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(2)投标人提供的有关资料、资格证明文件被确认是不真实的；</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(3)投标人之间被证实有串通（统一哄抬价格）、欺诈行为；</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(4)投标人被证明有妨碍其他人公平竞争、损害</w:t>
      </w:r>
      <w:r>
        <w:rPr>
          <w:rFonts w:hint="eastAsia" w:ascii="宋体" w:hAnsi="宋体" w:eastAsia="宋体" w:cs="宋体"/>
          <w:color w:val="auto"/>
          <w:sz w:val="24"/>
          <w:szCs w:val="24"/>
          <w:lang w:eastAsia="zh-CN"/>
        </w:rPr>
        <w:t>招标人</w:t>
      </w:r>
      <w:r>
        <w:rPr>
          <w:rFonts w:hint="eastAsia" w:ascii="宋体" w:hAnsi="宋体" w:eastAsia="宋体" w:cs="宋体"/>
          <w:color w:val="auto"/>
          <w:sz w:val="24"/>
          <w:szCs w:val="24"/>
        </w:rPr>
        <w:t>或者其他投标人合法权益的；</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(5)中标人在规定期限内未能按本规定签订合同；</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(6)中标人在规定期限内不同意交纳履约保证金。</w:t>
      </w:r>
    </w:p>
    <w:p>
      <w:pPr>
        <w:snapToGrid w:val="0"/>
        <w:spacing w:line="360" w:lineRule="auto"/>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13、投标有效期</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投标有效期为</w:t>
      </w:r>
      <w:r>
        <w:rPr>
          <w:rFonts w:hint="eastAsia" w:ascii="宋体" w:hAnsi="宋体" w:eastAsia="宋体" w:cs="宋体"/>
          <w:color w:val="auto"/>
          <w:sz w:val="24"/>
          <w:szCs w:val="24"/>
          <w:lang w:eastAsia="zh-CN"/>
        </w:rPr>
        <w:t>招标人</w:t>
      </w:r>
      <w:r>
        <w:rPr>
          <w:rFonts w:hint="eastAsia" w:ascii="宋体" w:hAnsi="宋体" w:eastAsia="宋体" w:cs="宋体"/>
          <w:color w:val="auto"/>
          <w:sz w:val="24"/>
          <w:szCs w:val="24"/>
        </w:rPr>
        <w:t>规定的开标之日后九十（90）天内有效。如果</w:t>
      </w:r>
      <w:r>
        <w:rPr>
          <w:rFonts w:hint="eastAsia" w:ascii="宋体" w:hAnsi="宋体" w:eastAsia="宋体" w:cs="宋体"/>
          <w:color w:val="auto"/>
          <w:sz w:val="24"/>
          <w:szCs w:val="24"/>
          <w:lang w:eastAsia="zh-CN"/>
        </w:rPr>
        <w:t>招标人</w:t>
      </w:r>
      <w:r>
        <w:rPr>
          <w:rFonts w:hint="eastAsia" w:ascii="宋体" w:hAnsi="宋体" w:eastAsia="宋体" w:cs="宋体"/>
          <w:color w:val="auto"/>
          <w:sz w:val="24"/>
          <w:szCs w:val="24"/>
        </w:rPr>
        <w:t>在有效期之内，可向投标人提出延长投标有效期的要求。要求与答复均应采用书面形式。</w:t>
      </w:r>
      <w:r>
        <w:rPr>
          <w:rFonts w:hint="eastAsia" w:ascii="宋体" w:hAnsi="宋体" w:eastAsia="宋体" w:cs="宋体"/>
          <w:bCs/>
          <w:snapToGrid w:val="0"/>
          <w:color w:val="auto"/>
          <w:kern w:val="21"/>
          <w:sz w:val="24"/>
          <w:szCs w:val="24"/>
        </w:rPr>
        <w:t>投标人可以拒绝</w:t>
      </w:r>
      <w:r>
        <w:rPr>
          <w:rFonts w:hint="eastAsia" w:ascii="宋体" w:hAnsi="宋体" w:eastAsia="宋体" w:cs="宋体"/>
          <w:bCs/>
          <w:snapToGrid w:val="0"/>
          <w:color w:val="auto"/>
          <w:kern w:val="21"/>
          <w:sz w:val="24"/>
          <w:szCs w:val="24"/>
          <w:lang w:eastAsia="zh-CN"/>
        </w:rPr>
        <w:t>招标人</w:t>
      </w:r>
      <w:r>
        <w:rPr>
          <w:rFonts w:hint="eastAsia" w:ascii="宋体" w:hAnsi="宋体" w:eastAsia="宋体" w:cs="宋体"/>
          <w:bCs/>
          <w:snapToGrid w:val="0"/>
          <w:color w:val="auto"/>
          <w:kern w:val="21"/>
          <w:sz w:val="24"/>
          <w:szCs w:val="24"/>
        </w:rPr>
        <w:t>的这一要求而放弃投标，</w:t>
      </w:r>
      <w:r>
        <w:rPr>
          <w:rFonts w:hint="eastAsia" w:ascii="宋体" w:hAnsi="宋体" w:eastAsia="宋体" w:cs="宋体"/>
          <w:snapToGrid w:val="0"/>
          <w:color w:val="auto"/>
          <w:kern w:val="21"/>
          <w:sz w:val="24"/>
          <w:szCs w:val="24"/>
          <w:lang w:eastAsia="zh-CN"/>
        </w:rPr>
        <w:t>招标人</w:t>
      </w:r>
      <w:r>
        <w:rPr>
          <w:rFonts w:hint="eastAsia" w:ascii="宋体" w:hAnsi="宋体" w:eastAsia="宋体" w:cs="宋体"/>
          <w:snapToGrid w:val="0"/>
          <w:color w:val="auto"/>
          <w:kern w:val="21"/>
          <w:sz w:val="24"/>
          <w:szCs w:val="24"/>
        </w:rPr>
        <w:t>在接到投标人书面答复后，将在原投标有效期满后五日内</w:t>
      </w:r>
      <w:r>
        <w:rPr>
          <w:rFonts w:hint="eastAsia" w:ascii="宋体" w:hAnsi="宋体" w:eastAsia="宋体" w:cs="宋体"/>
          <w:bCs/>
          <w:snapToGrid w:val="0"/>
          <w:color w:val="auto"/>
          <w:kern w:val="21"/>
          <w:sz w:val="24"/>
          <w:szCs w:val="24"/>
        </w:rPr>
        <w:t>无息退还其投标保证金</w:t>
      </w:r>
      <w:r>
        <w:rPr>
          <w:rFonts w:hint="eastAsia" w:ascii="宋体" w:hAnsi="宋体" w:eastAsia="宋体" w:cs="宋体"/>
          <w:snapToGrid w:val="0"/>
          <w:color w:val="auto"/>
          <w:kern w:val="21"/>
          <w:sz w:val="24"/>
          <w:szCs w:val="24"/>
        </w:rPr>
        <w:t>。</w:t>
      </w:r>
      <w:r>
        <w:rPr>
          <w:rFonts w:hint="eastAsia" w:ascii="宋体" w:hAnsi="宋体" w:eastAsia="宋体" w:cs="宋体"/>
          <w:bCs/>
          <w:snapToGrid w:val="0"/>
          <w:color w:val="auto"/>
          <w:kern w:val="21"/>
          <w:sz w:val="24"/>
          <w:szCs w:val="24"/>
        </w:rPr>
        <w:t>同意延</w:t>
      </w:r>
      <w:r>
        <w:rPr>
          <w:rFonts w:hint="eastAsia" w:ascii="宋体" w:hAnsi="宋体" w:eastAsia="宋体" w:cs="宋体"/>
          <w:color w:val="auto"/>
          <w:sz w:val="24"/>
          <w:szCs w:val="24"/>
        </w:rPr>
        <w:t>长投标有效期的投标人既不能要求也不允许修改其投标文件。第12条有关投标保证金的没收和退还的规定在延长期内继续有效，同时受投标有效期约束的所有权利与义务均延长至新的有效期。</w:t>
      </w:r>
    </w:p>
    <w:p>
      <w:pPr>
        <w:snapToGrid w:val="0"/>
        <w:spacing w:line="360" w:lineRule="auto"/>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14、投标文件份数和签署</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14.l投标文件一式五份(正本一份，副本四份)。一旦正本和副本不符，以正本为准。另外提供投标文件电子版一份（PDF格式，可将完成盖章和签字的纸质版投标文件进行彩色扫描，拷贝到U盘中，跟投标文件一起密封提交）。</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14.2投标文件中法定代表人或其授权代表签字。授权代表须将法人代表人以书面形式出具法人代表授权书（原件）附在投标文件中。</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14.3除投标人对错处做必要修改时，投标文件不得行间插字、涂改或增删。如有修改错漏处，必须由投标文件签署人签字并加盖公章。</w:t>
      </w:r>
    </w:p>
    <w:p>
      <w:pPr>
        <w:snapToGrid w:val="0"/>
        <w:spacing w:line="360" w:lineRule="auto"/>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四、投标文件的递交</w:t>
      </w:r>
    </w:p>
    <w:p>
      <w:pPr>
        <w:snapToGrid w:val="0"/>
        <w:spacing w:line="360" w:lineRule="auto"/>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15、投标文件的密封和标记</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15.1</w:t>
      </w:r>
      <w:r>
        <w:rPr>
          <w:rFonts w:hint="eastAsia" w:ascii="宋体" w:hAnsi="宋体" w:eastAsia="宋体" w:cs="宋体"/>
          <w:b/>
          <w:color w:val="auto"/>
          <w:sz w:val="24"/>
          <w:szCs w:val="24"/>
        </w:rPr>
        <w:t>投标人应将投标文件密封，封口处要贴封签并加盖投标单位公章。</w:t>
      </w:r>
      <w:r>
        <w:rPr>
          <w:rFonts w:hint="eastAsia" w:ascii="宋体" w:hAnsi="宋体" w:eastAsia="宋体" w:cs="宋体"/>
          <w:color w:val="auto"/>
          <w:sz w:val="24"/>
          <w:szCs w:val="24"/>
        </w:rPr>
        <w:t>不论投标人中标与否，投标文件均不退回。</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15.2文件袋上应注明投标项目名称、正、副本、投标单位、授权代表姓名及联系方式。如因标注不清而产生的后果由投标人自负。</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15.3</w:t>
      </w:r>
      <w:r>
        <w:rPr>
          <w:rFonts w:hint="eastAsia" w:ascii="宋体" w:hAnsi="宋体" w:eastAsia="宋体" w:cs="宋体"/>
          <w:bCs/>
          <w:color w:val="auto"/>
          <w:sz w:val="24"/>
          <w:szCs w:val="24"/>
        </w:rPr>
        <w:t>未按要求密封和加写标记，</w:t>
      </w:r>
      <w:r>
        <w:rPr>
          <w:rFonts w:hint="eastAsia" w:ascii="宋体" w:hAnsi="宋体" w:eastAsia="宋体" w:cs="宋体"/>
          <w:bCs/>
          <w:color w:val="auto"/>
          <w:sz w:val="24"/>
          <w:szCs w:val="24"/>
          <w:lang w:eastAsia="zh-CN"/>
        </w:rPr>
        <w:t>招标人</w:t>
      </w:r>
      <w:r>
        <w:rPr>
          <w:rFonts w:hint="eastAsia" w:ascii="宋体" w:hAnsi="宋体" w:eastAsia="宋体" w:cs="宋体"/>
          <w:bCs/>
          <w:color w:val="auto"/>
          <w:sz w:val="24"/>
          <w:szCs w:val="24"/>
        </w:rPr>
        <w:t>对误投或过早启封概不负责。对由此造成提前开封的投标文件，</w:t>
      </w:r>
      <w:r>
        <w:rPr>
          <w:rFonts w:hint="eastAsia" w:ascii="宋体" w:hAnsi="宋体" w:eastAsia="宋体" w:cs="宋体"/>
          <w:bCs/>
          <w:color w:val="auto"/>
          <w:sz w:val="24"/>
          <w:szCs w:val="24"/>
          <w:lang w:eastAsia="zh-CN"/>
        </w:rPr>
        <w:t>招标人</w:t>
      </w:r>
      <w:r>
        <w:rPr>
          <w:rFonts w:hint="eastAsia" w:ascii="宋体" w:hAnsi="宋体" w:eastAsia="宋体" w:cs="宋体"/>
          <w:bCs/>
          <w:color w:val="auto"/>
          <w:sz w:val="24"/>
          <w:szCs w:val="24"/>
        </w:rPr>
        <w:t>将予以拒绝，作无效投标处理。</w:t>
      </w:r>
    </w:p>
    <w:p>
      <w:pPr>
        <w:snapToGrid w:val="0"/>
        <w:spacing w:line="360" w:lineRule="auto"/>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16、投标截止日期</w:t>
      </w:r>
    </w:p>
    <w:p>
      <w:pPr>
        <w:snapToGrid w:val="0"/>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color w:val="auto"/>
          <w:sz w:val="24"/>
          <w:szCs w:val="24"/>
        </w:rPr>
        <w:t>16.1</w:t>
      </w:r>
      <w:r>
        <w:rPr>
          <w:rFonts w:hint="eastAsia" w:ascii="宋体" w:hAnsi="宋体" w:eastAsia="宋体" w:cs="宋体"/>
          <w:bCs/>
          <w:color w:val="auto"/>
          <w:sz w:val="24"/>
          <w:szCs w:val="24"/>
        </w:rPr>
        <w:t xml:space="preserve"> </w:t>
      </w:r>
      <w:r>
        <w:rPr>
          <w:rFonts w:hint="eastAsia" w:ascii="宋体" w:hAnsi="宋体" w:eastAsia="宋体" w:cs="宋体"/>
          <w:bCs/>
          <w:color w:val="auto"/>
          <w:sz w:val="24"/>
          <w:szCs w:val="24"/>
          <w:lang w:eastAsia="zh-CN"/>
        </w:rPr>
        <w:t>招标人</w:t>
      </w:r>
      <w:r>
        <w:rPr>
          <w:rFonts w:hint="eastAsia" w:ascii="宋体" w:hAnsi="宋体" w:eastAsia="宋体" w:cs="宋体"/>
          <w:bCs/>
          <w:color w:val="auto"/>
          <w:sz w:val="24"/>
          <w:szCs w:val="24"/>
        </w:rPr>
        <w:t>收到投标文件的时间不得迟于招标公告中规定的截止时间。</w:t>
      </w:r>
    </w:p>
    <w:p>
      <w:pPr>
        <w:snapToGrid w:val="0"/>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color w:val="auto"/>
          <w:sz w:val="24"/>
          <w:szCs w:val="24"/>
        </w:rPr>
        <w:t>16.2</w:t>
      </w:r>
      <w:r>
        <w:rPr>
          <w:rFonts w:hint="eastAsia" w:ascii="宋体" w:hAnsi="宋体" w:eastAsia="宋体" w:cs="宋体"/>
          <w:bCs/>
          <w:color w:val="auto"/>
          <w:sz w:val="24"/>
          <w:szCs w:val="24"/>
        </w:rPr>
        <w:t xml:space="preserve"> </w:t>
      </w:r>
      <w:r>
        <w:rPr>
          <w:rFonts w:hint="eastAsia" w:ascii="宋体" w:hAnsi="宋体" w:eastAsia="宋体" w:cs="宋体"/>
          <w:bCs/>
          <w:color w:val="auto"/>
          <w:sz w:val="24"/>
          <w:szCs w:val="24"/>
          <w:lang w:eastAsia="zh-CN"/>
        </w:rPr>
        <w:t>招标人</w:t>
      </w:r>
      <w:r>
        <w:rPr>
          <w:rFonts w:hint="eastAsia" w:ascii="宋体" w:hAnsi="宋体" w:eastAsia="宋体" w:cs="宋体"/>
          <w:bCs/>
          <w:color w:val="auto"/>
          <w:sz w:val="24"/>
          <w:szCs w:val="24"/>
        </w:rPr>
        <w:t>可以按照规定，通过修改招标文件有权酌情延长投标截止日期，在此情况下，投标人的所有权利和义务以及投标人受制的截止日期均应以延长后新的截止日期为准。</w:t>
      </w:r>
    </w:p>
    <w:p>
      <w:pPr>
        <w:snapToGrid w:val="0"/>
        <w:spacing w:line="360" w:lineRule="auto"/>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17、迟交的投标文件</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迟交的投标文件将被拒收并原封退回。</w:t>
      </w:r>
    </w:p>
    <w:p>
      <w:pPr>
        <w:snapToGrid w:val="0"/>
        <w:spacing w:line="360" w:lineRule="auto"/>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18、投标文件的修改和撤回</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18.1投标人在递交投标书后，在规定的投标截止日期前可以修改或撤回其投标文件。修改文件必须在投标截止时间前送达。</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18.2投标截止日期后不可对其投标文件作任何修改或撤回，否则其投标保证金将被没收。</w:t>
      </w:r>
    </w:p>
    <w:p>
      <w:pPr>
        <w:snapToGrid w:val="0"/>
        <w:spacing w:line="360" w:lineRule="auto"/>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五、开标与评标</w:t>
      </w:r>
    </w:p>
    <w:p>
      <w:pPr>
        <w:snapToGrid w:val="0"/>
        <w:spacing w:line="360" w:lineRule="auto"/>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19、开标</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19.l</w:t>
      </w:r>
      <w:r>
        <w:rPr>
          <w:rFonts w:hint="eastAsia" w:ascii="宋体" w:hAnsi="宋体" w:eastAsia="宋体" w:cs="宋体"/>
          <w:color w:val="auto"/>
          <w:sz w:val="24"/>
          <w:szCs w:val="24"/>
          <w:lang w:eastAsia="zh-CN"/>
        </w:rPr>
        <w:t>招标人</w:t>
      </w:r>
      <w:r>
        <w:rPr>
          <w:rFonts w:hint="eastAsia" w:ascii="宋体" w:hAnsi="宋体" w:eastAsia="宋体" w:cs="宋体"/>
          <w:color w:val="auto"/>
          <w:sz w:val="24"/>
          <w:szCs w:val="24"/>
        </w:rPr>
        <w:t>将在招标文件中规定的时间和地址组织公开开标。投标人法人代表或授权代表须携本人身份证原件参加，如有必要可以让投标人有一定时间的陈述，或接收评标工作组成员的提问后退场。</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19.2开标时请投标人授权代表查验投标文件密封情况，确认无误后，</w:t>
      </w:r>
      <w:r>
        <w:rPr>
          <w:rFonts w:hint="eastAsia" w:ascii="宋体" w:hAnsi="宋体" w:eastAsia="宋体" w:cs="宋体"/>
          <w:color w:val="auto"/>
          <w:sz w:val="24"/>
          <w:szCs w:val="24"/>
          <w:lang w:eastAsia="zh-CN"/>
        </w:rPr>
        <w:t>招标人</w:t>
      </w:r>
      <w:r>
        <w:rPr>
          <w:rFonts w:hint="eastAsia" w:ascii="宋体" w:hAnsi="宋体" w:eastAsia="宋体" w:cs="宋体"/>
          <w:color w:val="auto"/>
          <w:sz w:val="24"/>
          <w:szCs w:val="24"/>
        </w:rPr>
        <w:t>当众拆封宣读每份投标文件中“开标一览表”的各项内容，未列入开标一览表的内容一律不在开标时宣读。开标时未宣读的投标报价信息，不得在评标时采用。</w:t>
      </w:r>
      <w:r>
        <w:rPr>
          <w:rFonts w:hint="eastAsia" w:ascii="宋体" w:hAnsi="宋体" w:eastAsia="宋体" w:cs="宋体"/>
          <w:color w:val="auto"/>
          <w:sz w:val="24"/>
          <w:szCs w:val="24"/>
          <w:lang w:eastAsia="zh-CN"/>
        </w:rPr>
        <w:t>招标人</w:t>
      </w:r>
      <w:r>
        <w:rPr>
          <w:rFonts w:hint="eastAsia" w:ascii="宋体" w:hAnsi="宋体" w:eastAsia="宋体" w:cs="宋体"/>
          <w:color w:val="auto"/>
          <w:sz w:val="24"/>
          <w:szCs w:val="24"/>
        </w:rPr>
        <w:t>将指定专人负责开标记录并存档备查，各投标人需仔细核对开标记录相关内容并签字确认。</w:t>
      </w:r>
    </w:p>
    <w:p>
      <w:pPr>
        <w:snapToGrid w:val="0"/>
        <w:spacing w:line="360" w:lineRule="auto"/>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20、评标过程的保密与公正</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20.l公开开标后，直至通知投标人中标为止，凡是与审查、澄清、评价和比较投标的有关资料，均不得向投标人或与评标无关的人员透露。</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20.2投标人试图影响评标或授予合同方面的任何尝试，可能导致该投标人的标被废弃。</w:t>
      </w:r>
    </w:p>
    <w:p>
      <w:pPr>
        <w:snapToGrid w:val="0"/>
        <w:spacing w:line="360" w:lineRule="auto"/>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21、投标的澄清</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21.1评标期间，为有助于对投标文件的审查、评价和比较，评标工作组有权要求投标人对其投标文件进行澄清，但并非对每个投标人都作澄清要求。</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21.2接到澄清要求的投标人应派人按要求做出澄清，书面澄清的内容须由投标人法定代表人或授权代表签署，并作为投标文件的补充部分，但投标的价格和实质性的内容不得做任何更改。</w:t>
      </w:r>
    </w:p>
    <w:p>
      <w:pPr>
        <w:snapToGrid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21.3接到澄清要求的投标人如未按规定做出澄清，其风险由投标人自行承担。</w:t>
      </w:r>
    </w:p>
    <w:p>
      <w:pPr>
        <w:snapToGrid w:val="0"/>
        <w:spacing w:line="360" w:lineRule="auto"/>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22、对投标文件的初审</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22.1投标文件初审分为资格性检查和符合性检查。</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资格性检查：依据法律法规和招标文件的规定，由</w:t>
      </w:r>
      <w:r>
        <w:rPr>
          <w:rFonts w:hint="eastAsia" w:ascii="宋体" w:hAnsi="宋体" w:eastAsia="宋体" w:cs="宋体"/>
          <w:color w:val="auto"/>
          <w:sz w:val="24"/>
          <w:szCs w:val="24"/>
          <w:lang w:eastAsia="zh-CN"/>
        </w:rPr>
        <w:t>招标人</w:t>
      </w:r>
      <w:r>
        <w:rPr>
          <w:rFonts w:hint="eastAsia" w:ascii="宋体" w:hAnsi="宋体" w:eastAsia="宋体" w:cs="宋体"/>
          <w:color w:val="auto"/>
          <w:sz w:val="24"/>
          <w:szCs w:val="24"/>
        </w:rPr>
        <w:t>对投标文件中的资格证明文件进行审查。资格审查的结论，</w:t>
      </w:r>
      <w:r>
        <w:rPr>
          <w:rFonts w:hint="eastAsia" w:ascii="宋体" w:hAnsi="宋体" w:eastAsia="宋体" w:cs="宋体"/>
          <w:color w:val="auto"/>
          <w:sz w:val="24"/>
          <w:szCs w:val="24"/>
          <w:lang w:eastAsia="zh-CN"/>
        </w:rPr>
        <w:t>招标人</w:t>
      </w:r>
      <w:r>
        <w:rPr>
          <w:rFonts w:hint="eastAsia" w:ascii="宋体" w:hAnsi="宋体" w:eastAsia="宋体" w:cs="宋体"/>
          <w:color w:val="auto"/>
          <w:sz w:val="24"/>
          <w:szCs w:val="24"/>
        </w:rPr>
        <w:t>以书面形式向评标工作组进行反馈。</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符合性检查：依据招标文件的规定，由评标工作组从投标文件的有效性、完整性和对招标文件的响应程度进行审查，以确定是否对招标文件的实质性要求作出响应。</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22.2在详细评标之前，评标工作组将首先审查每份投标文件是否实质性响应了招标文件的要求。实质性响应的投标应该是与招标文件要求的全部条款、条件和规格相符，没有重大偏离或保留的投标。</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所谓重大偏离或保留是指与招标文件规定的实质性要求存在负偏离，或者在实质上与招标文件不一致，而且限制了合同中买方和见证方的权利或投标人的义务，纠正这些偏离或保留将会对其他实质性响应要求的投标人的竞争地位产生不公正的影响。重大偏离的认定需经过评标工作组三分二及以上成员的认定。评委决定投标文件的响应性只根据投标文件本身的内容，而不寻求外部的证据。</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22.3如果投标文件实质上没有响应招标文件的要求，评标工作组将予以拒绝，投标人不得通过修改或撤销不合要求的偏离或保留而使其投标成为实质性响应的投标。</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22.4评标工作组将对确定为实质性响应的投标进行进一步审核，看其是否有计算上或累加上的算术错误，修正错误的原则如下：</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（1）如果用数字表示的金额和用文字表示的金额不一致时，应以文字表示的金额为准进行修正；</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（2）当单价与数量的乘积和总价不一致时，以单价为准进行修正。只有在评标工作组认为单价有明显的小数点错误时，才能以标出的总价为准，并修改单价。</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22.5评标工作组将按上述修正错误的方法调整投标文件中的投标报价，调整后的价格应对投标人具有约束力。如果投标人不接受修正后的价格，则其投标将被拒绝，其投标保证金不予退还。</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22.6评标工作组将允许修正投标文件中不构成重大偏离的、微小的、非正规的、不一致的或不规则的地方，但这些修改不能影响任何投标人相应的名次排列。</w:t>
      </w:r>
    </w:p>
    <w:p>
      <w:pPr>
        <w:shd w:val="clear" w:color="auto" w:fill="FFFFFF"/>
        <w:snapToGrid w:val="0"/>
        <w:spacing w:line="360" w:lineRule="auto"/>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23、无效投标条款和废标条款</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23.1无效投标条款：</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（1）未按要求交纳投标保证金的；</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（2）未按照招标文件规定要求密封、签署、盖章的；</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（3）投标人在报价时采用选择性报价的；</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（4）投标人不具备招标文件中规定资格要求的；</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（5）投标人的报价超过了采购预算或最高限价的；</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（6）未通过符合性检查的；</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（7）不符合招标文件中规定的其他实质性要求和条件的；</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（8）投标文件含有</w:t>
      </w:r>
      <w:r>
        <w:rPr>
          <w:rFonts w:hint="eastAsia" w:ascii="宋体" w:hAnsi="宋体" w:eastAsia="宋体" w:cs="宋体"/>
          <w:color w:val="auto"/>
          <w:sz w:val="24"/>
          <w:szCs w:val="24"/>
          <w:lang w:eastAsia="zh-CN"/>
        </w:rPr>
        <w:t>招标人</w:t>
      </w:r>
      <w:r>
        <w:rPr>
          <w:rFonts w:hint="eastAsia" w:ascii="宋体" w:hAnsi="宋体" w:eastAsia="宋体" w:cs="宋体"/>
          <w:color w:val="auto"/>
          <w:sz w:val="24"/>
          <w:szCs w:val="24"/>
        </w:rPr>
        <w:t>不能接受的附加条件的；</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9）评标工作组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工作组应当将其作为无效投标处理。</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（10）</w:t>
      </w:r>
      <w:r>
        <w:rPr>
          <w:rFonts w:hint="eastAsia" w:ascii="宋体" w:hAnsi="宋体" w:eastAsia="宋体" w:cs="宋体"/>
          <w:bCs/>
          <w:color w:val="auto"/>
          <w:sz w:val="24"/>
          <w:szCs w:val="24"/>
        </w:rPr>
        <w:t>其他法律、法规及本招标文件规定的属无效投标的情形。</w:t>
      </w:r>
    </w:p>
    <w:p>
      <w:pPr>
        <w:snapToGrid w:val="0"/>
        <w:spacing w:line="360" w:lineRule="auto"/>
        <w:ind w:left="479" w:leftChars="228"/>
        <w:rPr>
          <w:rFonts w:hint="eastAsia" w:ascii="宋体" w:hAnsi="宋体" w:eastAsia="宋体" w:cs="宋体"/>
          <w:bCs/>
          <w:color w:val="auto"/>
          <w:sz w:val="24"/>
          <w:szCs w:val="24"/>
        </w:rPr>
      </w:pPr>
      <w:r>
        <w:rPr>
          <w:rFonts w:hint="eastAsia" w:ascii="宋体" w:hAnsi="宋体" w:eastAsia="宋体" w:cs="宋体"/>
          <w:color w:val="auto"/>
          <w:sz w:val="24"/>
          <w:szCs w:val="24"/>
        </w:rPr>
        <w:t>23.2</w:t>
      </w:r>
      <w:r>
        <w:rPr>
          <w:rFonts w:hint="eastAsia" w:ascii="宋体" w:hAnsi="宋体" w:eastAsia="宋体" w:cs="宋体"/>
          <w:bCs/>
          <w:color w:val="auto"/>
          <w:sz w:val="24"/>
          <w:szCs w:val="24"/>
        </w:rPr>
        <w:t>废标条款：</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（1）符合专业条件的供应商或者对招标文件作实质响应的投标人不足三家的；</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（2）出现影响采购公正的违法、违规行为的；</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（3）因重大变故，采购任务取消的；</w:t>
      </w:r>
    </w:p>
    <w:p>
      <w:pPr>
        <w:snapToGrid w:val="0"/>
        <w:spacing w:line="360" w:lineRule="auto"/>
        <w:ind w:left="479" w:leftChars="228"/>
        <w:rPr>
          <w:rFonts w:hint="eastAsia" w:ascii="宋体" w:hAnsi="宋体" w:eastAsia="宋体" w:cs="宋体"/>
          <w:bCs/>
          <w:color w:val="auto"/>
          <w:sz w:val="24"/>
          <w:szCs w:val="24"/>
        </w:rPr>
      </w:pPr>
      <w:r>
        <w:rPr>
          <w:rFonts w:hint="eastAsia" w:ascii="宋体" w:hAnsi="宋体" w:eastAsia="宋体" w:cs="宋体"/>
          <w:bCs/>
          <w:color w:val="auto"/>
          <w:sz w:val="24"/>
          <w:szCs w:val="24"/>
        </w:rPr>
        <w:t>（4）</w:t>
      </w:r>
      <w:r>
        <w:rPr>
          <w:rFonts w:hint="eastAsia" w:ascii="宋体" w:hAnsi="宋体" w:eastAsia="宋体" w:cs="宋体"/>
          <w:color w:val="auto"/>
          <w:sz w:val="24"/>
          <w:szCs w:val="24"/>
        </w:rPr>
        <w:t>评标工作组</w:t>
      </w:r>
      <w:r>
        <w:rPr>
          <w:rFonts w:hint="eastAsia" w:ascii="宋体" w:hAnsi="宋体" w:eastAsia="宋体" w:cs="宋体"/>
          <w:bCs/>
          <w:color w:val="auto"/>
          <w:sz w:val="24"/>
          <w:szCs w:val="24"/>
        </w:rPr>
        <w:t>会认定招标文件存在歧义、重大缺陷导致评审工作无法进行。</w:t>
      </w:r>
    </w:p>
    <w:p>
      <w:pPr>
        <w:snapToGrid w:val="0"/>
        <w:spacing w:line="360" w:lineRule="auto"/>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六、定标</w:t>
      </w:r>
    </w:p>
    <w:p>
      <w:pPr>
        <w:snapToGrid w:val="0"/>
        <w:spacing w:line="360" w:lineRule="auto"/>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24、确定中标单位</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24.1评标工作组首先对所有合格投标人按评标办法进行打分，根据综合得分，由高到低排列，向</w:t>
      </w:r>
      <w:r>
        <w:rPr>
          <w:rFonts w:hint="eastAsia" w:ascii="宋体" w:hAnsi="宋体" w:eastAsia="宋体" w:cs="宋体"/>
          <w:color w:val="auto"/>
          <w:sz w:val="24"/>
          <w:szCs w:val="24"/>
          <w:lang w:eastAsia="zh-CN"/>
        </w:rPr>
        <w:t>招标人</w:t>
      </w:r>
      <w:r>
        <w:rPr>
          <w:rFonts w:hint="eastAsia" w:ascii="宋体" w:hAnsi="宋体" w:eastAsia="宋体" w:cs="宋体"/>
          <w:color w:val="auto"/>
          <w:sz w:val="24"/>
          <w:szCs w:val="24"/>
        </w:rPr>
        <w:t>推荐中标候选人。</w:t>
      </w:r>
      <w:r>
        <w:rPr>
          <w:rFonts w:hint="eastAsia" w:ascii="宋体" w:hAnsi="宋体" w:eastAsia="宋体" w:cs="宋体"/>
          <w:bCs/>
          <w:snapToGrid w:val="0"/>
          <w:color w:val="auto"/>
          <w:kern w:val="21"/>
          <w:sz w:val="24"/>
          <w:szCs w:val="24"/>
          <w:lang w:eastAsia="zh-CN"/>
        </w:rPr>
        <w:t>招标人</w:t>
      </w:r>
      <w:r>
        <w:rPr>
          <w:rFonts w:hint="eastAsia" w:ascii="宋体" w:hAnsi="宋体" w:eastAsia="宋体" w:cs="宋体"/>
          <w:bCs/>
          <w:snapToGrid w:val="0"/>
          <w:color w:val="auto"/>
          <w:kern w:val="21"/>
          <w:sz w:val="24"/>
          <w:szCs w:val="24"/>
        </w:rPr>
        <w:t>应根据</w:t>
      </w:r>
      <w:r>
        <w:rPr>
          <w:rFonts w:hint="eastAsia" w:ascii="宋体" w:hAnsi="宋体" w:eastAsia="宋体" w:cs="宋体"/>
          <w:color w:val="auto"/>
          <w:sz w:val="24"/>
          <w:szCs w:val="24"/>
        </w:rPr>
        <w:t>评标工作组</w:t>
      </w:r>
      <w:r>
        <w:rPr>
          <w:rFonts w:hint="eastAsia" w:ascii="宋体" w:hAnsi="宋体" w:eastAsia="宋体" w:cs="宋体"/>
          <w:bCs/>
          <w:snapToGrid w:val="0"/>
          <w:color w:val="auto"/>
          <w:kern w:val="21"/>
          <w:sz w:val="24"/>
          <w:szCs w:val="24"/>
        </w:rPr>
        <w:t>推荐的中标候选人确定中标人</w:t>
      </w:r>
      <w:r>
        <w:rPr>
          <w:rFonts w:hint="eastAsia" w:ascii="宋体" w:hAnsi="宋体" w:eastAsia="宋体" w:cs="宋体"/>
          <w:color w:val="auto"/>
          <w:sz w:val="24"/>
          <w:szCs w:val="24"/>
        </w:rPr>
        <w:t>。</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24.2中标人名单将在“江苏政府采购网”上进行公示。</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24.3若有充分证据证明，中标人出现下列情况之一的，一经查实，将被取消中标资格：</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（1）提供虚假材料谋取中标的；</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（2）与评审专家、</w:t>
      </w:r>
      <w:r>
        <w:rPr>
          <w:rFonts w:hint="eastAsia" w:ascii="宋体" w:hAnsi="宋体" w:eastAsia="宋体" w:cs="宋体"/>
          <w:color w:val="auto"/>
          <w:sz w:val="24"/>
          <w:szCs w:val="24"/>
          <w:lang w:eastAsia="zh-CN"/>
        </w:rPr>
        <w:t>招标人</w:t>
      </w:r>
      <w:r>
        <w:rPr>
          <w:rFonts w:hint="eastAsia" w:ascii="宋体" w:hAnsi="宋体" w:eastAsia="宋体" w:cs="宋体"/>
          <w:color w:val="auto"/>
          <w:sz w:val="24"/>
          <w:szCs w:val="24"/>
        </w:rPr>
        <w:t>或者其他供应商恶意串通的；</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（3）向评审专家、</w:t>
      </w:r>
      <w:r>
        <w:rPr>
          <w:rFonts w:hint="eastAsia" w:ascii="宋体" w:hAnsi="宋体" w:eastAsia="宋体" w:cs="宋体"/>
          <w:color w:val="auto"/>
          <w:sz w:val="24"/>
          <w:szCs w:val="24"/>
          <w:lang w:eastAsia="zh-CN"/>
        </w:rPr>
        <w:t>招标人</w:t>
      </w:r>
      <w:r>
        <w:rPr>
          <w:rFonts w:hint="eastAsia" w:ascii="宋体" w:hAnsi="宋体" w:eastAsia="宋体" w:cs="宋体"/>
          <w:color w:val="auto"/>
          <w:sz w:val="24"/>
          <w:szCs w:val="24"/>
        </w:rPr>
        <w:t>行贿或者提供其它不正当利益的；</w:t>
      </w:r>
    </w:p>
    <w:p>
      <w:pPr>
        <w:snapToGrid w:val="0"/>
        <w:spacing w:line="360" w:lineRule="auto"/>
        <w:ind w:left="480"/>
        <w:rPr>
          <w:rFonts w:hint="eastAsia" w:ascii="宋体" w:hAnsi="宋体" w:eastAsia="宋体" w:cs="宋体"/>
          <w:color w:val="auto"/>
          <w:sz w:val="24"/>
          <w:szCs w:val="24"/>
        </w:rPr>
      </w:pPr>
      <w:r>
        <w:rPr>
          <w:rFonts w:hint="eastAsia" w:ascii="宋体" w:hAnsi="宋体" w:eastAsia="宋体" w:cs="宋体"/>
          <w:color w:val="auto"/>
          <w:sz w:val="24"/>
          <w:szCs w:val="24"/>
        </w:rPr>
        <w:t>（4）恶意竞争，投标总报价明显低于其自身合理成本且又无法提供证明的；</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（5）不满足本招标文件规定的实质性要求，但在评标过程中又未被评标工作组发现的；</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（6）不符合法律、法规的规定的其它情形。</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24.4有下列情形之一的，视为投标人串通投标，投标无效：</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（1）不同投标人的投标文件由同一单位或者个人编制。</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（2）不同投标人委托同一单位或者个人办理投标事宜。</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（3）不同投标人的投标文件载明的项目管理成员或者联系人员为同一人。</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（4）不同投标人的投标文件异常一致或者投标报价呈规律性差异。</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（5）不同投标人的投标文件相互混装。</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（6）不同投标人的投标保证金从同一单位或者个人的账户转出。</w:t>
      </w:r>
    </w:p>
    <w:p>
      <w:pPr>
        <w:snapToGrid w:val="0"/>
        <w:spacing w:line="360" w:lineRule="auto"/>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25、质疑处理</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25.1参加投标供应商认为招标文件、采购过程和采购结果使自己的权益受到损害的，可以在知道或应知其权益受到损害之日起7个工作日内，以书面形式向</w:t>
      </w:r>
      <w:r>
        <w:rPr>
          <w:rFonts w:hint="eastAsia" w:ascii="宋体" w:hAnsi="宋体" w:eastAsia="宋体" w:cs="宋体"/>
          <w:color w:val="auto"/>
          <w:sz w:val="24"/>
          <w:szCs w:val="24"/>
          <w:lang w:eastAsia="zh-CN"/>
        </w:rPr>
        <w:t>招标人</w:t>
      </w:r>
      <w:r>
        <w:rPr>
          <w:rFonts w:hint="eastAsia" w:ascii="宋体" w:hAnsi="宋体" w:eastAsia="宋体" w:cs="宋体"/>
          <w:color w:val="auto"/>
          <w:sz w:val="24"/>
          <w:szCs w:val="24"/>
        </w:rPr>
        <w:t>提出质疑。</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（1）对可以质疑的招标文件提出质疑的，为收到招标文件之日或者招标文件公告期限届满之日；</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（2）对采购过程提出质疑的，为各采购程序环节结束之日；</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（3）对中标或者成交结果提出质疑的，为中标或者成交结果公告期限届满之日。</w:t>
      </w:r>
    </w:p>
    <w:p>
      <w:pPr>
        <w:snapToGrid w:val="0"/>
        <w:spacing w:line="360" w:lineRule="auto"/>
        <w:ind w:firstLine="472" w:firstLineChars="197"/>
        <w:rPr>
          <w:rFonts w:hint="eastAsia" w:ascii="宋体" w:hAnsi="宋体" w:eastAsia="宋体" w:cs="宋体"/>
          <w:color w:val="auto"/>
          <w:sz w:val="24"/>
          <w:szCs w:val="24"/>
        </w:rPr>
      </w:pPr>
      <w:r>
        <w:rPr>
          <w:rFonts w:hint="eastAsia" w:ascii="宋体" w:hAnsi="宋体" w:eastAsia="宋体" w:cs="宋体"/>
          <w:color w:val="auto"/>
          <w:sz w:val="24"/>
          <w:szCs w:val="24"/>
        </w:rPr>
        <w:t>25.2质疑必须以参加投标供应商法人代表或授权代表（投标文件中所确定的）送达的方式提交，未按上述要求提交的质疑函（含传真、电子邮件等）</w:t>
      </w:r>
      <w:r>
        <w:rPr>
          <w:rFonts w:hint="eastAsia" w:ascii="宋体" w:hAnsi="宋体" w:eastAsia="宋体" w:cs="宋体"/>
          <w:color w:val="auto"/>
          <w:sz w:val="24"/>
          <w:szCs w:val="24"/>
          <w:lang w:eastAsia="zh-CN"/>
        </w:rPr>
        <w:t>招标人</w:t>
      </w:r>
      <w:r>
        <w:rPr>
          <w:rFonts w:hint="eastAsia" w:ascii="宋体" w:hAnsi="宋体" w:eastAsia="宋体" w:cs="宋体"/>
          <w:color w:val="auto"/>
          <w:sz w:val="24"/>
          <w:szCs w:val="24"/>
        </w:rPr>
        <w:t>有权不予受理。</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25.3未参加投标的供应商或在投标活动中本身权益未受到损害或从投标活动中受益的供应商所提出的质疑也不予受理。</w:t>
      </w:r>
    </w:p>
    <w:p>
      <w:pPr>
        <w:snapToGrid w:val="0"/>
        <w:spacing w:line="360" w:lineRule="auto"/>
        <w:ind w:firstLine="468" w:firstLineChars="195"/>
        <w:rPr>
          <w:rFonts w:hint="eastAsia" w:ascii="宋体" w:hAnsi="宋体" w:eastAsia="宋体" w:cs="宋体"/>
          <w:color w:val="auto"/>
          <w:sz w:val="24"/>
          <w:szCs w:val="24"/>
        </w:rPr>
      </w:pPr>
      <w:r>
        <w:rPr>
          <w:rFonts w:hint="eastAsia" w:ascii="宋体" w:hAnsi="宋体" w:eastAsia="宋体" w:cs="宋体"/>
          <w:color w:val="auto"/>
          <w:sz w:val="24"/>
          <w:szCs w:val="24"/>
        </w:rPr>
        <w:t>25.4投标人提出书面质疑必须有理、有据，不得恶意质疑或提交虚假质疑。否则，</w:t>
      </w:r>
      <w:r>
        <w:rPr>
          <w:rFonts w:hint="eastAsia" w:ascii="宋体" w:hAnsi="宋体" w:eastAsia="宋体" w:cs="宋体"/>
          <w:color w:val="auto"/>
          <w:sz w:val="24"/>
          <w:szCs w:val="24"/>
          <w:lang w:eastAsia="zh-CN"/>
        </w:rPr>
        <w:t>招标人</w:t>
      </w:r>
      <w:r>
        <w:rPr>
          <w:rFonts w:hint="eastAsia" w:ascii="宋体" w:hAnsi="宋体" w:eastAsia="宋体" w:cs="宋体"/>
          <w:color w:val="auto"/>
          <w:sz w:val="24"/>
          <w:szCs w:val="24"/>
        </w:rPr>
        <w:t>将不予受理。</w:t>
      </w:r>
    </w:p>
    <w:p>
      <w:pPr>
        <w:snapToGrid w:val="0"/>
        <w:spacing w:line="360" w:lineRule="auto"/>
        <w:ind w:firstLine="468" w:firstLineChars="195"/>
        <w:rPr>
          <w:rFonts w:hint="eastAsia" w:ascii="宋体" w:hAnsi="宋体" w:eastAsia="宋体" w:cs="宋体"/>
          <w:color w:val="auto"/>
          <w:sz w:val="24"/>
          <w:szCs w:val="24"/>
        </w:rPr>
      </w:pPr>
      <w:r>
        <w:rPr>
          <w:rFonts w:hint="eastAsia" w:ascii="宋体" w:hAnsi="宋体" w:eastAsia="宋体" w:cs="宋体"/>
          <w:color w:val="auto"/>
          <w:sz w:val="24"/>
          <w:szCs w:val="24"/>
        </w:rPr>
        <w:t>25.5</w:t>
      </w:r>
      <w:r>
        <w:rPr>
          <w:rFonts w:hint="eastAsia" w:ascii="宋体" w:hAnsi="宋体" w:eastAsia="宋体" w:cs="宋体"/>
          <w:color w:val="auto"/>
          <w:sz w:val="24"/>
          <w:szCs w:val="24"/>
          <w:lang w:eastAsia="zh-CN"/>
        </w:rPr>
        <w:t>招标人</w:t>
      </w:r>
      <w:r>
        <w:rPr>
          <w:rFonts w:hint="eastAsia" w:ascii="宋体" w:hAnsi="宋体" w:eastAsia="宋体" w:cs="宋体"/>
          <w:color w:val="auto"/>
          <w:sz w:val="24"/>
          <w:szCs w:val="24"/>
        </w:rPr>
        <w:t>将在收到投标供应商的书面质疑后在规定时间内作出答复，但答复的内容不得涉及商业秘密。</w:t>
      </w:r>
    </w:p>
    <w:p>
      <w:pPr>
        <w:snapToGrid w:val="0"/>
        <w:spacing w:line="360" w:lineRule="auto"/>
        <w:ind w:firstLine="470" w:firstLineChars="195"/>
        <w:rPr>
          <w:rFonts w:hint="eastAsia" w:ascii="宋体" w:hAnsi="宋体" w:eastAsia="宋体" w:cs="宋体"/>
          <w:color w:val="auto"/>
          <w:sz w:val="24"/>
          <w:szCs w:val="24"/>
        </w:rPr>
      </w:pPr>
      <w:r>
        <w:rPr>
          <w:rFonts w:hint="eastAsia" w:ascii="宋体" w:hAnsi="宋体" w:eastAsia="宋体" w:cs="宋体"/>
          <w:b/>
          <w:color w:val="auto"/>
          <w:sz w:val="24"/>
          <w:szCs w:val="24"/>
        </w:rPr>
        <w:t>26、中标通知书</w:t>
      </w:r>
    </w:p>
    <w:p>
      <w:pPr>
        <w:snapToGrid w:val="0"/>
        <w:spacing w:line="360" w:lineRule="auto"/>
        <w:ind w:firstLine="468" w:firstLineChars="195"/>
        <w:rPr>
          <w:rFonts w:hint="eastAsia" w:ascii="宋体" w:hAnsi="宋体" w:eastAsia="宋体" w:cs="宋体"/>
          <w:color w:val="auto"/>
          <w:sz w:val="24"/>
          <w:szCs w:val="24"/>
        </w:rPr>
      </w:pPr>
      <w:r>
        <w:rPr>
          <w:rFonts w:hint="eastAsia" w:ascii="宋体" w:hAnsi="宋体" w:eastAsia="宋体" w:cs="宋体"/>
          <w:color w:val="auto"/>
          <w:sz w:val="24"/>
          <w:szCs w:val="24"/>
        </w:rPr>
        <w:t>26.l中标结果质疑期满后，</w:t>
      </w:r>
      <w:r>
        <w:rPr>
          <w:rFonts w:hint="eastAsia" w:ascii="宋体" w:hAnsi="宋体" w:eastAsia="宋体" w:cs="宋体"/>
          <w:color w:val="auto"/>
          <w:sz w:val="24"/>
          <w:szCs w:val="24"/>
          <w:lang w:eastAsia="zh-CN"/>
        </w:rPr>
        <w:t>招标人</w:t>
      </w:r>
      <w:r>
        <w:rPr>
          <w:rFonts w:hint="eastAsia" w:ascii="宋体" w:hAnsi="宋体" w:eastAsia="宋体" w:cs="宋体"/>
          <w:color w:val="auto"/>
          <w:sz w:val="24"/>
          <w:szCs w:val="24"/>
        </w:rPr>
        <w:t>将向中标供应商发出中标通知书。</w:t>
      </w:r>
    </w:p>
    <w:p>
      <w:pPr>
        <w:snapToGrid w:val="0"/>
        <w:spacing w:line="360" w:lineRule="auto"/>
        <w:ind w:firstLine="468" w:firstLineChars="195"/>
        <w:rPr>
          <w:rFonts w:hint="eastAsia" w:ascii="宋体" w:hAnsi="宋体" w:eastAsia="宋体" w:cs="宋体"/>
          <w:color w:val="auto"/>
          <w:sz w:val="24"/>
          <w:szCs w:val="24"/>
        </w:rPr>
      </w:pPr>
      <w:r>
        <w:rPr>
          <w:rFonts w:hint="eastAsia" w:ascii="宋体" w:hAnsi="宋体" w:eastAsia="宋体" w:cs="宋体"/>
          <w:color w:val="auto"/>
          <w:sz w:val="24"/>
          <w:szCs w:val="24"/>
        </w:rPr>
        <w:t>26.2中标人收到中标通知书后，须立即以书面形式回复</w:t>
      </w:r>
      <w:r>
        <w:rPr>
          <w:rFonts w:hint="eastAsia" w:ascii="宋体" w:hAnsi="宋体" w:eastAsia="宋体" w:cs="宋体"/>
          <w:color w:val="auto"/>
          <w:sz w:val="24"/>
          <w:szCs w:val="24"/>
          <w:lang w:eastAsia="zh-CN"/>
        </w:rPr>
        <w:t>招标人</w:t>
      </w:r>
      <w:r>
        <w:rPr>
          <w:rFonts w:hint="eastAsia" w:ascii="宋体" w:hAnsi="宋体" w:eastAsia="宋体" w:cs="宋体"/>
          <w:color w:val="auto"/>
          <w:sz w:val="24"/>
          <w:szCs w:val="24"/>
        </w:rPr>
        <w:t>，确认中标通知书已收到。若无书面回复，则公告后视同中标人已经知悉并同意接受。</w:t>
      </w:r>
    </w:p>
    <w:p>
      <w:pPr>
        <w:snapToGrid w:val="0"/>
        <w:spacing w:line="360" w:lineRule="auto"/>
        <w:ind w:firstLine="468" w:firstLineChars="195"/>
        <w:rPr>
          <w:rFonts w:hint="eastAsia" w:ascii="宋体" w:hAnsi="宋体" w:eastAsia="宋体" w:cs="宋体"/>
          <w:color w:val="auto"/>
          <w:sz w:val="24"/>
          <w:szCs w:val="24"/>
        </w:rPr>
      </w:pPr>
      <w:r>
        <w:rPr>
          <w:rFonts w:hint="eastAsia" w:ascii="宋体" w:hAnsi="宋体" w:eastAsia="宋体" w:cs="宋体"/>
          <w:color w:val="auto"/>
          <w:sz w:val="24"/>
          <w:szCs w:val="24"/>
        </w:rPr>
        <w:t>26.3中标通知书将是合同的一个组成部分。对</w:t>
      </w:r>
      <w:r>
        <w:rPr>
          <w:rFonts w:hint="eastAsia" w:ascii="宋体" w:hAnsi="宋体" w:eastAsia="宋体" w:cs="宋体"/>
          <w:color w:val="auto"/>
          <w:sz w:val="24"/>
          <w:szCs w:val="24"/>
          <w:lang w:eastAsia="zh-CN"/>
        </w:rPr>
        <w:t>招标人</w:t>
      </w:r>
      <w:r>
        <w:rPr>
          <w:rFonts w:hint="eastAsia" w:ascii="宋体" w:hAnsi="宋体" w:eastAsia="宋体" w:cs="宋体"/>
          <w:color w:val="auto"/>
          <w:sz w:val="24"/>
          <w:szCs w:val="24"/>
        </w:rPr>
        <w:t>和中标供应商均具有法律效力。中标通知书发出后，</w:t>
      </w:r>
      <w:r>
        <w:rPr>
          <w:rFonts w:hint="eastAsia" w:ascii="宋体" w:hAnsi="宋体" w:eastAsia="宋体" w:cs="宋体"/>
          <w:color w:val="auto"/>
          <w:sz w:val="24"/>
          <w:szCs w:val="24"/>
          <w:lang w:eastAsia="zh-CN"/>
        </w:rPr>
        <w:t>招标人</w:t>
      </w:r>
      <w:r>
        <w:rPr>
          <w:rFonts w:hint="eastAsia" w:ascii="宋体" w:hAnsi="宋体" w:eastAsia="宋体" w:cs="宋体"/>
          <w:color w:val="auto"/>
          <w:sz w:val="24"/>
          <w:szCs w:val="24"/>
        </w:rPr>
        <w:t>改变中标结果的，或者中标供应商放弃中标项目的，应当依法承担法律责任。</w:t>
      </w:r>
    </w:p>
    <w:p>
      <w:pPr>
        <w:snapToGrid w:val="0"/>
        <w:spacing w:line="360" w:lineRule="auto"/>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七、授予合同</w:t>
      </w:r>
    </w:p>
    <w:p>
      <w:pPr>
        <w:snapToGrid w:val="0"/>
        <w:spacing w:line="360" w:lineRule="auto"/>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27、签订合同</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27.1中标人在</w:t>
      </w:r>
      <w:r>
        <w:rPr>
          <w:rFonts w:hint="eastAsia" w:ascii="宋体" w:hAnsi="宋体" w:eastAsia="宋体" w:cs="宋体"/>
          <w:snapToGrid w:val="0"/>
          <w:color w:val="auto"/>
          <w:kern w:val="21"/>
          <w:sz w:val="24"/>
          <w:szCs w:val="24"/>
        </w:rPr>
        <w:t>中标通知书发出之日</w:t>
      </w:r>
      <w:r>
        <w:rPr>
          <w:rFonts w:hint="eastAsia" w:ascii="宋体" w:hAnsi="宋体" w:eastAsia="宋体" w:cs="宋体"/>
          <w:color w:val="auto"/>
          <w:sz w:val="24"/>
          <w:szCs w:val="24"/>
        </w:rPr>
        <w:t>起30日内派代表前来与</w:t>
      </w:r>
      <w:r>
        <w:rPr>
          <w:rFonts w:hint="eastAsia" w:ascii="宋体" w:hAnsi="宋体" w:eastAsia="宋体" w:cs="宋体"/>
          <w:color w:val="auto"/>
          <w:sz w:val="24"/>
          <w:szCs w:val="24"/>
          <w:lang w:eastAsia="zh-CN"/>
        </w:rPr>
        <w:t>招标人</w:t>
      </w:r>
      <w:r>
        <w:rPr>
          <w:rFonts w:hint="eastAsia" w:ascii="宋体" w:hAnsi="宋体" w:eastAsia="宋体" w:cs="宋体"/>
          <w:color w:val="auto"/>
          <w:sz w:val="24"/>
          <w:szCs w:val="24"/>
        </w:rPr>
        <w:t>具体商谈签订合同，若因中标人延误签订合同并由此给</w:t>
      </w:r>
      <w:r>
        <w:rPr>
          <w:rFonts w:hint="eastAsia" w:ascii="宋体" w:hAnsi="宋体" w:eastAsia="宋体" w:cs="宋体"/>
          <w:color w:val="auto"/>
          <w:sz w:val="24"/>
          <w:szCs w:val="24"/>
          <w:lang w:eastAsia="zh-CN"/>
        </w:rPr>
        <w:t>招标人</w:t>
      </w:r>
      <w:r>
        <w:rPr>
          <w:rFonts w:hint="eastAsia" w:ascii="宋体" w:hAnsi="宋体" w:eastAsia="宋体" w:cs="宋体"/>
          <w:color w:val="auto"/>
          <w:sz w:val="24"/>
          <w:szCs w:val="24"/>
        </w:rPr>
        <w:t>造成损失的，中标人应承担赔偿责任。</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27.2招标文件、中标人的投标文件及澄清文件等，均为签订合同的依据。</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27.3签订合同后，</w:t>
      </w:r>
      <w:r>
        <w:rPr>
          <w:rFonts w:hint="eastAsia" w:ascii="宋体" w:hAnsi="宋体" w:eastAsia="宋体" w:cs="宋体"/>
          <w:b/>
          <w:color w:val="auto"/>
          <w:sz w:val="24"/>
          <w:szCs w:val="24"/>
        </w:rPr>
        <w:t>中标人不得将相关服务进行全部或部分转包。</w:t>
      </w:r>
      <w:r>
        <w:rPr>
          <w:rFonts w:hint="eastAsia" w:ascii="宋体" w:hAnsi="宋体" w:eastAsia="宋体" w:cs="宋体"/>
          <w:color w:val="auto"/>
          <w:sz w:val="24"/>
          <w:szCs w:val="24"/>
        </w:rPr>
        <w:t>未经</w:t>
      </w:r>
      <w:r>
        <w:rPr>
          <w:rFonts w:hint="eastAsia" w:ascii="宋体" w:hAnsi="宋体" w:eastAsia="宋体" w:cs="宋体"/>
          <w:color w:val="auto"/>
          <w:sz w:val="24"/>
          <w:szCs w:val="24"/>
          <w:lang w:eastAsia="zh-CN"/>
        </w:rPr>
        <w:t>招标人</w:t>
      </w:r>
      <w:r>
        <w:rPr>
          <w:rFonts w:hint="eastAsia" w:ascii="宋体" w:hAnsi="宋体" w:eastAsia="宋体" w:cs="宋体"/>
          <w:color w:val="auto"/>
          <w:sz w:val="24"/>
          <w:szCs w:val="24"/>
        </w:rPr>
        <w:t>同意，中标人也不得采用分包的形式履行合同，否则</w:t>
      </w:r>
      <w:r>
        <w:rPr>
          <w:rFonts w:hint="eastAsia" w:ascii="宋体" w:hAnsi="宋体" w:eastAsia="宋体" w:cs="宋体"/>
          <w:color w:val="auto"/>
          <w:sz w:val="24"/>
          <w:szCs w:val="24"/>
          <w:lang w:eastAsia="zh-CN"/>
        </w:rPr>
        <w:t>招标人</w:t>
      </w:r>
      <w:r>
        <w:rPr>
          <w:rFonts w:hint="eastAsia" w:ascii="宋体" w:hAnsi="宋体" w:eastAsia="宋体" w:cs="宋体"/>
          <w:color w:val="auto"/>
          <w:sz w:val="24"/>
          <w:szCs w:val="24"/>
        </w:rPr>
        <w:t>有权终止合同，中标人的履约保证金将不予退还。转包或分包造成</w:t>
      </w:r>
      <w:r>
        <w:rPr>
          <w:rFonts w:hint="eastAsia" w:ascii="宋体" w:hAnsi="宋体" w:eastAsia="宋体" w:cs="宋体"/>
          <w:color w:val="auto"/>
          <w:sz w:val="24"/>
          <w:szCs w:val="24"/>
          <w:lang w:eastAsia="zh-CN"/>
        </w:rPr>
        <w:t>招标人</w:t>
      </w:r>
      <w:r>
        <w:rPr>
          <w:rFonts w:hint="eastAsia" w:ascii="宋体" w:hAnsi="宋体" w:eastAsia="宋体" w:cs="宋体"/>
          <w:color w:val="auto"/>
          <w:sz w:val="24"/>
          <w:szCs w:val="24"/>
        </w:rPr>
        <w:t>损失的，中标人应承担相应赔偿责任。</w:t>
      </w:r>
    </w:p>
    <w:p>
      <w:pPr>
        <w:snapToGrid w:val="0"/>
        <w:spacing w:line="360" w:lineRule="auto"/>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28、服务的追加和减少</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28.1采购合同履行中，需追加与合同标的相同的服务的，在不改变价格水平、合同及其它条款的前提下，</w:t>
      </w:r>
      <w:r>
        <w:rPr>
          <w:rFonts w:hint="eastAsia" w:ascii="宋体" w:hAnsi="宋体" w:eastAsia="宋体" w:cs="宋体"/>
          <w:color w:val="auto"/>
          <w:sz w:val="24"/>
          <w:szCs w:val="24"/>
          <w:lang w:eastAsia="zh-CN"/>
        </w:rPr>
        <w:t>招标人</w:t>
      </w:r>
      <w:r>
        <w:rPr>
          <w:rFonts w:hint="eastAsia" w:ascii="宋体" w:hAnsi="宋体" w:eastAsia="宋体" w:cs="宋体"/>
          <w:color w:val="auto"/>
          <w:sz w:val="24"/>
          <w:szCs w:val="24"/>
        </w:rPr>
        <w:t>可以与中标人协商签订补充合同，追加量不得超过合同总额的10%。</w:t>
      </w:r>
    </w:p>
    <w:p>
      <w:pPr>
        <w:spacing w:line="360" w:lineRule="exact"/>
        <w:ind w:firstLine="480" w:firstLineChars="200"/>
        <w:rPr>
          <w:rFonts w:hint="eastAsia" w:ascii="宋体" w:hAnsi="宋体" w:eastAsia="宋体" w:cs="宋体"/>
          <w:color w:val="auto"/>
        </w:rPr>
      </w:pPr>
      <w:r>
        <w:rPr>
          <w:rFonts w:hint="eastAsia" w:ascii="宋体" w:hAnsi="宋体" w:eastAsia="宋体" w:cs="宋体"/>
          <w:color w:val="auto"/>
          <w:sz w:val="24"/>
          <w:szCs w:val="24"/>
        </w:rPr>
        <w:t>28.2采购结束后，</w:t>
      </w:r>
      <w:r>
        <w:rPr>
          <w:rFonts w:hint="eastAsia" w:ascii="宋体" w:hAnsi="宋体" w:eastAsia="宋体" w:cs="宋体"/>
          <w:color w:val="auto"/>
          <w:sz w:val="24"/>
          <w:szCs w:val="24"/>
          <w:lang w:eastAsia="zh-CN"/>
        </w:rPr>
        <w:t>招标人</w:t>
      </w:r>
      <w:r>
        <w:rPr>
          <w:rFonts w:hint="eastAsia" w:ascii="宋体" w:hAnsi="宋体" w:eastAsia="宋体" w:cs="宋体"/>
          <w:color w:val="auto"/>
          <w:sz w:val="24"/>
          <w:szCs w:val="24"/>
        </w:rPr>
        <w:t>若由于各种客观原因，必须对采购项目所牵涉的服务进行适当的减少时，在双方协商一致的前提下，可以按照中标时价格水平做相应的调减，并据此签订补充合同。</w:t>
      </w:r>
    </w:p>
    <w:p>
      <w:pPr>
        <w:rPr>
          <w:rFonts w:hint="eastAsia" w:ascii="宋体" w:hAnsi="宋体" w:eastAsia="宋体" w:cs="宋体"/>
          <w:color w:val="auto"/>
          <w:kern w:val="44"/>
          <w:sz w:val="36"/>
          <w:szCs w:val="36"/>
          <w:u w:color="000000"/>
          <w:lang w:val="zh-TW" w:eastAsia="zh-TW"/>
        </w:rPr>
      </w:pPr>
      <w:r>
        <w:rPr>
          <w:rFonts w:hint="eastAsia" w:ascii="宋体" w:hAnsi="宋体" w:eastAsia="宋体" w:cs="宋体"/>
          <w:color w:val="auto"/>
          <w:kern w:val="44"/>
          <w:sz w:val="36"/>
          <w:szCs w:val="36"/>
          <w:u w:color="000000"/>
          <w:lang w:val="zh-TW" w:eastAsia="zh-TW"/>
        </w:rPr>
        <w:br w:type="page"/>
      </w:r>
    </w:p>
    <w:p>
      <w:pPr>
        <w:keepNext/>
        <w:keepLines/>
        <w:spacing w:before="312" w:beforeLines="100" w:after="312" w:afterLines="100" w:line="360" w:lineRule="auto"/>
        <w:jc w:val="center"/>
        <w:outlineLvl w:val="0"/>
        <w:rPr>
          <w:rFonts w:hint="eastAsia" w:ascii="宋体" w:hAnsi="宋体" w:eastAsia="宋体" w:cs="宋体"/>
          <w:color w:val="auto"/>
          <w:kern w:val="44"/>
          <w:sz w:val="36"/>
          <w:szCs w:val="36"/>
          <w:u w:color="000000"/>
          <w:lang w:val="zh-TW" w:eastAsia="zh-TW"/>
        </w:rPr>
      </w:pPr>
      <w:bookmarkStart w:id="8" w:name="_Toc10510"/>
      <w:r>
        <w:rPr>
          <w:rFonts w:hint="eastAsia" w:ascii="宋体" w:hAnsi="宋体" w:eastAsia="宋体" w:cs="宋体"/>
          <w:color w:val="auto"/>
          <w:kern w:val="44"/>
          <w:sz w:val="36"/>
          <w:szCs w:val="36"/>
          <w:u w:color="000000"/>
          <w:lang w:val="zh-TW" w:eastAsia="zh-TW"/>
        </w:rPr>
        <w:t>第</w:t>
      </w:r>
      <w:r>
        <w:rPr>
          <w:rFonts w:hint="eastAsia" w:ascii="宋体" w:hAnsi="宋体" w:eastAsia="宋体" w:cs="宋体"/>
          <w:color w:val="auto"/>
          <w:kern w:val="44"/>
          <w:sz w:val="36"/>
          <w:szCs w:val="36"/>
          <w:u w:color="000000"/>
          <w:lang w:val="zh-TW"/>
        </w:rPr>
        <w:t>三</w:t>
      </w:r>
      <w:r>
        <w:rPr>
          <w:rFonts w:hint="eastAsia" w:ascii="宋体" w:hAnsi="宋体" w:eastAsia="宋体" w:cs="宋体"/>
          <w:color w:val="auto"/>
          <w:kern w:val="44"/>
          <w:sz w:val="36"/>
          <w:szCs w:val="36"/>
          <w:u w:color="000000"/>
          <w:lang w:val="zh-TW" w:eastAsia="zh-TW"/>
        </w:rPr>
        <w:t>章  合同条款及格式</w:t>
      </w:r>
      <w:bookmarkEnd w:id="8"/>
    </w:p>
    <w:p>
      <w:pPr>
        <w:spacing w:before="40" w:after="40" w:line="360" w:lineRule="auto"/>
        <w:ind w:firstLine="468" w:firstLineChars="195"/>
        <w:rPr>
          <w:rFonts w:hint="eastAsia" w:ascii="宋体" w:hAnsi="宋体" w:eastAsia="宋体" w:cs="宋体"/>
          <w:color w:val="auto"/>
          <w:sz w:val="24"/>
          <w:szCs w:val="24"/>
        </w:rPr>
      </w:pPr>
      <w:bookmarkStart w:id="9" w:name="_Toc20823315"/>
      <w:bookmarkStart w:id="10" w:name="_Toc513029243"/>
      <w:bookmarkStart w:id="11" w:name="_Toc16938559"/>
      <w:r>
        <w:rPr>
          <w:rFonts w:hint="eastAsia" w:ascii="宋体" w:hAnsi="宋体" w:eastAsia="宋体" w:cs="宋体"/>
          <w:color w:val="auto"/>
          <w:sz w:val="24"/>
          <w:szCs w:val="24"/>
        </w:rPr>
        <w:t>以下为中标后签定本项目合同的通用条款，中标人不得提出实质性的修改，关于专用条款将由项目使用单位与中标人结合本项目具体情况协商后签订。</w:t>
      </w:r>
      <w:bookmarkEnd w:id="9"/>
      <w:bookmarkEnd w:id="10"/>
      <w:bookmarkEnd w:id="11"/>
    </w:p>
    <w:p>
      <w:pPr>
        <w:adjustRightInd w:val="0"/>
        <w:snapToGrid w:val="0"/>
        <w:spacing w:line="300" w:lineRule="auto"/>
        <w:jc w:val="center"/>
        <w:rPr>
          <w:rFonts w:hint="eastAsia" w:ascii="宋体" w:hAnsi="宋体"/>
          <w:b/>
          <w:snapToGrid w:val="0"/>
          <w:sz w:val="28"/>
          <w:szCs w:val="28"/>
        </w:rPr>
      </w:pPr>
      <w:bookmarkStart w:id="12" w:name="_Toc111458441"/>
      <w:bookmarkStart w:id="13" w:name="_Toc16438"/>
    </w:p>
    <w:p>
      <w:pPr>
        <w:adjustRightInd w:val="0"/>
        <w:snapToGrid w:val="0"/>
        <w:spacing w:line="300" w:lineRule="auto"/>
        <w:jc w:val="center"/>
        <w:rPr>
          <w:rFonts w:hint="eastAsia" w:ascii="宋体" w:hAnsi="宋体"/>
          <w:b/>
          <w:snapToGrid w:val="0"/>
          <w:sz w:val="28"/>
          <w:szCs w:val="28"/>
        </w:rPr>
      </w:pPr>
    </w:p>
    <w:p>
      <w:pPr>
        <w:adjustRightInd w:val="0"/>
        <w:snapToGrid w:val="0"/>
        <w:spacing w:line="300" w:lineRule="auto"/>
        <w:jc w:val="center"/>
        <w:rPr>
          <w:rFonts w:ascii="宋体" w:hAnsi="宋体"/>
          <w:b/>
          <w:snapToGrid w:val="0"/>
          <w:sz w:val="28"/>
          <w:szCs w:val="28"/>
        </w:rPr>
      </w:pPr>
      <w:r>
        <w:rPr>
          <w:rFonts w:hint="eastAsia" w:ascii="宋体" w:hAnsi="宋体"/>
          <w:b/>
          <w:snapToGrid w:val="0"/>
          <w:sz w:val="28"/>
          <w:szCs w:val="28"/>
        </w:rPr>
        <w:t>南京邮电大学通达学院</w:t>
      </w:r>
      <w:bookmarkEnd w:id="12"/>
      <w:r>
        <w:rPr>
          <w:rFonts w:hint="eastAsia" w:ascii="宋体" w:hAnsi="宋体"/>
          <w:b/>
          <w:snapToGrid w:val="0"/>
          <w:sz w:val="28"/>
          <w:szCs w:val="28"/>
          <w:lang w:eastAsia="zh-CN"/>
        </w:rPr>
        <w:t>校内配送服务采购项目</w:t>
      </w:r>
      <w:r>
        <w:rPr>
          <w:rFonts w:hint="eastAsia" w:ascii="宋体" w:hAnsi="宋体"/>
          <w:b/>
          <w:snapToGrid w:val="0"/>
          <w:sz w:val="28"/>
          <w:szCs w:val="28"/>
        </w:rPr>
        <w:t>采购合同</w:t>
      </w:r>
    </w:p>
    <w:p>
      <w:pPr>
        <w:spacing w:line="276" w:lineRule="auto"/>
        <w:rPr>
          <w:rFonts w:ascii="仿宋_GB2312"/>
          <w:sz w:val="24"/>
        </w:rPr>
      </w:pPr>
      <w:r>
        <w:rPr>
          <w:rFonts w:hint="eastAsia" w:ascii="仿宋_GB2312"/>
          <w:sz w:val="24"/>
        </w:rPr>
        <w:t>甲方：南京邮电大学通达学院                         项目编号：</w:t>
      </w:r>
    </w:p>
    <w:p>
      <w:pPr>
        <w:spacing w:line="276" w:lineRule="auto"/>
        <w:rPr>
          <w:rFonts w:ascii="仿宋_GB2312"/>
          <w:sz w:val="24"/>
        </w:rPr>
      </w:pPr>
      <w:r>
        <w:rPr>
          <w:rFonts w:hint="eastAsia" w:ascii="仿宋_GB2312"/>
          <w:sz w:val="24"/>
        </w:rPr>
        <w:t>乙方：</w:t>
      </w:r>
    </w:p>
    <w:p>
      <w:pPr>
        <w:snapToGrid w:val="0"/>
        <w:spacing w:line="276" w:lineRule="auto"/>
        <w:ind w:firstLine="420" w:firstLineChars="200"/>
        <w:rPr>
          <w:rFonts w:ascii="宋体" w:hAnsi="宋体"/>
          <w:snapToGrid w:val="0"/>
          <w:kern w:val="0"/>
        </w:rPr>
      </w:pPr>
      <w:r>
        <w:rPr>
          <w:rFonts w:hint="eastAsia" w:ascii="宋体" w:hAnsi="宋体"/>
          <w:snapToGrid w:val="0"/>
          <w:kern w:val="0"/>
        </w:rPr>
        <w:t>按照《中华人民共和国民法典》及其他有关法律法规的有关规定，结合本项目实际情况，遵守平等、自愿、公平和诚实信用原则，经双方协商达成如下协议：</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第一条 合作期限 </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lang w:val="en-US" w:eastAsia="zh-CN"/>
        </w:rPr>
        <w:t>合同期为 5 年，从2023 年   月   日 至2024年   月   日 止</w:t>
      </w:r>
      <w:r>
        <w:rPr>
          <w:rFonts w:hint="eastAsia" w:ascii="宋体" w:hAnsi="宋体" w:eastAsia="宋体" w:cs="宋体"/>
          <w:sz w:val="21"/>
          <w:szCs w:val="21"/>
        </w:rPr>
        <w:t>。</w:t>
      </w:r>
      <w:r>
        <w:rPr>
          <w:rFonts w:hint="eastAsia" w:ascii="宋体" w:hAnsi="宋体" w:eastAsia="宋体" w:cs="宋体"/>
          <w:sz w:val="21"/>
          <w:szCs w:val="21"/>
          <w:lang w:val="en-US" w:eastAsia="zh-CN"/>
        </w:rPr>
        <w:t>合同一年一签，服务期内未出现无违法、违规、违约行为和安全责任事故，</w:t>
      </w:r>
      <w:r>
        <w:rPr>
          <w:rFonts w:hint="eastAsia" w:ascii="宋体" w:hAnsi="宋体" w:eastAsia="宋体" w:cs="宋体"/>
          <w:sz w:val="21"/>
          <w:szCs w:val="21"/>
        </w:rPr>
        <w:t>由学校后勤</w:t>
      </w:r>
      <w:r>
        <w:rPr>
          <w:rFonts w:hint="eastAsia" w:ascii="宋体" w:hAnsi="宋体" w:eastAsia="宋体" w:cs="宋体"/>
          <w:sz w:val="21"/>
          <w:szCs w:val="21"/>
          <w:lang w:eastAsia="zh-CN"/>
        </w:rPr>
        <w:t>管理处</w:t>
      </w:r>
      <w:r>
        <w:rPr>
          <w:rFonts w:hint="eastAsia" w:ascii="宋体" w:hAnsi="宋体" w:eastAsia="宋体" w:cs="宋体"/>
          <w:sz w:val="21"/>
          <w:szCs w:val="21"/>
        </w:rPr>
        <w:t>组织项目运营效果年度综合考核, 考核合格后签订下一</w:t>
      </w:r>
      <w:r>
        <w:rPr>
          <w:rFonts w:hint="eastAsia" w:ascii="宋体" w:hAnsi="宋体" w:eastAsia="宋体" w:cs="宋体"/>
          <w:sz w:val="21"/>
          <w:szCs w:val="21"/>
          <w:lang w:val="en-US" w:eastAsia="zh-CN"/>
        </w:rPr>
        <w:t>年</w:t>
      </w:r>
      <w:r>
        <w:rPr>
          <w:rFonts w:hint="eastAsia" w:ascii="宋体" w:hAnsi="宋体" w:eastAsia="宋体" w:cs="宋体"/>
          <w:sz w:val="21"/>
          <w:szCs w:val="21"/>
        </w:rPr>
        <w:t>合同</w:t>
      </w:r>
      <w:r>
        <w:rPr>
          <w:rFonts w:hint="eastAsia" w:ascii="宋体" w:hAnsi="宋体" w:eastAsia="宋体" w:cs="宋体"/>
          <w:sz w:val="21"/>
          <w:szCs w:val="21"/>
          <w:lang w:eastAsia="zh-CN"/>
        </w:rPr>
        <w:t>，</w:t>
      </w:r>
      <w:r>
        <w:rPr>
          <w:rFonts w:hint="eastAsia" w:ascii="宋体" w:hAnsi="宋体" w:eastAsia="宋体" w:cs="宋体"/>
          <w:sz w:val="21"/>
          <w:szCs w:val="21"/>
          <w:lang w:val="zh-TW" w:eastAsia="zh-TW"/>
        </w:rPr>
        <w:t>乙方须在</w:t>
      </w:r>
      <w:r>
        <w:rPr>
          <w:rFonts w:hint="eastAsia" w:ascii="宋体" w:hAnsi="宋体" w:eastAsia="宋体" w:cs="宋体"/>
          <w:sz w:val="21"/>
          <w:szCs w:val="21"/>
        </w:rPr>
        <w:t>每年</w:t>
      </w:r>
      <w:r>
        <w:rPr>
          <w:rFonts w:hint="eastAsia" w:ascii="宋体" w:hAnsi="宋体" w:eastAsia="宋体" w:cs="宋体"/>
          <w:sz w:val="21"/>
          <w:szCs w:val="21"/>
          <w:lang w:val="zh-TW" w:eastAsia="zh-TW"/>
        </w:rPr>
        <w:t>合同期满前两个月向甲方提出书面</w:t>
      </w:r>
      <w:r>
        <w:rPr>
          <w:rFonts w:hint="eastAsia" w:ascii="宋体" w:hAnsi="宋体" w:eastAsia="宋体" w:cs="宋体"/>
          <w:sz w:val="21"/>
          <w:szCs w:val="21"/>
        </w:rPr>
        <w:t>续签</w:t>
      </w:r>
      <w:r>
        <w:rPr>
          <w:rFonts w:hint="eastAsia" w:ascii="宋体" w:hAnsi="宋体" w:eastAsia="宋体" w:cs="宋体"/>
          <w:sz w:val="21"/>
          <w:szCs w:val="21"/>
          <w:lang w:val="zh-TW" w:eastAsia="zh-TW"/>
        </w:rPr>
        <w:t>申请</w:t>
      </w:r>
      <w:r>
        <w:rPr>
          <w:rFonts w:hint="eastAsia" w:ascii="宋体" w:hAnsi="宋体" w:eastAsia="宋体" w:cs="宋体"/>
          <w:sz w:val="21"/>
          <w:szCs w:val="21"/>
          <w:lang w:val="zh-TW"/>
        </w:rPr>
        <w:t>。</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第二条 相关费用的收取与支付</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1.乙方收取的平台服务费为配送菜品营业额的  %。校内配送订单款项结算周期为T+1个工作日，即乙方在第2个工作日将前1个工作日收到的校内配送订单款项扣除相应费用后的剩余款项支付至甲方账户，如遇节假日可顺延。</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2.乙方每笔订单收取的配送服务费为</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rPr>
        <w:t>元。</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3.垃圾</w:t>
      </w:r>
      <w:r>
        <w:rPr>
          <w:rFonts w:hint="eastAsia" w:ascii="宋体" w:hAnsi="宋体" w:eastAsia="宋体" w:cs="宋体"/>
          <w:sz w:val="21"/>
          <w:szCs w:val="21"/>
          <w:lang w:val="en-US" w:eastAsia="zh-CN"/>
        </w:rPr>
        <w:t>清运</w:t>
      </w:r>
      <w:r>
        <w:rPr>
          <w:rFonts w:hint="eastAsia" w:ascii="宋体" w:hAnsi="宋体" w:eastAsia="宋体" w:cs="宋体"/>
          <w:sz w:val="21"/>
          <w:szCs w:val="21"/>
        </w:rPr>
        <w:t>费。本协议签订之日起3日内，乙方向甲方交纳垃圾</w:t>
      </w:r>
      <w:r>
        <w:rPr>
          <w:rFonts w:hint="eastAsia" w:ascii="宋体" w:hAnsi="宋体" w:eastAsia="宋体" w:cs="宋体"/>
          <w:sz w:val="21"/>
          <w:szCs w:val="21"/>
          <w:lang w:val="en-US" w:eastAsia="zh-CN"/>
        </w:rPr>
        <w:t>清运</w:t>
      </w:r>
      <w:r>
        <w:rPr>
          <w:rFonts w:hint="eastAsia" w:ascii="宋体" w:hAnsi="宋体" w:eastAsia="宋体" w:cs="宋体"/>
          <w:sz w:val="21"/>
          <w:szCs w:val="21"/>
        </w:rPr>
        <w:t>费元整</w:t>
      </w:r>
      <w:r>
        <w:rPr>
          <w:rFonts w:hint="eastAsia" w:ascii="宋体" w:hAnsi="宋体" w:eastAsia="宋体" w:cs="宋体"/>
          <w:sz w:val="21"/>
          <w:szCs w:val="21"/>
          <w:lang w:val="en-US" w:eastAsia="zh-CN"/>
        </w:rPr>
        <w:t>/年</w:t>
      </w:r>
      <w:r>
        <w:rPr>
          <w:rFonts w:hint="eastAsia" w:ascii="宋体" w:hAnsi="宋体" w:eastAsia="宋体" w:cs="宋体"/>
          <w:sz w:val="21"/>
          <w:szCs w:val="21"/>
        </w:rPr>
        <w:t>（大写：</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万元整</w:t>
      </w:r>
      <w:r>
        <w:rPr>
          <w:rFonts w:hint="eastAsia" w:ascii="宋体" w:hAnsi="宋体" w:eastAsia="宋体" w:cs="宋体"/>
          <w:sz w:val="21"/>
          <w:szCs w:val="21"/>
          <w:lang w:val="en-US" w:eastAsia="zh-CN"/>
        </w:rPr>
        <w:t>/年</w:t>
      </w:r>
      <w:r>
        <w:rPr>
          <w:rFonts w:hint="eastAsia" w:ascii="宋体" w:hAnsi="宋体" w:eastAsia="宋体" w:cs="宋体"/>
          <w:sz w:val="21"/>
          <w:szCs w:val="21"/>
        </w:rPr>
        <w:t>）。甲方在收到款项后向乙方提供等额的增值税普通发票。</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4.履约保证金。签订合同前，</w:t>
      </w:r>
      <w:r>
        <w:rPr>
          <w:rFonts w:hint="eastAsia" w:ascii="宋体" w:hAnsi="宋体" w:eastAsia="宋体" w:cs="宋体"/>
          <w:sz w:val="21"/>
          <w:szCs w:val="21"/>
          <w:lang w:val="en-US" w:eastAsia="zh-CN"/>
        </w:rPr>
        <w:t>供应商</w:t>
      </w:r>
      <w:r>
        <w:rPr>
          <w:rFonts w:hint="eastAsia" w:ascii="宋体" w:hAnsi="宋体" w:eastAsia="宋体" w:cs="宋体"/>
          <w:sz w:val="21"/>
          <w:szCs w:val="21"/>
        </w:rPr>
        <w:t>须向我校缴纳</w:t>
      </w:r>
      <w:r>
        <w:rPr>
          <w:rFonts w:hint="eastAsia" w:ascii="宋体" w:hAnsi="宋体" w:eastAsia="宋体" w:cs="宋体"/>
          <w:sz w:val="21"/>
          <w:szCs w:val="21"/>
          <w:lang w:val="en-US" w:eastAsia="zh-CN"/>
        </w:rPr>
        <w:t>10</w:t>
      </w:r>
      <w:r>
        <w:rPr>
          <w:rFonts w:hint="eastAsia" w:ascii="宋体" w:hAnsi="宋体" w:eastAsia="宋体" w:cs="宋体"/>
          <w:sz w:val="21"/>
          <w:szCs w:val="21"/>
        </w:rPr>
        <w:t>万元履约保证金。（转出方必须为</w:t>
      </w:r>
      <w:r>
        <w:rPr>
          <w:rFonts w:hint="eastAsia" w:ascii="宋体" w:hAnsi="宋体" w:eastAsia="宋体" w:cs="宋体"/>
          <w:sz w:val="21"/>
          <w:szCs w:val="21"/>
          <w:lang w:val="en-US" w:eastAsia="zh-CN"/>
        </w:rPr>
        <w:t>供应商</w:t>
      </w:r>
      <w:r>
        <w:rPr>
          <w:rFonts w:hint="eastAsia" w:ascii="宋体" w:hAnsi="宋体" w:eastAsia="宋体" w:cs="宋体"/>
          <w:sz w:val="21"/>
          <w:szCs w:val="21"/>
        </w:rPr>
        <w:t>公司的基本账户，用途备注注明：履约保证金）</w:t>
      </w:r>
      <w:r>
        <w:rPr>
          <w:rFonts w:hint="eastAsia" w:ascii="宋体" w:hAnsi="宋体" w:eastAsia="宋体" w:cs="宋体"/>
          <w:sz w:val="21"/>
          <w:szCs w:val="21"/>
          <w:lang w:eastAsia="zh-CN"/>
        </w:rPr>
        <w:t>。</w:t>
      </w:r>
      <w:r>
        <w:rPr>
          <w:rFonts w:hint="eastAsia" w:ascii="宋体" w:hAnsi="宋体" w:eastAsia="宋体" w:cs="宋体"/>
          <w:sz w:val="21"/>
          <w:szCs w:val="21"/>
        </w:rPr>
        <w:t>合同执行期满后，根据</w:t>
      </w:r>
      <w:r>
        <w:rPr>
          <w:rFonts w:hint="eastAsia" w:ascii="宋体" w:hAnsi="宋体" w:eastAsia="宋体" w:cs="宋体"/>
          <w:sz w:val="21"/>
          <w:szCs w:val="21"/>
          <w:lang w:val="en-US" w:eastAsia="zh-CN"/>
        </w:rPr>
        <w:t>供应商</w:t>
      </w:r>
      <w:r>
        <w:rPr>
          <w:rFonts w:hint="eastAsia" w:ascii="宋体" w:hAnsi="宋体" w:eastAsia="宋体" w:cs="宋体"/>
          <w:sz w:val="21"/>
          <w:szCs w:val="21"/>
        </w:rPr>
        <w:t>履约情况，扣除各类罚款、违约等费用，退还剩余履约保证金</w:t>
      </w:r>
      <w:r>
        <w:rPr>
          <w:rFonts w:hint="eastAsia" w:ascii="宋体" w:hAnsi="宋体" w:eastAsia="宋体" w:cs="宋体"/>
          <w:sz w:val="21"/>
          <w:szCs w:val="21"/>
          <w:lang w:eastAsia="zh-CN"/>
        </w:rPr>
        <w:t>，</w:t>
      </w:r>
      <w:r>
        <w:rPr>
          <w:rFonts w:hint="eastAsia" w:ascii="宋体" w:hAnsi="宋体" w:eastAsia="宋体" w:cs="宋体"/>
          <w:sz w:val="21"/>
          <w:szCs w:val="21"/>
        </w:rPr>
        <w:t>履约保证金不计利息。</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5.除每单配送服务费外，乙方不得向甲方校内食堂或用户收取其他任何费用。</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第三条 配送范围及配送时间要求</w:t>
      </w:r>
    </w:p>
    <w:p>
      <w:pPr>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rPr>
        <w:t>1.配送范围：快餐、小炒、汤类等甲方校园内食堂经营的餐品；配送业务不得超允许的范围，禁止将校外餐饮订单配送到校内。</w:t>
      </w:r>
      <w:r>
        <w:rPr>
          <w:rFonts w:hint="eastAsia" w:ascii="宋体" w:hAnsi="宋体" w:eastAsia="宋体" w:cs="宋体"/>
          <w:sz w:val="21"/>
          <w:szCs w:val="21"/>
          <w:lang w:val="en-US" w:eastAsia="zh-CN"/>
        </w:rPr>
        <w:t>不得配送凉菜、生鲜冷食、冷加工糕点（如含奶油糕点、提拉米苏、芝士蛋糕等）、预拌沙拉等高风险品种及法律法规禁止经营的食品与商品。</w:t>
      </w:r>
    </w:p>
    <w:p>
      <w:pPr>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2.配送区域：限于学生公寓指定区域，不得进入宿舍，教学区、图书馆、体育馆均为非配送区域，以上为暂定区域，具体配送区域会根据学院要求适时调整。</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3</w:t>
      </w:r>
      <w:r>
        <w:rPr>
          <w:rFonts w:hint="eastAsia" w:ascii="宋体" w:hAnsi="宋体" w:eastAsia="宋体" w:cs="宋体"/>
          <w:sz w:val="21"/>
          <w:szCs w:val="21"/>
        </w:rPr>
        <w:t>.配送时间：乙方要及时将餐品配送至用户手上，最长送达时间不得超过</w:t>
      </w:r>
      <w:r>
        <w:rPr>
          <w:rFonts w:hint="eastAsia" w:ascii="宋体" w:hAnsi="宋体" w:eastAsia="宋体" w:cs="宋体"/>
          <w:sz w:val="21"/>
          <w:szCs w:val="21"/>
          <w:lang w:val="en-US" w:eastAsia="zh-CN"/>
        </w:rPr>
        <w:t>45</w:t>
      </w:r>
      <w:r>
        <w:rPr>
          <w:rFonts w:hint="eastAsia" w:ascii="宋体" w:hAnsi="宋体" w:eastAsia="宋体" w:cs="宋体"/>
          <w:sz w:val="21"/>
          <w:szCs w:val="21"/>
        </w:rPr>
        <w:t>分钟，其中汤餐类不得超过</w:t>
      </w:r>
      <w:r>
        <w:rPr>
          <w:rFonts w:hint="eastAsia" w:ascii="宋体" w:hAnsi="宋体" w:eastAsia="宋体" w:cs="宋体"/>
          <w:sz w:val="21"/>
          <w:szCs w:val="21"/>
          <w:lang w:val="en-US" w:eastAsia="zh-CN"/>
        </w:rPr>
        <w:t>30</w:t>
      </w:r>
      <w:r>
        <w:rPr>
          <w:rFonts w:hint="eastAsia" w:ascii="宋体" w:hAnsi="宋体" w:eastAsia="宋体" w:cs="宋体"/>
          <w:sz w:val="21"/>
          <w:szCs w:val="21"/>
        </w:rPr>
        <w:t>分钟。</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第三条后勤智能化餐饮管理程序要求</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1.提供后勤智能化餐饮管理程序包含内容：校园订餐系统、数据分析系统、财务管理系统等。</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2.校园订餐系统提供数据化溯源管理，结点人员清晰可见，包括：用户下单时间、地址和电话，餐品出自哪个档口，配送员取餐时间，配送时间，配送员的姓名和电话等。</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3.平台需开通送餐功能以及预约取餐功能（预约取餐即为在食堂自助取餐），预约取餐功能可以提前下单，自主选择取餐时间。</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4.定制化系统：智能订餐平台可以根据学校需求进行定制化开发，满足学校对系统功能的差异化需求。无偿提供</w:t>
      </w:r>
      <w:r>
        <w:rPr>
          <w:rFonts w:hint="eastAsia" w:ascii="宋体" w:hAnsi="宋体" w:eastAsia="宋体" w:cs="宋体"/>
          <w:sz w:val="21"/>
          <w:szCs w:val="21"/>
          <w:lang w:val="en-US" w:eastAsia="zh-CN"/>
        </w:rPr>
        <w:t>学生餐厅</w:t>
      </w:r>
      <w:r>
        <w:rPr>
          <w:rFonts w:hint="eastAsia" w:ascii="宋体" w:hAnsi="宋体" w:eastAsia="宋体" w:cs="宋体"/>
          <w:sz w:val="21"/>
          <w:szCs w:val="21"/>
        </w:rPr>
        <w:t>的订餐、预约系统；无偿提供后期系统更新、升级、维护服务；积极配合</w:t>
      </w:r>
      <w:r>
        <w:rPr>
          <w:rFonts w:hint="eastAsia" w:ascii="宋体" w:hAnsi="宋体" w:eastAsia="宋体" w:cs="宋体"/>
          <w:sz w:val="21"/>
          <w:szCs w:val="21"/>
          <w:lang w:val="en-US" w:eastAsia="zh-CN"/>
        </w:rPr>
        <w:t>学院</w:t>
      </w:r>
      <w:r>
        <w:rPr>
          <w:rFonts w:hint="eastAsia" w:ascii="宋体" w:hAnsi="宋体" w:eastAsia="宋体" w:cs="宋体"/>
          <w:sz w:val="21"/>
          <w:szCs w:val="21"/>
        </w:rPr>
        <w:t>提出的信息化安全方面的相关需求（在服务期限内）。</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5.平台需开通用户点评功能，点评内容包括：商品评价、参与商家服务评价、配送服务评价等，同时点评内容需在公众号或APP上直接体现。</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6.嵌入式开发：智能平台可聚合到学校的指定的一站式平台，师生通过官方入口进入到点餐界面，全程信息可追溯。支持同时在线浏览人数或使用人数不少于</w:t>
      </w:r>
      <w:r>
        <w:rPr>
          <w:rFonts w:hint="eastAsia" w:ascii="宋体" w:hAnsi="宋体" w:eastAsia="宋体" w:cs="宋体"/>
          <w:sz w:val="21"/>
          <w:szCs w:val="21"/>
          <w:lang w:val="en-US" w:eastAsia="zh-CN"/>
        </w:rPr>
        <w:t>3</w:t>
      </w:r>
      <w:r>
        <w:rPr>
          <w:rFonts w:hint="eastAsia" w:ascii="宋体" w:hAnsi="宋体" w:eastAsia="宋体" w:cs="宋体"/>
          <w:sz w:val="21"/>
          <w:szCs w:val="21"/>
        </w:rPr>
        <w:t>万人。</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7.</w:t>
      </w:r>
      <w:r>
        <w:rPr>
          <w:rFonts w:hint="eastAsia" w:ascii="宋体" w:hAnsi="宋体" w:eastAsia="宋体" w:cs="宋体"/>
          <w:sz w:val="21"/>
          <w:szCs w:val="21"/>
          <w:lang w:val="en-US" w:eastAsia="zh-CN"/>
        </w:rPr>
        <w:t>乙方</w:t>
      </w:r>
      <w:r>
        <w:rPr>
          <w:rFonts w:hint="eastAsia" w:ascii="宋体" w:hAnsi="宋体" w:eastAsia="宋体" w:cs="宋体"/>
          <w:sz w:val="21"/>
          <w:szCs w:val="21"/>
        </w:rPr>
        <w:t>平台应当建立完善的客服机制，并安排专职工作人员驻扎校园，以便及时提供售后服务.若</w:t>
      </w:r>
      <w:r>
        <w:rPr>
          <w:rFonts w:hint="eastAsia" w:ascii="宋体" w:hAnsi="宋体" w:eastAsia="宋体" w:cs="宋体"/>
          <w:sz w:val="21"/>
          <w:szCs w:val="21"/>
          <w:lang w:val="en-US" w:eastAsia="zh-CN"/>
        </w:rPr>
        <w:t>甲方</w:t>
      </w:r>
      <w:r>
        <w:rPr>
          <w:rFonts w:hint="eastAsia" w:ascii="宋体" w:hAnsi="宋体" w:eastAsia="宋体" w:cs="宋体"/>
          <w:sz w:val="21"/>
          <w:szCs w:val="21"/>
        </w:rPr>
        <w:t>发现软件、硬件故障时，</w:t>
      </w:r>
      <w:r>
        <w:rPr>
          <w:rFonts w:hint="eastAsia" w:ascii="宋体" w:hAnsi="宋体" w:eastAsia="宋体" w:cs="宋体"/>
          <w:sz w:val="21"/>
          <w:szCs w:val="21"/>
          <w:lang w:val="en-US" w:eastAsia="zh-CN"/>
        </w:rPr>
        <w:t>乙方</w:t>
      </w:r>
      <w:r>
        <w:rPr>
          <w:rFonts w:hint="eastAsia" w:ascii="宋体" w:hAnsi="宋体" w:eastAsia="宋体" w:cs="宋体"/>
          <w:sz w:val="21"/>
          <w:szCs w:val="21"/>
        </w:rPr>
        <w:t>接到</w:t>
      </w:r>
      <w:r>
        <w:rPr>
          <w:rFonts w:hint="eastAsia" w:ascii="宋体" w:hAnsi="宋体" w:eastAsia="宋体" w:cs="宋体"/>
          <w:sz w:val="21"/>
          <w:szCs w:val="21"/>
          <w:lang w:val="en-US" w:eastAsia="zh-CN"/>
        </w:rPr>
        <w:t>甲方</w:t>
      </w:r>
      <w:r>
        <w:rPr>
          <w:rFonts w:hint="eastAsia" w:ascii="宋体" w:hAnsi="宋体" w:eastAsia="宋体" w:cs="宋体"/>
          <w:sz w:val="21"/>
          <w:szCs w:val="21"/>
        </w:rPr>
        <w:t>报修半小时内给予明确答复，4小时内到达现场维修。维修人员到现场后若问题特殊无法现场修复的，乙方需在24小时内给出合理解决方案。</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8.</w:t>
      </w:r>
      <w:r>
        <w:rPr>
          <w:rFonts w:hint="eastAsia" w:ascii="宋体" w:hAnsi="宋体" w:eastAsia="宋体" w:cs="宋体"/>
          <w:sz w:val="21"/>
          <w:szCs w:val="21"/>
          <w:lang w:val="en-US" w:eastAsia="zh-CN"/>
        </w:rPr>
        <w:t>乙方</w:t>
      </w:r>
      <w:r>
        <w:rPr>
          <w:rFonts w:hint="eastAsia" w:ascii="宋体" w:hAnsi="宋体" w:eastAsia="宋体" w:cs="宋体"/>
          <w:sz w:val="21"/>
          <w:szCs w:val="21"/>
        </w:rPr>
        <w:t>平台须为甲方提供完整的技术支持，保证甲方能够自行查询每日营业数据，营业数据包括每日销售额、店铺评价、投诉、平均配送速度等；保证甲方能够自行查询校内餐饮分析月度报表，报表内容包括菜品喜好分析、经营分析、服务质量分析等。</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第四条 甲方的权利义务</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1.甲方督促校内食堂提供配餐符合《中华人民共和国食品安全法》的各项标准。</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2.甲方配合乙方做好校内食堂餐品上线工作。</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3.甲方有权对乙方配送过程中的食品安全、服务态度、劳动用工等进行监督管理。</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4.合同期限内，</w:t>
      </w:r>
      <w:r>
        <w:rPr>
          <w:rFonts w:hint="eastAsia" w:ascii="宋体" w:hAnsi="宋体" w:eastAsia="宋体" w:cs="宋体"/>
          <w:b/>
          <w:bCs/>
          <w:sz w:val="21"/>
          <w:szCs w:val="21"/>
        </w:rPr>
        <w:t>甲方</w:t>
      </w:r>
      <w:r>
        <w:rPr>
          <w:rFonts w:hint="eastAsia" w:ascii="宋体" w:hAnsi="宋体" w:eastAsia="宋体" w:cs="宋体"/>
          <w:b/>
          <w:bCs/>
          <w:sz w:val="21"/>
          <w:szCs w:val="21"/>
          <w:lang w:val="en-US" w:eastAsia="zh-CN"/>
        </w:rPr>
        <w:t>不</w:t>
      </w:r>
      <w:r>
        <w:rPr>
          <w:rFonts w:hint="eastAsia" w:ascii="宋体" w:hAnsi="宋体" w:eastAsia="宋体" w:cs="宋体"/>
          <w:b/>
          <w:bCs/>
          <w:sz w:val="21"/>
          <w:szCs w:val="21"/>
        </w:rPr>
        <w:t>承诺经营管理的食堂不会上线除乙方外的其它网络订餐平台</w:t>
      </w:r>
      <w:r>
        <w:rPr>
          <w:rFonts w:hint="eastAsia" w:ascii="宋体" w:hAnsi="宋体" w:eastAsia="宋体" w:cs="宋体"/>
          <w:sz w:val="21"/>
          <w:szCs w:val="21"/>
        </w:rPr>
        <w:t>。</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第五条 乙方的权利义务</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1.乙方必须持有营业执照、食品经营许可证、增值电信业务许可证。</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2.乙方须对</w:t>
      </w:r>
      <w:r>
        <w:rPr>
          <w:rFonts w:hint="eastAsia" w:ascii="宋体" w:hAnsi="宋体" w:eastAsia="宋体" w:cs="宋体"/>
          <w:b/>
          <w:bCs/>
          <w:sz w:val="21"/>
          <w:szCs w:val="21"/>
        </w:rPr>
        <w:t>配送人员</w:t>
      </w: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勤工俭学学生</w:t>
      </w:r>
      <w:r>
        <w:rPr>
          <w:rFonts w:hint="eastAsia" w:ascii="宋体" w:hAnsi="宋体" w:eastAsia="宋体" w:cs="宋体"/>
          <w:b/>
          <w:bCs/>
          <w:sz w:val="21"/>
          <w:szCs w:val="21"/>
          <w:lang w:eastAsia="zh-CN"/>
        </w:rPr>
        <w:t>）</w:t>
      </w:r>
      <w:r>
        <w:rPr>
          <w:rFonts w:hint="eastAsia" w:ascii="宋体" w:hAnsi="宋体" w:eastAsia="宋体" w:cs="宋体"/>
          <w:sz w:val="21"/>
          <w:szCs w:val="21"/>
        </w:rPr>
        <w:t>进行招募、培训、管理，并承担一切薪资、保险、赔偿等费用，配送人员与甲方不发生直接关系。配送员工必须取得健康证并统一着装、挂牌才能上岗（提供身份证、健康证复印件供甲方备查）；禁止组织校外人员到校园内进行外卖配送。乙方与招聘的配送员工发生的一切纠纷，包括但不限于劳动（劳务）纠纷、配送员工人身损害等，均由乙方自行解决，如因此给甲方造成损失的，乙方应当予以赔偿。</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3.乙方须要提供完整、可行的运行方案（包含配送、人员、交通、突发事件、安全等方面）。</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4.因乙方行为造成配送滞留、送餐不及时、餐品过冷、感官口味不佳等造成用户投诉的，乙方要承担全部责任。未按约定时间内配送，造成不良影响的，由乙方先行实施赔偿，消除影响，再根据影响情节轻重，由甲方给予相应处罚。在配送过程中造成的包括但不限于经营损失、人身伤害、财产损失、食品安全事故等一切财产损失和人员伤亡事故，均由乙方自行承担全部责任和全部赔偿费用。</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5.组建服务团队：配送及后台支持团队、设备维护团队（包含智能取餐柜清洗、维修等服务）。</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6.智能取餐柜：</w:t>
      </w:r>
      <w:r>
        <w:rPr>
          <w:rFonts w:hint="eastAsia" w:ascii="宋体" w:hAnsi="宋体" w:eastAsia="宋体" w:cs="宋体"/>
          <w:sz w:val="21"/>
          <w:szCs w:val="21"/>
          <w:lang w:val="en-US" w:eastAsia="zh-CN"/>
        </w:rPr>
        <w:t>合计10台，网格柜不少于60格，布置在学生公寓楼，具体位置须得到甲方后勤管理处确认后方可安放。</w:t>
      </w:r>
      <w:r>
        <w:rPr>
          <w:rFonts w:hint="eastAsia" w:ascii="宋体" w:hAnsi="宋体" w:eastAsia="宋体" w:cs="宋体"/>
          <w:sz w:val="21"/>
          <w:szCs w:val="21"/>
        </w:rPr>
        <w:t>智能取餐柜</w:t>
      </w:r>
      <w:r>
        <w:rPr>
          <w:rFonts w:hint="eastAsia" w:ascii="宋体" w:hAnsi="宋体" w:eastAsia="宋体" w:cs="宋体"/>
          <w:sz w:val="21"/>
          <w:szCs w:val="21"/>
          <w:lang w:val="zh-CN"/>
        </w:rPr>
        <w:t>必须符合国家标准食品级环保保温材料要求，设备采用的材料为食品级材质，可以与食品直接接触，严格执行《中华人民共和国食品安全法》、《中华人民共和国消防法》等法规，确保自提柜内的快餐食品安全、设备的消防安全和用电安全。</w:t>
      </w:r>
      <w:r>
        <w:rPr>
          <w:rFonts w:hint="eastAsia" w:ascii="宋体" w:hAnsi="宋体" w:eastAsia="宋体" w:cs="宋体"/>
          <w:sz w:val="21"/>
          <w:szCs w:val="21"/>
        </w:rPr>
        <w:t>智能取餐柜由供应商自行提供，</w:t>
      </w:r>
      <w:r>
        <w:rPr>
          <w:rFonts w:hint="eastAsia" w:ascii="宋体" w:hAnsi="宋体" w:eastAsia="宋体" w:cs="宋体"/>
          <w:sz w:val="21"/>
          <w:szCs w:val="21"/>
          <w:lang w:val="zh-CN"/>
        </w:rPr>
        <w:t>每天必须进行清洁、消毒、维护，并定期提供无菌检验报告（如沙门氏菌污染，致病性大肠埃希菌污染，葡萄球菌污染等）。电费</w:t>
      </w:r>
      <w:r>
        <w:rPr>
          <w:rFonts w:hint="eastAsia" w:ascii="宋体" w:hAnsi="宋体" w:eastAsia="宋体" w:cs="宋体"/>
          <w:sz w:val="21"/>
          <w:szCs w:val="21"/>
          <w:lang w:val="en-US" w:eastAsia="zh-CN"/>
        </w:rPr>
        <w:t>0.55</w:t>
      </w:r>
      <w:r>
        <w:rPr>
          <w:rFonts w:hint="eastAsia" w:ascii="宋体" w:hAnsi="宋体" w:eastAsia="宋体" w:cs="宋体"/>
          <w:sz w:val="21"/>
          <w:szCs w:val="21"/>
          <w:lang w:val="zh-CN"/>
        </w:rPr>
        <w:t>元/度，价格根据市场价格变动统一调整。乙方在服务过程中的电费按月结算。</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8.安装调试：乙方提供满足用户需求的无线智能打印机，负责所有使用设备安装调试并提供主要负责人员清单。</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9.技术支持：配送食堂有乙方专人根据甲方提供的相关资料负责智能订餐平台菜单上传、订单接单、订单配送、退单处理及投诉处理等相关事宜。</w:t>
      </w:r>
      <w:r>
        <w:rPr>
          <w:rFonts w:hint="eastAsia" w:ascii="宋体" w:hAnsi="宋体" w:eastAsia="宋体" w:cs="宋体"/>
          <w:sz w:val="21"/>
          <w:szCs w:val="21"/>
        </w:rPr>
        <w:tab/>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10.培训：乙方负责相关操作培训。</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11.按照配送食堂的数量提供满足用户需求的硬件如：电脑、打印机、打单机、配送工具等相关设备数量清单。</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12.相关责任及处罚制度：若因订餐平台、配送及配送柜等配送环节操作不当而所产生的一切后果（法律和经济）均由乙方承担，且甲方按实际情况给予经济处罚，也可双方协商解决。</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13.乙方需在合同签订后1周内出具详细计划表，并在甲方规定期限内完成点餐系统的安装、打印机调试工作，达到正常营业水平。</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14.乙方具有对甲方提供的资产、设施、设备的使用权，故意或自然损坏的设施、设备需按原价赔偿或承担相应维修费用。</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15.乙方餐品配送必须遵守《中华人民共和国食品安全法》，保障配送过程中的食品安全，保证餐品包装完好，禁止在配送途中打开或食用餐品。配送途中损坏、短缺、丢失餐品而导致用户退单的，乙方给予食堂餐品订单等价赔偿，或与订餐用户协商赔偿。</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16.乙方应主动联系订餐用户，根据用户配送要求及送餐时间、地点，按时按要求配送餐品；在配送发生异常时及时向订餐用户反馈异常信息，协商并快速解决出现的问题。</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17.乙方可以自行采购相关物料、配送工具，购置费用由乙方自行承担；</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18.乙方必须投入一定的人力物力协助甲方做好公寓</w:t>
      </w:r>
      <w:r>
        <w:rPr>
          <w:rFonts w:hint="eastAsia" w:ascii="宋体" w:hAnsi="宋体" w:eastAsia="宋体" w:cs="宋体"/>
          <w:sz w:val="21"/>
          <w:szCs w:val="21"/>
          <w:lang w:val="en-US" w:eastAsia="zh-CN"/>
        </w:rPr>
        <w:t>外卖</w:t>
      </w:r>
      <w:r>
        <w:rPr>
          <w:rFonts w:hint="eastAsia" w:ascii="宋体" w:hAnsi="宋体" w:eastAsia="宋体" w:cs="宋体"/>
          <w:sz w:val="21"/>
          <w:szCs w:val="21"/>
        </w:rPr>
        <w:t>垃圾的处理。</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19.乙方要为甲方提供智能订餐平台管理账号，以便甲方了解校内智能订餐订单情况。</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20.乙方在甲方校园内开展智能订餐配送业务产生的债权债务，均由乙方自己处理和承担，与第三方之间的人、财、物之纠纷，均由乙方负责解决，与甲方无关，甲方不承担任何责任。</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21.在智能订餐配送过程中造成的包括但不限于经营损失、人身伤害、财产损失、食品安全事故等一切财产损失和人员伤亡事故，均由乙方自行承担全部责任和全部赔偿费用。</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22.乙方须在配送人员制服、配送车辆加入供货方要求的 LOGO、名称、配色等标识（由乙方负责设计制作，在甲方同意设计方案后方可实施）。</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23.本项目采购的软件、硬件均由乙方无偿提供服务期限内质保支持。</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24.协议执行期内，乙方负责软件系统的维护以及相关硬件的保养维修，承担运行的所有费用（包含水电费、网络信息费等）。协议执行期满后，乙方一周内负责所有软硬件设备的免费撤场，否则甲方有权自行处理，乙方承担处理费用。</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第五条、协议终止或解除</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一）出现下列情况时，甲方有权单方面解除协议（协议解除自甲方书面通知乙方时生效），履约保证金以及已交纳餐厨垃圾清理费甲方将视情节轻重予以扣除，并要求乙方赔偿给甲方以及各食堂造成的所有经济损失：</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1.未经甲方同意，乙方擅自停止外卖配送业务的；</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 xml:space="preserve">2.乙方未按本协议约定支付垃圾清运费，或未按本协议约定缴纳、补足履约保证金的； </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3.乙方发生但不限于食物中毒、人员纠纷、治安安全等事故的；</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4.乙方向第三方转包配送经营权的；</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5.未经甲方同意，擅自向食堂、用户收取除运营管理费、配送服务费以外的其他费用的；</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6.乙方违反约定延迟结算外卖款项、配送人员工资超过3天的；</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7.乙方擅自将校外餐饮订单配送到校内或者使用校外人员参与校内外卖配送的；</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8.乙方因经济纠纷或其他情况导致甲方声誉或利益受损的；</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9.乙方超过许可范围开展其他业务的；</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10.乙方</w:t>
      </w:r>
      <w:r>
        <w:rPr>
          <w:rFonts w:hint="eastAsia" w:ascii="宋体" w:hAnsi="宋体" w:eastAsia="宋体" w:cs="宋体"/>
          <w:sz w:val="21"/>
          <w:szCs w:val="21"/>
          <w:lang w:val="en-US" w:eastAsia="zh-CN"/>
        </w:rPr>
        <w:t>年度</w:t>
      </w:r>
      <w:r>
        <w:rPr>
          <w:rFonts w:hint="eastAsia" w:ascii="宋体" w:hAnsi="宋体" w:eastAsia="宋体" w:cs="宋体"/>
          <w:sz w:val="21"/>
          <w:szCs w:val="21"/>
        </w:rPr>
        <w:t>综合考核不合格的；</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11.乙方如果违反本协议相关条款并且在甲方书面要求下15天内仍未整改的。</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（二）协议到期或解除协议通知发出之日起，乙方应立刻停止在甲方校园内的外卖派送业务，在</w:t>
      </w:r>
      <w:r>
        <w:rPr>
          <w:rFonts w:hint="eastAsia" w:ascii="宋体" w:hAnsi="宋体" w:eastAsia="宋体" w:cs="宋体"/>
          <w:sz w:val="21"/>
          <w:szCs w:val="21"/>
          <w:lang w:val="en-US" w:eastAsia="zh-CN"/>
        </w:rPr>
        <w:t>一周</w:t>
      </w:r>
      <w:r>
        <w:rPr>
          <w:rFonts w:hint="eastAsia" w:ascii="宋体" w:hAnsi="宋体" w:eastAsia="宋体" w:cs="宋体"/>
          <w:sz w:val="21"/>
          <w:szCs w:val="21"/>
        </w:rPr>
        <w:t>内撤所有乙方购置的设备资产，否则甲方将视为废弃物进行处理（乙方不得就其购置的任何财产向甲方提出任何请求）。</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（三）乙方因自身原因终止协议的，必须提前一个月通知甲方，除乙方已交纳的垃圾清</w:t>
      </w:r>
      <w:r>
        <w:rPr>
          <w:rFonts w:hint="eastAsia" w:ascii="宋体" w:hAnsi="宋体" w:eastAsia="宋体" w:cs="宋体"/>
          <w:sz w:val="21"/>
          <w:szCs w:val="21"/>
          <w:lang w:val="en-US" w:eastAsia="zh-CN"/>
        </w:rPr>
        <w:t>运</w:t>
      </w:r>
      <w:r>
        <w:rPr>
          <w:rFonts w:hint="eastAsia" w:ascii="宋体" w:hAnsi="宋体" w:eastAsia="宋体" w:cs="宋体"/>
          <w:sz w:val="21"/>
          <w:szCs w:val="21"/>
        </w:rPr>
        <w:t>费不予退还外，还应向甲方支付年履约保证金的20%作为对甲方补偿金。因此造成的损失（包括但不限于乙方装修、投资设备费用等一切费用）由乙方自行承担。</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第六条、保密条款</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甲乙双方对在签订、履行本协议过程中知悉的对方商业秘密、对方提供的资料（包括师生个人信息、财务信息等）以及对本协议内容均负有保密义务，不得向第三者公开、泄露及不正当使用。公开、泄露或不正当使用该商业秘密，给对方造成损失的，须承担全部赔偿责任。</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第七条、免责条款</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因不可抗力、国家政策、政府规划、甲方整体规划致使协议不能完全履行或部分无法履行的，可以提前终止或变更协议，甲乙双方互不承担相关责任和损失。甲乙双方按实际时间结算相关费用。</w:t>
      </w:r>
    </w:p>
    <w:p>
      <w:pPr>
        <w:spacing w:line="360" w:lineRule="auto"/>
        <w:ind w:firstLine="480"/>
        <w:jc w:val="left"/>
        <w:rPr>
          <w:rFonts w:hint="eastAsia" w:ascii="宋体" w:hAnsi="宋体" w:eastAsia="宋体" w:cs="宋体"/>
          <w:sz w:val="21"/>
          <w:szCs w:val="21"/>
        </w:rPr>
      </w:pPr>
      <w:r>
        <w:rPr>
          <w:rFonts w:hint="eastAsia" w:ascii="宋体" w:hAnsi="宋体" w:eastAsia="宋体" w:cs="宋体"/>
          <w:sz w:val="21"/>
          <w:szCs w:val="21"/>
        </w:rPr>
        <w:t>第八条、争议的解决</w:t>
      </w:r>
    </w:p>
    <w:p>
      <w:pPr>
        <w:spacing w:line="360" w:lineRule="auto"/>
        <w:ind w:firstLine="420" w:firstLineChars="200"/>
        <w:outlineLvl w:val="1"/>
        <w:rPr>
          <w:rFonts w:hint="eastAsia" w:ascii="宋体" w:hAnsi="宋体" w:eastAsia="宋体" w:cs="宋体"/>
          <w:sz w:val="21"/>
          <w:szCs w:val="21"/>
        </w:rPr>
      </w:pPr>
      <w:r>
        <w:rPr>
          <w:rFonts w:hint="eastAsia" w:ascii="宋体" w:hAnsi="宋体" w:eastAsia="宋体" w:cs="宋体"/>
          <w:sz w:val="21"/>
          <w:szCs w:val="21"/>
        </w:rPr>
        <w:t>凡因执行本协议所发生的或与本协议有关的一切争议，甲乙双方应通过友好协商解决；如果协商不能解决，双方均可向甲方所在地人民法院起诉。</w:t>
      </w:r>
    </w:p>
    <w:p>
      <w:pPr>
        <w:spacing w:line="360" w:lineRule="auto"/>
        <w:ind w:firstLine="420" w:firstLineChars="200"/>
        <w:outlineLvl w:val="1"/>
        <w:rPr>
          <w:rFonts w:hint="eastAsia" w:ascii="宋体" w:hAnsi="宋体" w:eastAsia="宋体" w:cs="宋体"/>
          <w:sz w:val="21"/>
          <w:szCs w:val="21"/>
        </w:rPr>
      </w:pPr>
      <w:r>
        <w:rPr>
          <w:rFonts w:hint="eastAsia" w:ascii="宋体" w:hAnsi="宋体" w:eastAsia="宋体" w:cs="宋体"/>
          <w:sz w:val="21"/>
          <w:szCs w:val="21"/>
        </w:rPr>
        <w:t>第九条、其他</w:t>
      </w:r>
    </w:p>
    <w:p>
      <w:pPr>
        <w:widowControl/>
        <w:adjustRightInd w:val="0"/>
        <w:snapToGrid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1.本协议未尽事宜，甲乙双方协商一致可签订补充协议。补充协议为本协议不可分割的部分，与本协议具有同等法律效力。</w:t>
      </w:r>
    </w:p>
    <w:p>
      <w:pPr>
        <w:widowControl/>
        <w:adjustRightInd w:val="0"/>
        <w:snapToGrid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2.本协议中甲乙双方所载明的通讯地址为甲乙双方约定的双方工作联系、法律文书及争议解决时人民法院和/或仲裁机构的法律文书送达地址，人民法院和/或仲裁机构的诉讼文书（含裁判文书）向合同任何一方当事人的上述地址送达的，视为有效送达。任一方变更送达地址的，应在变更前三日书面通知另一方，如果一方拒收或被退件的，则一方向另一方邮寄之日起三日即视为已送达。</w:t>
      </w:r>
    </w:p>
    <w:p>
      <w:pPr>
        <w:widowControl/>
        <w:adjustRightInd w:val="0"/>
        <w:snapToGrid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3.甲方拥有对本协议的最终解释权。</w:t>
      </w:r>
    </w:p>
    <w:p>
      <w:pPr>
        <w:widowControl/>
        <w:adjustRightInd w:val="0"/>
        <w:snapToGrid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lang w:val="en-US" w:eastAsia="zh-CN"/>
        </w:rPr>
        <w:t>4</w:t>
      </w:r>
      <w:r>
        <w:rPr>
          <w:rFonts w:hint="eastAsia" w:ascii="宋体" w:hAnsi="宋体" w:eastAsia="宋体" w:cs="宋体"/>
          <w:sz w:val="21"/>
          <w:szCs w:val="21"/>
        </w:rPr>
        <w:t>.本合同由甲、乙双方共同签订，合同一式陆份，甲方伍份、乙方壹份。自双方签字、盖章之日起生效。</w:t>
      </w:r>
    </w:p>
    <w:p>
      <w:pPr>
        <w:snapToGrid w:val="0"/>
        <w:spacing w:before="120" w:line="276" w:lineRule="auto"/>
        <w:ind w:firstLine="105" w:firstLineChars="50"/>
        <w:rPr>
          <w:rFonts w:ascii="宋体" w:hAnsi="宋体"/>
        </w:rPr>
      </w:pPr>
      <w:r>
        <w:rPr>
          <w:rFonts w:hint="eastAsia" w:ascii="宋体" w:hAnsi="宋体"/>
        </w:rPr>
        <w:t>甲方                                              乙方</w:t>
      </w:r>
    </w:p>
    <w:p>
      <w:pPr>
        <w:snapToGrid w:val="0"/>
        <w:spacing w:before="19" w:line="276" w:lineRule="auto"/>
        <w:ind w:firstLine="105" w:firstLineChars="50"/>
        <w:rPr>
          <w:rFonts w:ascii="宋体" w:hAnsi="宋体"/>
        </w:rPr>
      </w:pPr>
      <w:r>
        <w:rPr>
          <w:rFonts w:hint="eastAsia" w:ascii="宋体" w:hAnsi="宋体"/>
        </w:rPr>
        <w:t>单位名称：南京邮电大学通达学院                    单位名称：</w:t>
      </w:r>
    </w:p>
    <w:p>
      <w:pPr>
        <w:snapToGrid w:val="0"/>
        <w:spacing w:before="19" w:line="276" w:lineRule="auto"/>
        <w:ind w:firstLine="105" w:firstLineChars="50"/>
        <w:rPr>
          <w:rFonts w:ascii="宋体" w:hAnsi="宋体"/>
        </w:rPr>
      </w:pPr>
      <w:r>
        <w:rPr>
          <w:rFonts w:hint="eastAsia" w:ascii="宋体" w:hAnsi="宋体"/>
        </w:rPr>
        <w:t>法定代表人：                                      法定代表人：</w:t>
      </w:r>
    </w:p>
    <w:p>
      <w:pPr>
        <w:snapToGrid w:val="0"/>
        <w:spacing w:before="19" w:line="276" w:lineRule="auto"/>
        <w:ind w:firstLine="105" w:firstLineChars="50"/>
        <w:rPr>
          <w:rFonts w:ascii="宋体" w:hAnsi="宋体"/>
        </w:rPr>
      </w:pPr>
      <w:r>
        <w:rPr>
          <w:rFonts w:hint="eastAsia" w:ascii="宋体" w:hAnsi="宋体"/>
        </w:rPr>
        <w:t>委托代理人（签字）：                               委托代理人（签字）：</w:t>
      </w:r>
    </w:p>
    <w:p>
      <w:pPr>
        <w:snapToGrid w:val="0"/>
        <w:spacing w:before="19" w:line="276" w:lineRule="auto"/>
        <w:ind w:firstLine="105" w:firstLineChars="50"/>
        <w:rPr>
          <w:rFonts w:ascii="宋体" w:hAnsi="宋体"/>
        </w:rPr>
      </w:pPr>
      <w:r>
        <w:rPr>
          <w:rFonts w:hint="eastAsia" w:ascii="宋体" w:hAnsi="宋体"/>
        </w:rPr>
        <w:t xml:space="preserve">联系电话：                                        联系电话： </w:t>
      </w:r>
    </w:p>
    <w:p>
      <w:pPr>
        <w:snapToGrid w:val="0"/>
        <w:spacing w:before="19" w:line="276" w:lineRule="auto"/>
        <w:ind w:firstLine="105" w:firstLineChars="50"/>
        <w:rPr>
          <w:rFonts w:ascii="宋体" w:hAnsi="宋体"/>
        </w:rPr>
      </w:pPr>
      <w:r>
        <w:rPr>
          <w:rFonts w:hint="eastAsia" w:ascii="宋体" w:hAnsi="宋体"/>
        </w:rPr>
        <w:t xml:space="preserve">开户银行：                                        开户银行： </w:t>
      </w:r>
    </w:p>
    <w:p>
      <w:pPr>
        <w:snapToGrid w:val="0"/>
        <w:spacing w:before="19" w:line="276" w:lineRule="auto"/>
        <w:ind w:firstLine="105" w:firstLineChars="50"/>
        <w:rPr>
          <w:rFonts w:ascii="宋体" w:hAnsi="宋体"/>
        </w:rPr>
      </w:pPr>
      <w:r>
        <w:rPr>
          <w:rFonts w:hint="eastAsia" w:ascii="宋体" w:hAnsi="宋体"/>
        </w:rPr>
        <w:t xml:space="preserve">户名： 南京邮电大学通达学院                       户名： </w:t>
      </w:r>
    </w:p>
    <w:p>
      <w:pPr>
        <w:snapToGrid w:val="0"/>
        <w:spacing w:before="19" w:line="276" w:lineRule="auto"/>
        <w:ind w:firstLine="105" w:firstLineChars="50"/>
        <w:rPr>
          <w:rFonts w:ascii="宋体" w:hAnsi="宋体"/>
        </w:rPr>
      </w:pPr>
      <w:r>
        <w:rPr>
          <w:rFonts w:hint="eastAsia" w:ascii="宋体" w:hAnsi="宋体"/>
        </w:rPr>
        <w:t xml:space="preserve">账号：                                            账号： </w:t>
      </w:r>
    </w:p>
    <w:p>
      <w:pPr>
        <w:snapToGrid w:val="0"/>
        <w:spacing w:before="19" w:line="276" w:lineRule="auto"/>
        <w:ind w:firstLine="105" w:firstLineChars="50"/>
        <w:rPr>
          <w:rFonts w:ascii="宋体" w:hAnsi="宋体"/>
        </w:rPr>
      </w:pPr>
      <w:r>
        <w:rPr>
          <w:rFonts w:hint="eastAsia" w:ascii="宋体" w:hAnsi="宋体"/>
        </w:rPr>
        <w:t xml:space="preserve">税号：52320000509200179F                          行号：  </w:t>
      </w:r>
    </w:p>
    <w:p>
      <w:pPr>
        <w:snapToGrid w:val="0"/>
        <w:spacing w:before="19" w:line="276" w:lineRule="auto"/>
        <w:rPr>
          <w:rFonts w:ascii="宋体" w:hAnsi="宋体"/>
        </w:rPr>
      </w:pPr>
      <w:r>
        <w:rPr>
          <w:rFonts w:hint="eastAsia" w:ascii="宋体" w:hAnsi="宋体"/>
        </w:rPr>
        <w:t xml:space="preserve"> 电话：                              </w:t>
      </w:r>
    </w:p>
    <w:p>
      <w:pPr>
        <w:snapToGrid w:val="0"/>
        <w:spacing w:before="19" w:line="276" w:lineRule="auto"/>
        <w:ind w:firstLine="315" w:firstLineChars="150"/>
        <w:rPr>
          <w:rFonts w:ascii="宋体" w:hAnsi="宋体"/>
        </w:rPr>
      </w:pPr>
    </w:p>
    <w:p>
      <w:pPr>
        <w:snapToGrid w:val="0"/>
        <w:spacing w:before="19" w:line="276" w:lineRule="auto"/>
        <w:ind w:firstLine="315" w:firstLineChars="150"/>
        <w:rPr>
          <w:rFonts w:ascii="宋体" w:hAnsi="宋体"/>
        </w:rPr>
      </w:pPr>
      <w:r>
        <w:rPr>
          <w:rFonts w:hint="eastAsia" w:ascii="宋体" w:hAnsi="宋体"/>
        </w:rPr>
        <w:t>签约日期（即合同生效日期）：     年     月     日</w:t>
      </w:r>
    </w:p>
    <w:p>
      <w:pPr>
        <w:widowControl/>
        <w:adjustRightInd w:val="0"/>
        <w:snapToGrid w:val="0"/>
        <w:spacing w:line="360" w:lineRule="auto"/>
        <w:ind w:firstLine="420" w:firstLineChars="200"/>
        <w:jc w:val="left"/>
        <w:rPr>
          <w:rFonts w:hint="eastAsia" w:ascii="宋体" w:hAnsi="宋体" w:eastAsia="宋体" w:cs="宋体"/>
          <w:sz w:val="21"/>
          <w:szCs w:val="21"/>
        </w:rPr>
      </w:pPr>
    </w:p>
    <w:p>
      <w:pPr>
        <w:rPr>
          <w:rFonts w:hint="eastAsia" w:ascii="宋体" w:hAnsi="宋体" w:eastAsia="宋体" w:cs="宋体"/>
          <w:color w:val="auto"/>
          <w:kern w:val="44"/>
          <w:sz w:val="36"/>
          <w:szCs w:val="36"/>
          <w:u w:color="000000"/>
          <w:lang w:val="zh-TW" w:eastAsia="zh-TW"/>
        </w:rPr>
      </w:pPr>
    </w:p>
    <w:p>
      <w:pPr>
        <w:rPr>
          <w:rFonts w:hint="eastAsia" w:ascii="宋体" w:hAnsi="宋体" w:eastAsia="宋体" w:cs="宋体"/>
          <w:color w:val="auto"/>
          <w:kern w:val="44"/>
          <w:sz w:val="36"/>
          <w:szCs w:val="36"/>
          <w:u w:color="000000"/>
          <w:lang w:val="zh-TW" w:eastAsia="zh-TW"/>
        </w:rPr>
      </w:pPr>
      <w:r>
        <w:rPr>
          <w:rFonts w:hint="eastAsia" w:ascii="宋体" w:hAnsi="宋体" w:eastAsia="宋体" w:cs="宋体"/>
          <w:color w:val="auto"/>
          <w:kern w:val="44"/>
          <w:sz w:val="36"/>
          <w:szCs w:val="36"/>
          <w:u w:color="000000"/>
          <w:lang w:val="zh-TW" w:eastAsia="zh-TW"/>
        </w:rPr>
        <w:br w:type="page"/>
      </w:r>
    </w:p>
    <w:p>
      <w:pPr>
        <w:keepNext/>
        <w:keepLines/>
        <w:spacing w:before="312" w:beforeLines="100" w:after="312" w:afterLines="100" w:line="360" w:lineRule="auto"/>
        <w:jc w:val="center"/>
        <w:outlineLvl w:val="0"/>
        <w:rPr>
          <w:rFonts w:hint="eastAsia" w:ascii="宋体" w:hAnsi="宋体" w:eastAsia="宋体" w:cs="宋体"/>
          <w:color w:val="auto"/>
          <w:kern w:val="44"/>
          <w:sz w:val="36"/>
          <w:szCs w:val="36"/>
          <w:u w:color="000000"/>
          <w:lang w:val="zh-TW"/>
        </w:rPr>
      </w:pPr>
      <w:r>
        <w:rPr>
          <w:rFonts w:hint="eastAsia" w:ascii="宋体" w:hAnsi="宋体" w:eastAsia="宋体" w:cs="宋体"/>
          <w:color w:val="auto"/>
          <w:kern w:val="44"/>
          <w:sz w:val="36"/>
          <w:szCs w:val="36"/>
          <w:u w:color="000000"/>
          <w:lang w:val="zh-TW" w:eastAsia="zh-TW"/>
        </w:rPr>
        <w:t>第</w:t>
      </w:r>
      <w:r>
        <w:rPr>
          <w:rFonts w:hint="eastAsia" w:ascii="宋体" w:hAnsi="宋体" w:eastAsia="宋体" w:cs="宋体"/>
          <w:color w:val="auto"/>
          <w:kern w:val="44"/>
          <w:sz w:val="36"/>
          <w:szCs w:val="36"/>
          <w:u w:color="000000"/>
          <w:lang w:val="zh-TW"/>
        </w:rPr>
        <w:t>四</w:t>
      </w:r>
      <w:r>
        <w:rPr>
          <w:rFonts w:hint="eastAsia" w:ascii="宋体" w:hAnsi="宋体" w:eastAsia="宋体" w:cs="宋体"/>
          <w:color w:val="auto"/>
          <w:kern w:val="44"/>
          <w:sz w:val="36"/>
          <w:szCs w:val="36"/>
          <w:u w:color="000000"/>
          <w:lang w:val="zh-TW" w:eastAsia="zh-TW"/>
        </w:rPr>
        <w:t xml:space="preserve">章  </w:t>
      </w:r>
      <w:r>
        <w:rPr>
          <w:rFonts w:hint="eastAsia" w:ascii="宋体" w:hAnsi="宋体" w:eastAsia="宋体" w:cs="宋体"/>
          <w:color w:val="auto"/>
          <w:kern w:val="44"/>
          <w:sz w:val="36"/>
          <w:szCs w:val="36"/>
          <w:u w:color="000000"/>
          <w:lang w:val="zh-TW"/>
        </w:rPr>
        <w:t>项目需求</w:t>
      </w:r>
      <w:bookmarkEnd w:id="13"/>
      <w:bookmarkStart w:id="14" w:name="_Toc54684264"/>
    </w:p>
    <w:bookmarkEnd w:id="14"/>
    <w:p>
      <w:pPr>
        <w:keepNext w:val="0"/>
        <w:keepLines w:val="0"/>
        <w:pageBreakBefore w:val="0"/>
        <w:kinsoku/>
        <w:wordWrap/>
        <w:overflowPunct/>
        <w:topLinePunct w:val="0"/>
        <w:autoSpaceDE/>
        <w:autoSpaceDN/>
        <w:bidi w:val="0"/>
        <w:adjustRightInd/>
        <w:snapToGrid/>
        <w:spacing w:line="390" w:lineRule="exact"/>
        <w:ind w:firstLine="482" w:firstLineChars="200"/>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1.项目基本概况</w:t>
      </w:r>
    </w:p>
    <w:p>
      <w:pPr>
        <w:keepNext w:val="0"/>
        <w:keepLines w:val="0"/>
        <w:pageBreakBefore w:val="0"/>
        <w:widowControl w:val="0"/>
        <w:kinsoku/>
        <w:wordWrap/>
        <w:overflowPunct/>
        <w:topLinePunct w:val="0"/>
        <w:autoSpaceDE/>
        <w:autoSpaceDN/>
        <w:bidi w:val="0"/>
        <w:adjustRightInd/>
        <w:snapToGrid/>
        <w:spacing w:line="39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南京邮电大学通达学院是</w:t>
      </w:r>
      <w:r>
        <w:rPr>
          <w:rFonts w:hint="eastAsia" w:ascii="宋体" w:hAnsi="宋体" w:eastAsia="宋体" w:cs="宋体"/>
          <w:color w:val="auto"/>
          <w:sz w:val="24"/>
          <w:szCs w:val="24"/>
          <w:lang w:val="en-US" w:eastAsia="zh-CN"/>
        </w:rPr>
        <w:t>位于</w:t>
      </w:r>
      <w:r>
        <w:rPr>
          <w:rFonts w:hint="eastAsia" w:ascii="宋体" w:hAnsi="宋体" w:eastAsia="宋体" w:cs="宋体"/>
          <w:color w:val="auto"/>
          <w:sz w:val="24"/>
          <w:szCs w:val="24"/>
        </w:rPr>
        <w:t>扬子津科教园区，占地约</w:t>
      </w:r>
      <w:r>
        <w:rPr>
          <w:rFonts w:hint="eastAsia" w:ascii="宋体" w:hAnsi="宋体" w:eastAsia="宋体" w:cs="宋体"/>
          <w:color w:val="auto"/>
          <w:sz w:val="24"/>
          <w:szCs w:val="24"/>
          <w:lang w:val="en-US" w:eastAsia="zh-CN"/>
        </w:rPr>
        <w:t>600</w:t>
      </w:r>
      <w:r>
        <w:rPr>
          <w:rFonts w:hint="eastAsia" w:ascii="宋体" w:hAnsi="宋体" w:eastAsia="宋体" w:cs="宋体"/>
          <w:color w:val="auto"/>
          <w:sz w:val="24"/>
          <w:szCs w:val="24"/>
        </w:rPr>
        <w:t>亩，目前拥有在校师生1</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000余人</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由于学校食堂生均面积和餐位有限，</w:t>
      </w:r>
      <w:r>
        <w:rPr>
          <w:rFonts w:hint="eastAsia" w:ascii="宋体" w:hAnsi="宋体" w:eastAsia="宋体" w:cs="宋体"/>
          <w:color w:val="auto"/>
          <w:sz w:val="24"/>
          <w:szCs w:val="24"/>
          <w:lang w:val="en-US" w:eastAsia="zh-CN"/>
        </w:rPr>
        <w:t>堂食</w:t>
      </w:r>
      <w:r>
        <w:rPr>
          <w:rFonts w:hint="eastAsia" w:ascii="宋体" w:hAnsi="宋体" w:eastAsia="宋体" w:cs="宋体"/>
          <w:color w:val="auto"/>
          <w:sz w:val="24"/>
          <w:szCs w:val="24"/>
        </w:rPr>
        <w:t>用餐高峰</w:t>
      </w:r>
      <w:r>
        <w:rPr>
          <w:rFonts w:hint="eastAsia" w:ascii="宋体" w:hAnsi="宋体" w:eastAsia="宋体" w:cs="宋体"/>
          <w:color w:val="auto"/>
          <w:sz w:val="24"/>
          <w:szCs w:val="24"/>
          <w:lang w:val="en-US" w:eastAsia="zh-CN"/>
        </w:rPr>
        <w:t>长期存在</w:t>
      </w:r>
      <w:r>
        <w:rPr>
          <w:rFonts w:hint="eastAsia" w:ascii="宋体" w:hAnsi="宋体" w:eastAsia="宋体" w:cs="宋体"/>
          <w:color w:val="auto"/>
          <w:sz w:val="24"/>
          <w:szCs w:val="24"/>
        </w:rPr>
        <w:t>拥挤、排长队</w:t>
      </w:r>
      <w:r>
        <w:rPr>
          <w:rFonts w:hint="eastAsia" w:ascii="宋体" w:hAnsi="宋体" w:eastAsia="宋体" w:cs="宋体"/>
          <w:color w:val="auto"/>
          <w:sz w:val="24"/>
          <w:szCs w:val="24"/>
          <w:lang w:val="en-US" w:eastAsia="zh-CN"/>
        </w:rPr>
        <w:t>等</w:t>
      </w:r>
      <w:r>
        <w:rPr>
          <w:rFonts w:hint="eastAsia" w:ascii="宋体" w:hAnsi="宋体" w:eastAsia="宋体" w:cs="宋体"/>
          <w:color w:val="auto"/>
          <w:sz w:val="24"/>
          <w:szCs w:val="24"/>
        </w:rPr>
        <w:t>问题</w:t>
      </w:r>
      <w:r>
        <w:rPr>
          <w:rFonts w:hint="eastAsia" w:ascii="宋体" w:hAnsi="宋体" w:eastAsia="宋体" w:cs="宋体"/>
          <w:color w:val="auto"/>
          <w:sz w:val="24"/>
          <w:szCs w:val="24"/>
          <w:lang w:val="en-US" w:eastAsia="zh-CN"/>
        </w:rPr>
        <w:t>，为进一步维护校园外卖配送秩序，提高师生生活品质，拟招标引入一家供应商在校园内开展</w:t>
      </w:r>
      <w:r>
        <w:rPr>
          <w:rFonts w:hint="eastAsia" w:ascii="宋体" w:hAnsi="宋体" w:eastAsia="宋体" w:cs="宋体"/>
          <w:color w:val="auto"/>
          <w:sz w:val="24"/>
          <w:szCs w:val="24"/>
          <w:u w:val="none"/>
          <w:lang w:val="en-US" w:eastAsia="zh-CN"/>
        </w:rPr>
        <w:t>食堂</w:t>
      </w:r>
      <w:r>
        <w:rPr>
          <w:rFonts w:hint="eastAsia" w:ascii="宋体" w:hAnsi="宋体" w:eastAsia="宋体" w:cs="宋体"/>
          <w:color w:val="auto"/>
          <w:sz w:val="24"/>
          <w:szCs w:val="24"/>
          <w:lang w:val="en-US" w:eastAsia="zh-CN"/>
        </w:rPr>
        <w:t>外卖配送业务。</w:t>
      </w:r>
    </w:p>
    <w:p>
      <w:pPr>
        <w:keepNext w:val="0"/>
        <w:keepLines w:val="0"/>
        <w:pageBreakBefore w:val="0"/>
        <w:kinsoku/>
        <w:wordWrap/>
        <w:overflowPunct/>
        <w:topLinePunct w:val="0"/>
        <w:autoSpaceDE/>
        <w:autoSpaceDN/>
        <w:bidi w:val="0"/>
        <w:adjustRightInd/>
        <w:snapToGrid/>
        <w:spacing w:line="390" w:lineRule="exact"/>
        <w:ind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2.</w:t>
      </w:r>
      <w:r>
        <w:rPr>
          <w:rFonts w:hint="eastAsia" w:ascii="宋体" w:hAnsi="宋体" w:eastAsia="宋体" w:cs="宋体"/>
          <w:b/>
          <w:bCs/>
          <w:color w:val="auto"/>
          <w:sz w:val="24"/>
          <w:szCs w:val="24"/>
          <w:highlight w:val="none"/>
        </w:rPr>
        <w:t>采购需求</w:t>
      </w:r>
    </w:p>
    <w:p>
      <w:pPr>
        <w:keepNext w:val="0"/>
        <w:keepLines w:val="0"/>
        <w:pageBreakBefore w:val="0"/>
        <w:kinsoku/>
        <w:wordWrap/>
        <w:overflowPunct/>
        <w:topLinePunct w:val="0"/>
        <w:autoSpaceDE/>
        <w:autoSpaceDN/>
        <w:bidi w:val="0"/>
        <w:adjustRightInd/>
        <w:snapToGrid/>
        <w:spacing w:line="390"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该项目运营所</w:t>
      </w:r>
      <w:r>
        <w:rPr>
          <w:rFonts w:hint="eastAsia" w:ascii="宋体" w:hAnsi="宋体" w:eastAsia="宋体" w:cs="宋体"/>
          <w:color w:val="auto"/>
          <w:sz w:val="24"/>
          <w:szCs w:val="24"/>
        </w:rPr>
        <w:t>需的各类设施设备投入及安装等相关费用由</w:t>
      </w:r>
      <w:r>
        <w:rPr>
          <w:rFonts w:hint="eastAsia" w:ascii="宋体" w:hAnsi="宋体" w:eastAsia="宋体" w:cs="宋体"/>
          <w:color w:val="auto"/>
          <w:sz w:val="24"/>
          <w:szCs w:val="24"/>
          <w:lang w:eastAsia="zh-CN"/>
        </w:rPr>
        <w:t>中标人</w:t>
      </w:r>
      <w:r>
        <w:rPr>
          <w:rFonts w:hint="eastAsia" w:ascii="宋体" w:hAnsi="宋体" w:eastAsia="宋体" w:cs="宋体"/>
          <w:color w:val="auto"/>
          <w:sz w:val="24"/>
          <w:szCs w:val="24"/>
        </w:rPr>
        <w:t>承担</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主要负责服务校内食堂外卖配送等服务项目。</w:t>
      </w:r>
      <w:r>
        <w:rPr>
          <w:rFonts w:hint="eastAsia" w:ascii="宋体" w:hAnsi="宋体" w:eastAsia="宋体" w:cs="宋体"/>
          <w:color w:val="auto"/>
          <w:sz w:val="24"/>
          <w:szCs w:val="24"/>
        </w:rPr>
        <w:t>本校师生员工可通过本项目的订餐送餐平台线上订餐、选择服务（配送或自提），</w:t>
      </w:r>
      <w:r>
        <w:rPr>
          <w:rFonts w:hint="eastAsia" w:ascii="宋体" w:hAnsi="宋体" w:eastAsia="宋体" w:cs="宋体"/>
          <w:color w:val="auto"/>
          <w:sz w:val="24"/>
          <w:szCs w:val="24"/>
          <w:lang w:val="en-US" w:eastAsia="zh-CN"/>
        </w:rPr>
        <w:t>供应商</w:t>
      </w:r>
      <w:r>
        <w:rPr>
          <w:rFonts w:hint="eastAsia" w:ascii="宋体" w:hAnsi="宋体" w:eastAsia="宋体" w:cs="宋体"/>
          <w:color w:val="auto"/>
          <w:sz w:val="24"/>
          <w:szCs w:val="24"/>
        </w:rPr>
        <w:t>通过派驻专人管理、招募组建配送团队、投放智能保温自提柜</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保障</w:t>
      </w:r>
      <w:r>
        <w:rPr>
          <w:rFonts w:hint="eastAsia" w:ascii="宋体" w:hAnsi="宋体" w:eastAsia="宋体" w:cs="宋体"/>
          <w:color w:val="auto"/>
          <w:sz w:val="24"/>
          <w:szCs w:val="24"/>
          <w:lang w:val="en-US" w:eastAsia="zh-CN"/>
        </w:rPr>
        <w:t>校园</w:t>
      </w:r>
      <w:r>
        <w:rPr>
          <w:rFonts w:hint="eastAsia" w:ascii="宋体" w:hAnsi="宋体" w:eastAsia="宋体" w:cs="宋体"/>
          <w:color w:val="auto"/>
          <w:sz w:val="24"/>
          <w:szCs w:val="24"/>
        </w:rPr>
        <w:t>食堂外卖安全配送</w:t>
      </w:r>
      <w:r>
        <w:rPr>
          <w:rFonts w:hint="eastAsia" w:ascii="宋体" w:hAnsi="宋体" w:eastAsia="宋体" w:cs="宋体"/>
          <w:color w:val="auto"/>
          <w:sz w:val="24"/>
          <w:szCs w:val="24"/>
          <w:lang w:eastAsia="zh-CN"/>
        </w:rPr>
        <w:t>。</w:t>
      </w:r>
    </w:p>
    <w:p>
      <w:pPr>
        <w:keepNext w:val="0"/>
        <w:keepLines w:val="0"/>
        <w:pageBreakBefore w:val="0"/>
        <w:kinsoku/>
        <w:wordWrap/>
        <w:overflowPunct/>
        <w:topLinePunct w:val="0"/>
        <w:autoSpaceDE/>
        <w:autoSpaceDN/>
        <w:bidi w:val="0"/>
        <w:adjustRightInd/>
        <w:snapToGrid/>
        <w:spacing w:line="390"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配送要求：外卖服务平台公司不得配送凉菜、生鲜冷食、冷加工糕点（如含奶油糕点、提拉米苏、芝士蛋糕等）、预拌沙拉等高风险品种及法律法规禁止经营的食品与商品。</w:t>
      </w:r>
    </w:p>
    <w:p>
      <w:pPr>
        <w:keepNext w:val="0"/>
        <w:keepLines w:val="0"/>
        <w:pageBreakBefore w:val="0"/>
        <w:kinsoku/>
        <w:wordWrap/>
        <w:overflowPunct/>
        <w:topLinePunct w:val="0"/>
        <w:autoSpaceDE/>
        <w:autoSpaceDN/>
        <w:bidi w:val="0"/>
        <w:adjustRightInd/>
        <w:snapToGrid/>
        <w:spacing w:line="390" w:lineRule="exact"/>
        <w:ind w:firstLine="480" w:firstLineChars="200"/>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配送区域：限于学生公寓指定区域，</w:t>
      </w:r>
      <w:r>
        <w:rPr>
          <w:rFonts w:hint="eastAsia" w:ascii="宋体" w:hAnsi="宋体" w:eastAsia="宋体" w:cs="宋体"/>
          <w:b w:val="0"/>
          <w:bCs w:val="0"/>
          <w:color w:val="auto"/>
          <w:sz w:val="24"/>
          <w:szCs w:val="24"/>
          <w:u w:val="none"/>
          <w:lang w:val="en-US" w:eastAsia="zh-CN"/>
        </w:rPr>
        <w:t>不得进入宿舍，</w:t>
      </w:r>
      <w:r>
        <w:rPr>
          <w:rFonts w:hint="eastAsia" w:ascii="宋体" w:hAnsi="宋体" w:eastAsia="宋体" w:cs="宋体"/>
          <w:b w:val="0"/>
          <w:bCs w:val="0"/>
          <w:color w:val="auto"/>
          <w:sz w:val="24"/>
          <w:szCs w:val="24"/>
          <w:lang w:val="en-US" w:eastAsia="zh-CN"/>
        </w:rPr>
        <w:t>教学区、图书馆、体育馆均为非配送区域，以上为暂定区域，具体配送区域会根据学院要求适时调整。</w:t>
      </w:r>
    </w:p>
    <w:p>
      <w:pPr>
        <w:keepNext w:val="0"/>
        <w:keepLines w:val="0"/>
        <w:pageBreakBefore w:val="0"/>
        <w:kinsoku/>
        <w:wordWrap/>
        <w:overflowPunct/>
        <w:topLinePunct w:val="0"/>
        <w:autoSpaceDE/>
        <w:autoSpaceDN/>
        <w:bidi w:val="0"/>
        <w:adjustRightInd/>
        <w:snapToGrid/>
        <w:spacing w:line="390"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安装调试：供应商提供满足用户需求的无线智能打印机，负责所有使用设备安装调试并提供主要负责人员清单。</w:t>
      </w:r>
    </w:p>
    <w:p>
      <w:pPr>
        <w:keepNext w:val="0"/>
        <w:keepLines w:val="0"/>
        <w:pageBreakBefore w:val="0"/>
        <w:kinsoku/>
        <w:wordWrap/>
        <w:overflowPunct/>
        <w:topLinePunct w:val="0"/>
        <w:autoSpaceDE/>
        <w:autoSpaceDN/>
        <w:bidi w:val="0"/>
        <w:adjustRightInd/>
        <w:snapToGrid/>
        <w:spacing w:line="390"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技术支持：配送食堂有供应商专人根据采购人提供的相关资料负责智能订餐平台菜单上传、订单接单、订单配送、退单处理及投诉处理等相关事宜。</w:t>
      </w:r>
    </w:p>
    <w:p>
      <w:pPr>
        <w:keepNext w:val="0"/>
        <w:keepLines w:val="0"/>
        <w:pageBreakBefore w:val="0"/>
        <w:kinsoku/>
        <w:wordWrap/>
        <w:overflowPunct/>
        <w:topLinePunct w:val="0"/>
        <w:autoSpaceDE/>
        <w:autoSpaceDN/>
        <w:bidi w:val="0"/>
        <w:adjustRightInd/>
        <w:snapToGrid/>
        <w:spacing w:line="390" w:lineRule="exact"/>
        <w:ind w:firstLine="482" w:firstLineChars="200"/>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3.服务交付时间和地点</w:t>
      </w:r>
    </w:p>
    <w:p>
      <w:pPr>
        <w:pStyle w:val="32"/>
        <w:keepNext w:val="0"/>
        <w:keepLines w:val="0"/>
        <w:pageBreakBefore w:val="0"/>
        <w:kinsoku/>
        <w:wordWrap/>
        <w:overflowPunct/>
        <w:topLinePunct w:val="0"/>
        <w:autoSpaceDE/>
        <w:autoSpaceDN/>
        <w:bidi w:val="0"/>
        <w:adjustRightInd/>
        <w:snapToGrid/>
        <w:spacing w:line="390" w:lineRule="exact"/>
        <w:ind w:left="0" w:leftChars="0" w:firstLine="480" w:firstLineChars="200"/>
        <w:textAlignment w:val="auto"/>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3.1交付要求：合同签订之日起20日内完成全部设备和订餐平台的安装及调试。</w:t>
      </w:r>
    </w:p>
    <w:p>
      <w:pPr>
        <w:pStyle w:val="32"/>
        <w:keepNext w:val="0"/>
        <w:keepLines w:val="0"/>
        <w:pageBreakBefore w:val="0"/>
        <w:kinsoku/>
        <w:wordWrap/>
        <w:overflowPunct/>
        <w:topLinePunct w:val="0"/>
        <w:autoSpaceDE/>
        <w:autoSpaceDN/>
        <w:bidi w:val="0"/>
        <w:adjustRightInd/>
        <w:snapToGrid/>
        <w:spacing w:line="390" w:lineRule="exact"/>
        <w:ind w:left="0" w:leftChars="0" w:firstLine="480" w:firstLineChars="200"/>
        <w:textAlignment w:val="auto"/>
        <w:rPr>
          <w:rFonts w:hint="eastAsia" w:ascii="宋体" w:hAnsi="宋体" w:eastAsia="宋体" w:cs="宋体"/>
          <w:b w:val="0"/>
          <w:bCs w:val="0"/>
          <w:color w:val="auto"/>
          <w:sz w:val="24"/>
          <w:szCs w:val="24"/>
          <w:u w:val="none"/>
        </w:rPr>
      </w:pPr>
      <w:r>
        <w:rPr>
          <w:rFonts w:hint="eastAsia" w:ascii="宋体" w:hAnsi="宋体" w:eastAsia="宋体" w:cs="宋体"/>
          <w:b w:val="0"/>
          <w:bCs w:val="0"/>
          <w:color w:val="auto"/>
          <w:kern w:val="2"/>
          <w:sz w:val="24"/>
          <w:szCs w:val="24"/>
          <w:u w:val="none"/>
          <w:lang w:val="en-US" w:eastAsia="zh-CN" w:bidi="ar-SA"/>
        </w:rPr>
        <w:t>3.2服务期限：5年，合同一年一签。服务期内未出现无违法、违规、违约行为和安全责任事故，</w:t>
      </w:r>
      <w:r>
        <w:rPr>
          <w:rFonts w:hint="eastAsia" w:ascii="宋体" w:hAnsi="宋体" w:eastAsia="宋体" w:cs="宋体"/>
          <w:b w:val="0"/>
          <w:bCs w:val="0"/>
          <w:color w:val="auto"/>
          <w:sz w:val="24"/>
          <w:szCs w:val="24"/>
          <w:u w:val="none"/>
        </w:rPr>
        <w:t>由学校后勤</w:t>
      </w:r>
      <w:r>
        <w:rPr>
          <w:rFonts w:hint="eastAsia" w:ascii="宋体" w:hAnsi="宋体" w:eastAsia="宋体" w:cs="宋体"/>
          <w:b w:val="0"/>
          <w:bCs w:val="0"/>
          <w:color w:val="auto"/>
          <w:sz w:val="24"/>
          <w:szCs w:val="24"/>
          <w:u w:val="none"/>
          <w:lang w:eastAsia="zh-CN"/>
        </w:rPr>
        <w:t>管理处</w:t>
      </w:r>
      <w:r>
        <w:rPr>
          <w:rFonts w:hint="eastAsia" w:ascii="宋体" w:hAnsi="宋体" w:eastAsia="宋体" w:cs="宋体"/>
          <w:b w:val="0"/>
          <w:bCs w:val="0"/>
          <w:color w:val="auto"/>
          <w:sz w:val="24"/>
          <w:szCs w:val="24"/>
          <w:u w:val="none"/>
        </w:rPr>
        <w:t>组织项目运营效果年度综合考核, 考核合格后签订下一</w:t>
      </w:r>
      <w:r>
        <w:rPr>
          <w:rFonts w:hint="eastAsia" w:ascii="宋体" w:hAnsi="宋体" w:eastAsia="宋体" w:cs="宋体"/>
          <w:b w:val="0"/>
          <w:bCs w:val="0"/>
          <w:color w:val="auto"/>
          <w:sz w:val="24"/>
          <w:szCs w:val="24"/>
          <w:u w:val="none"/>
          <w:lang w:val="en-US" w:eastAsia="zh-CN"/>
        </w:rPr>
        <w:t>年</w:t>
      </w:r>
      <w:r>
        <w:rPr>
          <w:rFonts w:hint="eastAsia" w:ascii="宋体" w:hAnsi="宋体" w:eastAsia="宋体" w:cs="宋体"/>
          <w:b w:val="0"/>
          <w:bCs w:val="0"/>
          <w:color w:val="auto"/>
          <w:sz w:val="24"/>
          <w:szCs w:val="24"/>
          <w:u w:val="none"/>
        </w:rPr>
        <w:t>合同。</w:t>
      </w:r>
    </w:p>
    <w:p>
      <w:pPr>
        <w:pStyle w:val="32"/>
        <w:keepNext w:val="0"/>
        <w:keepLines w:val="0"/>
        <w:pageBreakBefore w:val="0"/>
        <w:kinsoku/>
        <w:wordWrap/>
        <w:overflowPunct/>
        <w:topLinePunct w:val="0"/>
        <w:autoSpaceDE/>
        <w:autoSpaceDN/>
        <w:bidi w:val="0"/>
        <w:adjustRightInd/>
        <w:snapToGrid/>
        <w:spacing w:line="390" w:lineRule="exact"/>
        <w:ind w:left="0" w:leftChars="0"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3.3服务地点：南京邮电大学通达学院内，招标人指定地点。</w:t>
      </w:r>
    </w:p>
    <w:p>
      <w:pPr>
        <w:keepNext w:val="0"/>
        <w:keepLines w:val="0"/>
        <w:pageBreakBefore w:val="0"/>
        <w:kinsoku/>
        <w:wordWrap/>
        <w:overflowPunct/>
        <w:topLinePunct w:val="0"/>
        <w:autoSpaceDE/>
        <w:autoSpaceDN/>
        <w:bidi w:val="0"/>
        <w:adjustRightInd/>
        <w:snapToGrid/>
        <w:spacing w:line="390" w:lineRule="exact"/>
        <w:ind w:firstLine="482"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4.具体要求</w:t>
      </w:r>
    </w:p>
    <w:p>
      <w:pPr>
        <w:keepNext w:val="0"/>
        <w:keepLines w:val="0"/>
        <w:pageBreakBefore w:val="0"/>
        <w:kinsoku/>
        <w:wordWrap/>
        <w:overflowPunct/>
        <w:topLinePunct w:val="0"/>
        <w:autoSpaceDE/>
        <w:autoSpaceDN/>
        <w:bidi w:val="0"/>
        <w:adjustRightInd/>
        <w:snapToGrid/>
        <w:spacing w:line="390"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4.1供应商需对配送人员进行健康证办理、招募、培训、管理，并承担一切薪资、保险、赔偿</w:t>
      </w:r>
      <w:r>
        <w:rPr>
          <w:rFonts w:hint="eastAsia" w:ascii="宋体" w:hAnsi="宋体" w:eastAsia="宋体" w:cs="宋体"/>
          <w:color w:val="auto"/>
          <w:sz w:val="24"/>
          <w:szCs w:val="24"/>
          <w:u w:val="none"/>
          <w:lang w:val="en-US" w:eastAsia="zh-CN"/>
        </w:rPr>
        <w:t>及其他风险</w:t>
      </w:r>
      <w:r>
        <w:rPr>
          <w:rFonts w:hint="eastAsia" w:ascii="宋体" w:hAnsi="宋体" w:eastAsia="宋体" w:cs="宋体"/>
          <w:color w:val="auto"/>
          <w:sz w:val="24"/>
          <w:szCs w:val="24"/>
          <w:lang w:val="en-US" w:eastAsia="zh-CN"/>
        </w:rPr>
        <w:t>等费用。配送人员与招标人不发生直接关系。所有供应商相关人员在校园内必须遵守校方相关规定，服从学校管理。</w:t>
      </w:r>
    </w:p>
    <w:p>
      <w:pPr>
        <w:pStyle w:val="32"/>
        <w:keepNext w:val="0"/>
        <w:keepLines w:val="0"/>
        <w:pageBreakBefore w:val="0"/>
        <w:kinsoku/>
        <w:wordWrap/>
        <w:overflowPunct/>
        <w:topLinePunct w:val="0"/>
        <w:autoSpaceDE/>
        <w:autoSpaceDN/>
        <w:bidi w:val="0"/>
        <w:adjustRightInd/>
        <w:snapToGrid/>
        <w:spacing w:line="390" w:lineRule="exact"/>
        <w:ind w:left="0" w:leftChars="0"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4.2交通工具、送餐保温箱、取餐柜及相关设备要求</w:t>
      </w:r>
    </w:p>
    <w:p>
      <w:pPr>
        <w:pStyle w:val="32"/>
        <w:keepNext w:val="0"/>
        <w:keepLines w:val="0"/>
        <w:pageBreakBefore w:val="0"/>
        <w:kinsoku/>
        <w:wordWrap/>
        <w:overflowPunct/>
        <w:topLinePunct w:val="0"/>
        <w:autoSpaceDE/>
        <w:autoSpaceDN/>
        <w:bidi w:val="0"/>
        <w:adjustRightInd/>
        <w:snapToGrid/>
        <w:spacing w:line="390" w:lineRule="exact"/>
        <w:ind w:left="0" w:leftChars="0"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交通工具、送餐保温箱、取餐柜等相关设备（含接单小票打印机等）由</w:t>
      </w:r>
      <w:r>
        <w:rPr>
          <w:rFonts w:hint="eastAsia" w:ascii="宋体" w:hAnsi="宋体" w:eastAsia="宋体" w:cs="宋体"/>
          <w:color w:val="auto"/>
          <w:sz w:val="24"/>
          <w:szCs w:val="24"/>
          <w:lang w:val="en-US" w:eastAsia="zh-CN"/>
        </w:rPr>
        <w:t>供应商</w:t>
      </w:r>
      <w:r>
        <w:rPr>
          <w:rFonts w:hint="eastAsia" w:ascii="宋体" w:hAnsi="宋体" w:eastAsia="宋体" w:cs="宋体"/>
          <w:color w:val="auto"/>
          <w:kern w:val="2"/>
          <w:sz w:val="24"/>
          <w:szCs w:val="24"/>
          <w:lang w:val="en-US" w:eastAsia="zh-CN" w:bidi="ar-SA"/>
        </w:rPr>
        <w:t>提供，接单打印机等具体数量以校方审批后的窗口为准。</w:t>
      </w:r>
    </w:p>
    <w:p>
      <w:pPr>
        <w:pStyle w:val="32"/>
        <w:keepNext w:val="0"/>
        <w:keepLines w:val="0"/>
        <w:pageBreakBefore w:val="0"/>
        <w:kinsoku/>
        <w:wordWrap/>
        <w:overflowPunct/>
        <w:topLinePunct w:val="0"/>
        <w:autoSpaceDE/>
        <w:autoSpaceDN/>
        <w:bidi w:val="0"/>
        <w:adjustRightInd/>
        <w:snapToGrid/>
        <w:spacing w:line="390" w:lineRule="exact"/>
        <w:ind w:left="0" w:leftChars="0" w:firstLine="482"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b/>
          <w:bCs/>
          <w:color w:val="auto"/>
          <w:kern w:val="2"/>
          <w:sz w:val="24"/>
          <w:szCs w:val="24"/>
          <w:lang w:val="en-US" w:eastAsia="zh-CN" w:bidi="ar-SA"/>
        </w:rPr>
        <w:t>取餐柜作为学生取外卖订单的重要工具，供应商必须提供。</w:t>
      </w:r>
      <w:r>
        <w:rPr>
          <w:rFonts w:hint="eastAsia" w:ascii="宋体" w:hAnsi="宋体" w:eastAsia="宋体" w:cs="宋体"/>
          <w:color w:val="auto"/>
          <w:sz w:val="24"/>
          <w:szCs w:val="24"/>
          <w:lang w:val="en-US" w:eastAsia="zh-CN"/>
        </w:rPr>
        <w:t>供应商</w:t>
      </w:r>
      <w:r>
        <w:rPr>
          <w:rFonts w:hint="eastAsia" w:ascii="宋体" w:hAnsi="宋体" w:eastAsia="宋体" w:cs="宋体"/>
          <w:color w:val="auto"/>
          <w:kern w:val="2"/>
          <w:sz w:val="24"/>
          <w:szCs w:val="24"/>
          <w:lang w:val="en-US" w:eastAsia="zh-CN" w:bidi="ar-SA"/>
        </w:rPr>
        <w:t>须在每栋公寓楼前</w:t>
      </w:r>
      <w:r>
        <w:rPr>
          <w:rFonts w:hint="eastAsia" w:ascii="宋体" w:hAnsi="宋体" w:eastAsia="宋体" w:cs="宋体"/>
          <w:b/>
          <w:bCs/>
          <w:color w:val="auto"/>
          <w:kern w:val="2"/>
          <w:sz w:val="24"/>
          <w:szCs w:val="24"/>
          <w:lang w:val="en-US" w:eastAsia="zh-CN" w:bidi="ar-SA"/>
        </w:rPr>
        <w:t>提供智能取餐柜</w:t>
      </w:r>
      <w:r>
        <w:rPr>
          <w:rFonts w:hint="eastAsia" w:ascii="宋体" w:hAnsi="宋体" w:eastAsia="宋体" w:cs="宋体"/>
          <w:color w:val="auto"/>
          <w:kern w:val="2"/>
          <w:sz w:val="24"/>
          <w:szCs w:val="24"/>
          <w:lang w:val="en-US" w:eastAsia="zh-CN" w:bidi="ar-SA"/>
        </w:rPr>
        <w:t>，共计10台，每台网格柜不少于60个，具体安装位置按学校要求，否则其投标将被否决。</w:t>
      </w:r>
    </w:p>
    <w:p>
      <w:pPr>
        <w:pStyle w:val="32"/>
        <w:keepNext w:val="0"/>
        <w:keepLines w:val="0"/>
        <w:pageBreakBefore w:val="0"/>
        <w:kinsoku/>
        <w:wordWrap/>
        <w:overflowPunct/>
        <w:topLinePunct w:val="0"/>
        <w:autoSpaceDE/>
        <w:autoSpaceDN/>
        <w:bidi w:val="0"/>
        <w:adjustRightInd/>
        <w:snapToGrid/>
        <w:spacing w:line="390" w:lineRule="exact"/>
        <w:ind w:left="0" w:leftChars="0"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交通工具、送餐保温箱、取餐柜及相关设备须按照食品安全相关管理规定及时清洁、消毒、维护。如处于应急防疫等情况下，须按照防疫要求及时清洁、消毒，在疫情解除后方可恢复常规食品安全要求下的清洁、消毒。外卖取餐柜的材质应对人体安全无害，外卖取餐柜应无异味，内表面应光滑易清洁，不易藏污纳垢。</w:t>
      </w:r>
    </w:p>
    <w:p>
      <w:pPr>
        <w:pStyle w:val="32"/>
        <w:keepNext w:val="0"/>
        <w:keepLines w:val="0"/>
        <w:pageBreakBefore w:val="0"/>
        <w:numPr>
          <w:ilvl w:val="0"/>
          <w:numId w:val="0"/>
        </w:numPr>
        <w:kinsoku/>
        <w:wordWrap/>
        <w:overflowPunct/>
        <w:topLinePunct w:val="0"/>
        <w:autoSpaceDE/>
        <w:autoSpaceDN/>
        <w:bidi w:val="0"/>
        <w:adjustRightInd/>
        <w:snapToGrid/>
        <w:spacing w:line="390" w:lineRule="exact"/>
        <w:ind w:firstLine="480" w:firstLineChars="200"/>
        <w:textAlignment w:val="auto"/>
        <w:rPr>
          <w:rFonts w:hint="eastAsia" w:ascii="宋体" w:hAnsi="宋体" w:eastAsia="宋体" w:cs="宋体"/>
          <w:color w:val="auto"/>
          <w:kern w:val="2"/>
          <w:sz w:val="24"/>
          <w:szCs w:val="24"/>
          <w:u w:val="none"/>
          <w:lang w:val="en-US" w:eastAsia="zh-CN" w:bidi="ar-SA"/>
        </w:rPr>
      </w:pPr>
      <w:r>
        <w:rPr>
          <w:rFonts w:hint="eastAsia" w:ascii="宋体" w:hAnsi="宋体" w:eastAsia="宋体" w:cs="宋体"/>
          <w:color w:val="auto"/>
          <w:kern w:val="2"/>
          <w:sz w:val="24"/>
          <w:szCs w:val="24"/>
          <w:u w:val="none"/>
          <w:lang w:val="en-US" w:eastAsia="zh-CN" w:bidi="ar-SA"/>
        </w:rPr>
        <w:t>4.3</w:t>
      </w:r>
      <w:r>
        <w:rPr>
          <w:rFonts w:hint="eastAsia" w:ascii="宋体" w:hAnsi="宋体" w:eastAsia="宋体" w:cs="宋体"/>
          <w:color w:val="auto"/>
          <w:sz w:val="24"/>
          <w:szCs w:val="24"/>
          <w:lang w:val="en-US" w:eastAsia="zh-CN"/>
        </w:rPr>
        <w:t>供应商</w:t>
      </w:r>
      <w:r>
        <w:rPr>
          <w:rFonts w:hint="eastAsia" w:ascii="宋体" w:hAnsi="宋体" w:eastAsia="宋体" w:cs="宋体"/>
          <w:color w:val="auto"/>
          <w:kern w:val="2"/>
          <w:sz w:val="24"/>
          <w:szCs w:val="24"/>
          <w:u w:val="none"/>
          <w:lang w:val="en-US" w:eastAsia="zh-CN" w:bidi="ar-SA"/>
        </w:rPr>
        <w:t>根据在线订餐配送单量收取配送费，</w:t>
      </w:r>
      <w:r>
        <w:rPr>
          <w:rFonts w:hint="eastAsia" w:ascii="宋体" w:hAnsi="宋体" w:eastAsia="宋体" w:cs="宋体"/>
          <w:color w:val="auto"/>
          <w:sz w:val="24"/>
          <w:szCs w:val="24"/>
          <w:lang w:val="en-US" w:eastAsia="zh-CN"/>
        </w:rPr>
        <w:t>供应商</w:t>
      </w:r>
      <w:r>
        <w:rPr>
          <w:rFonts w:hint="eastAsia" w:ascii="宋体" w:hAnsi="宋体" w:eastAsia="宋体" w:cs="宋体"/>
          <w:color w:val="auto"/>
          <w:kern w:val="2"/>
          <w:sz w:val="24"/>
          <w:szCs w:val="24"/>
          <w:u w:val="none"/>
          <w:lang w:val="en-US" w:eastAsia="zh-CN" w:bidi="ar-SA"/>
        </w:rPr>
        <w:t>负责包括配送、取餐柜投放、系统与设备维护、学生勤工俭学配送费用等所有费用支出。</w:t>
      </w:r>
    </w:p>
    <w:p>
      <w:pPr>
        <w:pStyle w:val="32"/>
        <w:keepNext w:val="0"/>
        <w:keepLines w:val="0"/>
        <w:pageBreakBefore w:val="0"/>
        <w:kinsoku/>
        <w:wordWrap/>
        <w:overflowPunct/>
        <w:topLinePunct w:val="0"/>
        <w:autoSpaceDE/>
        <w:autoSpaceDN/>
        <w:bidi w:val="0"/>
        <w:adjustRightInd/>
        <w:snapToGrid/>
        <w:spacing w:line="390" w:lineRule="exact"/>
        <w:ind w:left="0" w:leftChars="0"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w:t>
      </w:r>
      <w:r>
        <w:rPr>
          <w:rFonts w:hint="eastAsia" w:ascii="宋体" w:hAnsi="宋体" w:eastAsia="宋体" w:cs="宋体"/>
          <w:color w:val="auto"/>
          <w:kern w:val="2"/>
          <w:sz w:val="24"/>
          <w:szCs w:val="24"/>
          <w:u w:val="none"/>
          <w:lang w:val="en-US" w:eastAsia="zh-CN" w:bidi="ar-SA"/>
        </w:rPr>
        <w:t>1）</w:t>
      </w:r>
      <w:r>
        <w:rPr>
          <w:rFonts w:hint="eastAsia" w:ascii="宋体" w:hAnsi="宋体" w:eastAsia="宋体" w:cs="宋体"/>
          <w:color w:val="auto"/>
          <w:sz w:val="24"/>
          <w:szCs w:val="24"/>
          <w:lang w:val="en-US" w:eastAsia="zh-CN"/>
        </w:rPr>
        <w:t>供应商</w:t>
      </w:r>
      <w:r>
        <w:rPr>
          <w:rFonts w:hint="eastAsia" w:ascii="宋体" w:hAnsi="宋体" w:eastAsia="宋体" w:cs="宋体"/>
          <w:color w:val="auto"/>
          <w:kern w:val="2"/>
          <w:sz w:val="24"/>
          <w:szCs w:val="24"/>
          <w:u w:val="none"/>
          <w:lang w:val="en-US" w:eastAsia="zh-CN" w:bidi="ar-SA"/>
        </w:rPr>
        <w:t>应开设专门校园餐饮服务端口，用</w:t>
      </w:r>
      <w:r>
        <w:rPr>
          <w:rFonts w:hint="eastAsia" w:ascii="宋体" w:hAnsi="宋体" w:eastAsia="宋体" w:cs="宋体"/>
          <w:color w:val="auto"/>
          <w:kern w:val="2"/>
          <w:sz w:val="24"/>
          <w:szCs w:val="24"/>
          <w:lang w:val="en-US" w:eastAsia="zh-CN" w:bidi="ar-SA"/>
        </w:rPr>
        <w:t>户可以通过本项目订餐配送平台实现自助下单点餐、就餐评价与服务监督等功能。</w:t>
      </w:r>
    </w:p>
    <w:p>
      <w:pPr>
        <w:pStyle w:val="32"/>
        <w:keepNext w:val="0"/>
        <w:keepLines w:val="0"/>
        <w:pageBreakBefore w:val="0"/>
        <w:kinsoku/>
        <w:wordWrap/>
        <w:overflowPunct/>
        <w:topLinePunct w:val="0"/>
        <w:autoSpaceDE/>
        <w:autoSpaceDN/>
        <w:bidi w:val="0"/>
        <w:adjustRightInd/>
        <w:snapToGrid/>
        <w:spacing w:line="390" w:lineRule="exact"/>
        <w:ind w:left="0" w:leftChars="0"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（2）订餐配送平台及自提柜使用商家为采购人校内自营食堂与委托经营管理的餐饮经营单位，具体配送单位由校方审定后上线运行。</w:t>
      </w:r>
    </w:p>
    <w:p>
      <w:pPr>
        <w:pStyle w:val="32"/>
        <w:keepNext w:val="0"/>
        <w:keepLines w:val="0"/>
        <w:pageBreakBefore w:val="0"/>
        <w:kinsoku/>
        <w:wordWrap/>
        <w:overflowPunct/>
        <w:topLinePunct w:val="0"/>
        <w:autoSpaceDE/>
        <w:autoSpaceDN/>
        <w:bidi w:val="0"/>
        <w:adjustRightInd/>
        <w:snapToGrid/>
        <w:spacing w:line="390" w:lineRule="exact"/>
        <w:ind w:left="0" w:leftChars="0"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（3）招标人校内自营食堂与委托经营管理的餐饮经营单位负责提供产品的商品信息（包括但不限于名称、规格、售价等）及打包服务，并委托</w:t>
      </w:r>
      <w:r>
        <w:rPr>
          <w:rFonts w:hint="eastAsia" w:ascii="宋体" w:hAnsi="宋体" w:eastAsia="宋体" w:cs="宋体"/>
          <w:color w:val="auto"/>
          <w:sz w:val="24"/>
          <w:szCs w:val="24"/>
          <w:lang w:val="en-US" w:eastAsia="zh-CN"/>
        </w:rPr>
        <w:t>供应商</w:t>
      </w:r>
      <w:r>
        <w:rPr>
          <w:rFonts w:hint="eastAsia" w:ascii="宋体" w:hAnsi="宋体" w:eastAsia="宋体" w:cs="宋体"/>
          <w:color w:val="auto"/>
          <w:kern w:val="2"/>
          <w:sz w:val="24"/>
          <w:szCs w:val="24"/>
          <w:lang w:val="en-US" w:eastAsia="zh-CN" w:bidi="ar-SA"/>
        </w:rPr>
        <w:t>配送相应产品至用户。</w:t>
      </w:r>
    </w:p>
    <w:p>
      <w:pPr>
        <w:pStyle w:val="32"/>
        <w:keepNext w:val="0"/>
        <w:keepLines w:val="0"/>
        <w:pageBreakBefore w:val="0"/>
        <w:kinsoku/>
        <w:wordWrap/>
        <w:overflowPunct/>
        <w:topLinePunct w:val="0"/>
        <w:autoSpaceDE/>
        <w:autoSpaceDN/>
        <w:bidi w:val="0"/>
        <w:adjustRightInd/>
        <w:snapToGrid/>
        <w:spacing w:line="390" w:lineRule="exact"/>
        <w:ind w:left="0" w:leftChars="0" w:firstLine="480" w:firstLineChars="200"/>
        <w:textAlignment w:val="auto"/>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4.</w:t>
      </w:r>
      <w:r>
        <w:rPr>
          <w:rFonts w:hint="eastAsia" w:ascii="宋体" w:hAnsi="宋体" w:eastAsia="宋体" w:cs="宋体"/>
          <w:color w:val="auto"/>
          <w:sz w:val="24"/>
          <w:szCs w:val="24"/>
          <w:lang w:val="en-US" w:eastAsia="zh-CN"/>
        </w:rPr>
        <w:t>供应商</w:t>
      </w:r>
      <w:r>
        <w:rPr>
          <w:rFonts w:hint="eastAsia" w:ascii="宋体" w:hAnsi="宋体" w:eastAsia="宋体" w:cs="宋体"/>
          <w:b w:val="0"/>
          <w:bCs w:val="0"/>
          <w:color w:val="auto"/>
          <w:kern w:val="2"/>
          <w:sz w:val="24"/>
          <w:szCs w:val="24"/>
          <w:lang w:val="en-US" w:eastAsia="zh-CN" w:bidi="ar-SA"/>
        </w:rPr>
        <w:t>在招标人校园内运营期间产生的电费（装表自提柜产生的电费）由</w:t>
      </w:r>
      <w:r>
        <w:rPr>
          <w:rFonts w:hint="eastAsia" w:ascii="宋体" w:hAnsi="宋体" w:eastAsia="宋体" w:cs="宋体"/>
          <w:color w:val="auto"/>
          <w:sz w:val="24"/>
          <w:szCs w:val="24"/>
          <w:lang w:val="en-US" w:eastAsia="zh-CN"/>
        </w:rPr>
        <w:t>供应商</w:t>
      </w:r>
      <w:r>
        <w:rPr>
          <w:rFonts w:hint="eastAsia" w:ascii="宋体" w:hAnsi="宋体" w:eastAsia="宋体" w:cs="宋体"/>
          <w:b w:val="0"/>
          <w:bCs w:val="0"/>
          <w:color w:val="auto"/>
          <w:kern w:val="2"/>
          <w:sz w:val="24"/>
          <w:szCs w:val="24"/>
          <w:lang w:val="en-US" w:eastAsia="zh-CN" w:bidi="ar-SA"/>
        </w:rPr>
        <w:t>支付，</w:t>
      </w:r>
      <w:r>
        <w:rPr>
          <w:rFonts w:hint="eastAsia" w:ascii="宋体" w:hAnsi="宋体" w:eastAsia="宋体" w:cs="宋体"/>
          <w:b w:val="0"/>
          <w:bCs w:val="0"/>
          <w:color w:val="auto"/>
          <w:sz w:val="24"/>
          <w:szCs w:val="24"/>
          <w:highlight w:val="none"/>
        </w:rPr>
        <w:t>电费0.55元/度，上述费用标准随国家政策性调整变化而作相应调整，</w:t>
      </w:r>
      <w:r>
        <w:rPr>
          <w:rFonts w:hint="eastAsia" w:ascii="宋体" w:hAnsi="宋体" w:eastAsia="宋体" w:cs="宋体"/>
          <w:color w:val="auto"/>
          <w:sz w:val="24"/>
          <w:szCs w:val="24"/>
          <w:lang w:val="en-US" w:eastAsia="zh-CN"/>
        </w:rPr>
        <w:t>供应商</w:t>
      </w:r>
      <w:r>
        <w:rPr>
          <w:rFonts w:hint="eastAsia" w:ascii="宋体" w:hAnsi="宋体" w:eastAsia="宋体" w:cs="宋体"/>
          <w:b w:val="0"/>
          <w:bCs w:val="0"/>
          <w:color w:val="auto"/>
          <w:sz w:val="24"/>
          <w:szCs w:val="24"/>
          <w:highlight w:val="none"/>
        </w:rPr>
        <w:t>自理，</w:t>
      </w:r>
      <w:r>
        <w:rPr>
          <w:rFonts w:hint="eastAsia" w:ascii="宋体" w:hAnsi="宋体" w:eastAsia="宋体" w:cs="宋体"/>
          <w:b w:val="0"/>
          <w:bCs w:val="0"/>
          <w:color w:val="auto"/>
          <w:sz w:val="24"/>
          <w:szCs w:val="24"/>
          <w:highlight w:val="none"/>
          <w:lang w:val="en-US" w:eastAsia="zh-CN"/>
        </w:rPr>
        <w:t>招标</w:t>
      </w:r>
      <w:r>
        <w:rPr>
          <w:rFonts w:hint="eastAsia" w:ascii="宋体" w:hAnsi="宋体" w:eastAsia="宋体" w:cs="宋体"/>
          <w:b w:val="0"/>
          <w:bCs w:val="0"/>
          <w:color w:val="auto"/>
          <w:sz w:val="24"/>
          <w:szCs w:val="24"/>
          <w:highlight w:val="none"/>
        </w:rPr>
        <w:t>人代收代缴，</w:t>
      </w:r>
      <w:r>
        <w:rPr>
          <w:rFonts w:hint="eastAsia" w:ascii="宋体" w:hAnsi="宋体" w:eastAsia="宋体" w:cs="宋体"/>
          <w:b w:val="0"/>
          <w:bCs w:val="0"/>
          <w:i w:val="0"/>
          <w:iCs w:val="0"/>
          <w:color w:val="auto"/>
          <w:sz w:val="24"/>
          <w:szCs w:val="24"/>
          <w:highlight w:val="none"/>
        </w:rPr>
        <w:t>在每月的</w:t>
      </w:r>
      <w:r>
        <w:rPr>
          <w:rFonts w:hint="eastAsia" w:ascii="宋体" w:hAnsi="宋体" w:eastAsia="宋体" w:cs="宋体"/>
          <w:b w:val="0"/>
          <w:bCs w:val="0"/>
          <w:i w:val="0"/>
          <w:iCs w:val="0"/>
          <w:color w:val="auto"/>
          <w:sz w:val="24"/>
          <w:szCs w:val="24"/>
          <w:highlight w:val="none"/>
          <w:lang w:val="en-US" w:eastAsia="zh-CN"/>
        </w:rPr>
        <w:t>平台服务费中</w:t>
      </w:r>
      <w:r>
        <w:rPr>
          <w:rFonts w:hint="eastAsia" w:ascii="宋体" w:hAnsi="宋体" w:eastAsia="宋体" w:cs="宋体"/>
          <w:b w:val="0"/>
          <w:bCs w:val="0"/>
          <w:i w:val="0"/>
          <w:iCs w:val="0"/>
          <w:color w:val="auto"/>
          <w:sz w:val="24"/>
          <w:szCs w:val="24"/>
          <w:highlight w:val="none"/>
        </w:rPr>
        <w:t>扣除</w:t>
      </w:r>
      <w:r>
        <w:rPr>
          <w:rFonts w:hint="eastAsia" w:ascii="宋体" w:hAnsi="宋体" w:eastAsia="宋体" w:cs="宋体"/>
          <w:b w:val="0"/>
          <w:bCs w:val="0"/>
          <w:color w:val="auto"/>
          <w:kern w:val="2"/>
          <w:sz w:val="24"/>
          <w:szCs w:val="24"/>
          <w:lang w:val="en-US" w:eastAsia="zh-CN" w:bidi="ar-SA"/>
        </w:rPr>
        <w:t>。</w:t>
      </w:r>
    </w:p>
    <w:p>
      <w:pPr>
        <w:pStyle w:val="32"/>
        <w:keepNext w:val="0"/>
        <w:keepLines w:val="0"/>
        <w:pageBreakBefore w:val="0"/>
        <w:kinsoku/>
        <w:wordWrap/>
        <w:overflowPunct/>
        <w:topLinePunct w:val="0"/>
        <w:autoSpaceDE/>
        <w:autoSpaceDN/>
        <w:bidi w:val="0"/>
        <w:adjustRightInd/>
        <w:snapToGrid/>
        <w:spacing w:line="390" w:lineRule="exact"/>
        <w:ind w:left="0" w:leftChars="0" w:firstLine="482" w:firstLineChars="200"/>
        <w:textAlignment w:val="auto"/>
        <w:rPr>
          <w:rFonts w:hint="eastAsia" w:ascii="宋体" w:hAnsi="宋体" w:eastAsia="宋体" w:cs="宋体"/>
          <w:b/>
          <w:bCs/>
          <w:color w:val="auto"/>
          <w:kern w:val="2"/>
          <w:sz w:val="24"/>
          <w:szCs w:val="24"/>
          <w:lang w:val="en-US" w:eastAsia="zh-CN" w:bidi="ar-SA"/>
        </w:rPr>
      </w:pPr>
      <w:r>
        <w:rPr>
          <w:rFonts w:hint="eastAsia" w:ascii="宋体" w:hAnsi="宋体" w:eastAsia="宋体" w:cs="宋体"/>
          <w:b/>
          <w:bCs/>
          <w:color w:val="auto"/>
          <w:kern w:val="2"/>
          <w:sz w:val="24"/>
          <w:szCs w:val="24"/>
          <w:lang w:val="en-US" w:eastAsia="zh-CN" w:bidi="ar-SA"/>
        </w:rPr>
        <w:t xml:space="preserve">5.运营配合要求 </w:t>
      </w:r>
    </w:p>
    <w:p>
      <w:pPr>
        <w:pStyle w:val="32"/>
        <w:keepNext w:val="0"/>
        <w:keepLines w:val="0"/>
        <w:pageBreakBefore w:val="0"/>
        <w:kinsoku/>
        <w:wordWrap/>
        <w:overflowPunct/>
        <w:topLinePunct w:val="0"/>
        <w:autoSpaceDE/>
        <w:autoSpaceDN/>
        <w:bidi w:val="0"/>
        <w:adjustRightInd/>
        <w:snapToGrid/>
        <w:spacing w:line="390" w:lineRule="exact"/>
        <w:ind w:left="0" w:leftChars="0"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5.1</w:t>
      </w:r>
      <w:r>
        <w:rPr>
          <w:rFonts w:hint="eastAsia" w:ascii="宋体" w:hAnsi="宋体" w:eastAsia="宋体" w:cs="宋体"/>
          <w:color w:val="auto"/>
          <w:sz w:val="24"/>
          <w:szCs w:val="24"/>
          <w:lang w:val="en-US" w:eastAsia="zh-CN"/>
        </w:rPr>
        <w:t>供应商</w:t>
      </w:r>
      <w:r>
        <w:rPr>
          <w:rFonts w:hint="eastAsia" w:ascii="宋体" w:hAnsi="宋体" w:eastAsia="宋体" w:cs="宋体"/>
          <w:color w:val="auto"/>
          <w:kern w:val="2"/>
          <w:sz w:val="24"/>
          <w:szCs w:val="24"/>
          <w:lang w:val="en-US" w:eastAsia="zh-CN" w:bidi="ar-SA"/>
        </w:rPr>
        <w:t>需无条件配合采购人进行各项运营推广活动，费用由</w:t>
      </w:r>
      <w:r>
        <w:rPr>
          <w:rFonts w:hint="eastAsia" w:ascii="宋体" w:hAnsi="宋体" w:eastAsia="宋体" w:cs="宋体"/>
          <w:color w:val="auto"/>
          <w:sz w:val="24"/>
          <w:szCs w:val="24"/>
          <w:lang w:val="en-US" w:eastAsia="zh-CN"/>
        </w:rPr>
        <w:t>供应商</w:t>
      </w:r>
      <w:r>
        <w:rPr>
          <w:rFonts w:hint="eastAsia" w:ascii="宋体" w:hAnsi="宋体" w:eastAsia="宋体" w:cs="宋体"/>
          <w:color w:val="auto"/>
          <w:kern w:val="2"/>
          <w:sz w:val="24"/>
          <w:szCs w:val="24"/>
          <w:lang w:val="en-US" w:eastAsia="zh-CN" w:bidi="ar-SA"/>
        </w:rPr>
        <w:t>承担。</w:t>
      </w:r>
    </w:p>
    <w:p>
      <w:pPr>
        <w:pStyle w:val="32"/>
        <w:keepNext w:val="0"/>
        <w:keepLines w:val="0"/>
        <w:pageBreakBefore w:val="0"/>
        <w:kinsoku/>
        <w:wordWrap/>
        <w:overflowPunct/>
        <w:topLinePunct w:val="0"/>
        <w:autoSpaceDE/>
        <w:autoSpaceDN/>
        <w:bidi w:val="0"/>
        <w:adjustRightInd/>
        <w:snapToGrid/>
        <w:spacing w:line="390" w:lineRule="exact"/>
        <w:ind w:left="0" w:leftChars="0"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5.2</w:t>
      </w:r>
      <w:r>
        <w:rPr>
          <w:rFonts w:hint="eastAsia" w:ascii="宋体" w:hAnsi="宋体" w:eastAsia="宋体" w:cs="宋体"/>
          <w:color w:val="auto"/>
          <w:sz w:val="24"/>
          <w:szCs w:val="24"/>
          <w:lang w:val="en-US" w:eastAsia="zh-CN"/>
        </w:rPr>
        <w:t>供应商</w:t>
      </w:r>
      <w:r>
        <w:rPr>
          <w:rFonts w:hint="eastAsia" w:ascii="宋体" w:hAnsi="宋体" w:eastAsia="宋体" w:cs="宋体"/>
          <w:color w:val="auto"/>
          <w:kern w:val="2"/>
          <w:sz w:val="24"/>
          <w:szCs w:val="24"/>
          <w:lang w:val="en-US" w:eastAsia="zh-CN" w:bidi="ar-SA"/>
        </w:rPr>
        <w:t>可以根据运营需要开展营销活动，但需提前报招标人审批，由此产生的费用由</w:t>
      </w:r>
      <w:r>
        <w:rPr>
          <w:rFonts w:hint="eastAsia" w:ascii="宋体" w:hAnsi="宋体" w:eastAsia="宋体" w:cs="宋体"/>
          <w:color w:val="auto"/>
          <w:sz w:val="24"/>
          <w:szCs w:val="24"/>
          <w:lang w:val="en-US" w:eastAsia="zh-CN"/>
        </w:rPr>
        <w:t>供应商</w:t>
      </w:r>
      <w:r>
        <w:rPr>
          <w:rFonts w:hint="eastAsia" w:ascii="宋体" w:hAnsi="宋体" w:eastAsia="宋体" w:cs="宋体"/>
          <w:color w:val="auto"/>
          <w:kern w:val="2"/>
          <w:sz w:val="24"/>
          <w:szCs w:val="24"/>
          <w:lang w:val="en-US" w:eastAsia="zh-CN" w:bidi="ar-SA"/>
        </w:rPr>
        <w:t>负责。</w:t>
      </w:r>
      <w:r>
        <w:rPr>
          <w:rFonts w:hint="eastAsia" w:ascii="宋体" w:hAnsi="宋体" w:eastAsia="宋体" w:cs="宋体"/>
          <w:color w:val="auto"/>
          <w:sz w:val="24"/>
          <w:szCs w:val="24"/>
          <w:lang w:val="en-US" w:eastAsia="zh-CN"/>
        </w:rPr>
        <w:t>供应商</w:t>
      </w:r>
      <w:r>
        <w:rPr>
          <w:rFonts w:hint="eastAsia" w:ascii="宋体" w:hAnsi="宋体" w:eastAsia="宋体" w:cs="宋体"/>
          <w:color w:val="auto"/>
          <w:kern w:val="2"/>
          <w:sz w:val="24"/>
          <w:szCs w:val="24"/>
          <w:lang w:val="en-US" w:eastAsia="zh-CN" w:bidi="ar-SA"/>
        </w:rPr>
        <w:t>负责平台运营、品牌推广、客户群维系、广告宣传、文化传播等除食品制作、餐盒外的一切工作，招标人提供必要协助。</w:t>
      </w:r>
    </w:p>
    <w:p>
      <w:pPr>
        <w:pStyle w:val="32"/>
        <w:keepNext w:val="0"/>
        <w:keepLines w:val="0"/>
        <w:pageBreakBefore w:val="0"/>
        <w:kinsoku/>
        <w:wordWrap/>
        <w:overflowPunct/>
        <w:topLinePunct w:val="0"/>
        <w:autoSpaceDE/>
        <w:autoSpaceDN/>
        <w:bidi w:val="0"/>
        <w:adjustRightInd/>
        <w:snapToGrid/>
        <w:spacing w:line="390" w:lineRule="exact"/>
        <w:ind w:left="0" w:leftChars="0"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5.3</w:t>
      </w:r>
      <w:r>
        <w:rPr>
          <w:rFonts w:hint="eastAsia" w:ascii="宋体" w:hAnsi="宋体" w:eastAsia="宋体" w:cs="宋体"/>
          <w:color w:val="auto"/>
          <w:sz w:val="24"/>
          <w:szCs w:val="24"/>
          <w:lang w:val="en-US" w:eastAsia="zh-CN"/>
        </w:rPr>
        <w:t>供应商</w:t>
      </w:r>
      <w:r>
        <w:rPr>
          <w:rFonts w:hint="eastAsia" w:ascii="宋体" w:hAnsi="宋体" w:eastAsia="宋体" w:cs="宋体"/>
          <w:color w:val="auto"/>
          <w:kern w:val="2"/>
          <w:sz w:val="24"/>
          <w:szCs w:val="24"/>
          <w:lang w:val="en-US" w:eastAsia="zh-CN" w:bidi="ar-SA"/>
        </w:rPr>
        <w:t>负责将招标人校内食堂制作完毕的餐品及时送达分拣点，并在订餐平台</w:t>
      </w:r>
      <w:r>
        <w:rPr>
          <w:rFonts w:hint="eastAsia" w:ascii="宋体" w:hAnsi="宋体" w:eastAsia="宋体" w:cs="宋体"/>
          <w:b w:val="0"/>
          <w:bCs w:val="0"/>
          <w:color w:val="auto"/>
          <w:kern w:val="2"/>
          <w:sz w:val="24"/>
          <w:szCs w:val="24"/>
          <w:lang w:val="en-US" w:eastAsia="zh-CN" w:bidi="ar-SA"/>
        </w:rPr>
        <w:t>显示</w:t>
      </w:r>
      <w:r>
        <w:rPr>
          <w:rFonts w:hint="eastAsia" w:ascii="宋体" w:hAnsi="宋体" w:eastAsia="宋体" w:cs="宋体"/>
          <w:b w:val="0"/>
          <w:bCs w:val="0"/>
          <w:color w:val="auto"/>
          <w:kern w:val="2"/>
          <w:sz w:val="24"/>
          <w:szCs w:val="24"/>
          <w:u w:val="none"/>
          <w:lang w:val="en-US" w:eastAsia="zh-CN" w:bidi="ar-SA"/>
        </w:rPr>
        <w:t>发货之后规定时间内配送至自提柜或用户手中。对于用户选择自提柜自提的，</w:t>
      </w:r>
      <w:r>
        <w:rPr>
          <w:rFonts w:hint="eastAsia" w:ascii="宋体" w:hAnsi="宋体" w:eastAsia="宋体" w:cs="宋体"/>
          <w:color w:val="auto"/>
          <w:sz w:val="24"/>
          <w:szCs w:val="24"/>
          <w:lang w:val="en-US" w:eastAsia="zh-CN"/>
        </w:rPr>
        <w:t>供应商</w:t>
      </w:r>
      <w:r>
        <w:rPr>
          <w:rFonts w:hint="eastAsia" w:ascii="宋体" w:hAnsi="宋体" w:eastAsia="宋体" w:cs="宋体"/>
          <w:b w:val="0"/>
          <w:bCs w:val="0"/>
          <w:color w:val="auto"/>
          <w:kern w:val="2"/>
          <w:sz w:val="24"/>
          <w:szCs w:val="24"/>
          <w:u w:val="none"/>
          <w:lang w:val="en-US" w:eastAsia="zh-CN" w:bidi="ar-SA"/>
        </w:rPr>
        <w:t>应确保商户自订餐平台显示用户餐食已到达自提柜之后1小时内取用，否则</w:t>
      </w:r>
      <w:r>
        <w:rPr>
          <w:rFonts w:hint="eastAsia" w:ascii="宋体" w:hAnsi="宋体" w:eastAsia="宋体" w:cs="宋体"/>
          <w:color w:val="auto"/>
          <w:sz w:val="24"/>
          <w:szCs w:val="24"/>
          <w:lang w:val="en-US" w:eastAsia="zh-CN"/>
        </w:rPr>
        <w:t>供应商</w:t>
      </w:r>
      <w:r>
        <w:rPr>
          <w:rFonts w:hint="eastAsia" w:ascii="宋体" w:hAnsi="宋体" w:eastAsia="宋体" w:cs="宋体"/>
          <w:color w:val="auto"/>
          <w:kern w:val="2"/>
          <w:sz w:val="24"/>
          <w:szCs w:val="24"/>
          <w:lang w:val="en-US" w:eastAsia="zh-CN" w:bidi="ar-SA"/>
        </w:rPr>
        <w:t>须将餐食按逾期食品进行处理。如</w:t>
      </w:r>
      <w:r>
        <w:rPr>
          <w:rFonts w:hint="eastAsia" w:ascii="宋体" w:hAnsi="宋体" w:eastAsia="宋体" w:cs="宋体"/>
          <w:color w:val="auto"/>
          <w:sz w:val="24"/>
          <w:szCs w:val="24"/>
          <w:lang w:val="en-US" w:eastAsia="zh-CN"/>
        </w:rPr>
        <w:t>供应商</w:t>
      </w:r>
      <w:r>
        <w:rPr>
          <w:rFonts w:hint="eastAsia" w:ascii="宋体" w:hAnsi="宋体" w:eastAsia="宋体" w:cs="宋体"/>
          <w:color w:val="auto"/>
          <w:kern w:val="2"/>
          <w:sz w:val="24"/>
          <w:szCs w:val="24"/>
          <w:lang w:val="en-US" w:eastAsia="zh-CN" w:bidi="ar-SA"/>
        </w:rPr>
        <w:t>逾期配送或因中标人原因导致用户食用逾期食品，由</w:t>
      </w:r>
      <w:r>
        <w:rPr>
          <w:rFonts w:hint="eastAsia" w:ascii="宋体" w:hAnsi="宋体" w:eastAsia="宋体" w:cs="宋体"/>
          <w:color w:val="auto"/>
          <w:sz w:val="24"/>
          <w:szCs w:val="24"/>
          <w:lang w:val="en-US" w:eastAsia="zh-CN"/>
        </w:rPr>
        <w:t>供应商</w:t>
      </w:r>
      <w:r>
        <w:rPr>
          <w:rFonts w:hint="eastAsia" w:ascii="宋体" w:hAnsi="宋体" w:eastAsia="宋体" w:cs="宋体"/>
          <w:color w:val="auto"/>
          <w:kern w:val="2"/>
          <w:sz w:val="24"/>
          <w:szCs w:val="24"/>
          <w:lang w:val="en-US" w:eastAsia="zh-CN" w:bidi="ar-SA"/>
        </w:rPr>
        <w:t>承担由此造成的相应责任，食堂损失由</w:t>
      </w:r>
      <w:r>
        <w:rPr>
          <w:rFonts w:hint="eastAsia" w:ascii="宋体" w:hAnsi="宋体" w:eastAsia="宋体" w:cs="宋体"/>
          <w:color w:val="auto"/>
          <w:sz w:val="24"/>
          <w:szCs w:val="24"/>
          <w:lang w:val="en-US" w:eastAsia="zh-CN"/>
        </w:rPr>
        <w:t>供应商</w:t>
      </w:r>
      <w:r>
        <w:rPr>
          <w:rFonts w:hint="eastAsia" w:ascii="宋体" w:hAnsi="宋体" w:eastAsia="宋体" w:cs="宋体"/>
          <w:color w:val="auto"/>
          <w:kern w:val="2"/>
          <w:sz w:val="24"/>
          <w:szCs w:val="24"/>
          <w:lang w:val="en-US" w:eastAsia="zh-CN" w:bidi="ar-SA"/>
        </w:rPr>
        <w:t>承担。若由于食堂原因导致中标人逾期配送，由此产生的损失由食堂承担。</w:t>
      </w:r>
    </w:p>
    <w:p>
      <w:pPr>
        <w:pStyle w:val="32"/>
        <w:keepNext w:val="0"/>
        <w:keepLines w:val="0"/>
        <w:pageBreakBefore w:val="0"/>
        <w:kinsoku/>
        <w:wordWrap/>
        <w:overflowPunct/>
        <w:topLinePunct w:val="0"/>
        <w:autoSpaceDE/>
        <w:autoSpaceDN/>
        <w:bidi w:val="0"/>
        <w:adjustRightInd/>
        <w:snapToGrid/>
        <w:spacing w:line="390" w:lineRule="exact"/>
        <w:ind w:left="0" w:leftChars="0"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5.4</w:t>
      </w:r>
      <w:r>
        <w:rPr>
          <w:rFonts w:hint="eastAsia" w:ascii="宋体" w:hAnsi="宋体" w:eastAsia="宋体" w:cs="宋体"/>
          <w:color w:val="auto"/>
          <w:sz w:val="24"/>
          <w:szCs w:val="24"/>
          <w:lang w:val="en-US" w:eastAsia="zh-CN"/>
        </w:rPr>
        <w:t>供应商</w:t>
      </w:r>
      <w:r>
        <w:rPr>
          <w:rFonts w:hint="eastAsia" w:ascii="宋体" w:hAnsi="宋体" w:eastAsia="宋体" w:cs="宋体"/>
          <w:color w:val="auto"/>
          <w:kern w:val="2"/>
          <w:sz w:val="24"/>
          <w:szCs w:val="24"/>
          <w:lang w:val="en-US" w:eastAsia="zh-CN" w:bidi="ar-SA"/>
        </w:rPr>
        <w:t>须及时处理逾期食品，确保用户从自提柜中取出的餐品或从配送人员手中取得的餐品食品安全。</w:t>
      </w:r>
    </w:p>
    <w:p>
      <w:pPr>
        <w:pStyle w:val="32"/>
        <w:keepNext w:val="0"/>
        <w:keepLines w:val="0"/>
        <w:pageBreakBefore w:val="0"/>
        <w:kinsoku/>
        <w:wordWrap/>
        <w:overflowPunct/>
        <w:topLinePunct w:val="0"/>
        <w:autoSpaceDE/>
        <w:autoSpaceDN/>
        <w:bidi w:val="0"/>
        <w:adjustRightInd/>
        <w:snapToGrid/>
        <w:spacing w:line="390" w:lineRule="exact"/>
        <w:ind w:left="0" w:leftChars="0"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5.5</w:t>
      </w:r>
      <w:r>
        <w:rPr>
          <w:rFonts w:hint="eastAsia" w:ascii="宋体" w:hAnsi="宋体" w:eastAsia="宋体" w:cs="宋体"/>
          <w:color w:val="auto"/>
          <w:sz w:val="24"/>
          <w:szCs w:val="24"/>
          <w:lang w:val="en-US" w:eastAsia="zh-CN"/>
        </w:rPr>
        <w:t>供应商</w:t>
      </w:r>
      <w:r>
        <w:rPr>
          <w:rFonts w:hint="eastAsia" w:ascii="宋体" w:hAnsi="宋体" w:eastAsia="宋体" w:cs="宋体"/>
          <w:color w:val="auto"/>
          <w:kern w:val="2"/>
          <w:sz w:val="24"/>
          <w:szCs w:val="24"/>
          <w:lang w:val="en-US" w:eastAsia="zh-CN" w:bidi="ar-SA"/>
        </w:rPr>
        <w:t>负责招募和培训配送人员，并为配送人员提供配送所需要的运输车辆（驾驶安全责任和车辆维修由中标人负责）及物料设备（保温箱等物料设备），</w:t>
      </w:r>
      <w:r>
        <w:rPr>
          <w:rFonts w:hint="eastAsia" w:ascii="宋体" w:hAnsi="宋体" w:eastAsia="宋体" w:cs="宋体"/>
          <w:color w:val="auto"/>
          <w:sz w:val="24"/>
          <w:szCs w:val="24"/>
          <w:lang w:val="en-US" w:eastAsia="zh-CN"/>
        </w:rPr>
        <w:t>供应商</w:t>
      </w:r>
      <w:r>
        <w:rPr>
          <w:rFonts w:hint="eastAsia" w:ascii="宋体" w:hAnsi="宋体" w:eastAsia="宋体" w:cs="宋体"/>
          <w:color w:val="auto"/>
          <w:kern w:val="2"/>
          <w:sz w:val="24"/>
          <w:szCs w:val="24"/>
          <w:lang w:val="en-US" w:eastAsia="zh-CN" w:bidi="ar-SA"/>
        </w:rPr>
        <w:t>应当保证其配送人员能力适合，在配送时统一穿着工作服。</w:t>
      </w:r>
    </w:p>
    <w:p>
      <w:pPr>
        <w:pStyle w:val="32"/>
        <w:keepNext w:val="0"/>
        <w:keepLines w:val="0"/>
        <w:pageBreakBefore w:val="0"/>
        <w:kinsoku/>
        <w:wordWrap/>
        <w:overflowPunct/>
        <w:topLinePunct w:val="0"/>
        <w:autoSpaceDE/>
        <w:autoSpaceDN/>
        <w:bidi w:val="0"/>
        <w:adjustRightInd/>
        <w:snapToGrid/>
        <w:spacing w:line="390" w:lineRule="exact"/>
        <w:ind w:left="0" w:leftChars="0"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5.6</w:t>
      </w:r>
      <w:r>
        <w:rPr>
          <w:rFonts w:hint="eastAsia" w:ascii="宋体" w:hAnsi="宋体" w:eastAsia="宋体" w:cs="宋体"/>
          <w:color w:val="auto"/>
          <w:sz w:val="24"/>
          <w:szCs w:val="24"/>
          <w:lang w:val="en-US" w:eastAsia="zh-CN"/>
        </w:rPr>
        <w:t>供应商</w:t>
      </w:r>
      <w:r>
        <w:rPr>
          <w:rFonts w:hint="eastAsia" w:ascii="宋体" w:hAnsi="宋体" w:eastAsia="宋体" w:cs="宋体"/>
          <w:color w:val="auto"/>
          <w:kern w:val="2"/>
          <w:sz w:val="24"/>
          <w:szCs w:val="24"/>
          <w:lang w:val="en-US" w:eastAsia="zh-CN" w:bidi="ar-SA"/>
        </w:rPr>
        <w:t>应当在其技术范围内建立点评机制用于用户直接点评，评价包括：商品评价、参与食堂档口服务评价、配送服务评价等。</w:t>
      </w:r>
    </w:p>
    <w:p>
      <w:pPr>
        <w:pStyle w:val="32"/>
        <w:keepNext w:val="0"/>
        <w:keepLines w:val="0"/>
        <w:pageBreakBefore w:val="0"/>
        <w:kinsoku/>
        <w:wordWrap/>
        <w:overflowPunct/>
        <w:topLinePunct w:val="0"/>
        <w:autoSpaceDE/>
        <w:autoSpaceDN/>
        <w:bidi w:val="0"/>
        <w:adjustRightInd/>
        <w:snapToGrid/>
        <w:spacing w:line="390" w:lineRule="exact"/>
        <w:ind w:left="0" w:leftChars="0" w:firstLine="480" w:firstLineChars="200"/>
        <w:textAlignment w:val="auto"/>
        <w:rPr>
          <w:rFonts w:hint="eastAsia" w:ascii="宋体" w:hAnsi="宋体" w:eastAsia="宋体" w:cs="宋体"/>
          <w:color w:val="auto"/>
          <w:kern w:val="2"/>
          <w:sz w:val="24"/>
          <w:szCs w:val="24"/>
          <w:u w:val="none"/>
          <w:lang w:val="en-US" w:eastAsia="zh-CN" w:bidi="ar-SA"/>
        </w:rPr>
      </w:pPr>
      <w:r>
        <w:rPr>
          <w:rFonts w:hint="eastAsia" w:ascii="宋体" w:hAnsi="宋体" w:eastAsia="宋体" w:cs="宋体"/>
          <w:color w:val="auto"/>
          <w:sz w:val="24"/>
          <w:szCs w:val="24"/>
          <w:lang w:val="en-US" w:eastAsia="zh-CN"/>
        </w:rPr>
        <w:t>5.7供应商</w:t>
      </w:r>
      <w:r>
        <w:rPr>
          <w:rFonts w:hint="eastAsia" w:ascii="宋体" w:hAnsi="宋体" w:eastAsia="宋体" w:cs="宋体"/>
          <w:color w:val="auto"/>
          <w:kern w:val="2"/>
          <w:sz w:val="24"/>
          <w:szCs w:val="24"/>
          <w:lang w:val="en-US" w:eastAsia="zh-CN" w:bidi="ar-SA"/>
        </w:rPr>
        <w:t>应当建立线上客服机制，并安排</w:t>
      </w:r>
      <w:r>
        <w:rPr>
          <w:rFonts w:hint="eastAsia" w:ascii="宋体" w:hAnsi="宋体" w:eastAsia="宋体" w:cs="宋体"/>
          <w:color w:val="auto"/>
          <w:sz w:val="24"/>
          <w:szCs w:val="24"/>
          <w:lang w:val="en-US" w:eastAsia="zh-CN"/>
        </w:rPr>
        <w:t>供应商</w:t>
      </w:r>
      <w:r>
        <w:rPr>
          <w:rFonts w:hint="eastAsia" w:ascii="宋体" w:hAnsi="宋体" w:eastAsia="宋体" w:cs="宋体"/>
          <w:color w:val="auto"/>
          <w:kern w:val="2"/>
          <w:sz w:val="24"/>
          <w:szCs w:val="24"/>
          <w:lang w:val="en-US" w:eastAsia="zh-CN" w:bidi="ar-SA"/>
        </w:rPr>
        <w:t>专职运营主管驻扎招标人校园，以便提供及时的售后服务。</w:t>
      </w:r>
      <w:r>
        <w:rPr>
          <w:rFonts w:hint="eastAsia" w:ascii="宋体" w:hAnsi="宋体" w:eastAsia="宋体" w:cs="宋体"/>
          <w:color w:val="auto"/>
          <w:kern w:val="2"/>
          <w:sz w:val="24"/>
          <w:szCs w:val="24"/>
          <w:u w:val="none"/>
          <w:lang w:val="en-US" w:eastAsia="zh-CN" w:bidi="ar-SA"/>
        </w:rPr>
        <w:t>若用户发生疑问或投诉，且经过核实是采购人校内食堂的原因导致，涉事食堂须配合中标人处理用户的疑问或投诉。</w:t>
      </w:r>
    </w:p>
    <w:p>
      <w:pPr>
        <w:pStyle w:val="32"/>
        <w:keepNext w:val="0"/>
        <w:keepLines w:val="0"/>
        <w:pageBreakBefore w:val="0"/>
        <w:kinsoku/>
        <w:wordWrap/>
        <w:overflowPunct/>
        <w:topLinePunct w:val="0"/>
        <w:autoSpaceDE/>
        <w:autoSpaceDN/>
        <w:bidi w:val="0"/>
        <w:adjustRightInd/>
        <w:snapToGrid/>
        <w:spacing w:line="390" w:lineRule="exact"/>
        <w:ind w:left="0" w:leftChars="0"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5.8</w:t>
      </w:r>
      <w:r>
        <w:rPr>
          <w:rFonts w:hint="eastAsia" w:ascii="宋体" w:hAnsi="宋体" w:eastAsia="宋体" w:cs="宋体"/>
          <w:color w:val="auto"/>
          <w:sz w:val="24"/>
          <w:szCs w:val="24"/>
          <w:lang w:val="en-US" w:eastAsia="zh-CN"/>
        </w:rPr>
        <w:t>供应商</w:t>
      </w:r>
      <w:r>
        <w:rPr>
          <w:rFonts w:hint="eastAsia" w:ascii="宋体" w:hAnsi="宋体" w:eastAsia="宋体" w:cs="宋体"/>
          <w:color w:val="auto"/>
          <w:kern w:val="2"/>
          <w:sz w:val="24"/>
          <w:szCs w:val="24"/>
          <w:lang w:val="en-US" w:eastAsia="zh-CN" w:bidi="ar-SA"/>
        </w:rPr>
        <w:t>应当为采购人提供完整的技术支持，保证招标人能够自行查询各食堂档口每日营业数据，营业数据包括每日销售额、食堂档口评价、投诉、平均配送速度等；保证采购人能够自行查询校内食堂外卖餐饮分析月度报表，报表内容包括菜品喜好分析、经营分析、服务质量分析等。</w:t>
      </w:r>
    </w:p>
    <w:p>
      <w:pPr>
        <w:pStyle w:val="32"/>
        <w:keepNext w:val="0"/>
        <w:keepLines w:val="0"/>
        <w:pageBreakBefore w:val="0"/>
        <w:kinsoku/>
        <w:wordWrap/>
        <w:overflowPunct/>
        <w:topLinePunct w:val="0"/>
        <w:autoSpaceDE/>
        <w:autoSpaceDN/>
        <w:bidi w:val="0"/>
        <w:adjustRightInd/>
        <w:snapToGrid/>
        <w:spacing w:line="390" w:lineRule="exact"/>
        <w:ind w:left="0" w:leftChars="0" w:firstLine="482" w:firstLineChars="200"/>
        <w:textAlignment w:val="auto"/>
        <w:rPr>
          <w:rFonts w:hint="eastAsia" w:ascii="宋体" w:hAnsi="宋体" w:eastAsia="宋体" w:cs="宋体"/>
          <w:b/>
          <w:bCs/>
          <w:color w:val="auto"/>
          <w:kern w:val="2"/>
          <w:sz w:val="24"/>
          <w:szCs w:val="24"/>
          <w:lang w:val="en-US" w:eastAsia="zh-CN" w:bidi="ar-SA"/>
        </w:rPr>
      </w:pPr>
      <w:r>
        <w:rPr>
          <w:rFonts w:hint="eastAsia" w:ascii="宋体" w:hAnsi="宋体" w:eastAsia="宋体" w:cs="宋体"/>
          <w:b/>
          <w:bCs/>
          <w:color w:val="auto"/>
          <w:kern w:val="2"/>
          <w:sz w:val="24"/>
          <w:szCs w:val="24"/>
          <w:lang w:val="en-US" w:eastAsia="zh-CN" w:bidi="ar-SA"/>
        </w:rPr>
        <w:t>6.物料支持</w:t>
      </w:r>
    </w:p>
    <w:p>
      <w:pPr>
        <w:pStyle w:val="32"/>
        <w:keepNext w:val="0"/>
        <w:keepLines w:val="0"/>
        <w:pageBreakBefore w:val="0"/>
        <w:kinsoku/>
        <w:wordWrap/>
        <w:overflowPunct/>
        <w:topLinePunct w:val="0"/>
        <w:autoSpaceDE/>
        <w:autoSpaceDN/>
        <w:bidi w:val="0"/>
        <w:adjustRightInd/>
        <w:snapToGrid/>
        <w:spacing w:line="390" w:lineRule="exact"/>
        <w:ind w:left="0" w:leftChars="0"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参与本项目的食堂是经过校方审核通过后的食堂。由招标人校内食堂经营单位以及供应商分别提供相关物料支持，具体明细如下：</w:t>
      </w:r>
    </w:p>
    <w:p>
      <w:pPr>
        <w:pStyle w:val="32"/>
        <w:keepNext w:val="0"/>
        <w:keepLines w:val="0"/>
        <w:pageBreakBefore w:val="0"/>
        <w:kinsoku/>
        <w:wordWrap/>
        <w:overflowPunct/>
        <w:topLinePunct w:val="0"/>
        <w:autoSpaceDE/>
        <w:autoSpaceDN/>
        <w:bidi w:val="0"/>
        <w:adjustRightInd/>
        <w:snapToGrid/>
        <w:spacing w:line="390" w:lineRule="exact"/>
        <w:ind w:left="0" w:leftChars="0"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6.1招标人校内食堂经营单位为本次合作提供以下物料支持：</w:t>
      </w:r>
    </w:p>
    <w:p>
      <w:pPr>
        <w:pStyle w:val="32"/>
        <w:keepNext w:val="0"/>
        <w:keepLines w:val="0"/>
        <w:pageBreakBefore w:val="0"/>
        <w:kinsoku/>
        <w:wordWrap/>
        <w:overflowPunct/>
        <w:topLinePunct w:val="0"/>
        <w:autoSpaceDE/>
        <w:autoSpaceDN/>
        <w:bidi w:val="0"/>
        <w:adjustRightInd/>
        <w:snapToGrid/>
        <w:spacing w:line="390" w:lineRule="exact"/>
        <w:ind w:left="0" w:leftChars="0"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（1）餐品包装盒、餐具。</w:t>
      </w:r>
    </w:p>
    <w:p>
      <w:pPr>
        <w:pStyle w:val="32"/>
        <w:keepNext w:val="0"/>
        <w:keepLines w:val="0"/>
        <w:pageBreakBefore w:val="0"/>
        <w:kinsoku/>
        <w:wordWrap/>
        <w:overflowPunct/>
        <w:topLinePunct w:val="0"/>
        <w:autoSpaceDE/>
        <w:autoSpaceDN/>
        <w:bidi w:val="0"/>
        <w:adjustRightInd/>
        <w:snapToGrid/>
        <w:spacing w:line="390" w:lineRule="exact"/>
        <w:ind w:left="0" w:leftChars="0"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（2）分餐点。</w:t>
      </w:r>
    </w:p>
    <w:p>
      <w:pPr>
        <w:pStyle w:val="32"/>
        <w:keepNext w:val="0"/>
        <w:keepLines w:val="0"/>
        <w:pageBreakBefore w:val="0"/>
        <w:kinsoku/>
        <w:wordWrap/>
        <w:overflowPunct/>
        <w:topLinePunct w:val="0"/>
        <w:autoSpaceDE/>
        <w:autoSpaceDN/>
        <w:bidi w:val="0"/>
        <w:adjustRightInd/>
        <w:snapToGrid/>
        <w:spacing w:line="390" w:lineRule="exact"/>
        <w:ind w:left="0" w:leftChars="0"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6.2供应商为本次合作提供以下物料支持：</w:t>
      </w:r>
    </w:p>
    <w:p>
      <w:pPr>
        <w:pStyle w:val="32"/>
        <w:keepNext w:val="0"/>
        <w:keepLines w:val="0"/>
        <w:pageBreakBefore w:val="0"/>
        <w:kinsoku/>
        <w:wordWrap/>
        <w:overflowPunct/>
        <w:topLinePunct w:val="0"/>
        <w:autoSpaceDE/>
        <w:autoSpaceDN/>
        <w:bidi w:val="0"/>
        <w:adjustRightInd/>
        <w:snapToGrid/>
        <w:spacing w:line="390" w:lineRule="exact"/>
        <w:ind w:left="0" w:leftChars="0"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（1）自提柜、送餐保温箱、运输车辆、接单小票打印机。</w:t>
      </w:r>
    </w:p>
    <w:p>
      <w:pPr>
        <w:pStyle w:val="32"/>
        <w:keepNext w:val="0"/>
        <w:keepLines w:val="0"/>
        <w:pageBreakBefore w:val="0"/>
        <w:kinsoku/>
        <w:wordWrap/>
        <w:overflowPunct/>
        <w:topLinePunct w:val="0"/>
        <w:autoSpaceDE/>
        <w:autoSpaceDN/>
        <w:bidi w:val="0"/>
        <w:adjustRightInd/>
        <w:snapToGrid/>
        <w:spacing w:line="390" w:lineRule="exact"/>
        <w:ind w:left="0" w:leftChars="0"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（2）工作服。</w:t>
      </w:r>
    </w:p>
    <w:p>
      <w:pPr>
        <w:pStyle w:val="32"/>
        <w:keepNext w:val="0"/>
        <w:keepLines w:val="0"/>
        <w:pageBreakBefore w:val="0"/>
        <w:kinsoku/>
        <w:wordWrap/>
        <w:overflowPunct/>
        <w:topLinePunct w:val="0"/>
        <w:autoSpaceDE/>
        <w:autoSpaceDN/>
        <w:bidi w:val="0"/>
        <w:adjustRightInd/>
        <w:snapToGrid/>
        <w:spacing w:line="390" w:lineRule="exact"/>
        <w:ind w:left="0" w:leftChars="0"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（3）</w:t>
      </w:r>
      <w:r>
        <w:rPr>
          <w:rFonts w:hint="eastAsia" w:ascii="宋体" w:hAnsi="宋体" w:eastAsia="宋体" w:cs="宋体"/>
          <w:color w:val="auto"/>
          <w:kern w:val="2"/>
          <w:sz w:val="24"/>
          <w:szCs w:val="24"/>
          <w:lang w:val="en-US" w:eastAsia="zh-Hans" w:bidi="ar-SA"/>
        </w:rPr>
        <w:t>餐厅展示物料、校内宣传物料、餐贴</w:t>
      </w:r>
      <w:r>
        <w:rPr>
          <w:rFonts w:hint="eastAsia" w:ascii="宋体" w:hAnsi="宋体" w:eastAsia="宋体" w:cs="宋体"/>
          <w:color w:val="auto"/>
          <w:kern w:val="2"/>
          <w:sz w:val="24"/>
          <w:szCs w:val="24"/>
          <w:lang w:val="en-US" w:eastAsia="zh-CN" w:bidi="ar-SA"/>
        </w:rPr>
        <w:t>、食安封签</w:t>
      </w:r>
      <w:r>
        <w:rPr>
          <w:rFonts w:hint="eastAsia" w:ascii="宋体" w:hAnsi="宋体" w:eastAsia="宋体" w:cs="宋体"/>
          <w:color w:val="auto"/>
          <w:kern w:val="2"/>
          <w:sz w:val="24"/>
          <w:szCs w:val="24"/>
          <w:lang w:val="en-US" w:eastAsia="zh-Hans" w:bidi="ar-SA"/>
        </w:rPr>
        <w:t>等</w:t>
      </w:r>
      <w:r>
        <w:rPr>
          <w:rFonts w:hint="eastAsia" w:ascii="宋体" w:hAnsi="宋体" w:eastAsia="宋体" w:cs="宋体"/>
          <w:color w:val="auto"/>
          <w:kern w:val="2"/>
          <w:sz w:val="24"/>
          <w:szCs w:val="24"/>
          <w:lang w:val="en-US" w:eastAsia="zh-CN" w:bidi="ar-SA"/>
        </w:rPr>
        <w:t>。</w:t>
      </w:r>
    </w:p>
    <w:p>
      <w:pPr>
        <w:keepNext w:val="0"/>
        <w:keepLines w:val="0"/>
        <w:pageBreakBefore w:val="0"/>
        <w:kinsoku/>
        <w:wordWrap/>
        <w:overflowPunct/>
        <w:topLinePunct w:val="0"/>
        <w:autoSpaceDE/>
        <w:autoSpaceDN/>
        <w:bidi w:val="0"/>
        <w:adjustRightInd/>
        <w:snapToGrid/>
        <w:spacing w:line="390" w:lineRule="exact"/>
        <w:ind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（4）配套外卖的</w:t>
      </w:r>
      <w:r>
        <w:rPr>
          <w:rFonts w:hint="eastAsia" w:ascii="宋体" w:hAnsi="宋体" w:eastAsia="宋体" w:cs="宋体"/>
          <w:color w:val="auto"/>
          <w:kern w:val="2"/>
          <w:sz w:val="24"/>
          <w:szCs w:val="24"/>
          <w:lang w:val="en-US" w:eastAsia="zh-Hans" w:bidi="ar-SA"/>
        </w:rPr>
        <w:t>电脑、打印机、打单机、配送工具等相关设备数量清单。</w:t>
      </w:r>
    </w:p>
    <w:p>
      <w:pPr>
        <w:pStyle w:val="32"/>
        <w:keepNext w:val="0"/>
        <w:keepLines w:val="0"/>
        <w:pageBreakBefore w:val="0"/>
        <w:kinsoku/>
        <w:wordWrap/>
        <w:overflowPunct/>
        <w:topLinePunct w:val="0"/>
        <w:autoSpaceDE/>
        <w:autoSpaceDN/>
        <w:bidi w:val="0"/>
        <w:adjustRightInd/>
        <w:snapToGrid/>
        <w:spacing w:line="390" w:lineRule="exact"/>
        <w:ind w:left="0" w:leftChars="0"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6.3设备所有权</w:t>
      </w:r>
    </w:p>
    <w:p>
      <w:pPr>
        <w:pStyle w:val="32"/>
        <w:keepNext w:val="0"/>
        <w:keepLines w:val="0"/>
        <w:pageBreakBefore w:val="0"/>
        <w:kinsoku/>
        <w:wordWrap/>
        <w:overflowPunct/>
        <w:topLinePunct w:val="0"/>
        <w:autoSpaceDE/>
        <w:autoSpaceDN/>
        <w:bidi w:val="0"/>
        <w:adjustRightInd/>
        <w:snapToGrid/>
        <w:spacing w:line="390" w:lineRule="exact"/>
        <w:ind w:left="0" w:leftChars="0"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自提柜、送餐保温箱、运输车辆和接单小票打印机的所有权属于供应商，供应商在合同期满（或提前终止合同后）10天内将以上设备拆除，恢复原状并撤离现场。</w:t>
      </w:r>
    </w:p>
    <w:p>
      <w:pPr>
        <w:pStyle w:val="32"/>
        <w:keepNext w:val="0"/>
        <w:keepLines w:val="0"/>
        <w:pageBreakBefore w:val="0"/>
        <w:kinsoku/>
        <w:wordWrap/>
        <w:overflowPunct/>
        <w:topLinePunct w:val="0"/>
        <w:autoSpaceDE/>
        <w:autoSpaceDN/>
        <w:bidi w:val="0"/>
        <w:adjustRightInd/>
        <w:snapToGrid/>
        <w:spacing w:line="390" w:lineRule="exact"/>
        <w:ind w:left="0" w:leftChars="0"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6.4供应商在与校方合作前期会给予食堂物料支持，包含但不限于外卖箱、筷子、袋子、海报、拉推门贴、易拉宝、传单等。配合度高的食堂商家可提供品牌物料，例如门头，灯箱等，助力商家营销推广，品牌曝光。</w:t>
      </w:r>
    </w:p>
    <w:p>
      <w:pPr>
        <w:keepNext w:val="0"/>
        <w:keepLines w:val="0"/>
        <w:pageBreakBefore w:val="0"/>
        <w:kinsoku/>
        <w:wordWrap/>
        <w:overflowPunct/>
        <w:topLinePunct w:val="0"/>
        <w:autoSpaceDE/>
        <w:autoSpaceDN/>
        <w:bidi w:val="0"/>
        <w:adjustRightInd/>
        <w:snapToGrid/>
        <w:spacing w:line="39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6.5</w:t>
      </w:r>
      <w:r>
        <w:rPr>
          <w:rFonts w:hint="eastAsia" w:ascii="宋体" w:hAnsi="宋体" w:eastAsia="宋体" w:cs="宋体"/>
          <w:color w:val="auto"/>
          <w:sz w:val="24"/>
          <w:szCs w:val="24"/>
        </w:rPr>
        <w:t>因</w:t>
      </w:r>
      <w:r>
        <w:rPr>
          <w:rFonts w:hint="eastAsia" w:ascii="宋体" w:hAnsi="宋体" w:eastAsia="宋体" w:cs="宋体"/>
          <w:color w:val="auto"/>
          <w:kern w:val="2"/>
          <w:sz w:val="24"/>
          <w:szCs w:val="24"/>
          <w:lang w:val="en-US" w:eastAsia="zh-CN" w:bidi="ar-SA"/>
        </w:rPr>
        <w:t>供应商</w:t>
      </w:r>
      <w:r>
        <w:rPr>
          <w:rFonts w:hint="eastAsia" w:ascii="宋体" w:hAnsi="宋体" w:eastAsia="宋体" w:cs="宋体"/>
          <w:color w:val="auto"/>
          <w:sz w:val="24"/>
          <w:szCs w:val="24"/>
        </w:rPr>
        <w:t>配送系统涉及师生信息、相关财务信息未经许可不得泄露。</w:t>
      </w:r>
    </w:p>
    <w:p>
      <w:pPr>
        <w:keepNext w:val="0"/>
        <w:keepLines w:val="0"/>
        <w:pageBreakBefore w:val="0"/>
        <w:kinsoku/>
        <w:wordWrap/>
        <w:overflowPunct/>
        <w:topLinePunct w:val="0"/>
        <w:autoSpaceDE/>
        <w:autoSpaceDN/>
        <w:bidi w:val="0"/>
        <w:adjustRightInd/>
        <w:snapToGrid/>
        <w:spacing w:line="39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6.6</w:t>
      </w:r>
      <w:r>
        <w:rPr>
          <w:rFonts w:hint="eastAsia" w:ascii="宋体" w:hAnsi="宋体" w:eastAsia="宋体" w:cs="宋体"/>
          <w:color w:val="auto"/>
          <w:kern w:val="2"/>
          <w:sz w:val="24"/>
          <w:szCs w:val="24"/>
          <w:lang w:val="en-US" w:eastAsia="zh-CN" w:bidi="ar-SA"/>
        </w:rPr>
        <w:t>供应商</w:t>
      </w:r>
      <w:r>
        <w:rPr>
          <w:rFonts w:hint="eastAsia" w:ascii="宋体" w:hAnsi="宋体" w:eastAsia="宋体" w:cs="宋体"/>
          <w:color w:val="auto"/>
          <w:sz w:val="24"/>
          <w:szCs w:val="24"/>
        </w:rPr>
        <w:t>的所有配送体系应符合国家相关卫生安全标准，承担一切食品卫生及其他风险。</w:t>
      </w:r>
    </w:p>
    <w:p>
      <w:pPr>
        <w:keepNext w:val="0"/>
        <w:keepLines w:val="0"/>
        <w:pageBreakBefore w:val="0"/>
        <w:kinsoku/>
        <w:wordWrap/>
        <w:overflowPunct/>
        <w:topLinePunct w:val="0"/>
        <w:autoSpaceDE/>
        <w:autoSpaceDN/>
        <w:bidi w:val="0"/>
        <w:adjustRightInd/>
        <w:snapToGrid/>
        <w:spacing w:line="390" w:lineRule="exact"/>
        <w:ind w:firstLine="480" w:firstLineChars="200"/>
        <w:textAlignment w:val="auto"/>
        <w:rPr>
          <w:rFonts w:hint="eastAsia" w:ascii="宋体" w:hAnsi="宋体" w:eastAsia="宋体" w:cs="宋体"/>
          <w:color w:val="auto"/>
          <w:sz w:val="24"/>
          <w:szCs w:val="24"/>
          <w:u w:val="none"/>
        </w:rPr>
      </w:pPr>
      <w:r>
        <w:rPr>
          <w:rFonts w:hint="eastAsia" w:ascii="宋体" w:hAnsi="宋体" w:eastAsia="宋体" w:cs="宋体"/>
          <w:color w:val="auto"/>
          <w:sz w:val="24"/>
          <w:szCs w:val="24"/>
          <w:u w:val="none"/>
          <w:lang w:val="en-US" w:eastAsia="zh-CN"/>
        </w:rPr>
        <w:t>6.7</w:t>
      </w:r>
      <w:r>
        <w:rPr>
          <w:rFonts w:hint="eastAsia" w:ascii="宋体" w:hAnsi="宋体" w:eastAsia="宋体" w:cs="宋体"/>
          <w:color w:val="auto"/>
          <w:kern w:val="2"/>
          <w:sz w:val="24"/>
          <w:szCs w:val="24"/>
          <w:lang w:val="en-US" w:eastAsia="zh-CN" w:bidi="ar-SA"/>
        </w:rPr>
        <w:t>供应商</w:t>
      </w:r>
      <w:r>
        <w:rPr>
          <w:rFonts w:hint="eastAsia" w:ascii="宋体" w:hAnsi="宋体" w:eastAsia="宋体" w:cs="宋体"/>
          <w:color w:val="auto"/>
          <w:sz w:val="24"/>
          <w:szCs w:val="24"/>
          <w:u w:val="none"/>
        </w:rPr>
        <w:t>须在配送人员制服、食品包装袋、网络平台相关页面等载体中加入</w:t>
      </w:r>
      <w:r>
        <w:rPr>
          <w:rFonts w:hint="eastAsia" w:ascii="宋体" w:hAnsi="宋体" w:eastAsia="宋体" w:cs="宋体"/>
          <w:color w:val="auto"/>
          <w:sz w:val="24"/>
          <w:szCs w:val="24"/>
          <w:u w:val="none"/>
          <w:lang w:val="en-US" w:eastAsia="zh-CN"/>
        </w:rPr>
        <w:t>招标</w:t>
      </w:r>
      <w:r>
        <w:rPr>
          <w:rFonts w:hint="eastAsia" w:ascii="宋体" w:hAnsi="宋体" w:eastAsia="宋体" w:cs="宋体"/>
          <w:color w:val="auto"/>
          <w:sz w:val="24"/>
          <w:szCs w:val="24"/>
          <w:u w:val="none"/>
        </w:rPr>
        <w:t>人要求的LOGO、名称、配色等标识（由</w:t>
      </w:r>
      <w:r>
        <w:rPr>
          <w:rFonts w:hint="eastAsia" w:ascii="宋体" w:hAnsi="宋体" w:eastAsia="宋体" w:cs="宋体"/>
          <w:color w:val="auto"/>
          <w:kern w:val="2"/>
          <w:sz w:val="24"/>
          <w:szCs w:val="24"/>
          <w:lang w:val="en-US" w:eastAsia="zh-CN" w:bidi="ar-SA"/>
        </w:rPr>
        <w:t>供应商</w:t>
      </w:r>
      <w:r>
        <w:rPr>
          <w:rFonts w:hint="eastAsia" w:ascii="宋体" w:hAnsi="宋体" w:eastAsia="宋体" w:cs="宋体"/>
          <w:color w:val="auto"/>
          <w:sz w:val="24"/>
          <w:szCs w:val="24"/>
          <w:u w:val="none"/>
        </w:rPr>
        <w:t>负责设计制作，在</w:t>
      </w:r>
      <w:r>
        <w:rPr>
          <w:rFonts w:hint="eastAsia" w:ascii="宋体" w:hAnsi="宋体" w:eastAsia="宋体" w:cs="宋体"/>
          <w:color w:val="auto"/>
          <w:sz w:val="24"/>
          <w:szCs w:val="24"/>
          <w:u w:val="none"/>
          <w:lang w:val="en-US" w:eastAsia="zh-CN"/>
        </w:rPr>
        <w:t>招标</w:t>
      </w:r>
      <w:r>
        <w:rPr>
          <w:rFonts w:hint="eastAsia" w:ascii="宋体" w:hAnsi="宋体" w:eastAsia="宋体" w:cs="宋体"/>
          <w:color w:val="auto"/>
          <w:sz w:val="24"/>
          <w:szCs w:val="24"/>
          <w:u w:val="none"/>
        </w:rPr>
        <w:t>人同意设计方案后方可实施）。</w:t>
      </w:r>
    </w:p>
    <w:p>
      <w:pPr>
        <w:keepNext w:val="0"/>
        <w:keepLines w:val="0"/>
        <w:pageBreakBefore w:val="0"/>
        <w:kinsoku/>
        <w:wordWrap/>
        <w:overflowPunct/>
        <w:topLinePunct w:val="0"/>
        <w:autoSpaceDE/>
        <w:autoSpaceDN/>
        <w:bidi w:val="0"/>
        <w:adjustRightInd/>
        <w:snapToGrid/>
        <w:spacing w:line="39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6.8</w:t>
      </w:r>
      <w:r>
        <w:rPr>
          <w:rFonts w:hint="eastAsia" w:ascii="宋体" w:hAnsi="宋体" w:eastAsia="宋体" w:cs="宋体"/>
          <w:color w:val="auto"/>
          <w:kern w:val="2"/>
          <w:sz w:val="24"/>
          <w:szCs w:val="24"/>
          <w:lang w:val="en-US" w:eastAsia="zh-CN" w:bidi="ar-SA"/>
        </w:rPr>
        <w:t>供应商</w:t>
      </w:r>
      <w:r>
        <w:rPr>
          <w:rFonts w:hint="eastAsia" w:ascii="宋体" w:hAnsi="宋体" w:eastAsia="宋体" w:cs="宋体"/>
          <w:color w:val="auto"/>
          <w:sz w:val="24"/>
          <w:szCs w:val="24"/>
        </w:rPr>
        <w:t>须要提供完整、可行的运行方案（包含配送、人员、交通、突发事件、安全、赔偿等方面）。</w:t>
      </w:r>
    </w:p>
    <w:p>
      <w:pPr>
        <w:keepNext w:val="0"/>
        <w:keepLines w:val="0"/>
        <w:pageBreakBefore w:val="0"/>
        <w:kinsoku/>
        <w:wordWrap/>
        <w:overflowPunct/>
        <w:topLinePunct w:val="0"/>
        <w:autoSpaceDE/>
        <w:autoSpaceDN/>
        <w:bidi w:val="0"/>
        <w:adjustRightInd/>
        <w:snapToGrid/>
        <w:spacing w:line="39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6.9</w:t>
      </w:r>
      <w:r>
        <w:rPr>
          <w:rFonts w:hint="eastAsia" w:ascii="宋体" w:hAnsi="宋体" w:eastAsia="宋体" w:cs="宋体"/>
          <w:color w:val="auto"/>
          <w:sz w:val="24"/>
          <w:szCs w:val="24"/>
        </w:rPr>
        <w:t>付款方法和条件为：合作期间，资金</w:t>
      </w:r>
      <w:r>
        <w:rPr>
          <w:rFonts w:hint="eastAsia" w:ascii="宋体" w:hAnsi="宋体" w:cs="宋体"/>
          <w:color w:val="auto"/>
          <w:sz w:val="24"/>
          <w:szCs w:val="24"/>
          <w:lang w:eastAsia="zh-CN"/>
        </w:rPr>
        <w:t>通过</w:t>
      </w:r>
      <w:r>
        <w:rPr>
          <w:rFonts w:hint="eastAsia" w:ascii="宋体" w:hAnsi="宋体" w:eastAsia="宋体" w:cs="宋体"/>
          <w:color w:val="auto"/>
          <w:kern w:val="2"/>
          <w:sz w:val="24"/>
          <w:szCs w:val="24"/>
          <w:lang w:val="en-US" w:eastAsia="zh-CN" w:bidi="ar-SA"/>
        </w:rPr>
        <w:t>供应商</w:t>
      </w:r>
      <w:r>
        <w:rPr>
          <w:rFonts w:hint="eastAsia" w:ascii="宋体" w:hAnsi="宋体" w:cs="宋体"/>
          <w:color w:val="auto"/>
          <w:sz w:val="24"/>
          <w:szCs w:val="24"/>
          <w:lang w:eastAsia="zh-CN"/>
        </w:rPr>
        <w:t>平台</w:t>
      </w:r>
      <w:r>
        <w:rPr>
          <w:rFonts w:hint="eastAsia" w:ascii="宋体" w:hAnsi="宋体" w:eastAsia="宋体" w:cs="宋体"/>
          <w:color w:val="auto"/>
          <w:sz w:val="24"/>
          <w:szCs w:val="24"/>
        </w:rPr>
        <w:t>，按照交易日后的第一天（T+1天）的结算时间将餐款转至</w:t>
      </w:r>
      <w:r>
        <w:rPr>
          <w:rFonts w:hint="eastAsia" w:ascii="宋体" w:hAnsi="宋体" w:cs="宋体"/>
          <w:color w:val="auto"/>
          <w:sz w:val="24"/>
          <w:szCs w:val="24"/>
          <w:lang w:val="en-US" w:eastAsia="zh-CN"/>
        </w:rPr>
        <w:t>招标</w:t>
      </w:r>
      <w:r>
        <w:rPr>
          <w:rFonts w:hint="eastAsia" w:ascii="宋体" w:hAnsi="宋体" w:cs="宋体"/>
          <w:color w:val="auto"/>
          <w:sz w:val="24"/>
          <w:szCs w:val="24"/>
          <w:lang w:eastAsia="zh-CN"/>
        </w:rPr>
        <w:t>人</w:t>
      </w:r>
      <w:r>
        <w:rPr>
          <w:rFonts w:hint="eastAsia" w:ascii="宋体" w:hAnsi="宋体" w:eastAsia="宋体" w:cs="宋体"/>
          <w:color w:val="auto"/>
          <w:sz w:val="24"/>
          <w:szCs w:val="24"/>
        </w:rPr>
        <w:t>指定账户，并提供各营业网点营业收入明细账，确保明细账与当日总账相符。每逾期1天，</w:t>
      </w:r>
      <w:r>
        <w:rPr>
          <w:rFonts w:hint="eastAsia" w:ascii="宋体" w:hAnsi="宋体" w:eastAsia="宋体" w:cs="宋体"/>
          <w:color w:val="auto"/>
          <w:sz w:val="24"/>
          <w:szCs w:val="24"/>
          <w:u w:val="single"/>
        </w:rPr>
        <w:t>乙方</w:t>
      </w:r>
      <w:r>
        <w:rPr>
          <w:rFonts w:hint="eastAsia" w:ascii="宋体" w:hAnsi="宋体" w:eastAsia="宋体" w:cs="宋体"/>
          <w:color w:val="auto"/>
          <w:sz w:val="24"/>
          <w:szCs w:val="24"/>
        </w:rPr>
        <w:t>向甲方支付该天应付金额10%的违约金；逾期超过3个工作日，甲方有权解除合同、扣除履约保证金，并向</w:t>
      </w:r>
      <w:r>
        <w:rPr>
          <w:rFonts w:hint="eastAsia" w:ascii="宋体" w:hAnsi="宋体" w:eastAsia="宋体" w:cs="宋体"/>
          <w:color w:val="auto"/>
          <w:sz w:val="24"/>
          <w:szCs w:val="24"/>
          <w:u w:val="single"/>
        </w:rPr>
        <w:t>乙方</w:t>
      </w:r>
      <w:r>
        <w:rPr>
          <w:rFonts w:hint="eastAsia" w:ascii="宋体" w:hAnsi="宋体" w:eastAsia="宋体" w:cs="宋体"/>
          <w:color w:val="auto"/>
          <w:sz w:val="24"/>
          <w:szCs w:val="24"/>
        </w:rPr>
        <w:t>追回应付款项。</w:t>
      </w:r>
    </w:p>
    <w:p>
      <w:pPr>
        <w:keepNext w:val="0"/>
        <w:keepLines w:val="0"/>
        <w:pageBreakBefore w:val="0"/>
        <w:kinsoku/>
        <w:wordWrap/>
        <w:overflowPunct/>
        <w:topLinePunct w:val="0"/>
        <w:autoSpaceDE/>
        <w:autoSpaceDN/>
        <w:bidi w:val="0"/>
        <w:adjustRightInd/>
        <w:snapToGrid/>
        <w:spacing w:line="39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6.10</w:t>
      </w:r>
      <w:r>
        <w:rPr>
          <w:rFonts w:hint="eastAsia" w:ascii="宋体" w:hAnsi="宋体" w:eastAsia="宋体" w:cs="宋体"/>
          <w:color w:val="auto"/>
          <w:sz w:val="24"/>
          <w:szCs w:val="24"/>
        </w:rPr>
        <w:t>因</w:t>
      </w:r>
      <w:r>
        <w:rPr>
          <w:rFonts w:hint="eastAsia" w:ascii="宋体" w:hAnsi="宋体" w:eastAsia="宋体" w:cs="宋体"/>
          <w:color w:val="auto"/>
          <w:kern w:val="2"/>
          <w:sz w:val="24"/>
          <w:szCs w:val="24"/>
          <w:lang w:val="en-US" w:eastAsia="zh-CN" w:bidi="ar-SA"/>
        </w:rPr>
        <w:t>供应商</w:t>
      </w:r>
      <w:r>
        <w:rPr>
          <w:rFonts w:hint="eastAsia" w:ascii="宋体" w:hAnsi="宋体" w:eastAsia="宋体" w:cs="宋体"/>
          <w:color w:val="auto"/>
          <w:sz w:val="24"/>
          <w:szCs w:val="24"/>
        </w:rPr>
        <w:t>行为造成配送滞留，未按约定时间内配送，造成不良影响，由</w:t>
      </w:r>
      <w:r>
        <w:rPr>
          <w:rFonts w:hint="eastAsia" w:ascii="宋体" w:hAnsi="宋体" w:eastAsia="宋体" w:cs="宋体"/>
          <w:color w:val="auto"/>
          <w:kern w:val="2"/>
          <w:sz w:val="24"/>
          <w:szCs w:val="24"/>
          <w:lang w:val="en-US" w:eastAsia="zh-CN" w:bidi="ar-SA"/>
        </w:rPr>
        <w:t>供应商</w:t>
      </w:r>
      <w:r>
        <w:rPr>
          <w:rFonts w:hint="eastAsia" w:ascii="宋体" w:hAnsi="宋体" w:eastAsia="宋体" w:cs="宋体"/>
          <w:color w:val="auto"/>
          <w:sz w:val="24"/>
          <w:szCs w:val="24"/>
        </w:rPr>
        <w:t>先行实施赔偿等行为，消除影响。再根据影响情节，由</w:t>
      </w:r>
      <w:r>
        <w:rPr>
          <w:rFonts w:hint="eastAsia" w:ascii="宋体" w:hAnsi="宋体" w:eastAsia="宋体" w:cs="宋体"/>
          <w:color w:val="auto"/>
          <w:sz w:val="24"/>
          <w:szCs w:val="24"/>
          <w:lang w:val="en-US" w:eastAsia="zh-CN"/>
        </w:rPr>
        <w:t>招标</w:t>
      </w:r>
      <w:r>
        <w:rPr>
          <w:rFonts w:hint="eastAsia" w:ascii="宋体" w:hAnsi="宋体" w:eastAsia="宋体" w:cs="宋体"/>
          <w:color w:val="auto"/>
          <w:sz w:val="24"/>
          <w:szCs w:val="24"/>
        </w:rPr>
        <w:t>人给予相应处罚。在配送运营过程中由配送活动造成的任何纠纷均由</w:t>
      </w:r>
      <w:r>
        <w:rPr>
          <w:rFonts w:hint="eastAsia" w:ascii="宋体" w:hAnsi="宋体" w:eastAsia="宋体" w:cs="宋体"/>
          <w:color w:val="auto"/>
          <w:kern w:val="2"/>
          <w:sz w:val="24"/>
          <w:szCs w:val="24"/>
          <w:lang w:val="en-US" w:eastAsia="zh-CN" w:bidi="ar-SA"/>
        </w:rPr>
        <w:t>供应商</w:t>
      </w:r>
      <w:r>
        <w:rPr>
          <w:rFonts w:hint="eastAsia" w:ascii="宋体" w:hAnsi="宋体" w:eastAsia="宋体" w:cs="宋体"/>
          <w:color w:val="auto"/>
          <w:sz w:val="24"/>
          <w:szCs w:val="24"/>
        </w:rPr>
        <w:t>承担相应责任。</w:t>
      </w:r>
    </w:p>
    <w:p>
      <w:pPr>
        <w:keepNext w:val="0"/>
        <w:keepLines w:val="0"/>
        <w:pageBreakBefore w:val="0"/>
        <w:kinsoku/>
        <w:wordWrap/>
        <w:overflowPunct/>
        <w:topLinePunct w:val="0"/>
        <w:autoSpaceDE/>
        <w:autoSpaceDN/>
        <w:bidi w:val="0"/>
        <w:adjustRightInd/>
        <w:snapToGrid/>
        <w:spacing w:line="39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6.11</w:t>
      </w:r>
      <w:r>
        <w:rPr>
          <w:rFonts w:hint="eastAsia" w:ascii="宋体" w:hAnsi="宋体" w:eastAsia="宋体" w:cs="宋体"/>
          <w:color w:val="auto"/>
          <w:sz w:val="24"/>
          <w:szCs w:val="24"/>
        </w:rPr>
        <w:t>签订合同前，</w:t>
      </w:r>
      <w:r>
        <w:rPr>
          <w:rFonts w:hint="eastAsia" w:ascii="宋体" w:hAnsi="宋体" w:eastAsia="宋体" w:cs="宋体"/>
          <w:color w:val="auto"/>
          <w:kern w:val="2"/>
          <w:sz w:val="24"/>
          <w:szCs w:val="24"/>
          <w:lang w:val="en-US" w:eastAsia="zh-CN" w:bidi="ar-SA"/>
        </w:rPr>
        <w:t>供应商</w:t>
      </w:r>
      <w:r>
        <w:rPr>
          <w:rFonts w:hint="eastAsia" w:ascii="宋体" w:hAnsi="宋体" w:eastAsia="宋体" w:cs="宋体"/>
          <w:color w:val="auto"/>
          <w:sz w:val="24"/>
          <w:szCs w:val="24"/>
        </w:rPr>
        <w:t>须向我校缴纳</w:t>
      </w:r>
      <w:r>
        <w:rPr>
          <w:rFonts w:hint="eastAsia" w:ascii="宋体" w:hAnsi="宋体" w:eastAsia="宋体" w:cs="宋体"/>
          <w:b/>
          <w:bCs/>
          <w:color w:val="auto"/>
          <w:sz w:val="24"/>
          <w:szCs w:val="24"/>
          <w:u w:val="single"/>
          <w:lang w:val="en-US" w:eastAsia="zh-CN"/>
        </w:rPr>
        <w:t>10</w:t>
      </w:r>
      <w:r>
        <w:rPr>
          <w:rFonts w:hint="eastAsia" w:ascii="宋体" w:hAnsi="宋体" w:eastAsia="宋体" w:cs="宋体"/>
          <w:b/>
          <w:bCs/>
          <w:color w:val="auto"/>
          <w:sz w:val="24"/>
          <w:szCs w:val="24"/>
          <w:u w:val="single"/>
        </w:rPr>
        <w:t>万元</w:t>
      </w:r>
      <w:r>
        <w:rPr>
          <w:rFonts w:hint="eastAsia" w:ascii="宋体" w:hAnsi="宋体" w:eastAsia="宋体" w:cs="宋体"/>
          <w:color w:val="auto"/>
          <w:sz w:val="24"/>
          <w:szCs w:val="24"/>
        </w:rPr>
        <w:t>履约保证金。（转出方必须为</w:t>
      </w:r>
      <w:r>
        <w:rPr>
          <w:rFonts w:hint="eastAsia" w:ascii="宋体" w:hAnsi="宋体" w:eastAsia="宋体" w:cs="宋体"/>
          <w:color w:val="auto"/>
          <w:kern w:val="2"/>
          <w:sz w:val="24"/>
          <w:szCs w:val="24"/>
          <w:lang w:val="en-US" w:eastAsia="zh-CN" w:bidi="ar-SA"/>
        </w:rPr>
        <w:t>供应商</w:t>
      </w:r>
      <w:r>
        <w:rPr>
          <w:rFonts w:hint="eastAsia" w:ascii="宋体" w:hAnsi="宋体" w:eastAsia="宋体" w:cs="宋体"/>
          <w:color w:val="auto"/>
          <w:sz w:val="24"/>
          <w:szCs w:val="24"/>
        </w:rPr>
        <w:t>公司的基本账户，用途备注注明：履约保证金）</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合同执行期满后，根据</w:t>
      </w:r>
      <w:r>
        <w:rPr>
          <w:rFonts w:hint="eastAsia" w:ascii="宋体" w:hAnsi="宋体" w:eastAsia="宋体" w:cs="宋体"/>
          <w:color w:val="auto"/>
          <w:kern w:val="2"/>
          <w:sz w:val="24"/>
          <w:szCs w:val="24"/>
          <w:lang w:val="en-US" w:eastAsia="zh-CN" w:bidi="ar-SA"/>
        </w:rPr>
        <w:t>供应商</w:t>
      </w:r>
      <w:r>
        <w:rPr>
          <w:rFonts w:hint="eastAsia" w:ascii="宋体" w:hAnsi="宋体" w:eastAsia="宋体" w:cs="宋体"/>
          <w:color w:val="auto"/>
          <w:sz w:val="24"/>
          <w:szCs w:val="24"/>
        </w:rPr>
        <w:t>履约情况，扣除各类罚款、违约等费用，退还剩余履约保证金</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履约保证金不计利息。</w:t>
      </w:r>
    </w:p>
    <w:p>
      <w:pPr>
        <w:keepNext w:val="0"/>
        <w:keepLines w:val="0"/>
        <w:pageBreakBefore w:val="0"/>
        <w:kinsoku/>
        <w:wordWrap/>
        <w:overflowPunct/>
        <w:topLinePunct w:val="0"/>
        <w:autoSpaceDE/>
        <w:autoSpaceDN/>
        <w:bidi w:val="0"/>
        <w:adjustRightInd/>
        <w:snapToGrid/>
        <w:spacing w:line="39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6.12</w:t>
      </w:r>
      <w:r>
        <w:rPr>
          <w:rFonts w:hint="eastAsia" w:ascii="宋体" w:hAnsi="宋体" w:eastAsia="宋体" w:cs="宋体"/>
          <w:color w:val="auto"/>
          <w:sz w:val="24"/>
          <w:szCs w:val="24"/>
        </w:rPr>
        <w:t>合同执行期内，</w:t>
      </w:r>
      <w:r>
        <w:rPr>
          <w:rFonts w:hint="eastAsia" w:ascii="宋体" w:hAnsi="宋体" w:eastAsia="宋体" w:cs="宋体"/>
          <w:color w:val="auto"/>
          <w:kern w:val="2"/>
          <w:sz w:val="24"/>
          <w:szCs w:val="24"/>
          <w:lang w:val="en-US" w:eastAsia="zh-CN" w:bidi="ar-SA"/>
        </w:rPr>
        <w:t>供应商</w:t>
      </w:r>
      <w:r>
        <w:rPr>
          <w:rFonts w:hint="eastAsia" w:ascii="宋体" w:hAnsi="宋体" w:eastAsia="宋体" w:cs="宋体"/>
          <w:color w:val="auto"/>
          <w:sz w:val="24"/>
          <w:szCs w:val="24"/>
        </w:rPr>
        <w:t>负责软件系统的维护以及智能快餐自提柜的保洁维修，承担运行的所有费用（包含水电费、网络信息费等）。合同执行期满后，</w:t>
      </w:r>
      <w:r>
        <w:rPr>
          <w:rFonts w:hint="eastAsia" w:ascii="宋体" w:hAnsi="宋体" w:eastAsia="宋体" w:cs="宋体"/>
          <w:color w:val="auto"/>
          <w:kern w:val="2"/>
          <w:sz w:val="24"/>
          <w:szCs w:val="24"/>
          <w:lang w:val="en-US" w:eastAsia="zh-CN" w:bidi="ar-SA"/>
        </w:rPr>
        <w:t>供应商</w:t>
      </w:r>
      <w:r>
        <w:rPr>
          <w:rFonts w:hint="eastAsia" w:ascii="宋体" w:hAnsi="宋体" w:eastAsia="宋体" w:cs="宋体"/>
          <w:color w:val="auto"/>
          <w:sz w:val="24"/>
          <w:szCs w:val="24"/>
        </w:rPr>
        <w:t>一周内负责所有软硬件设备的免费撤场，否则</w:t>
      </w:r>
      <w:r>
        <w:rPr>
          <w:rFonts w:hint="eastAsia" w:ascii="宋体" w:hAnsi="宋体" w:eastAsia="宋体" w:cs="宋体"/>
          <w:color w:val="auto"/>
          <w:sz w:val="24"/>
          <w:szCs w:val="24"/>
          <w:lang w:val="en-US" w:eastAsia="zh-CN"/>
        </w:rPr>
        <w:t>招标</w:t>
      </w:r>
      <w:r>
        <w:rPr>
          <w:rFonts w:hint="eastAsia" w:ascii="宋体" w:hAnsi="宋体" w:eastAsia="宋体" w:cs="宋体"/>
          <w:color w:val="auto"/>
          <w:sz w:val="24"/>
          <w:szCs w:val="24"/>
        </w:rPr>
        <w:t>人有权自行处理，</w:t>
      </w:r>
      <w:r>
        <w:rPr>
          <w:rFonts w:hint="eastAsia" w:ascii="宋体" w:hAnsi="宋体" w:eastAsia="宋体" w:cs="宋体"/>
          <w:color w:val="auto"/>
          <w:kern w:val="2"/>
          <w:sz w:val="24"/>
          <w:szCs w:val="24"/>
          <w:lang w:val="en-US" w:eastAsia="zh-CN" w:bidi="ar-SA"/>
        </w:rPr>
        <w:t>供应商</w:t>
      </w:r>
      <w:r>
        <w:rPr>
          <w:rFonts w:hint="eastAsia" w:ascii="宋体" w:hAnsi="宋体" w:eastAsia="宋体" w:cs="宋体"/>
          <w:color w:val="auto"/>
          <w:sz w:val="24"/>
          <w:szCs w:val="24"/>
        </w:rPr>
        <w:t>承担处理费用。</w:t>
      </w:r>
    </w:p>
    <w:p>
      <w:pPr>
        <w:keepNext w:val="0"/>
        <w:keepLines w:val="0"/>
        <w:pageBreakBefore w:val="0"/>
        <w:kinsoku/>
        <w:wordWrap/>
        <w:overflowPunct/>
        <w:topLinePunct w:val="0"/>
        <w:autoSpaceDE/>
        <w:autoSpaceDN/>
        <w:bidi w:val="0"/>
        <w:adjustRightInd/>
        <w:snapToGrid/>
        <w:spacing w:line="39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6.13</w:t>
      </w:r>
      <w:r>
        <w:rPr>
          <w:rFonts w:hint="eastAsia" w:ascii="宋体" w:hAnsi="宋体" w:eastAsia="宋体" w:cs="宋体"/>
          <w:color w:val="auto"/>
          <w:sz w:val="24"/>
          <w:szCs w:val="24"/>
        </w:rPr>
        <w:t>订餐系统功能：服务商网络订餐系统仅限于校内食堂外卖业务，不夹杂订餐以外的其他业务，以确保订餐安全有序。</w:t>
      </w:r>
    </w:p>
    <w:p>
      <w:pPr>
        <w:pStyle w:val="65"/>
        <w:keepNext w:val="0"/>
        <w:keepLines w:val="0"/>
        <w:pageBreakBefore w:val="0"/>
        <w:kinsoku/>
        <w:wordWrap/>
        <w:overflowPunct/>
        <w:topLinePunct w:val="0"/>
        <w:autoSpaceDE/>
        <w:autoSpaceDN/>
        <w:bidi w:val="0"/>
        <w:adjustRightInd/>
        <w:snapToGrid/>
        <w:spacing w:line="390" w:lineRule="exact"/>
        <w:ind w:left="0" w:leftChars="0"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6.14店铺运营。</w:t>
      </w:r>
    </w:p>
    <w:p>
      <w:pPr>
        <w:pStyle w:val="65"/>
        <w:keepNext w:val="0"/>
        <w:keepLines w:val="0"/>
        <w:pageBreakBefore w:val="0"/>
        <w:kinsoku/>
        <w:wordWrap/>
        <w:overflowPunct/>
        <w:topLinePunct w:val="0"/>
        <w:autoSpaceDE/>
        <w:autoSpaceDN/>
        <w:bidi w:val="0"/>
        <w:adjustRightInd/>
        <w:snapToGrid/>
        <w:spacing w:line="390" w:lineRule="exact"/>
        <w:ind w:left="0" w:leftChars="0"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校内食堂上线之后，供应商需派遣专业运营人员协助商家完成制作店内海报和店铺招牌，展示出店铺品类的特点和优势，协助商家优化菜单栏菜品分类及描述的展示，提高店铺的质感，提高下单转化率。为校园食堂商家提供线上、线下培训方式为商家赋能，协助解决商家运营痛点，提高商家运营能力。</w:t>
      </w:r>
    </w:p>
    <w:p>
      <w:pPr>
        <w:pStyle w:val="65"/>
        <w:keepNext w:val="0"/>
        <w:keepLines w:val="0"/>
        <w:pageBreakBefore w:val="0"/>
        <w:kinsoku/>
        <w:wordWrap/>
        <w:overflowPunct/>
        <w:topLinePunct w:val="0"/>
        <w:autoSpaceDE/>
        <w:autoSpaceDN/>
        <w:bidi w:val="0"/>
        <w:adjustRightInd/>
        <w:snapToGrid/>
        <w:spacing w:line="390" w:lineRule="exact"/>
        <w:ind w:left="0" w:leftChars="0"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6.15专属服务团队</w:t>
      </w:r>
    </w:p>
    <w:p>
      <w:pPr>
        <w:pStyle w:val="65"/>
        <w:keepNext w:val="0"/>
        <w:keepLines w:val="0"/>
        <w:pageBreakBefore w:val="0"/>
        <w:kinsoku/>
        <w:wordWrap/>
        <w:overflowPunct/>
        <w:topLinePunct w:val="0"/>
        <w:autoSpaceDE/>
        <w:autoSpaceDN/>
        <w:bidi w:val="0"/>
        <w:adjustRightInd/>
        <w:snapToGrid/>
        <w:spacing w:line="390" w:lineRule="exact"/>
        <w:ind w:left="0" w:leftChars="0"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为落实与校方合作，供应商须配备不低于5名工作人员，包括配送侧、外卖侧、总部运营侧等。校内配送人员必须使用学生，并应持有效的体检健康证明，经过专业知识和安全知识培训，且经考核合格后方可上岗。</w:t>
      </w:r>
    </w:p>
    <w:p>
      <w:pPr>
        <w:keepNext w:val="0"/>
        <w:keepLines w:val="0"/>
        <w:pageBreakBefore w:val="0"/>
        <w:kinsoku/>
        <w:wordWrap/>
        <w:overflowPunct/>
        <w:topLinePunct w:val="0"/>
        <w:autoSpaceDE/>
        <w:autoSpaceDN/>
        <w:bidi w:val="0"/>
        <w:adjustRightInd/>
        <w:snapToGrid/>
        <w:spacing w:line="390" w:lineRule="exact"/>
        <w:ind w:firstLine="482" w:firstLineChars="200"/>
        <w:textAlignment w:val="auto"/>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7.售后服务要求</w:t>
      </w:r>
    </w:p>
    <w:p>
      <w:pPr>
        <w:pStyle w:val="32"/>
        <w:keepNext w:val="0"/>
        <w:keepLines w:val="0"/>
        <w:pageBreakBefore w:val="0"/>
        <w:kinsoku/>
        <w:wordWrap/>
        <w:overflowPunct/>
        <w:topLinePunct w:val="0"/>
        <w:autoSpaceDE/>
        <w:autoSpaceDN/>
        <w:bidi w:val="0"/>
        <w:adjustRightInd/>
        <w:snapToGrid/>
        <w:spacing w:line="390" w:lineRule="exact"/>
        <w:ind w:left="0" w:leftChars="0"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7.1服务期内，相关费用每月结算一次。</w:t>
      </w:r>
    </w:p>
    <w:p>
      <w:pPr>
        <w:pStyle w:val="32"/>
        <w:keepNext w:val="0"/>
        <w:keepLines w:val="0"/>
        <w:pageBreakBefore w:val="0"/>
        <w:kinsoku/>
        <w:wordWrap/>
        <w:overflowPunct/>
        <w:topLinePunct w:val="0"/>
        <w:autoSpaceDE/>
        <w:autoSpaceDN/>
        <w:bidi w:val="0"/>
        <w:adjustRightInd/>
        <w:snapToGrid/>
        <w:spacing w:line="390" w:lineRule="exact"/>
        <w:ind w:left="0" w:leftChars="0" w:firstLine="480" w:firstLineChars="200"/>
        <w:textAlignment w:val="auto"/>
        <w:rPr>
          <w:rFonts w:hint="default"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7.2招标人需指定专门收款账户用于收取订单货款。其</w:t>
      </w:r>
      <w:r>
        <w:rPr>
          <w:rFonts w:hint="eastAsia" w:ascii="宋体" w:hAnsi="宋体" w:cs="宋体"/>
          <w:color w:val="auto"/>
          <w:kern w:val="2"/>
          <w:sz w:val="24"/>
          <w:szCs w:val="24"/>
          <w:lang w:val="en-US" w:eastAsia="zh-CN" w:bidi="ar-SA"/>
        </w:rPr>
        <w:t>中垃圾清运费供应商在合同签订前一次性向采购人缴清。</w:t>
      </w:r>
    </w:p>
    <w:p>
      <w:pPr>
        <w:pStyle w:val="32"/>
        <w:keepNext w:val="0"/>
        <w:keepLines w:val="0"/>
        <w:pageBreakBefore w:val="0"/>
        <w:kinsoku/>
        <w:wordWrap/>
        <w:overflowPunct/>
        <w:topLinePunct w:val="0"/>
        <w:autoSpaceDE/>
        <w:autoSpaceDN/>
        <w:bidi w:val="0"/>
        <w:adjustRightInd/>
        <w:snapToGrid/>
        <w:spacing w:line="390" w:lineRule="exact"/>
        <w:ind w:left="0" w:leftChars="0"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7.3若已结算的订单发生退款，由中标人按照用户要求先行退款，中标人与采购</w:t>
      </w:r>
    </w:p>
    <w:p>
      <w:pPr>
        <w:pStyle w:val="32"/>
        <w:keepNext w:val="0"/>
        <w:keepLines w:val="0"/>
        <w:pageBreakBefore w:val="0"/>
        <w:kinsoku/>
        <w:wordWrap/>
        <w:overflowPunct/>
        <w:topLinePunct w:val="0"/>
        <w:autoSpaceDE/>
        <w:autoSpaceDN/>
        <w:bidi w:val="0"/>
        <w:adjustRightInd/>
        <w:snapToGrid/>
        <w:spacing w:line="390" w:lineRule="exact"/>
        <w:ind w:left="0" w:leftChars="0" w:firstLine="0" w:firstLineChars="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人结算货款时按以下情形在下一次结算时处理：</w:t>
      </w:r>
    </w:p>
    <w:p>
      <w:pPr>
        <w:pStyle w:val="32"/>
        <w:keepNext w:val="0"/>
        <w:keepLines w:val="0"/>
        <w:pageBreakBefore w:val="0"/>
        <w:kinsoku/>
        <w:wordWrap/>
        <w:overflowPunct/>
        <w:topLinePunct w:val="0"/>
        <w:autoSpaceDE/>
        <w:autoSpaceDN/>
        <w:bidi w:val="0"/>
        <w:adjustRightInd/>
        <w:snapToGrid/>
        <w:spacing w:line="390" w:lineRule="exact"/>
        <w:ind w:left="420" w:firstLine="0" w:firstLineChars="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（1）因供应商配送时间出现问题，不能满足用户要求的，退款由中标人承担。</w:t>
      </w:r>
    </w:p>
    <w:p>
      <w:pPr>
        <w:pStyle w:val="32"/>
        <w:keepNext w:val="0"/>
        <w:keepLines w:val="0"/>
        <w:pageBreakBefore w:val="0"/>
        <w:kinsoku/>
        <w:wordWrap/>
        <w:overflowPunct/>
        <w:topLinePunct w:val="0"/>
        <w:autoSpaceDE/>
        <w:autoSpaceDN/>
        <w:bidi w:val="0"/>
        <w:adjustRightInd/>
        <w:snapToGrid/>
        <w:spacing w:line="390" w:lineRule="exact"/>
        <w:ind w:left="0" w:leftChars="0"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（2）因供应商配送过程中出现诸如餐品受到污染、变质或分量减少等导致餐品质量或安全出现问题的，食品安全责任及退款等全部由供应商承担。</w:t>
      </w:r>
    </w:p>
    <w:p>
      <w:pPr>
        <w:pStyle w:val="32"/>
        <w:keepNext w:val="0"/>
        <w:keepLines w:val="0"/>
        <w:pageBreakBefore w:val="0"/>
        <w:kinsoku/>
        <w:wordWrap/>
        <w:overflowPunct/>
        <w:topLinePunct w:val="0"/>
        <w:autoSpaceDE/>
        <w:autoSpaceDN/>
        <w:bidi w:val="0"/>
        <w:adjustRightInd/>
        <w:snapToGrid/>
        <w:spacing w:line="390" w:lineRule="exact"/>
        <w:ind w:left="0" w:leftChars="0"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（3）因招标人校内食堂制作的餐品出现质量问题的，食品安全责任及退款等由招标人校内相关食堂承担。</w:t>
      </w:r>
    </w:p>
    <w:p>
      <w:pPr>
        <w:pStyle w:val="32"/>
        <w:keepNext w:val="0"/>
        <w:keepLines w:val="0"/>
        <w:pageBreakBefore w:val="0"/>
        <w:numPr>
          <w:ilvl w:val="0"/>
          <w:numId w:val="0"/>
        </w:numPr>
        <w:kinsoku/>
        <w:wordWrap/>
        <w:overflowPunct/>
        <w:topLinePunct w:val="0"/>
        <w:autoSpaceDE/>
        <w:autoSpaceDN/>
        <w:bidi w:val="0"/>
        <w:adjustRightInd/>
        <w:snapToGrid/>
        <w:spacing w:line="390" w:lineRule="exact"/>
        <w:ind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7.4合同执行期内，供应商负责软件系统的维护以及相关硬件的保养维修，承</w:t>
      </w:r>
    </w:p>
    <w:p>
      <w:pPr>
        <w:pStyle w:val="32"/>
        <w:keepNext w:val="0"/>
        <w:keepLines w:val="0"/>
        <w:pageBreakBefore w:val="0"/>
        <w:numPr>
          <w:ilvl w:val="0"/>
          <w:numId w:val="0"/>
        </w:numPr>
        <w:kinsoku/>
        <w:wordWrap/>
        <w:overflowPunct/>
        <w:topLinePunct w:val="0"/>
        <w:autoSpaceDE/>
        <w:autoSpaceDN/>
        <w:bidi w:val="0"/>
        <w:adjustRightInd/>
        <w:snapToGrid/>
        <w:spacing w:line="390" w:lineRule="exac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担运行的所有费用（包含电费、网络信息费等）。合同执行期满后，供应商一周内负责所有软硬件设备的免费撤场，否则采购方有权自行处理，供应商承担处理费用。</w:t>
      </w:r>
    </w:p>
    <w:p>
      <w:pPr>
        <w:keepNext w:val="0"/>
        <w:keepLines w:val="0"/>
        <w:pageBreakBefore w:val="0"/>
        <w:kinsoku/>
        <w:wordWrap/>
        <w:overflowPunct/>
        <w:topLinePunct w:val="0"/>
        <w:autoSpaceDE/>
        <w:autoSpaceDN/>
        <w:bidi w:val="0"/>
        <w:adjustRightInd/>
        <w:snapToGrid/>
        <w:spacing w:line="390" w:lineRule="exact"/>
        <w:ind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7.5供应商须规范用工，符合《劳动合同法》等法律法规，负责配送人员的人身、交通、治安等各类安全责任，由供应商自行承当，与校方无关。</w:t>
      </w:r>
    </w:p>
    <w:p>
      <w:pPr>
        <w:keepNext w:val="0"/>
        <w:keepLines w:val="0"/>
        <w:pageBreakBefore w:val="0"/>
        <w:kinsoku/>
        <w:wordWrap/>
        <w:overflowPunct/>
        <w:topLinePunct w:val="0"/>
        <w:autoSpaceDE/>
        <w:autoSpaceDN/>
        <w:bidi w:val="0"/>
        <w:adjustRightInd/>
        <w:snapToGrid/>
        <w:spacing w:line="390" w:lineRule="exact"/>
        <w:ind w:firstLine="480" w:firstLineChars="200"/>
        <w:textAlignment w:val="auto"/>
        <w:rPr>
          <w:b/>
          <w:kern w:val="0"/>
          <w:sz w:val="28"/>
          <w:szCs w:val="28"/>
          <w:lang w:val="zh-CN"/>
        </w:rPr>
      </w:pPr>
      <w:r>
        <w:rPr>
          <w:rFonts w:hint="eastAsia" w:ascii="宋体" w:hAnsi="宋体" w:eastAsia="宋体" w:cs="宋体"/>
          <w:color w:val="auto"/>
          <w:kern w:val="2"/>
          <w:sz w:val="24"/>
          <w:szCs w:val="24"/>
          <w:lang w:val="en-US" w:eastAsia="zh-CN" w:bidi="ar-SA"/>
        </w:rPr>
        <w:t>7.6供应商经营活动必须符合国家法律法规及学校有关规章制度，服从学校管理。如在服务过程中，无条件接收政府有关部门和学校的监督管理，并妥善处理有关部门建议，一旦被卫生监管部门、工商行政、税务部、人力资源等部门查获违规，责任自负，费用自理。</w:t>
      </w:r>
    </w:p>
    <w:p/>
    <w:p>
      <w:pPr>
        <w:pStyle w:val="15"/>
        <w:spacing w:line="360" w:lineRule="auto"/>
        <w:jc w:val="left"/>
        <w:rPr>
          <w:rFonts w:hint="eastAsia" w:ascii="宋体" w:hAnsi="宋体" w:eastAsia="宋体" w:cs="宋体"/>
          <w:lang w:val="zh-CN"/>
        </w:rPr>
      </w:pPr>
    </w:p>
    <w:p>
      <w:pPr>
        <w:rPr>
          <w:rFonts w:hint="eastAsia" w:ascii="宋体" w:hAnsi="宋体" w:eastAsia="宋体" w:cs="宋体"/>
          <w:color w:val="auto"/>
          <w:kern w:val="44"/>
          <w:sz w:val="36"/>
          <w:szCs w:val="36"/>
          <w:u w:color="000000"/>
          <w:lang w:val="zh-TW" w:eastAsia="zh-TW"/>
        </w:rPr>
      </w:pPr>
      <w:bookmarkStart w:id="15" w:name="_Toc15896"/>
      <w:r>
        <w:rPr>
          <w:rFonts w:hint="eastAsia" w:ascii="宋体" w:hAnsi="宋体" w:eastAsia="宋体" w:cs="宋体"/>
          <w:color w:val="auto"/>
          <w:kern w:val="44"/>
          <w:sz w:val="36"/>
          <w:szCs w:val="36"/>
          <w:u w:color="000000"/>
          <w:lang w:val="zh-TW" w:eastAsia="zh-TW"/>
        </w:rPr>
        <w:br w:type="page"/>
      </w:r>
    </w:p>
    <w:p>
      <w:pPr>
        <w:keepNext/>
        <w:keepLines/>
        <w:spacing w:before="312" w:beforeLines="100" w:after="312" w:afterLines="100" w:line="360" w:lineRule="auto"/>
        <w:jc w:val="center"/>
        <w:outlineLvl w:val="0"/>
        <w:rPr>
          <w:rFonts w:hint="eastAsia" w:ascii="宋体" w:hAnsi="宋体" w:eastAsia="宋体" w:cs="宋体"/>
          <w:color w:val="auto"/>
          <w:kern w:val="44"/>
          <w:sz w:val="36"/>
          <w:szCs w:val="36"/>
          <w:u w:color="000000"/>
          <w:lang w:val="zh-TW" w:eastAsia="zh-TW"/>
        </w:rPr>
      </w:pPr>
      <w:r>
        <w:rPr>
          <w:rFonts w:hint="eastAsia" w:ascii="宋体" w:hAnsi="宋体" w:eastAsia="宋体" w:cs="宋体"/>
          <w:color w:val="auto"/>
          <w:kern w:val="44"/>
          <w:sz w:val="36"/>
          <w:szCs w:val="36"/>
          <w:u w:color="000000"/>
          <w:lang w:val="zh-TW" w:eastAsia="zh-TW"/>
        </w:rPr>
        <w:t>第</w:t>
      </w:r>
      <w:r>
        <w:rPr>
          <w:rFonts w:hint="eastAsia" w:ascii="宋体" w:hAnsi="宋体" w:eastAsia="宋体" w:cs="宋体"/>
          <w:color w:val="auto"/>
          <w:kern w:val="44"/>
          <w:sz w:val="36"/>
          <w:szCs w:val="36"/>
          <w:u w:color="000000"/>
          <w:lang w:val="zh-TW"/>
        </w:rPr>
        <w:t>五</w:t>
      </w:r>
      <w:r>
        <w:rPr>
          <w:rFonts w:hint="eastAsia" w:ascii="宋体" w:hAnsi="宋体" w:eastAsia="宋体" w:cs="宋体"/>
          <w:color w:val="auto"/>
          <w:kern w:val="44"/>
          <w:sz w:val="36"/>
          <w:szCs w:val="36"/>
          <w:u w:color="000000"/>
          <w:lang w:val="zh-TW" w:eastAsia="zh-TW"/>
        </w:rPr>
        <w:t>章  评标方法与评标标准</w:t>
      </w:r>
      <w:bookmarkEnd w:id="15"/>
    </w:p>
    <w:p>
      <w:pPr>
        <w:spacing w:line="360" w:lineRule="auto"/>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一、评标方法与定标原则</w:t>
      </w:r>
    </w:p>
    <w:p>
      <w:pPr>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评标委员会将对确定为实质性响应招标文件要求的投标文件进行评价和比较，评标采用综合评分法。对未中标人，将不作任何解释。</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bCs/>
          <w:color w:val="auto"/>
          <w:sz w:val="24"/>
          <w:szCs w:val="24"/>
        </w:rPr>
        <w:t>采用综合评分法的，按评审后综合得分由高到低顺序排列。综合得分相同的，按投标报价由低到高顺序排列。综合得分且投标报价相同的，按技术指标优劣顺序排列。</w:t>
      </w:r>
    </w:p>
    <w:p>
      <w:pPr>
        <w:spacing w:line="360" w:lineRule="auto"/>
        <w:ind w:firstLine="482" w:firstLineChars="200"/>
        <w:rPr>
          <w:rFonts w:ascii="宋体" w:hAnsi="宋体" w:eastAsia="宋体" w:cs="宋体"/>
          <w:b/>
          <w:color w:val="auto"/>
          <w:sz w:val="24"/>
          <w:szCs w:val="24"/>
        </w:rPr>
      </w:pPr>
      <w:r>
        <w:rPr>
          <w:rFonts w:hint="eastAsia" w:ascii="宋体" w:hAnsi="宋体" w:eastAsia="宋体" w:cs="宋体"/>
          <w:b/>
          <w:color w:val="auto"/>
          <w:sz w:val="24"/>
          <w:szCs w:val="24"/>
        </w:rPr>
        <w:t>二、评标标准</w:t>
      </w:r>
    </w:p>
    <w:tbl>
      <w:tblPr>
        <w:tblStyle w:val="25"/>
        <w:tblW w:w="93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4"/>
        <w:gridCol w:w="1670"/>
        <w:gridCol w:w="6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194" w:type="dxa"/>
            <w:noWrap w:val="0"/>
            <w:vAlign w:val="center"/>
          </w:tcPr>
          <w:p>
            <w:pPr>
              <w:spacing w:line="360" w:lineRule="auto"/>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分值分布</w:t>
            </w:r>
          </w:p>
        </w:tc>
        <w:tc>
          <w:tcPr>
            <w:tcW w:w="1670" w:type="dxa"/>
            <w:noWrap w:val="0"/>
            <w:vAlign w:val="center"/>
          </w:tcPr>
          <w:p>
            <w:pPr>
              <w:spacing w:line="360" w:lineRule="auto"/>
              <w:jc w:val="center"/>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评审分值</w:t>
            </w:r>
          </w:p>
        </w:tc>
        <w:tc>
          <w:tcPr>
            <w:tcW w:w="6514" w:type="dxa"/>
            <w:noWrap w:val="0"/>
            <w:vAlign w:val="center"/>
          </w:tcPr>
          <w:p>
            <w:pPr>
              <w:spacing w:line="360" w:lineRule="auto"/>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jc w:val="center"/>
        </w:trPr>
        <w:tc>
          <w:tcPr>
            <w:tcW w:w="1194" w:type="dxa"/>
            <w:vMerge w:val="restart"/>
            <w:noWrap w:val="0"/>
            <w:vAlign w:val="center"/>
          </w:tcPr>
          <w:p>
            <w:pPr>
              <w:spacing w:line="360" w:lineRule="auto"/>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投标报价</w:t>
            </w:r>
          </w:p>
          <w:p>
            <w:pPr>
              <w:spacing w:line="360" w:lineRule="auto"/>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w:t>
            </w:r>
            <w:r>
              <w:rPr>
                <w:rFonts w:hint="eastAsia" w:ascii="宋体" w:hAnsi="宋体" w:eastAsia="宋体" w:cs="宋体"/>
                <w:b w:val="0"/>
                <w:bCs w:val="0"/>
                <w:sz w:val="24"/>
                <w:szCs w:val="24"/>
                <w:lang w:val="en-US" w:eastAsia="zh-CN"/>
              </w:rPr>
              <w:t>25</w:t>
            </w:r>
            <w:r>
              <w:rPr>
                <w:rFonts w:hint="eastAsia" w:ascii="宋体" w:hAnsi="宋体" w:eastAsia="宋体" w:cs="宋体"/>
                <w:b w:val="0"/>
                <w:bCs w:val="0"/>
                <w:sz w:val="24"/>
                <w:szCs w:val="24"/>
              </w:rPr>
              <w:t>分）</w:t>
            </w:r>
          </w:p>
        </w:tc>
        <w:tc>
          <w:tcPr>
            <w:tcW w:w="1670" w:type="dxa"/>
            <w:noWrap w:val="0"/>
            <w:vAlign w:val="center"/>
          </w:tcPr>
          <w:p>
            <w:pPr>
              <w:spacing w:line="360" w:lineRule="auto"/>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平台服务费</w:t>
            </w:r>
          </w:p>
          <w:p>
            <w:pPr>
              <w:spacing w:line="360" w:lineRule="auto"/>
              <w:jc w:val="center"/>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（10分）</w:t>
            </w:r>
          </w:p>
        </w:tc>
        <w:tc>
          <w:tcPr>
            <w:tcW w:w="6514" w:type="dxa"/>
            <w:noWrap w:val="0"/>
            <w:vAlign w:val="center"/>
          </w:tcPr>
          <w:p>
            <w:pPr>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采用低价优先法计算，平台服务费按比例报价，不超过配送菜品营业额的5%,平台运营服务费报价得分=（评分基准价/投标报价）×10分。基准价计算规则为，满足招标文件要求且投标价格最低的投标报价为评定的基准价。</w:t>
            </w:r>
          </w:p>
          <w:p>
            <w:pPr>
              <w:spacing w:line="360" w:lineRule="auto"/>
              <w:jc w:val="left"/>
              <w:rPr>
                <w:rFonts w:hint="default"/>
                <w:lang w:val="en-US" w:eastAsia="zh-CN"/>
              </w:rPr>
            </w:pPr>
            <w:r>
              <w:rPr>
                <w:rFonts w:hint="eastAsia" w:ascii="宋体" w:hAnsi="宋体" w:eastAsia="宋体" w:cs="宋体"/>
                <w:b/>
                <w:bCs/>
                <w:sz w:val="24"/>
                <w:szCs w:val="24"/>
                <w:lang w:val="en-US" w:eastAsia="zh-CN"/>
              </w:rPr>
              <w:t>备注：报价不能为零。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1194" w:type="dxa"/>
            <w:vMerge w:val="continue"/>
            <w:noWrap w:val="0"/>
            <w:vAlign w:val="center"/>
          </w:tcPr>
          <w:p>
            <w:pPr>
              <w:spacing w:line="360" w:lineRule="auto"/>
              <w:jc w:val="left"/>
            </w:pPr>
          </w:p>
        </w:tc>
        <w:tc>
          <w:tcPr>
            <w:tcW w:w="1670" w:type="dxa"/>
            <w:noWrap w:val="0"/>
            <w:vAlign w:val="center"/>
          </w:tcPr>
          <w:p>
            <w:pPr>
              <w:spacing w:line="360" w:lineRule="auto"/>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垃圾清运费</w:t>
            </w:r>
          </w:p>
          <w:p>
            <w:pPr>
              <w:spacing w:line="360" w:lineRule="auto"/>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（10分）</w:t>
            </w:r>
          </w:p>
        </w:tc>
        <w:tc>
          <w:tcPr>
            <w:tcW w:w="6514" w:type="dxa"/>
            <w:noWrap w:val="0"/>
            <w:vAlign w:val="center"/>
          </w:tcPr>
          <w:p>
            <w:pPr>
              <w:spacing w:line="360" w:lineRule="auto"/>
              <w:jc w:val="left"/>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满足招标文件要求的最高投标报价为评标基准价，得满分10分，清理费得分=（自报清理费/评标基准价）×10×100%，最低不得低于5万元/年。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94" w:type="dxa"/>
            <w:vMerge w:val="continue"/>
            <w:noWrap w:val="0"/>
            <w:vAlign w:val="center"/>
          </w:tcPr>
          <w:p>
            <w:pPr>
              <w:spacing w:line="360" w:lineRule="auto"/>
              <w:jc w:val="center"/>
              <w:rPr>
                <w:rFonts w:hint="eastAsia" w:ascii="宋体" w:hAnsi="宋体" w:eastAsia="宋体" w:cs="宋体"/>
                <w:b w:val="0"/>
                <w:bCs w:val="0"/>
                <w:sz w:val="24"/>
                <w:szCs w:val="24"/>
              </w:rPr>
            </w:pPr>
          </w:p>
        </w:tc>
        <w:tc>
          <w:tcPr>
            <w:tcW w:w="1670" w:type="dxa"/>
            <w:noWrap w:val="0"/>
            <w:vAlign w:val="center"/>
          </w:tcPr>
          <w:p>
            <w:pPr>
              <w:spacing w:line="360" w:lineRule="auto"/>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配送费</w:t>
            </w:r>
          </w:p>
          <w:p>
            <w:pPr>
              <w:spacing w:line="360" w:lineRule="auto"/>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（5分）</w:t>
            </w:r>
          </w:p>
        </w:tc>
        <w:tc>
          <w:tcPr>
            <w:tcW w:w="6514" w:type="dxa"/>
            <w:noWrap w:val="0"/>
            <w:vAlign w:val="center"/>
          </w:tcPr>
          <w:p>
            <w:pPr>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按单价报价，不超过2元/单，最多保留1位小数；配送服务费报价得分=（评分基准价/投标报价）×5分，基准价计算规则为，满足招标文件要求且投标价格最低的投标报价为评定的基准价。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2" w:hRule="atLeast"/>
          <w:jc w:val="center"/>
        </w:trPr>
        <w:tc>
          <w:tcPr>
            <w:tcW w:w="1194" w:type="dxa"/>
            <w:vMerge w:val="restart"/>
            <w:noWrap w:val="0"/>
            <w:vAlign w:val="center"/>
          </w:tcPr>
          <w:p>
            <w:pPr>
              <w:spacing w:line="360" w:lineRule="auto"/>
              <w:jc w:val="center"/>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企业实力</w:t>
            </w:r>
            <w:r>
              <w:rPr>
                <w:rFonts w:hint="eastAsia" w:ascii="宋体" w:hAnsi="宋体" w:eastAsia="宋体" w:cs="宋体"/>
                <w:b w:val="0"/>
                <w:bCs w:val="0"/>
                <w:sz w:val="24"/>
                <w:szCs w:val="24"/>
              </w:rPr>
              <w:t>（</w:t>
            </w:r>
            <w:r>
              <w:rPr>
                <w:rFonts w:hint="eastAsia" w:ascii="宋体" w:hAnsi="宋体" w:eastAsia="宋体" w:cs="宋体"/>
                <w:b w:val="0"/>
                <w:bCs w:val="0"/>
                <w:sz w:val="24"/>
                <w:szCs w:val="24"/>
                <w:lang w:val="en-US" w:eastAsia="zh-CN"/>
              </w:rPr>
              <w:t>75</w:t>
            </w:r>
            <w:r>
              <w:rPr>
                <w:rFonts w:hint="eastAsia" w:ascii="宋体" w:hAnsi="宋体" w:eastAsia="宋体" w:cs="宋体"/>
                <w:b w:val="0"/>
                <w:bCs w:val="0"/>
                <w:sz w:val="24"/>
                <w:szCs w:val="24"/>
              </w:rPr>
              <w:t>分）</w:t>
            </w:r>
          </w:p>
        </w:tc>
        <w:tc>
          <w:tcPr>
            <w:tcW w:w="1670" w:type="dxa"/>
            <w:noWrap w:val="0"/>
            <w:vAlign w:val="center"/>
          </w:tcPr>
          <w:p>
            <w:pPr>
              <w:spacing w:line="360" w:lineRule="auto"/>
              <w:jc w:val="center"/>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履约能力</w:t>
            </w:r>
          </w:p>
          <w:p>
            <w:pPr>
              <w:spacing w:line="360" w:lineRule="auto"/>
              <w:jc w:val="center"/>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lang w:val="en-US" w:eastAsia="zh-CN"/>
              </w:rPr>
              <w:t>22分</w:t>
            </w:r>
            <w:r>
              <w:rPr>
                <w:rFonts w:hint="eastAsia" w:ascii="宋体" w:hAnsi="宋体" w:eastAsia="宋体" w:cs="宋体"/>
                <w:b w:val="0"/>
                <w:bCs w:val="0"/>
                <w:sz w:val="24"/>
                <w:szCs w:val="24"/>
                <w:lang w:eastAsia="zh-CN"/>
              </w:rPr>
              <w:t>）</w:t>
            </w:r>
          </w:p>
        </w:tc>
        <w:tc>
          <w:tcPr>
            <w:tcW w:w="6514" w:type="dxa"/>
            <w:noWrap w:val="0"/>
            <w:vAlign w:val="center"/>
          </w:tcPr>
          <w:p>
            <w:pPr>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1.供应商具有IS020000信息技术服务管理体系认证证书和ISO27001信息安全管理体系认证证书得3分，未提供或少提供不得分。</w:t>
            </w:r>
          </w:p>
          <w:p>
            <w:pPr>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2.供应商具有网络食品交易第三方平台备案得3分，未提供不得分。</w:t>
            </w:r>
          </w:p>
          <w:p>
            <w:pPr>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3.供应商应具备自主研发能力，其所提供的运营管理系统应有自主知识产权，需提供由国家版权局颁发的相关软件著作权登记证书的3分，未提供不得分。</w:t>
            </w:r>
          </w:p>
          <w:p>
            <w:pPr>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4.供应商具有信息系统备案等级证明的得3分，未提供不得分。</w:t>
            </w:r>
          </w:p>
          <w:p>
            <w:pPr>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5.供应商须提供经营项目公共责任险及食品安全责任险，须提供投保证明，并承诺如中标将为该项目也投保上述两项险种得5分，未提供不得分。</w:t>
            </w:r>
          </w:p>
          <w:p>
            <w:pPr>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6.提供运单、派单、订单分配等配送相关专利证明，每提供1个得1分，最高5分。</w:t>
            </w:r>
          </w:p>
          <w:p>
            <w:pPr>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bCs/>
                <w:sz w:val="24"/>
                <w:szCs w:val="24"/>
                <w:lang w:val="en-US" w:eastAsia="zh-CN"/>
              </w:rPr>
              <w:t>备注：以上全部内容需提供证明材料复印件，加盖公章，不提供者不得分，原件备查。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1194" w:type="dxa"/>
            <w:vMerge w:val="continue"/>
            <w:noWrap w:val="0"/>
            <w:vAlign w:val="center"/>
          </w:tcPr>
          <w:p>
            <w:pPr>
              <w:spacing w:line="360" w:lineRule="auto"/>
              <w:jc w:val="center"/>
              <w:rPr>
                <w:rFonts w:hint="eastAsia" w:ascii="宋体" w:hAnsi="宋体" w:eastAsia="宋体" w:cs="宋体"/>
                <w:b w:val="0"/>
                <w:bCs w:val="0"/>
                <w:sz w:val="24"/>
                <w:szCs w:val="24"/>
              </w:rPr>
            </w:pPr>
          </w:p>
        </w:tc>
        <w:tc>
          <w:tcPr>
            <w:tcW w:w="1670" w:type="dxa"/>
            <w:noWrap w:val="0"/>
            <w:vAlign w:val="center"/>
          </w:tcPr>
          <w:p>
            <w:pPr>
              <w:spacing w:line="360" w:lineRule="auto"/>
              <w:jc w:val="center"/>
              <w:rPr>
                <w:rFonts w:hint="eastAsia" w:eastAsia="宋体"/>
                <w:lang w:eastAsia="zh-CN"/>
              </w:rPr>
            </w:pPr>
            <w:r>
              <w:rPr>
                <w:rFonts w:hint="eastAsia" w:ascii="宋体" w:hAnsi="宋体" w:eastAsia="宋体" w:cs="宋体"/>
                <w:b w:val="0"/>
                <w:bCs w:val="0"/>
                <w:sz w:val="24"/>
                <w:szCs w:val="24"/>
                <w:lang w:val="en-US" w:eastAsia="zh-CN"/>
              </w:rPr>
              <w:t>系统开发方案（5分）</w:t>
            </w:r>
          </w:p>
        </w:tc>
        <w:tc>
          <w:tcPr>
            <w:tcW w:w="6514" w:type="dxa"/>
            <w:noWrap w:val="0"/>
            <w:vAlign w:val="center"/>
          </w:tcPr>
          <w:p>
            <w:pPr>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网络订餐系统需聚合到学校的指定的一站式平台，师生通过官方入口进入到点餐界面，不经过任何与学校无关的app、公众号、小程序。提供三所及以上案例可得5分，提供3所及以下或未提供得0分。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1194" w:type="dxa"/>
            <w:vMerge w:val="continue"/>
            <w:noWrap w:val="0"/>
            <w:vAlign w:val="center"/>
          </w:tcPr>
          <w:p>
            <w:pPr>
              <w:spacing w:line="360" w:lineRule="auto"/>
              <w:jc w:val="left"/>
            </w:pPr>
          </w:p>
        </w:tc>
        <w:tc>
          <w:tcPr>
            <w:tcW w:w="1670" w:type="dxa"/>
            <w:noWrap w:val="0"/>
            <w:vAlign w:val="center"/>
          </w:tcPr>
          <w:p>
            <w:pPr>
              <w:spacing w:line="360" w:lineRule="auto"/>
              <w:jc w:val="center"/>
            </w:pPr>
            <w:r>
              <w:rPr>
                <w:rFonts w:hint="eastAsia" w:ascii="宋体" w:hAnsi="宋体" w:eastAsia="宋体" w:cs="宋体"/>
                <w:b w:val="0"/>
                <w:bCs w:val="0"/>
                <w:sz w:val="24"/>
                <w:szCs w:val="24"/>
                <w:lang w:val="en-US" w:eastAsia="zh-CN"/>
              </w:rPr>
              <w:t>智能取餐方案（5分）</w:t>
            </w:r>
          </w:p>
        </w:tc>
        <w:tc>
          <w:tcPr>
            <w:tcW w:w="6514" w:type="dxa"/>
            <w:noWrap w:val="0"/>
            <w:vAlign w:val="center"/>
          </w:tcPr>
          <w:p>
            <w:pPr>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智能取餐柜满足同时存取、催取、超时锁定等功能，并需附智能取餐柜材料及技术符合国家卫生标准的检测报告。得分标准：满足同时存取，得1分；满足催取、超时锁定功能，每项得1分，总分2分；满足自动紫外线消毒功能，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194" w:type="dxa"/>
            <w:vMerge w:val="continue"/>
            <w:noWrap w:val="0"/>
            <w:vAlign w:val="center"/>
          </w:tcPr>
          <w:p>
            <w:pPr>
              <w:spacing w:line="360" w:lineRule="auto"/>
              <w:jc w:val="left"/>
              <w:rPr>
                <w:rFonts w:hint="eastAsia" w:ascii="宋体" w:hAnsi="宋体" w:eastAsia="宋体" w:cs="宋体"/>
                <w:b w:val="0"/>
                <w:bCs w:val="0"/>
                <w:sz w:val="24"/>
                <w:szCs w:val="24"/>
                <w:lang w:val="en-US" w:eastAsia="zh-CN"/>
              </w:rPr>
            </w:pPr>
          </w:p>
        </w:tc>
        <w:tc>
          <w:tcPr>
            <w:tcW w:w="1670" w:type="dxa"/>
            <w:noWrap w:val="0"/>
            <w:vAlign w:val="center"/>
          </w:tcPr>
          <w:p>
            <w:pPr>
              <w:spacing w:line="360" w:lineRule="auto"/>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人员配备方案（5分）</w:t>
            </w:r>
          </w:p>
        </w:tc>
        <w:tc>
          <w:tcPr>
            <w:tcW w:w="6514" w:type="dxa"/>
            <w:noWrap w:val="0"/>
            <w:vAlign w:val="center"/>
          </w:tcPr>
          <w:p>
            <w:pPr>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评委根据投标人人员投入情况酌情打分，优秀得5分，良好得3分，一般得1分，不提供者得0分。投标人需提供本项目配备人员缴纳六个月及以上社保证明复印件，加盖公章，原件备查。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94" w:type="dxa"/>
            <w:vMerge w:val="continue"/>
            <w:noWrap w:val="0"/>
            <w:vAlign w:val="center"/>
          </w:tcPr>
          <w:p>
            <w:pPr>
              <w:spacing w:line="360" w:lineRule="auto"/>
              <w:jc w:val="left"/>
              <w:rPr>
                <w:rFonts w:hint="eastAsia" w:ascii="宋体" w:hAnsi="宋体" w:eastAsia="宋体" w:cs="宋体"/>
                <w:b w:val="0"/>
                <w:bCs w:val="0"/>
                <w:sz w:val="24"/>
                <w:szCs w:val="24"/>
                <w:lang w:val="en-US" w:eastAsia="zh-CN"/>
              </w:rPr>
            </w:pPr>
          </w:p>
        </w:tc>
        <w:tc>
          <w:tcPr>
            <w:tcW w:w="1670" w:type="dxa"/>
            <w:noWrap w:val="0"/>
            <w:vAlign w:val="center"/>
          </w:tcPr>
          <w:p>
            <w:pPr>
              <w:spacing w:line="360" w:lineRule="auto"/>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应急预案</w:t>
            </w:r>
          </w:p>
          <w:p>
            <w:pPr>
              <w:spacing w:line="360" w:lineRule="auto"/>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（5分）</w:t>
            </w:r>
          </w:p>
        </w:tc>
        <w:tc>
          <w:tcPr>
            <w:tcW w:w="6514" w:type="dxa"/>
            <w:noWrap w:val="0"/>
            <w:vAlign w:val="center"/>
          </w:tcPr>
          <w:p>
            <w:pPr>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评委根据投标人突发事件应急预案完整齐全合理实际可操作性的得5分，一般得3分，较差得1分，不提供者不得分。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94" w:type="dxa"/>
            <w:vMerge w:val="continue"/>
            <w:noWrap w:val="0"/>
            <w:vAlign w:val="center"/>
          </w:tcPr>
          <w:p>
            <w:pPr>
              <w:spacing w:line="360" w:lineRule="auto"/>
              <w:jc w:val="center"/>
              <w:rPr>
                <w:rFonts w:hint="eastAsia" w:ascii="宋体" w:hAnsi="宋体" w:eastAsia="宋体" w:cs="宋体"/>
                <w:b w:val="0"/>
                <w:bCs w:val="0"/>
                <w:sz w:val="24"/>
                <w:szCs w:val="24"/>
              </w:rPr>
            </w:pPr>
          </w:p>
        </w:tc>
        <w:tc>
          <w:tcPr>
            <w:tcW w:w="1670" w:type="dxa"/>
            <w:noWrap w:val="0"/>
            <w:vAlign w:val="center"/>
          </w:tcPr>
          <w:p>
            <w:pPr>
              <w:spacing w:line="360" w:lineRule="auto"/>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企业业绩</w:t>
            </w:r>
          </w:p>
          <w:p>
            <w:pPr>
              <w:spacing w:line="360" w:lineRule="auto"/>
              <w:jc w:val="center"/>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（20分）</w:t>
            </w:r>
          </w:p>
        </w:tc>
        <w:tc>
          <w:tcPr>
            <w:tcW w:w="6514" w:type="dxa"/>
            <w:noWrap w:val="0"/>
            <w:vAlign w:val="center"/>
          </w:tcPr>
          <w:p>
            <w:pPr>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投标人有成熟的类似项目运营经验，自2020年1月1日以来（以合同签订时间为准），具有同类项目成功案例，提供合同全部文件，每个项目计2分，最多计20分。</w:t>
            </w:r>
          </w:p>
          <w:p>
            <w:pPr>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bCs/>
                <w:sz w:val="24"/>
                <w:szCs w:val="24"/>
                <w:lang w:val="en-US" w:eastAsia="zh-CN"/>
              </w:rPr>
              <w:t>备注：提供合同复印件并加盖公章，合同中加以双方名称、经营期限及经营地点须清晰可见，原件备查，不提供者不得分。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94" w:type="dxa"/>
            <w:vMerge w:val="continue"/>
            <w:noWrap w:val="0"/>
            <w:vAlign w:val="center"/>
          </w:tcPr>
          <w:p>
            <w:pPr>
              <w:spacing w:line="360" w:lineRule="auto"/>
              <w:jc w:val="center"/>
              <w:rPr>
                <w:rFonts w:hint="eastAsia" w:ascii="宋体" w:hAnsi="宋体" w:eastAsia="宋体" w:cs="宋体"/>
                <w:b w:val="0"/>
                <w:bCs w:val="0"/>
                <w:sz w:val="24"/>
                <w:szCs w:val="24"/>
                <w:lang w:val="en-US" w:eastAsia="zh-CN"/>
              </w:rPr>
            </w:pPr>
          </w:p>
        </w:tc>
        <w:tc>
          <w:tcPr>
            <w:tcW w:w="1670" w:type="dxa"/>
            <w:noWrap w:val="0"/>
            <w:vAlign w:val="center"/>
          </w:tcPr>
          <w:p>
            <w:pPr>
              <w:spacing w:line="360" w:lineRule="auto"/>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服务承诺</w:t>
            </w:r>
          </w:p>
          <w:p>
            <w:pPr>
              <w:spacing w:line="360" w:lineRule="auto"/>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（10分）</w:t>
            </w:r>
          </w:p>
        </w:tc>
        <w:tc>
          <w:tcPr>
            <w:tcW w:w="6514" w:type="dxa"/>
            <w:noWrap w:val="0"/>
            <w:vAlign w:val="center"/>
          </w:tcPr>
          <w:p>
            <w:pPr>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1.投标人对经营服务风险承担、安全责任承担、经营管理服务质量、卫生和安全保障、环保等方面做出承诺。评委根据供应商承诺情况酌情打分，优秀得5分，良好得3分，一般得1分，不提供者得0分。</w:t>
            </w:r>
          </w:p>
          <w:p>
            <w:pPr>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2.市场推广服务，投标人承诺免一个月配送费的，得2分，每增加一个月加1分，最多得5分。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94" w:type="dxa"/>
            <w:vMerge w:val="continue"/>
            <w:noWrap w:val="0"/>
            <w:vAlign w:val="center"/>
          </w:tcPr>
          <w:p>
            <w:pPr>
              <w:spacing w:line="360" w:lineRule="auto"/>
              <w:jc w:val="center"/>
              <w:rPr>
                <w:rFonts w:hint="eastAsia" w:ascii="宋体" w:hAnsi="宋体" w:eastAsia="宋体" w:cs="宋体"/>
                <w:b w:val="0"/>
                <w:bCs w:val="0"/>
                <w:sz w:val="24"/>
                <w:szCs w:val="24"/>
              </w:rPr>
            </w:pPr>
          </w:p>
        </w:tc>
        <w:tc>
          <w:tcPr>
            <w:tcW w:w="1670" w:type="dxa"/>
            <w:noWrap w:val="0"/>
            <w:vAlign w:val="center"/>
          </w:tcPr>
          <w:p>
            <w:pPr>
              <w:spacing w:line="360" w:lineRule="auto"/>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现场答辩</w:t>
            </w:r>
          </w:p>
          <w:p>
            <w:pPr>
              <w:spacing w:line="360" w:lineRule="auto"/>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（3分）</w:t>
            </w:r>
          </w:p>
        </w:tc>
        <w:tc>
          <w:tcPr>
            <w:tcW w:w="6514" w:type="dxa"/>
            <w:noWrap w:val="0"/>
            <w:vAlign w:val="center"/>
          </w:tcPr>
          <w:p>
            <w:pPr>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投标人拟派驻本项目的项目经理现场答辩不超过3分钟，内容包含公司概况、类似经验和针对本项目管理方案等，优秀得3分，较好得2分，一般得1分，可以使用PPT，需自备U盘拷贝。</w:t>
            </w:r>
          </w:p>
        </w:tc>
      </w:tr>
    </w:tbl>
    <w:p>
      <w:pPr>
        <w:spacing w:line="360" w:lineRule="auto"/>
        <w:ind w:firstLine="482" w:firstLineChars="200"/>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rPr>
        <w:t xml:space="preserve">注： </w:t>
      </w:r>
      <w:r>
        <w:rPr>
          <w:rFonts w:hint="eastAsia" w:ascii="宋体" w:hAnsi="宋体" w:eastAsia="宋体" w:cs="宋体"/>
          <w:b/>
          <w:bCs w:val="0"/>
          <w:color w:val="auto"/>
          <w:sz w:val="24"/>
          <w:szCs w:val="24"/>
          <w:lang w:val="en-US" w:eastAsia="zh-CN"/>
        </w:rPr>
        <w:t>1、</w:t>
      </w:r>
      <w:r>
        <w:rPr>
          <w:rFonts w:hint="eastAsia" w:ascii="宋体" w:hAnsi="宋体" w:eastAsia="宋体" w:cs="宋体"/>
          <w:b/>
          <w:bCs w:val="0"/>
          <w:color w:val="auto"/>
          <w:sz w:val="24"/>
          <w:szCs w:val="24"/>
        </w:rPr>
        <w:t>投标文件必须对上述评分标准逐条具体应答，并注明在投标文件中相应页码。</w:t>
      </w:r>
      <w:r>
        <w:rPr>
          <w:rFonts w:hint="eastAsia" w:ascii="宋体" w:hAnsi="宋体" w:eastAsia="宋体" w:cs="宋体"/>
          <w:b/>
          <w:bCs w:val="0"/>
          <w:color w:val="auto"/>
          <w:sz w:val="24"/>
          <w:szCs w:val="24"/>
          <w:lang w:val="en-US" w:eastAsia="zh-CN"/>
        </w:rPr>
        <w:t>2</w:t>
      </w:r>
      <w:r>
        <w:rPr>
          <w:rFonts w:hint="eastAsia" w:ascii="宋体" w:hAnsi="宋体" w:eastAsia="宋体" w:cs="宋体"/>
          <w:b/>
          <w:bCs w:val="0"/>
          <w:color w:val="auto"/>
          <w:sz w:val="24"/>
          <w:szCs w:val="24"/>
        </w:rPr>
        <w:t>、评分细则中要求提供的证明文件及资料等在</w:t>
      </w:r>
      <w:r>
        <w:rPr>
          <w:rFonts w:hint="eastAsia" w:ascii="宋体" w:hAnsi="宋体" w:eastAsia="宋体" w:cs="宋体"/>
          <w:b/>
          <w:bCs w:val="0"/>
          <w:color w:val="auto"/>
          <w:sz w:val="24"/>
          <w:szCs w:val="24"/>
          <w:lang w:val="en-US" w:eastAsia="zh-CN"/>
        </w:rPr>
        <w:t>投标</w:t>
      </w:r>
      <w:r>
        <w:rPr>
          <w:rFonts w:hint="eastAsia" w:ascii="宋体" w:hAnsi="宋体" w:eastAsia="宋体" w:cs="宋体"/>
          <w:b/>
          <w:bCs w:val="0"/>
          <w:color w:val="auto"/>
          <w:sz w:val="24"/>
          <w:szCs w:val="24"/>
        </w:rPr>
        <w:t>文件中提供复印件，要求“原件备查”的须在</w:t>
      </w:r>
      <w:r>
        <w:rPr>
          <w:rFonts w:hint="eastAsia" w:ascii="宋体" w:hAnsi="宋体" w:eastAsia="宋体" w:cs="宋体"/>
          <w:b/>
          <w:bCs w:val="0"/>
          <w:color w:val="auto"/>
          <w:sz w:val="24"/>
          <w:szCs w:val="24"/>
          <w:lang w:val="en-US" w:eastAsia="zh-CN"/>
        </w:rPr>
        <w:t>投标</w:t>
      </w:r>
      <w:r>
        <w:rPr>
          <w:rFonts w:hint="eastAsia" w:ascii="宋体" w:hAnsi="宋体" w:eastAsia="宋体" w:cs="宋体"/>
          <w:b/>
          <w:bCs w:val="0"/>
          <w:color w:val="auto"/>
          <w:sz w:val="24"/>
          <w:szCs w:val="24"/>
        </w:rPr>
        <w:t>文件递交截止前将相关原件或公证件带至开评标现场并按要求提交评委会审查。</w:t>
      </w:r>
      <w:r>
        <w:rPr>
          <w:rFonts w:hint="eastAsia" w:ascii="宋体" w:hAnsi="宋体" w:eastAsia="宋体" w:cs="宋体"/>
          <w:b/>
          <w:bCs w:val="0"/>
          <w:color w:val="auto"/>
          <w:sz w:val="24"/>
          <w:szCs w:val="24"/>
          <w:lang w:val="en-US" w:eastAsia="zh-CN"/>
        </w:rPr>
        <w:t>3</w:t>
      </w:r>
      <w:r>
        <w:rPr>
          <w:rFonts w:hint="eastAsia" w:ascii="宋体" w:hAnsi="宋体" w:eastAsia="宋体" w:cs="宋体"/>
          <w:b/>
          <w:bCs w:val="0"/>
          <w:color w:val="auto"/>
          <w:sz w:val="24"/>
          <w:szCs w:val="24"/>
        </w:rPr>
        <w:t>、评审时，</w:t>
      </w:r>
      <w:r>
        <w:rPr>
          <w:rFonts w:hint="eastAsia" w:ascii="宋体" w:hAnsi="宋体" w:eastAsia="宋体" w:cs="宋体"/>
          <w:b/>
          <w:bCs w:val="0"/>
          <w:color w:val="auto"/>
          <w:sz w:val="24"/>
          <w:szCs w:val="24"/>
          <w:lang w:val="en-US" w:eastAsia="zh-CN"/>
        </w:rPr>
        <w:t>无法</w:t>
      </w:r>
      <w:r>
        <w:rPr>
          <w:rFonts w:hint="eastAsia" w:ascii="宋体" w:hAnsi="宋体" w:eastAsia="宋体" w:cs="宋体"/>
          <w:b/>
          <w:bCs w:val="0"/>
          <w:color w:val="auto"/>
          <w:sz w:val="24"/>
          <w:szCs w:val="24"/>
        </w:rPr>
        <w:t>提供相应证明（复印件和原件、公证件）的，不作为评审依据，不得分。</w:t>
      </w:r>
    </w:p>
    <w:p>
      <w:pPr>
        <w:rPr>
          <w:rFonts w:hint="eastAsia" w:ascii="宋体" w:hAnsi="宋体" w:eastAsia="宋体" w:cs="宋体"/>
          <w:color w:val="auto"/>
          <w:kern w:val="44"/>
          <w:sz w:val="36"/>
          <w:szCs w:val="36"/>
          <w:u w:color="000000"/>
          <w:lang w:val="zh-TW" w:eastAsia="zh-TW"/>
        </w:rPr>
      </w:pPr>
      <w:r>
        <w:rPr>
          <w:rFonts w:hint="eastAsia" w:ascii="宋体" w:hAnsi="宋体" w:eastAsia="宋体" w:cs="宋体"/>
          <w:color w:val="auto"/>
          <w:kern w:val="44"/>
          <w:sz w:val="36"/>
          <w:szCs w:val="36"/>
          <w:u w:color="000000"/>
          <w:lang w:val="zh-TW" w:eastAsia="zh-TW"/>
        </w:rPr>
        <w:br w:type="page"/>
      </w:r>
    </w:p>
    <w:p>
      <w:pPr>
        <w:keepNext/>
        <w:keepLines/>
        <w:spacing w:before="312" w:beforeLines="100" w:after="312" w:afterLines="100" w:line="360" w:lineRule="auto"/>
        <w:jc w:val="center"/>
        <w:outlineLvl w:val="0"/>
        <w:rPr>
          <w:rFonts w:hint="eastAsia" w:ascii="宋体" w:hAnsi="宋体" w:eastAsia="宋体" w:cs="宋体"/>
          <w:color w:val="auto"/>
          <w:kern w:val="44"/>
          <w:sz w:val="36"/>
          <w:szCs w:val="36"/>
          <w:u w:color="000000"/>
          <w:lang w:val="zh-TW" w:eastAsia="zh-TW"/>
        </w:rPr>
      </w:pPr>
      <w:bookmarkStart w:id="16" w:name="_Toc5120"/>
      <w:r>
        <w:rPr>
          <w:rFonts w:hint="eastAsia" w:ascii="宋体" w:hAnsi="宋体" w:eastAsia="宋体" w:cs="宋体"/>
          <w:color w:val="auto"/>
          <w:kern w:val="44"/>
          <w:sz w:val="36"/>
          <w:szCs w:val="36"/>
          <w:u w:color="000000"/>
          <w:lang w:val="zh-TW" w:eastAsia="zh-TW"/>
        </w:rPr>
        <w:t>第</w:t>
      </w:r>
      <w:r>
        <w:rPr>
          <w:rFonts w:hint="eastAsia" w:ascii="宋体" w:hAnsi="宋体" w:eastAsia="宋体" w:cs="宋体"/>
          <w:color w:val="auto"/>
          <w:kern w:val="44"/>
          <w:sz w:val="36"/>
          <w:szCs w:val="36"/>
          <w:u w:color="000000"/>
          <w:lang w:val="zh-TW"/>
        </w:rPr>
        <w:t>六</w:t>
      </w:r>
      <w:r>
        <w:rPr>
          <w:rFonts w:hint="eastAsia" w:ascii="宋体" w:hAnsi="宋体" w:eastAsia="宋体" w:cs="宋体"/>
          <w:color w:val="auto"/>
          <w:kern w:val="44"/>
          <w:sz w:val="36"/>
          <w:szCs w:val="36"/>
          <w:u w:color="000000"/>
          <w:lang w:val="zh-TW" w:eastAsia="zh-TW"/>
        </w:rPr>
        <w:t>章  投标文件格式</w:t>
      </w:r>
      <w:bookmarkEnd w:id="16"/>
    </w:p>
    <w:p>
      <w:pPr>
        <w:spacing w:line="360" w:lineRule="auto"/>
        <w:jc w:val="right"/>
        <w:rPr>
          <w:rFonts w:hint="eastAsia" w:ascii="宋体" w:hAnsi="宋体" w:eastAsia="宋体" w:cs="宋体"/>
          <w:color w:val="auto"/>
          <w:sz w:val="36"/>
          <w:szCs w:val="36"/>
          <w:lang w:val="zh-TW" w:eastAsia="zh-TW"/>
        </w:rPr>
      </w:pPr>
      <w:r>
        <w:rPr>
          <w:rFonts w:hint="eastAsia" w:ascii="宋体" w:hAnsi="宋体" w:eastAsia="宋体" w:cs="宋体"/>
          <w:color w:val="auto"/>
          <w:sz w:val="36"/>
          <w:szCs w:val="36"/>
          <w:lang w:val="zh-TW"/>
        </w:rPr>
        <w:t>正本/副本</w:t>
      </w:r>
    </w:p>
    <w:p>
      <w:pPr>
        <w:spacing w:line="360" w:lineRule="auto"/>
        <w:rPr>
          <w:rFonts w:hint="eastAsia" w:ascii="宋体" w:hAnsi="宋体" w:eastAsia="宋体" w:cs="宋体"/>
          <w:color w:val="auto"/>
          <w:sz w:val="36"/>
          <w:szCs w:val="36"/>
          <w:u w:val="single" w:color="000000"/>
          <w:lang w:val="zh-TW" w:eastAsia="zh-TW"/>
        </w:rPr>
      </w:pPr>
    </w:p>
    <w:p>
      <w:pPr>
        <w:spacing w:line="360" w:lineRule="auto"/>
        <w:rPr>
          <w:rFonts w:hint="eastAsia" w:ascii="宋体" w:hAnsi="宋体" w:eastAsia="宋体" w:cs="宋体"/>
          <w:color w:val="auto"/>
          <w:sz w:val="36"/>
          <w:szCs w:val="36"/>
          <w:u w:val="single" w:color="000000"/>
          <w:lang w:val="zh-TW" w:eastAsia="zh-TW"/>
        </w:rPr>
      </w:pPr>
    </w:p>
    <w:p>
      <w:pPr>
        <w:spacing w:line="360" w:lineRule="auto"/>
        <w:rPr>
          <w:rFonts w:hint="eastAsia" w:ascii="宋体" w:hAnsi="宋体" w:eastAsia="宋体" w:cs="宋体"/>
          <w:color w:val="auto"/>
          <w:sz w:val="36"/>
          <w:szCs w:val="36"/>
          <w:u w:val="single" w:color="000000"/>
          <w:lang w:val="zh-TW" w:eastAsia="zh-TW"/>
        </w:rPr>
      </w:pPr>
    </w:p>
    <w:p>
      <w:pPr>
        <w:spacing w:line="360" w:lineRule="auto"/>
        <w:jc w:val="center"/>
        <w:rPr>
          <w:rFonts w:hint="eastAsia" w:ascii="宋体" w:hAnsi="宋体" w:eastAsia="宋体" w:cs="宋体"/>
          <w:color w:val="auto"/>
          <w:sz w:val="36"/>
          <w:szCs w:val="36"/>
          <w:lang w:val="zh-TW" w:eastAsia="zh-CN"/>
        </w:rPr>
      </w:pPr>
      <w:r>
        <w:rPr>
          <w:rFonts w:hint="eastAsia" w:ascii="宋体" w:hAnsi="宋体" w:eastAsia="宋体" w:cs="宋体"/>
          <w:color w:val="auto"/>
          <w:sz w:val="36"/>
          <w:szCs w:val="36"/>
          <w:lang w:val="zh-TW" w:eastAsia="zh-CN"/>
        </w:rPr>
        <w:t>南京邮电大学通达学院校内配送服务采购项目</w:t>
      </w:r>
    </w:p>
    <w:p>
      <w:pPr>
        <w:spacing w:line="360" w:lineRule="auto"/>
        <w:jc w:val="center"/>
        <w:rPr>
          <w:rFonts w:hint="eastAsia"/>
          <w:lang w:val="zh-TW" w:eastAsia="zh-CN"/>
        </w:rPr>
      </w:pPr>
      <w:r>
        <w:rPr>
          <w:rFonts w:hint="eastAsia" w:ascii="宋体" w:hAnsi="宋体" w:eastAsia="宋体" w:cs="宋体"/>
          <w:color w:val="auto"/>
          <w:sz w:val="36"/>
          <w:szCs w:val="36"/>
          <w:lang w:val="zh-TW" w:eastAsia="zh-CN"/>
        </w:rPr>
        <w:t>（</w:t>
      </w:r>
      <w:r>
        <w:rPr>
          <w:rFonts w:hint="eastAsia" w:ascii="宋体" w:hAnsi="宋体" w:eastAsia="宋体" w:cs="宋体"/>
          <w:color w:val="auto"/>
          <w:sz w:val="36"/>
          <w:szCs w:val="36"/>
          <w:lang w:val="en-US" w:eastAsia="zh-CN"/>
        </w:rPr>
        <w:t>第二次</w:t>
      </w:r>
      <w:r>
        <w:rPr>
          <w:rFonts w:hint="eastAsia" w:ascii="宋体" w:hAnsi="宋体" w:eastAsia="宋体" w:cs="宋体"/>
          <w:color w:val="auto"/>
          <w:sz w:val="36"/>
          <w:szCs w:val="36"/>
          <w:lang w:val="zh-TW" w:eastAsia="zh-CN"/>
        </w:rPr>
        <w:t>）</w:t>
      </w:r>
    </w:p>
    <w:p>
      <w:pPr>
        <w:spacing w:line="360" w:lineRule="auto"/>
        <w:jc w:val="center"/>
        <w:rPr>
          <w:rFonts w:hint="eastAsia" w:ascii="宋体" w:hAnsi="宋体" w:eastAsia="宋体" w:cs="宋体"/>
          <w:color w:val="auto"/>
          <w:sz w:val="36"/>
          <w:szCs w:val="36"/>
          <w:u w:color="000000"/>
          <w:lang w:eastAsia="zh-CN"/>
        </w:rPr>
      </w:pPr>
      <w:r>
        <w:rPr>
          <w:rFonts w:hint="eastAsia" w:ascii="宋体" w:hAnsi="宋体" w:eastAsia="宋体" w:cs="宋体"/>
          <w:color w:val="auto"/>
          <w:sz w:val="36"/>
          <w:szCs w:val="36"/>
          <w:u w:color="000000"/>
        </w:rPr>
        <w:t>项目编号：</w:t>
      </w:r>
      <w:r>
        <w:rPr>
          <w:rFonts w:hint="eastAsia" w:ascii="宋体" w:hAnsi="宋体" w:eastAsia="宋体" w:cs="宋体"/>
          <w:color w:val="auto"/>
          <w:sz w:val="36"/>
          <w:szCs w:val="36"/>
          <w:u w:color="000000"/>
          <w:lang w:eastAsia="zh-CN"/>
        </w:rPr>
        <w:t>TDCG2023024</w:t>
      </w:r>
    </w:p>
    <w:p>
      <w:pPr>
        <w:spacing w:line="360" w:lineRule="auto"/>
        <w:rPr>
          <w:rFonts w:hint="eastAsia" w:ascii="宋体" w:hAnsi="宋体" w:eastAsia="宋体" w:cs="宋体"/>
          <w:color w:val="auto"/>
          <w:sz w:val="36"/>
          <w:szCs w:val="36"/>
          <w:u w:color="000000"/>
        </w:rPr>
      </w:pPr>
    </w:p>
    <w:p>
      <w:pPr>
        <w:spacing w:line="360" w:lineRule="auto"/>
        <w:jc w:val="center"/>
        <w:rPr>
          <w:rFonts w:hint="eastAsia" w:ascii="宋体" w:hAnsi="宋体" w:eastAsia="宋体" w:cs="宋体"/>
          <w:color w:val="auto"/>
          <w:sz w:val="36"/>
          <w:szCs w:val="36"/>
          <w:u w:color="000000"/>
        </w:rPr>
      </w:pPr>
    </w:p>
    <w:p>
      <w:pPr>
        <w:spacing w:after="120"/>
        <w:jc w:val="center"/>
        <w:rPr>
          <w:rFonts w:hint="eastAsia" w:ascii="宋体" w:hAnsi="宋体" w:eastAsia="宋体" w:cs="宋体"/>
          <w:color w:val="auto"/>
          <w:sz w:val="52"/>
          <w:szCs w:val="52"/>
          <w:u w:color="000000"/>
        </w:rPr>
      </w:pPr>
      <w:r>
        <w:rPr>
          <w:rFonts w:hint="eastAsia" w:ascii="宋体" w:hAnsi="宋体" w:eastAsia="宋体" w:cs="宋体"/>
          <w:color w:val="auto"/>
          <w:sz w:val="52"/>
          <w:szCs w:val="52"/>
          <w:u w:color="000000"/>
          <w:lang w:val="zh-TW"/>
        </w:rPr>
        <w:t>投标</w:t>
      </w:r>
      <w:r>
        <w:rPr>
          <w:rFonts w:hint="eastAsia" w:ascii="宋体" w:hAnsi="宋体" w:eastAsia="宋体" w:cs="宋体"/>
          <w:color w:val="auto"/>
          <w:sz w:val="52"/>
          <w:szCs w:val="52"/>
          <w:u w:color="000000"/>
          <w:lang w:val="zh-TW" w:eastAsia="zh-TW"/>
        </w:rPr>
        <w:t>文件</w:t>
      </w:r>
    </w:p>
    <w:p>
      <w:pPr>
        <w:spacing w:line="360" w:lineRule="auto"/>
        <w:jc w:val="center"/>
        <w:rPr>
          <w:rFonts w:hint="eastAsia" w:ascii="宋体" w:hAnsi="宋体" w:eastAsia="宋体" w:cs="宋体"/>
          <w:b/>
          <w:bCs/>
          <w:color w:val="auto"/>
          <w:sz w:val="28"/>
          <w:szCs w:val="28"/>
          <w:u w:color="000000"/>
        </w:rPr>
      </w:pPr>
    </w:p>
    <w:p>
      <w:pPr>
        <w:spacing w:line="360" w:lineRule="auto"/>
        <w:jc w:val="center"/>
        <w:rPr>
          <w:rFonts w:hint="eastAsia" w:ascii="宋体" w:hAnsi="宋体" w:eastAsia="宋体" w:cs="宋体"/>
          <w:b/>
          <w:bCs/>
          <w:color w:val="auto"/>
          <w:sz w:val="28"/>
          <w:szCs w:val="28"/>
          <w:u w:color="000000"/>
        </w:rPr>
      </w:pPr>
    </w:p>
    <w:p>
      <w:pPr>
        <w:spacing w:line="360" w:lineRule="auto"/>
        <w:jc w:val="center"/>
        <w:rPr>
          <w:rFonts w:hint="eastAsia" w:ascii="宋体" w:hAnsi="宋体" w:eastAsia="宋体" w:cs="宋体"/>
          <w:b/>
          <w:bCs/>
          <w:color w:val="auto"/>
          <w:sz w:val="28"/>
          <w:szCs w:val="28"/>
          <w:u w:color="000000"/>
        </w:rPr>
      </w:pPr>
    </w:p>
    <w:p>
      <w:pPr>
        <w:spacing w:line="360" w:lineRule="auto"/>
        <w:jc w:val="center"/>
        <w:rPr>
          <w:rFonts w:hint="eastAsia" w:ascii="宋体" w:hAnsi="宋体" w:eastAsia="宋体" w:cs="宋体"/>
          <w:b/>
          <w:bCs/>
          <w:color w:val="auto"/>
          <w:sz w:val="28"/>
          <w:szCs w:val="28"/>
          <w:u w:color="000000"/>
        </w:rPr>
      </w:pPr>
    </w:p>
    <w:p>
      <w:pPr>
        <w:spacing w:line="360" w:lineRule="auto"/>
        <w:jc w:val="center"/>
        <w:rPr>
          <w:rFonts w:hint="eastAsia" w:ascii="宋体" w:hAnsi="宋体" w:eastAsia="宋体" w:cs="宋体"/>
          <w:b/>
          <w:bCs/>
          <w:color w:val="auto"/>
          <w:sz w:val="28"/>
          <w:szCs w:val="28"/>
          <w:u w:color="000000"/>
        </w:rPr>
      </w:pPr>
    </w:p>
    <w:p>
      <w:pPr>
        <w:spacing w:line="360" w:lineRule="auto"/>
        <w:jc w:val="center"/>
        <w:rPr>
          <w:rFonts w:hint="eastAsia" w:ascii="宋体" w:hAnsi="宋体" w:eastAsia="宋体" w:cs="宋体"/>
          <w:color w:val="auto"/>
          <w:sz w:val="28"/>
          <w:szCs w:val="28"/>
          <w:u w:color="000000"/>
        </w:rPr>
      </w:pPr>
      <w:r>
        <w:rPr>
          <w:rFonts w:hint="eastAsia" w:ascii="宋体" w:hAnsi="宋体" w:eastAsia="宋体" w:cs="宋体"/>
          <w:color w:val="auto"/>
          <w:sz w:val="28"/>
          <w:szCs w:val="28"/>
          <w:u w:color="000000"/>
          <w:lang w:val="zh-TW"/>
        </w:rPr>
        <w:t>投标人</w:t>
      </w:r>
      <w:r>
        <w:rPr>
          <w:rFonts w:hint="eastAsia" w:ascii="宋体" w:hAnsi="宋体" w:eastAsia="宋体" w:cs="宋体"/>
          <w:color w:val="auto"/>
          <w:sz w:val="28"/>
          <w:szCs w:val="28"/>
          <w:u w:color="000000"/>
          <w:lang w:val="zh-TW" w:eastAsia="zh-TW"/>
        </w:rPr>
        <w:t>：</w:t>
      </w:r>
      <w:r>
        <w:rPr>
          <w:rFonts w:hint="eastAsia" w:ascii="宋体" w:hAnsi="宋体" w:eastAsia="宋体" w:cs="宋体"/>
          <w:color w:val="auto"/>
          <w:sz w:val="28"/>
          <w:szCs w:val="28"/>
          <w:u w:val="single"/>
          <w:lang w:val="zh-TW"/>
        </w:rPr>
        <w:t xml:space="preserve">     </w:t>
      </w:r>
      <w:r>
        <w:rPr>
          <w:rFonts w:hint="eastAsia" w:ascii="宋体" w:hAnsi="宋体" w:eastAsia="宋体" w:cs="宋体"/>
          <w:color w:val="auto"/>
          <w:sz w:val="28"/>
          <w:szCs w:val="28"/>
          <w:u w:val="single"/>
          <w:lang w:val="zh-TW" w:eastAsia="zh-TW"/>
        </w:rPr>
        <w:t xml:space="preserve">   </w:t>
      </w:r>
      <w:r>
        <w:rPr>
          <w:rFonts w:hint="eastAsia" w:ascii="宋体" w:hAnsi="宋体" w:eastAsia="宋体" w:cs="宋体"/>
          <w:color w:val="auto"/>
          <w:sz w:val="28"/>
          <w:szCs w:val="28"/>
          <w:u w:val="single"/>
          <w:lang w:val="zh-TW"/>
        </w:rPr>
        <w:t xml:space="preserve">               </w:t>
      </w:r>
      <w:r>
        <w:rPr>
          <w:rFonts w:hint="eastAsia" w:ascii="宋体" w:hAnsi="宋体" w:eastAsia="宋体" w:cs="宋体"/>
          <w:color w:val="auto"/>
          <w:sz w:val="28"/>
          <w:szCs w:val="28"/>
          <w:u w:color="000000"/>
          <w:lang w:val="zh-TW" w:eastAsia="zh-TW"/>
        </w:rPr>
        <w:t>（盖单位章）</w:t>
      </w:r>
    </w:p>
    <w:p>
      <w:pPr>
        <w:spacing w:line="360" w:lineRule="auto"/>
        <w:jc w:val="center"/>
        <w:rPr>
          <w:rFonts w:hint="eastAsia" w:ascii="宋体" w:hAnsi="宋体" w:eastAsia="宋体" w:cs="宋体"/>
          <w:color w:val="auto"/>
          <w:sz w:val="28"/>
          <w:szCs w:val="28"/>
          <w:u w:val="single" w:color="000000"/>
        </w:rPr>
      </w:pPr>
      <w:r>
        <w:rPr>
          <w:rFonts w:hint="eastAsia" w:ascii="宋体" w:hAnsi="宋体" w:eastAsia="宋体" w:cs="宋体"/>
          <w:color w:val="auto"/>
          <w:sz w:val="28"/>
          <w:szCs w:val="28"/>
          <w:u w:color="000000"/>
          <w:lang w:val="zh-TW" w:eastAsia="zh-TW"/>
        </w:rPr>
        <w:t>法定代表人或其委托代理人：</w:t>
      </w:r>
      <w:r>
        <w:rPr>
          <w:rFonts w:hint="eastAsia" w:ascii="宋体" w:hAnsi="宋体" w:eastAsia="宋体" w:cs="宋体"/>
          <w:color w:val="auto"/>
          <w:sz w:val="28"/>
          <w:szCs w:val="28"/>
          <w:u w:val="single"/>
          <w:lang w:val="zh-TW"/>
        </w:rPr>
        <w:t xml:space="preserve">         </w:t>
      </w:r>
      <w:r>
        <w:rPr>
          <w:rFonts w:hint="eastAsia" w:ascii="宋体" w:hAnsi="宋体" w:eastAsia="宋体" w:cs="宋体"/>
          <w:color w:val="auto"/>
          <w:sz w:val="28"/>
          <w:szCs w:val="28"/>
          <w:u w:color="000000"/>
          <w:lang w:val="zh-TW" w:eastAsia="zh-TW"/>
        </w:rPr>
        <w:t>（签字）</w:t>
      </w:r>
    </w:p>
    <w:p>
      <w:pPr>
        <w:spacing w:line="360" w:lineRule="auto"/>
        <w:jc w:val="center"/>
        <w:rPr>
          <w:rFonts w:hint="eastAsia" w:ascii="宋体" w:hAnsi="宋体" w:eastAsia="宋体" w:cs="宋体"/>
          <w:color w:val="auto"/>
          <w:sz w:val="28"/>
          <w:szCs w:val="28"/>
          <w:u w:val="single" w:color="000000"/>
        </w:rPr>
      </w:pPr>
      <w:r>
        <w:rPr>
          <w:rFonts w:hint="eastAsia" w:ascii="宋体" w:hAnsi="宋体" w:eastAsia="宋体" w:cs="宋体"/>
          <w:color w:val="auto"/>
          <w:sz w:val="28"/>
          <w:szCs w:val="28"/>
          <w:u w:val="single" w:color="000000"/>
        </w:rPr>
        <w:t xml:space="preserve">       </w:t>
      </w:r>
      <w:r>
        <w:rPr>
          <w:rFonts w:hint="eastAsia" w:ascii="宋体" w:hAnsi="宋体" w:eastAsia="宋体" w:cs="宋体"/>
          <w:color w:val="auto"/>
          <w:sz w:val="28"/>
          <w:szCs w:val="28"/>
          <w:u w:color="000000"/>
          <w:lang w:val="zh-TW" w:eastAsia="zh-TW"/>
        </w:rPr>
        <w:t>年</w:t>
      </w:r>
      <w:r>
        <w:rPr>
          <w:rFonts w:hint="eastAsia" w:ascii="宋体" w:hAnsi="宋体" w:eastAsia="宋体" w:cs="宋体"/>
          <w:color w:val="auto"/>
          <w:sz w:val="28"/>
          <w:szCs w:val="28"/>
          <w:u w:val="single"/>
          <w:lang w:val="zh-TW"/>
        </w:rPr>
        <w:t xml:space="preserve">    </w:t>
      </w:r>
      <w:r>
        <w:rPr>
          <w:rFonts w:hint="eastAsia" w:ascii="宋体" w:hAnsi="宋体" w:eastAsia="宋体" w:cs="宋体"/>
          <w:color w:val="auto"/>
          <w:sz w:val="28"/>
          <w:szCs w:val="28"/>
          <w:u w:color="000000"/>
          <w:lang w:val="zh-TW" w:eastAsia="zh-TW"/>
        </w:rPr>
        <w:t>月</w:t>
      </w:r>
      <w:r>
        <w:rPr>
          <w:rFonts w:hint="eastAsia" w:ascii="宋体" w:hAnsi="宋体" w:eastAsia="宋体" w:cs="宋体"/>
          <w:color w:val="auto"/>
          <w:sz w:val="28"/>
          <w:szCs w:val="28"/>
          <w:u w:val="single"/>
          <w:lang w:val="zh-TW"/>
        </w:rPr>
        <w:t xml:space="preserve">     </w:t>
      </w:r>
      <w:r>
        <w:rPr>
          <w:rFonts w:hint="eastAsia" w:ascii="宋体" w:hAnsi="宋体" w:eastAsia="宋体" w:cs="宋体"/>
          <w:color w:val="auto"/>
          <w:sz w:val="28"/>
          <w:szCs w:val="28"/>
          <w:u w:color="000000"/>
          <w:lang w:val="zh-TW" w:eastAsia="zh-TW"/>
        </w:rPr>
        <w:t>日</w:t>
      </w:r>
    </w:p>
    <w:p>
      <w:pPr>
        <w:widowControl/>
        <w:jc w:val="left"/>
        <w:rPr>
          <w:rFonts w:hint="eastAsia" w:ascii="宋体" w:hAnsi="宋体" w:eastAsia="宋体" w:cs="宋体"/>
          <w:color w:val="auto"/>
        </w:rPr>
      </w:pPr>
      <w:r>
        <w:rPr>
          <w:rFonts w:hint="eastAsia" w:ascii="宋体" w:hAnsi="宋体" w:eastAsia="宋体" w:cs="宋体"/>
          <w:color w:val="auto"/>
        </w:rPr>
        <w:br w:type="page"/>
      </w:r>
    </w:p>
    <w:p>
      <w:pPr>
        <w:spacing w:line="360" w:lineRule="auto"/>
        <w:jc w:val="center"/>
        <w:rPr>
          <w:rFonts w:hint="eastAsia" w:ascii="宋体" w:hAnsi="宋体" w:eastAsia="宋体" w:cs="宋体"/>
          <w:color w:val="auto"/>
          <w:sz w:val="28"/>
          <w:szCs w:val="28"/>
        </w:rPr>
      </w:pPr>
      <w:r>
        <w:rPr>
          <w:rFonts w:hint="eastAsia" w:ascii="宋体" w:hAnsi="宋体" w:eastAsia="宋体" w:cs="宋体"/>
          <w:color w:val="auto"/>
          <w:sz w:val="28"/>
          <w:szCs w:val="28"/>
        </w:rPr>
        <w:t>资格性和符合性检查响应对照及评分索引表</w:t>
      </w:r>
    </w:p>
    <w:p>
      <w:pPr>
        <w:spacing w:before="156" w:beforeLines="50" w:after="156" w:afterLines="50"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投标人全称（加盖公章）：</w:t>
      </w:r>
      <w:r>
        <w:rPr>
          <w:rFonts w:hint="eastAsia" w:ascii="宋体" w:hAnsi="宋体" w:eastAsia="宋体" w:cs="宋体"/>
          <w:color w:val="auto"/>
          <w:sz w:val="24"/>
          <w:szCs w:val="24"/>
          <w:u w:val="single"/>
        </w:rPr>
        <w:t xml:space="preserve">                            </w:t>
      </w:r>
    </w:p>
    <w:tbl>
      <w:tblPr>
        <w:tblStyle w:val="25"/>
        <w:tblW w:w="90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4838"/>
        <w:gridCol w:w="1756"/>
        <w:gridCol w:w="1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671" w:type="dxa"/>
            <w:vAlign w:val="center"/>
          </w:tcPr>
          <w:p>
            <w:pPr>
              <w:snapToGrid w:val="0"/>
              <w:spacing w:line="240" w:lineRule="atLeast"/>
              <w:jc w:val="center"/>
              <w:rPr>
                <w:rFonts w:hint="eastAsia" w:ascii="宋体" w:hAnsi="宋体" w:eastAsia="宋体" w:cs="宋体"/>
                <w:b/>
                <w:color w:val="auto"/>
              </w:rPr>
            </w:pPr>
            <w:r>
              <w:rPr>
                <w:rFonts w:hint="eastAsia" w:ascii="宋体" w:hAnsi="宋体" w:eastAsia="宋体" w:cs="宋体"/>
                <w:b/>
                <w:color w:val="auto"/>
              </w:rPr>
              <w:t>序号</w:t>
            </w:r>
          </w:p>
        </w:tc>
        <w:tc>
          <w:tcPr>
            <w:tcW w:w="4838" w:type="dxa"/>
            <w:vAlign w:val="center"/>
          </w:tcPr>
          <w:p>
            <w:pPr>
              <w:snapToGrid w:val="0"/>
              <w:spacing w:line="240" w:lineRule="atLeast"/>
              <w:jc w:val="center"/>
              <w:rPr>
                <w:rFonts w:hint="eastAsia" w:ascii="宋体" w:hAnsi="宋体" w:eastAsia="宋体" w:cs="宋体"/>
                <w:b/>
                <w:color w:val="auto"/>
              </w:rPr>
            </w:pPr>
            <w:r>
              <w:rPr>
                <w:rFonts w:hint="eastAsia" w:ascii="宋体" w:hAnsi="宋体" w:eastAsia="宋体" w:cs="宋体"/>
                <w:b/>
                <w:color w:val="auto"/>
              </w:rPr>
              <w:t>资格性和符合性检查响应内容</w:t>
            </w:r>
          </w:p>
        </w:tc>
        <w:tc>
          <w:tcPr>
            <w:tcW w:w="1756" w:type="dxa"/>
            <w:vAlign w:val="center"/>
          </w:tcPr>
          <w:p>
            <w:pPr>
              <w:snapToGrid w:val="0"/>
              <w:spacing w:line="240" w:lineRule="atLeast"/>
              <w:jc w:val="center"/>
              <w:rPr>
                <w:rFonts w:hint="eastAsia" w:ascii="宋体" w:hAnsi="宋体" w:eastAsia="宋体" w:cs="宋体"/>
                <w:b/>
                <w:color w:val="auto"/>
              </w:rPr>
            </w:pPr>
            <w:r>
              <w:rPr>
                <w:rFonts w:hint="eastAsia" w:ascii="宋体" w:hAnsi="宋体" w:eastAsia="宋体" w:cs="宋体"/>
                <w:b/>
                <w:color w:val="auto"/>
              </w:rPr>
              <w:t>是否响应</w:t>
            </w:r>
          </w:p>
          <w:p>
            <w:pPr>
              <w:snapToGrid w:val="0"/>
              <w:spacing w:line="240" w:lineRule="atLeast"/>
              <w:jc w:val="center"/>
              <w:rPr>
                <w:rFonts w:hint="eastAsia" w:ascii="宋体" w:hAnsi="宋体" w:eastAsia="宋体" w:cs="宋体"/>
                <w:b/>
                <w:color w:val="auto"/>
              </w:rPr>
            </w:pPr>
            <w:r>
              <w:rPr>
                <w:rFonts w:hint="eastAsia" w:ascii="宋体" w:hAnsi="宋体" w:eastAsia="宋体" w:cs="宋体"/>
                <w:b/>
                <w:color w:val="auto"/>
              </w:rPr>
              <w:t>（填是或者否）</w:t>
            </w:r>
          </w:p>
        </w:tc>
        <w:tc>
          <w:tcPr>
            <w:tcW w:w="1738" w:type="dxa"/>
            <w:vAlign w:val="center"/>
          </w:tcPr>
          <w:p>
            <w:pPr>
              <w:snapToGrid w:val="0"/>
              <w:spacing w:line="240" w:lineRule="atLeast"/>
              <w:jc w:val="center"/>
              <w:rPr>
                <w:rFonts w:hint="eastAsia" w:ascii="宋体" w:hAnsi="宋体" w:eastAsia="宋体" w:cs="宋体"/>
                <w:b/>
                <w:color w:val="auto"/>
              </w:rPr>
            </w:pPr>
            <w:r>
              <w:rPr>
                <w:rFonts w:hint="eastAsia" w:ascii="宋体" w:hAnsi="宋体" w:eastAsia="宋体" w:cs="宋体"/>
                <w:b/>
                <w:color w:val="auto"/>
              </w:rPr>
              <w:t>投标文件中的</w:t>
            </w:r>
          </w:p>
          <w:p>
            <w:pPr>
              <w:snapToGrid w:val="0"/>
              <w:spacing w:line="240" w:lineRule="atLeast"/>
              <w:jc w:val="center"/>
              <w:rPr>
                <w:rFonts w:hint="eastAsia" w:ascii="宋体" w:hAnsi="宋体" w:eastAsia="宋体" w:cs="宋体"/>
                <w:b/>
                <w:color w:val="auto"/>
              </w:rPr>
            </w:pPr>
            <w:r>
              <w:rPr>
                <w:rFonts w:hint="eastAsia" w:ascii="宋体" w:hAnsi="宋体" w:eastAsia="宋体" w:cs="宋体"/>
                <w:b/>
                <w:color w:val="auto"/>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1" w:type="dxa"/>
            <w:vAlign w:val="center"/>
          </w:tcPr>
          <w:p>
            <w:pPr>
              <w:jc w:val="center"/>
              <w:rPr>
                <w:rFonts w:hint="eastAsia" w:ascii="宋体" w:hAnsi="宋体" w:eastAsia="宋体" w:cs="宋体"/>
                <w:color w:val="auto"/>
              </w:rPr>
            </w:pPr>
            <w:r>
              <w:rPr>
                <w:rFonts w:hint="eastAsia" w:ascii="宋体" w:hAnsi="宋体" w:eastAsia="宋体" w:cs="宋体"/>
                <w:color w:val="auto"/>
              </w:rPr>
              <w:t>1</w:t>
            </w:r>
          </w:p>
        </w:tc>
        <w:tc>
          <w:tcPr>
            <w:tcW w:w="4838" w:type="dxa"/>
            <w:vAlign w:val="center"/>
          </w:tcPr>
          <w:p>
            <w:pPr>
              <w:spacing w:line="480" w:lineRule="exact"/>
              <w:rPr>
                <w:rFonts w:hint="eastAsia" w:ascii="宋体" w:hAnsi="宋体" w:eastAsia="宋体" w:cs="宋体"/>
                <w:iCs/>
                <w:color w:val="auto"/>
              </w:rPr>
            </w:pPr>
          </w:p>
        </w:tc>
        <w:tc>
          <w:tcPr>
            <w:tcW w:w="1756" w:type="dxa"/>
            <w:vAlign w:val="center"/>
          </w:tcPr>
          <w:p>
            <w:pPr>
              <w:rPr>
                <w:rFonts w:hint="eastAsia" w:ascii="宋体" w:hAnsi="宋体" w:eastAsia="宋体" w:cs="宋体"/>
                <w:b/>
                <w:color w:val="auto"/>
              </w:rPr>
            </w:pPr>
          </w:p>
        </w:tc>
        <w:tc>
          <w:tcPr>
            <w:tcW w:w="1738" w:type="dxa"/>
            <w:vAlign w:val="center"/>
          </w:tcPr>
          <w:p>
            <w:pPr>
              <w:rPr>
                <w:rFonts w:hint="eastAsia" w:ascii="宋体" w:hAnsi="宋体" w:eastAsia="宋体" w:cs="宋体"/>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1" w:type="dxa"/>
            <w:vAlign w:val="center"/>
          </w:tcPr>
          <w:p>
            <w:pPr>
              <w:jc w:val="center"/>
              <w:rPr>
                <w:rFonts w:hint="eastAsia" w:ascii="宋体" w:hAnsi="宋体" w:eastAsia="宋体" w:cs="宋体"/>
                <w:color w:val="auto"/>
              </w:rPr>
            </w:pPr>
            <w:r>
              <w:rPr>
                <w:rFonts w:hint="eastAsia" w:ascii="宋体" w:hAnsi="宋体" w:eastAsia="宋体" w:cs="宋体"/>
                <w:color w:val="auto"/>
              </w:rPr>
              <w:t>2</w:t>
            </w:r>
          </w:p>
        </w:tc>
        <w:tc>
          <w:tcPr>
            <w:tcW w:w="4838" w:type="dxa"/>
            <w:vAlign w:val="center"/>
          </w:tcPr>
          <w:p>
            <w:pPr>
              <w:snapToGrid w:val="0"/>
              <w:spacing w:before="50" w:after="156" w:afterLines="50"/>
              <w:rPr>
                <w:rFonts w:hint="eastAsia" w:ascii="宋体" w:hAnsi="宋体" w:eastAsia="宋体" w:cs="宋体"/>
                <w:b/>
                <w:color w:val="auto"/>
                <w:sz w:val="28"/>
                <w:szCs w:val="28"/>
              </w:rPr>
            </w:pPr>
          </w:p>
        </w:tc>
        <w:tc>
          <w:tcPr>
            <w:tcW w:w="1756" w:type="dxa"/>
            <w:vAlign w:val="center"/>
          </w:tcPr>
          <w:p>
            <w:pPr>
              <w:rPr>
                <w:rFonts w:hint="eastAsia" w:ascii="宋体" w:hAnsi="宋体" w:eastAsia="宋体" w:cs="宋体"/>
                <w:color w:val="auto"/>
              </w:rPr>
            </w:pPr>
          </w:p>
        </w:tc>
        <w:tc>
          <w:tcPr>
            <w:tcW w:w="1738" w:type="dxa"/>
            <w:vAlign w:val="center"/>
          </w:tcPr>
          <w:p>
            <w:pP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1" w:type="dxa"/>
            <w:vAlign w:val="center"/>
          </w:tcPr>
          <w:p>
            <w:pPr>
              <w:jc w:val="center"/>
              <w:rPr>
                <w:rFonts w:hint="eastAsia" w:ascii="宋体" w:hAnsi="宋体" w:eastAsia="宋体" w:cs="宋体"/>
                <w:color w:val="auto"/>
              </w:rPr>
            </w:pPr>
            <w:r>
              <w:rPr>
                <w:rFonts w:hint="eastAsia" w:ascii="宋体" w:hAnsi="宋体" w:eastAsia="宋体" w:cs="宋体"/>
                <w:color w:val="auto"/>
              </w:rPr>
              <w:t>3</w:t>
            </w:r>
          </w:p>
        </w:tc>
        <w:tc>
          <w:tcPr>
            <w:tcW w:w="4838" w:type="dxa"/>
            <w:vAlign w:val="center"/>
          </w:tcPr>
          <w:p>
            <w:pPr>
              <w:spacing w:line="480" w:lineRule="exact"/>
              <w:rPr>
                <w:rFonts w:hint="eastAsia" w:ascii="宋体" w:hAnsi="宋体" w:eastAsia="宋体" w:cs="宋体"/>
                <w:iCs/>
                <w:color w:val="auto"/>
              </w:rPr>
            </w:pPr>
          </w:p>
        </w:tc>
        <w:tc>
          <w:tcPr>
            <w:tcW w:w="1756" w:type="dxa"/>
            <w:vAlign w:val="center"/>
          </w:tcPr>
          <w:p>
            <w:pPr>
              <w:rPr>
                <w:rFonts w:hint="eastAsia" w:ascii="宋体" w:hAnsi="宋体" w:eastAsia="宋体" w:cs="宋体"/>
                <w:color w:val="auto"/>
              </w:rPr>
            </w:pPr>
          </w:p>
        </w:tc>
        <w:tc>
          <w:tcPr>
            <w:tcW w:w="1738" w:type="dxa"/>
            <w:vAlign w:val="center"/>
          </w:tcPr>
          <w:p>
            <w:pP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1" w:type="dxa"/>
            <w:vAlign w:val="center"/>
          </w:tcPr>
          <w:p>
            <w:pPr>
              <w:jc w:val="center"/>
              <w:rPr>
                <w:rFonts w:hint="eastAsia" w:ascii="宋体" w:hAnsi="宋体" w:eastAsia="宋体" w:cs="宋体"/>
                <w:color w:val="auto"/>
              </w:rPr>
            </w:pPr>
            <w:r>
              <w:rPr>
                <w:rFonts w:hint="eastAsia" w:ascii="宋体" w:hAnsi="宋体" w:eastAsia="宋体" w:cs="宋体"/>
                <w:color w:val="auto"/>
              </w:rPr>
              <w:t>4</w:t>
            </w:r>
          </w:p>
        </w:tc>
        <w:tc>
          <w:tcPr>
            <w:tcW w:w="4838" w:type="dxa"/>
            <w:vAlign w:val="center"/>
          </w:tcPr>
          <w:p>
            <w:pPr>
              <w:spacing w:line="360" w:lineRule="auto"/>
              <w:rPr>
                <w:rFonts w:hint="eastAsia" w:ascii="宋体" w:hAnsi="宋体" w:eastAsia="宋体" w:cs="宋体"/>
                <w:iCs/>
                <w:color w:val="auto"/>
              </w:rPr>
            </w:pPr>
          </w:p>
        </w:tc>
        <w:tc>
          <w:tcPr>
            <w:tcW w:w="1756" w:type="dxa"/>
            <w:vAlign w:val="center"/>
          </w:tcPr>
          <w:p>
            <w:pPr>
              <w:rPr>
                <w:rFonts w:hint="eastAsia" w:ascii="宋体" w:hAnsi="宋体" w:eastAsia="宋体" w:cs="宋体"/>
                <w:color w:val="auto"/>
              </w:rPr>
            </w:pPr>
          </w:p>
        </w:tc>
        <w:tc>
          <w:tcPr>
            <w:tcW w:w="1738" w:type="dxa"/>
            <w:vAlign w:val="center"/>
          </w:tcPr>
          <w:p>
            <w:pP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1" w:type="dxa"/>
            <w:vAlign w:val="center"/>
          </w:tcPr>
          <w:p>
            <w:pPr>
              <w:jc w:val="center"/>
              <w:rPr>
                <w:rFonts w:hint="eastAsia" w:ascii="宋体" w:hAnsi="宋体" w:eastAsia="宋体" w:cs="宋体"/>
                <w:color w:val="auto"/>
              </w:rPr>
            </w:pPr>
            <w:r>
              <w:rPr>
                <w:rFonts w:hint="eastAsia" w:ascii="宋体" w:hAnsi="宋体" w:eastAsia="宋体" w:cs="宋体"/>
                <w:color w:val="auto"/>
              </w:rPr>
              <w:t>5</w:t>
            </w:r>
          </w:p>
        </w:tc>
        <w:tc>
          <w:tcPr>
            <w:tcW w:w="4838" w:type="dxa"/>
            <w:vAlign w:val="center"/>
          </w:tcPr>
          <w:p>
            <w:pPr>
              <w:snapToGrid w:val="0"/>
              <w:spacing w:line="590" w:lineRule="atLeast"/>
              <w:rPr>
                <w:rFonts w:hint="eastAsia" w:ascii="宋体" w:hAnsi="宋体" w:eastAsia="宋体" w:cs="宋体"/>
                <w:iCs/>
                <w:color w:val="auto"/>
              </w:rPr>
            </w:pPr>
          </w:p>
        </w:tc>
        <w:tc>
          <w:tcPr>
            <w:tcW w:w="1756" w:type="dxa"/>
            <w:vAlign w:val="center"/>
          </w:tcPr>
          <w:p>
            <w:pPr>
              <w:rPr>
                <w:rFonts w:hint="eastAsia" w:ascii="宋体" w:hAnsi="宋体" w:eastAsia="宋体" w:cs="宋体"/>
                <w:color w:val="auto"/>
              </w:rPr>
            </w:pPr>
          </w:p>
        </w:tc>
        <w:tc>
          <w:tcPr>
            <w:tcW w:w="1738" w:type="dxa"/>
            <w:vAlign w:val="center"/>
          </w:tcPr>
          <w:p>
            <w:pPr>
              <w:rPr>
                <w:rFonts w:hint="eastAsia" w:ascii="宋体" w:hAnsi="宋体" w:eastAsia="宋体" w:cs="宋体"/>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7" w:hRule="atLeast"/>
        </w:trPr>
        <w:tc>
          <w:tcPr>
            <w:tcW w:w="5509"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b/>
                <w:bCs/>
                <w:color w:val="auto"/>
              </w:rPr>
            </w:pPr>
            <w:r>
              <w:rPr>
                <w:rFonts w:hint="eastAsia" w:ascii="宋体" w:hAnsi="宋体" w:eastAsia="宋体" w:cs="宋体"/>
                <w:b/>
                <w:bCs/>
                <w:color w:val="auto"/>
              </w:rPr>
              <w:t>评分项</w:t>
            </w:r>
          </w:p>
        </w:tc>
        <w:tc>
          <w:tcPr>
            <w:tcW w:w="3494" w:type="dxa"/>
            <w:gridSpan w:val="2"/>
            <w:tcBorders>
              <w:top w:val="single" w:color="000000" w:sz="4" w:space="0"/>
              <w:left w:val="nil"/>
              <w:bottom w:val="single" w:color="000000" w:sz="4" w:space="0"/>
              <w:right w:val="single" w:color="000000" w:sz="4" w:space="0"/>
            </w:tcBorders>
            <w:vAlign w:val="center"/>
          </w:tcPr>
          <w:p>
            <w:pPr>
              <w:spacing w:line="360" w:lineRule="auto"/>
              <w:jc w:val="center"/>
              <w:rPr>
                <w:rFonts w:hint="eastAsia" w:ascii="宋体" w:hAnsi="宋体" w:eastAsia="宋体" w:cs="宋体"/>
                <w:b/>
                <w:bCs/>
                <w:color w:val="auto"/>
              </w:rPr>
            </w:pPr>
            <w:r>
              <w:rPr>
                <w:rFonts w:hint="eastAsia" w:ascii="宋体" w:hAnsi="宋体" w:eastAsia="宋体" w:cs="宋体"/>
                <w:b/>
                <w:bCs/>
                <w:color w:val="auto"/>
              </w:rPr>
              <w:t>在投标文件中的页码位置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5509"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rPr>
                <w:rFonts w:hint="eastAsia" w:ascii="宋体" w:hAnsi="宋体" w:eastAsia="宋体" w:cs="宋体"/>
                <w:color w:val="auto"/>
              </w:rPr>
            </w:pPr>
          </w:p>
        </w:tc>
        <w:tc>
          <w:tcPr>
            <w:tcW w:w="3494" w:type="dxa"/>
            <w:gridSpan w:val="2"/>
            <w:tcBorders>
              <w:top w:val="single" w:color="000000" w:sz="4" w:space="0"/>
              <w:left w:val="nil"/>
              <w:bottom w:val="single" w:color="000000" w:sz="4" w:space="0"/>
              <w:right w:val="single" w:color="000000" w:sz="4" w:space="0"/>
            </w:tcBorders>
            <w:vAlign w:val="center"/>
          </w:tcPr>
          <w:p>
            <w:pPr>
              <w:spacing w:line="360" w:lineRule="auto"/>
              <w:ind w:firstLine="420"/>
              <w:jc w:val="center"/>
              <w:rPr>
                <w:rFonts w:hint="eastAsia" w:ascii="宋体" w:hAnsi="宋体" w:eastAsia="宋体" w:cs="宋体"/>
                <w:b/>
                <w:bCs/>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671" w:type="dxa"/>
            <w:vMerge w:val="restart"/>
            <w:tcBorders>
              <w:top w:val="nil"/>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b/>
                <w:bCs/>
                <w:color w:val="auto"/>
              </w:rPr>
            </w:pPr>
          </w:p>
        </w:tc>
        <w:tc>
          <w:tcPr>
            <w:tcW w:w="4838" w:type="dxa"/>
            <w:tcBorders>
              <w:top w:val="single" w:color="000000" w:sz="4" w:space="0"/>
              <w:left w:val="nil"/>
              <w:bottom w:val="single" w:color="000000" w:sz="4" w:space="0"/>
              <w:right w:val="single" w:color="000000" w:sz="4" w:space="0"/>
            </w:tcBorders>
            <w:vAlign w:val="center"/>
          </w:tcPr>
          <w:p>
            <w:pPr>
              <w:spacing w:line="360" w:lineRule="auto"/>
              <w:rPr>
                <w:rFonts w:hint="eastAsia" w:ascii="宋体" w:hAnsi="宋体" w:eastAsia="宋体" w:cs="宋体"/>
                <w:color w:val="auto"/>
              </w:rPr>
            </w:pPr>
          </w:p>
        </w:tc>
        <w:tc>
          <w:tcPr>
            <w:tcW w:w="3494" w:type="dxa"/>
            <w:gridSpan w:val="2"/>
            <w:tcBorders>
              <w:top w:val="single" w:color="000000" w:sz="4" w:space="0"/>
              <w:left w:val="nil"/>
              <w:bottom w:val="single" w:color="000000" w:sz="4" w:space="0"/>
              <w:right w:val="single" w:color="000000" w:sz="4" w:space="0"/>
            </w:tcBorders>
            <w:vAlign w:val="center"/>
          </w:tcPr>
          <w:p>
            <w:pPr>
              <w:spacing w:line="360" w:lineRule="auto"/>
              <w:ind w:firstLine="420"/>
              <w:jc w:val="center"/>
              <w:rPr>
                <w:rFonts w:hint="eastAsia" w:ascii="宋体" w:hAnsi="宋体" w:eastAsia="宋体" w:cs="宋体"/>
                <w:b/>
                <w:bCs/>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671" w:type="dxa"/>
            <w:vMerge w:val="continue"/>
            <w:tcBorders>
              <w:top w:val="nil"/>
              <w:left w:val="single" w:color="000000" w:sz="4" w:space="0"/>
              <w:bottom w:val="single" w:color="000000" w:sz="4" w:space="0"/>
              <w:right w:val="single" w:color="000000" w:sz="4" w:space="0"/>
            </w:tcBorders>
            <w:vAlign w:val="center"/>
          </w:tcPr>
          <w:p>
            <w:pPr>
              <w:spacing w:line="360" w:lineRule="auto"/>
              <w:rPr>
                <w:rFonts w:hint="eastAsia" w:ascii="宋体" w:hAnsi="宋体" w:eastAsia="宋体" w:cs="宋体"/>
                <w:b/>
                <w:bCs/>
                <w:color w:val="auto"/>
              </w:rPr>
            </w:pPr>
          </w:p>
        </w:tc>
        <w:tc>
          <w:tcPr>
            <w:tcW w:w="4838" w:type="dxa"/>
            <w:tcBorders>
              <w:top w:val="single" w:color="000000" w:sz="4" w:space="0"/>
              <w:left w:val="nil"/>
              <w:bottom w:val="single" w:color="000000" w:sz="4" w:space="0"/>
              <w:right w:val="single" w:color="000000" w:sz="4" w:space="0"/>
            </w:tcBorders>
            <w:vAlign w:val="center"/>
          </w:tcPr>
          <w:p>
            <w:pPr>
              <w:spacing w:line="360" w:lineRule="auto"/>
              <w:rPr>
                <w:rFonts w:hint="eastAsia" w:ascii="宋体" w:hAnsi="宋体" w:eastAsia="宋体" w:cs="宋体"/>
                <w:color w:val="auto"/>
              </w:rPr>
            </w:pPr>
          </w:p>
        </w:tc>
        <w:tc>
          <w:tcPr>
            <w:tcW w:w="3494" w:type="dxa"/>
            <w:gridSpan w:val="2"/>
            <w:tcBorders>
              <w:top w:val="single" w:color="000000" w:sz="4" w:space="0"/>
              <w:left w:val="nil"/>
              <w:bottom w:val="single" w:color="000000" w:sz="4" w:space="0"/>
              <w:right w:val="single" w:color="000000" w:sz="4" w:space="0"/>
            </w:tcBorders>
            <w:vAlign w:val="center"/>
          </w:tcPr>
          <w:p>
            <w:pPr>
              <w:spacing w:line="360" w:lineRule="auto"/>
              <w:ind w:firstLine="420"/>
              <w:jc w:val="center"/>
              <w:rPr>
                <w:rFonts w:hint="eastAsia" w:ascii="宋体" w:hAnsi="宋体" w:eastAsia="宋体" w:cs="宋体"/>
                <w:b/>
                <w:bCs/>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671" w:type="dxa"/>
            <w:vMerge w:val="continue"/>
            <w:tcBorders>
              <w:top w:val="nil"/>
              <w:left w:val="single" w:color="000000" w:sz="4" w:space="0"/>
              <w:bottom w:val="single" w:color="000000" w:sz="4" w:space="0"/>
              <w:right w:val="single" w:color="000000" w:sz="4" w:space="0"/>
            </w:tcBorders>
            <w:vAlign w:val="center"/>
          </w:tcPr>
          <w:p>
            <w:pPr>
              <w:spacing w:line="360" w:lineRule="auto"/>
              <w:rPr>
                <w:rFonts w:hint="eastAsia" w:ascii="宋体" w:hAnsi="宋体" w:eastAsia="宋体" w:cs="宋体"/>
                <w:b/>
                <w:bCs/>
                <w:color w:val="auto"/>
              </w:rPr>
            </w:pPr>
          </w:p>
        </w:tc>
        <w:tc>
          <w:tcPr>
            <w:tcW w:w="4838" w:type="dxa"/>
            <w:tcBorders>
              <w:top w:val="single" w:color="000000" w:sz="4" w:space="0"/>
              <w:left w:val="nil"/>
              <w:bottom w:val="single" w:color="000000" w:sz="4" w:space="0"/>
              <w:right w:val="single" w:color="000000" w:sz="4" w:space="0"/>
            </w:tcBorders>
            <w:vAlign w:val="center"/>
          </w:tcPr>
          <w:p>
            <w:pPr>
              <w:spacing w:line="360" w:lineRule="auto"/>
              <w:rPr>
                <w:rFonts w:hint="eastAsia" w:ascii="宋体" w:hAnsi="宋体" w:eastAsia="宋体" w:cs="宋体"/>
                <w:color w:val="auto"/>
              </w:rPr>
            </w:pPr>
          </w:p>
        </w:tc>
        <w:tc>
          <w:tcPr>
            <w:tcW w:w="3494" w:type="dxa"/>
            <w:gridSpan w:val="2"/>
            <w:tcBorders>
              <w:top w:val="single" w:color="000000" w:sz="4" w:space="0"/>
              <w:left w:val="nil"/>
              <w:bottom w:val="single" w:color="000000" w:sz="4" w:space="0"/>
              <w:right w:val="single" w:color="000000" w:sz="4" w:space="0"/>
            </w:tcBorders>
            <w:vAlign w:val="center"/>
          </w:tcPr>
          <w:p>
            <w:pPr>
              <w:spacing w:line="360" w:lineRule="auto"/>
              <w:ind w:firstLine="420"/>
              <w:jc w:val="center"/>
              <w:rPr>
                <w:rFonts w:hint="eastAsia" w:ascii="宋体" w:hAnsi="宋体" w:eastAsia="宋体" w:cs="宋体"/>
                <w:b/>
                <w:bCs/>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671" w:type="dxa"/>
            <w:vMerge w:val="restart"/>
            <w:tcBorders>
              <w:top w:val="nil"/>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b/>
                <w:bCs/>
                <w:color w:val="auto"/>
              </w:rPr>
            </w:pPr>
          </w:p>
        </w:tc>
        <w:tc>
          <w:tcPr>
            <w:tcW w:w="4838" w:type="dxa"/>
            <w:tcBorders>
              <w:top w:val="single" w:color="000000" w:sz="4" w:space="0"/>
              <w:left w:val="nil"/>
              <w:bottom w:val="single" w:color="000000" w:sz="4" w:space="0"/>
              <w:right w:val="single" w:color="000000" w:sz="4" w:space="0"/>
            </w:tcBorders>
            <w:vAlign w:val="center"/>
          </w:tcPr>
          <w:p>
            <w:pPr>
              <w:spacing w:line="360" w:lineRule="auto"/>
              <w:rPr>
                <w:rFonts w:hint="eastAsia" w:ascii="宋体" w:hAnsi="宋体" w:eastAsia="宋体" w:cs="宋体"/>
                <w:color w:val="auto"/>
              </w:rPr>
            </w:pPr>
          </w:p>
        </w:tc>
        <w:tc>
          <w:tcPr>
            <w:tcW w:w="3494" w:type="dxa"/>
            <w:gridSpan w:val="2"/>
            <w:tcBorders>
              <w:top w:val="single" w:color="000000" w:sz="4" w:space="0"/>
              <w:left w:val="nil"/>
              <w:bottom w:val="single" w:color="000000" w:sz="4" w:space="0"/>
              <w:right w:val="single" w:color="000000" w:sz="4" w:space="0"/>
            </w:tcBorders>
            <w:vAlign w:val="center"/>
          </w:tcPr>
          <w:p>
            <w:pPr>
              <w:spacing w:line="360" w:lineRule="auto"/>
              <w:ind w:firstLine="420"/>
              <w:jc w:val="center"/>
              <w:rPr>
                <w:rFonts w:hint="eastAsia" w:ascii="宋体" w:hAnsi="宋体" w:eastAsia="宋体" w:cs="宋体"/>
                <w:b/>
                <w:bCs/>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671" w:type="dxa"/>
            <w:vMerge w:val="continue"/>
            <w:tcBorders>
              <w:top w:val="nil"/>
              <w:left w:val="single" w:color="000000" w:sz="4" w:space="0"/>
              <w:bottom w:val="single" w:color="000000" w:sz="4" w:space="0"/>
              <w:right w:val="single" w:color="000000" w:sz="4" w:space="0"/>
            </w:tcBorders>
            <w:vAlign w:val="center"/>
          </w:tcPr>
          <w:p>
            <w:pPr>
              <w:spacing w:line="360" w:lineRule="auto"/>
              <w:rPr>
                <w:rFonts w:hint="eastAsia" w:ascii="宋体" w:hAnsi="宋体" w:eastAsia="宋体" w:cs="宋体"/>
                <w:b/>
                <w:bCs/>
                <w:color w:val="auto"/>
              </w:rPr>
            </w:pPr>
          </w:p>
        </w:tc>
        <w:tc>
          <w:tcPr>
            <w:tcW w:w="4838" w:type="dxa"/>
            <w:tcBorders>
              <w:top w:val="single" w:color="000000" w:sz="4" w:space="0"/>
              <w:left w:val="nil"/>
              <w:bottom w:val="single" w:color="000000" w:sz="4" w:space="0"/>
              <w:right w:val="single" w:color="000000" w:sz="4" w:space="0"/>
            </w:tcBorders>
            <w:vAlign w:val="center"/>
          </w:tcPr>
          <w:p>
            <w:pPr>
              <w:spacing w:line="360" w:lineRule="auto"/>
              <w:rPr>
                <w:rFonts w:hint="eastAsia" w:ascii="宋体" w:hAnsi="宋体" w:eastAsia="宋体" w:cs="宋体"/>
                <w:color w:val="auto"/>
              </w:rPr>
            </w:pPr>
          </w:p>
        </w:tc>
        <w:tc>
          <w:tcPr>
            <w:tcW w:w="3494" w:type="dxa"/>
            <w:gridSpan w:val="2"/>
            <w:tcBorders>
              <w:top w:val="single" w:color="000000" w:sz="4" w:space="0"/>
              <w:left w:val="nil"/>
              <w:bottom w:val="single" w:color="000000" w:sz="4" w:space="0"/>
              <w:right w:val="single" w:color="000000" w:sz="4" w:space="0"/>
            </w:tcBorders>
            <w:vAlign w:val="center"/>
          </w:tcPr>
          <w:p>
            <w:pPr>
              <w:spacing w:line="360" w:lineRule="auto"/>
              <w:ind w:firstLine="420"/>
              <w:jc w:val="center"/>
              <w:rPr>
                <w:rFonts w:hint="eastAsia" w:ascii="宋体" w:hAnsi="宋体" w:eastAsia="宋体" w:cs="宋体"/>
                <w:b/>
                <w:bCs/>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671" w:type="dxa"/>
            <w:vMerge w:val="continue"/>
            <w:tcBorders>
              <w:top w:val="nil"/>
              <w:left w:val="single" w:color="000000" w:sz="4" w:space="0"/>
              <w:bottom w:val="single" w:color="000000" w:sz="4" w:space="0"/>
              <w:right w:val="single" w:color="000000" w:sz="4" w:space="0"/>
            </w:tcBorders>
            <w:vAlign w:val="center"/>
          </w:tcPr>
          <w:p>
            <w:pPr>
              <w:spacing w:line="360" w:lineRule="auto"/>
              <w:rPr>
                <w:rFonts w:hint="eastAsia" w:ascii="宋体" w:hAnsi="宋体" w:eastAsia="宋体" w:cs="宋体"/>
                <w:b/>
                <w:bCs/>
                <w:color w:val="auto"/>
              </w:rPr>
            </w:pPr>
          </w:p>
        </w:tc>
        <w:tc>
          <w:tcPr>
            <w:tcW w:w="4838" w:type="dxa"/>
            <w:tcBorders>
              <w:top w:val="single" w:color="000000" w:sz="4" w:space="0"/>
              <w:left w:val="nil"/>
              <w:bottom w:val="single" w:color="000000" w:sz="4" w:space="0"/>
              <w:right w:val="single" w:color="000000" w:sz="4" w:space="0"/>
            </w:tcBorders>
            <w:vAlign w:val="center"/>
          </w:tcPr>
          <w:p>
            <w:pPr>
              <w:spacing w:line="360" w:lineRule="auto"/>
              <w:rPr>
                <w:rFonts w:hint="eastAsia" w:ascii="宋体" w:hAnsi="宋体" w:eastAsia="宋体" w:cs="宋体"/>
                <w:color w:val="auto"/>
              </w:rPr>
            </w:pPr>
          </w:p>
        </w:tc>
        <w:tc>
          <w:tcPr>
            <w:tcW w:w="3494" w:type="dxa"/>
            <w:gridSpan w:val="2"/>
            <w:tcBorders>
              <w:top w:val="single" w:color="000000" w:sz="4" w:space="0"/>
              <w:left w:val="nil"/>
              <w:bottom w:val="single" w:color="000000" w:sz="4" w:space="0"/>
              <w:right w:val="single" w:color="000000" w:sz="4" w:space="0"/>
            </w:tcBorders>
            <w:vAlign w:val="center"/>
          </w:tcPr>
          <w:p>
            <w:pPr>
              <w:spacing w:line="360" w:lineRule="auto"/>
              <w:ind w:firstLine="420"/>
              <w:jc w:val="center"/>
              <w:rPr>
                <w:rFonts w:hint="eastAsia" w:ascii="宋体" w:hAnsi="宋体" w:eastAsia="宋体" w:cs="宋体"/>
                <w:b/>
                <w:bCs/>
                <w:color w:val="auto"/>
              </w:rPr>
            </w:pPr>
          </w:p>
        </w:tc>
      </w:tr>
    </w:tbl>
    <w:p>
      <w:pPr>
        <w:spacing w:line="360" w:lineRule="auto"/>
        <w:jc w:val="left"/>
        <w:rPr>
          <w:rFonts w:hint="eastAsia" w:ascii="宋体" w:hAnsi="宋体" w:eastAsia="宋体" w:cs="宋体"/>
          <w:color w:val="auto"/>
        </w:rPr>
      </w:pPr>
    </w:p>
    <w:p>
      <w:pPr>
        <w:spacing w:line="360" w:lineRule="auto"/>
        <w:jc w:val="left"/>
        <w:rPr>
          <w:rFonts w:hint="eastAsia" w:ascii="宋体" w:hAnsi="宋体" w:eastAsia="宋体" w:cs="宋体"/>
          <w:color w:val="auto"/>
        </w:rPr>
      </w:pPr>
    </w:p>
    <w:p>
      <w:pPr>
        <w:jc w:val="left"/>
        <w:rPr>
          <w:rFonts w:hint="eastAsia" w:ascii="宋体" w:hAnsi="宋体" w:eastAsia="宋体" w:cs="宋体"/>
          <w:color w:val="auto"/>
        </w:rPr>
      </w:pPr>
      <w:r>
        <w:rPr>
          <w:rFonts w:hint="eastAsia" w:ascii="宋体" w:hAnsi="宋体" w:eastAsia="宋体" w:cs="宋体"/>
          <w:color w:val="auto"/>
        </w:rPr>
        <w:br w:type="page"/>
      </w:r>
    </w:p>
    <w:p>
      <w:pPr>
        <w:spacing w:before="312" w:beforeLines="100" w:after="312" w:afterLines="100" w:line="360" w:lineRule="auto"/>
        <w:jc w:val="center"/>
        <w:rPr>
          <w:rFonts w:hint="eastAsia" w:ascii="宋体" w:hAnsi="宋体" w:eastAsia="宋体" w:cs="宋体"/>
          <w:color w:val="auto"/>
          <w:sz w:val="36"/>
          <w:szCs w:val="36"/>
          <w:u w:color="000000"/>
        </w:rPr>
      </w:pPr>
      <w:r>
        <w:rPr>
          <w:rFonts w:hint="eastAsia" w:ascii="宋体" w:hAnsi="宋体" w:eastAsia="宋体" w:cs="宋体"/>
          <w:color w:val="auto"/>
          <w:sz w:val="36"/>
          <w:szCs w:val="36"/>
          <w:u w:color="000000"/>
          <w:lang w:val="zh-TW" w:eastAsia="zh-TW"/>
        </w:rPr>
        <w:t>目</w:t>
      </w:r>
      <w:r>
        <w:rPr>
          <w:rFonts w:hint="eastAsia" w:ascii="宋体" w:hAnsi="宋体" w:eastAsia="宋体" w:cs="宋体"/>
          <w:color w:val="auto"/>
          <w:sz w:val="36"/>
          <w:szCs w:val="36"/>
          <w:u w:color="000000"/>
          <w:lang w:val="zh-TW"/>
        </w:rPr>
        <w:t xml:space="preserve">  </w:t>
      </w:r>
      <w:r>
        <w:rPr>
          <w:rFonts w:hint="eastAsia" w:ascii="宋体" w:hAnsi="宋体" w:eastAsia="宋体" w:cs="宋体"/>
          <w:color w:val="auto"/>
          <w:sz w:val="36"/>
          <w:szCs w:val="36"/>
          <w:u w:color="000000"/>
          <w:lang w:val="zh-TW" w:eastAsia="zh-TW"/>
        </w:rPr>
        <w:t>录</w:t>
      </w:r>
    </w:p>
    <w:p>
      <w:pPr>
        <w:spacing w:line="360" w:lineRule="auto"/>
        <w:rPr>
          <w:rFonts w:hint="eastAsia" w:ascii="宋体" w:hAnsi="宋体" w:eastAsia="宋体" w:cs="宋体"/>
          <w:color w:val="auto"/>
          <w:sz w:val="24"/>
          <w:szCs w:val="24"/>
          <w:u w:color="000000"/>
        </w:rPr>
      </w:pPr>
      <w:r>
        <w:rPr>
          <w:rFonts w:hint="eastAsia" w:ascii="宋体" w:hAnsi="宋体" w:eastAsia="宋体" w:cs="宋体"/>
          <w:color w:val="auto"/>
          <w:sz w:val="24"/>
          <w:szCs w:val="24"/>
          <w:u w:color="000000"/>
        </w:rPr>
        <w:t>一、投标函</w:t>
      </w:r>
    </w:p>
    <w:p>
      <w:pPr>
        <w:spacing w:line="360" w:lineRule="auto"/>
        <w:rPr>
          <w:rFonts w:hint="eastAsia" w:ascii="宋体" w:hAnsi="宋体" w:eastAsia="宋体" w:cs="宋体"/>
          <w:color w:val="auto"/>
          <w:sz w:val="24"/>
          <w:szCs w:val="24"/>
          <w:u w:color="000000"/>
        </w:rPr>
      </w:pPr>
      <w:r>
        <w:rPr>
          <w:rFonts w:hint="eastAsia" w:ascii="宋体" w:hAnsi="宋体" w:eastAsia="宋体" w:cs="宋体"/>
          <w:color w:val="auto"/>
          <w:sz w:val="24"/>
          <w:szCs w:val="24"/>
          <w:u w:color="000000"/>
        </w:rPr>
        <w:t>二、投标一览表</w:t>
      </w:r>
    </w:p>
    <w:p>
      <w:pPr>
        <w:spacing w:line="360" w:lineRule="auto"/>
        <w:rPr>
          <w:rFonts w:hint="eastAsia" w:ascii="宋体" w:hAnsi="宋体" w:eastAsia="宋体" w:cs="宋体"/>
          <w:color w:val="auto"/>
          <w:sz w:val="24"/>
          <w:szCs w:val="24"/>
          <w:u w:color="000000"/>
        </w:rPr>
      </w:pPr>
      <w:r>
        <w:rPr>
          <w:rFonts w:hint="eastAsia" w:ascii="宋体" w:hAnsi="宋体" w:eastAsia="宋体" w:cs="宋体"/>
          <w:color w:val="auto"/>
          <w:sz w:val="24"/>
          <w:szCs w:val="24"/>
          <w:u w:color="000000"/>
        </w:rPr>
        <w:t>三、法人授权书</w:t>
      </w:r>
    </w:p>
    <w:p>
      <w:pPr>
        <w:spacing w:line="360" w:lineRule="auto"/>
        <w:rPr>
          <w:rFonts w:hint="eastAsia" w:ascii="宋体" w:hAnsi="宋体" w:eastAsia="宋体" w:cs="宋体"/>
          <w:color w:val="auto"/>
          <w:sz w:val="24"/>
          <w:szCs w:val="24"/>
          <w:u w:color="000000"/>
        </w:rPr>
      </w:pPr>
      <w:r>
        <w:rPr>
          <w:rFonts w:hint="eastAsia" w:ascii="宋体" w:hAnsi="宋体" w:eastAsia="宋体" w:cs="宋体"/>
          <w:color w:val="auto"/>
          <w:sz w:val="24"/>
          <w:szCs w:val="24"/>
          <w:u w:color="000000"/>
        </w:rPr>
        <w:t>四、资格证明文件</w:t>
      </w:r>
    </w:p>
    <w:p>
      <w:pPr>
        <w:spacing w:line="360" w:lineRule="auto"/>
        <w:rPr>
          <w:rFonts w:hint="eastAsia" w:ascii="宋体" w:hAnsi="宋体" w:eastAsia="宋体" w:cs="宋体"/>
          <w:color w:val="auto"/>
          <w:sz w:val="24"/>
          <w:szCs w:val="24"/>
          <w:u w:color="000000"/>
        </w:rPr>
      </w:pPr>
      <w:r>
        <w:rPr>
          <w:rFonts w:hint="eastAsia" w:ascii="宋体" w:hAnsi="宋体" w:eastAsia="宋体" w:cs="宋体"/>
          <w:color w:val="auto"/>
          <w:sz w:val="24"/>
          <w:szCs w:val="24"/>
          <w:u w:color="000000"/>
        </w:rPr>
        <w:t>五、商务条款响应及偏离表</w:t>
      </w:r>
    </w:p>
    <w:p>
      <w:pPr>
        <w:spacing w:line="360" w:lineRule="auto"/>
        <w:rPr>
          <w:rFonts w:hint="eastAsia" w:ascii="宋体" w:hAnsi="宋体" w:eastAsia="宋体" w:cs="宋体"/>
          <w:color w:val="auto"/>
          <w:sz w:val="24"/>
          <w:szCs w:val="24"/>
          <w:u w:color="000000"/>
        </w:rPr>
      </w:pPr>
      <w:r>
        <w:rPr>
          <w:rFonts w:hint="eastAsia" w:ascii="宋体" w:hAnsi="宋体" w:eastAsia="宋体" w:cs="宋体"/>
          <w:color w:val="auto"/>
          <w:sz w:val="24"/>
          <w:szCs w:val="24"/>
          <w:u w:color="000000"/>
        </w:rPr>
        <w:t>六、技术参数响应及偏离表</w:t>
      </w:r>
    </w:p>
    <w:p>
      <w:pPr>
        <w:spacing w:line="360" w:lineRule="auto"/>
        <w:rPr>
          <w:rFonts w:hint="eastAsia" w:ascii="宋体" w:hAnsi="宋体" w:eastAsia="宋体" w:cs="宋体"/>
          <w:color w:val="auto"/>
          <w:sz w:val="24"/>
          <w:szCs w:val="24"/>
          <w:u w:color="000000"/>
        </w:rPr>
      </w:pPr>
      <w:r>
        <w:rPr>
          <w:rFonts w:hint="eastAsia" w:ascii="宋体" w:hAnsi="宋体" w:eastAsia="宋体" w:cs="宋体"/>
          <w:color w:val="auto"/>
          <w:sz w:val="24"/>
          <w:szCs w:val="24"/>
          <w:u w:color="000000"/>
        </w:rPr>
        <w:t>七、技术规范点对点应答</w:t>
      </w:r>
    </w:p>
    <w:p>
      <w:pPr>
        <w:spacing w:line="360" w:lineRule="auto"/>
        <w:rPr>
          <w:rFonts w:hint="eastAsia" w:ascii="宋体" w:hAnsi="宋体" w:eastAsia="宋体" w:cs="宋体"/>
          <w:color w:val="auto"/>
          <w:sz w:val="24"/>
          <w:szCs w:val="24"/>
          <w:u w:color="000000"/>
        </w:rPr>
      </w:pPr>
      <w:r>
        <w:rPr>
          <w:rFonts w:hint="eastAsia" w:ascii="宋体" w:hAnsi="宋体" w:eastAsia="宋体" w:cs="宋体"/>
          <w:color w:val="auto"/>
          <w:sz w:val="24"/>
          <w:szCs w:val="24"/>
          <w:u w:color="000000"/>
        </w:rPr>
        <w:t>八、综合实力证明</w:t>
      </w:r>
    </w:p>
    <w:p>
      <w:pPr>
        <w:spacing w:line="360" w:lineRule="auto"/>
        <w:rPr>
          <w:rFonts w:hint="eastAsia" w:ascii="宋体" w:hAnsi="宋体" w:eastAsia="宋体" w:cs="宋体"/>
          <w:color w:val="auto"/>
          <w:sz w:val="24"/>
          <w:szCs w:val="24"/>
          <w:u w:color="000000"/>
        </w:rPr>
      </w:pPr>
      <w:r>
        <w:rPr>
          <w:rFonts w:hint="eastAsia" w:ascii="宋体" w:hAnsi="宋体" w:eastAsia="宋体" w:cs="宋体"/>
          <w:color w:val="auto"/>
          <w:sz w:val="24"/>
          <w:szCs w:val="24"/>
          <w:u w:color="000000"/>
        </w:rPr>
        <w:t>九、技术方案</w:t>
      </w:r>
    </w:p>
    <w:p>
      <w:pPr>
        <w:spacing w:line="360" w:lineRule="auto"/>
        <w:rPr>
          <w:rFonts w:hint="eastAsia" w:ascii="宋体" w:hAnsi="宋体" w:eastAsia="宋体" w:cs="宋体"/>
          <w:color w:val="auto"/>
          <w:sz w:val="24"/>
          <w:szCs w:val="24"/>
          <w:u w:color="000000"/>
        </w:rPr>
      </w:pPr>
      <w:r>
        <w:rPr>
          <w:rFonts w:hint="eastAsia" w:ascii="宋体" w:hAnsi="宋体" w:eastAsia="宋体" w:cs="宋体"/>
          <w:color w:val="auto"/>
          <w:sz w:val="24"/>
          <w:szCs w:val="24"/>
          <w:u w:color="000000"/>
        </w:rPr>
        <w:t>十、投标人其它声明及材料</w:t>
      </w:r>
    </w:p>
    <w:p>
      <w:pPr>
        <w:spacing w:line="360" w:lineRule="auto"/>
        <w:rPr>
          <w:rFonts w:hint="eastAsia" w:ascii="宋体" w:hAnsi="宋体" w:eastAsia="宋体" w:cs="宋体"/>
          <w:color w:val="auto"/>
          <w:sz w:val="28"/>
          <w:szCs w:val="28"/>
          <w:u w:color="000000"/>
        </w:rPr>
      </w:pPr>
    </w:p>
    <w:p>
      <w:pPr>
        <w:jc w:val="left"/>
        <w:rPr>
          <w:rFonts w:hint="eastAsia" w:ascii="宋体" w:hAnsi="宋体" w:eastAsia="宋体" w:cs="宋体"/>
          <w:color w:val="auto"/>
        </w:rPr>
      </w:pPr>
      <w:r>
        <w:rPr>
          <w:rFonts w:hint="eastAsia" w:ascii="宋体" w:hAnsi="宋体" w:eastAsia="宋体" w:cs="宋体"/>
          <w:color w:val="auto"/>
        </w:rPr>
        <w:br w:type="page"/>
      </w:r>
    </w:p>
    <w:p>
      <w:pPr>
        <w:tabs>
          <w:tab w:val="left" w:pos="576"/>
        </w:tabs>
        <w:spacing w:before="156" w:beforeLines="50" w:after="156" w:afterLines="50" w:line="360" w:lineRule="auto"/>
        <w:outlineLvl w:val="2"/>
        <w:rPr>
          <w:rFonts w:hint="eastAsia" w:ascii="宋体" w:hAnsi="宋体" w:eastAsia="宋体" w:cs="宋体"/>
          <w:color w:val="auto"/>
          <w:sz w:val="24"/>
          <w:szCs w:val="24"/>
          <w:u w:color="000000"/>
        </w:rPr>
      </w:pPr>
      <w:bookmarkStart w:id="17" w:name="_Toc50"/>
      <w:bookmarkStart w:id="18" w:name="_Toc448069988"/>
      <w:bookmarkStart w:id="19" w:name="_Toc415494574"/>
      <w:bookmarkStart w:id="20" w:name="_Toc20393"/>
      <w:bookmarkStart w:id="21" w:name="_Toc11859491"/>
      <w:r>
        <w:rPr>
          <w:rFonts w:hint="eastAsia" w:ascii="宋体" w:hAnsi="宋体" w:eastAsia="宋体" w:cs="宋体"/>
          <w:color w:val="auto"/>
          <w:sz w:val="24"/>
          <w:szCs w:val="24"/>
          <w:u w:color="000000"/>
        </w:rPr>
        <w:t xml:space="preserve">6.1 </w:t>
      </w:r>
      <w:bookmarkEnd w:id="17"/>
      <w:bookmarkEnd w:id="18"/>
      <w:bookmarkEnd w:id="19"/>
      <w:r>
        <w:rPr>
          <w:rFonts w:hint="eastAsia" w:ascii="宋体" w:hAnsi="宋体" w:eastAsia="宋体" w:cs="宋体"/>
          <w:color w:val="auto"/>
          <w:sz w:val="24"/>
          <w:szCs w:val="24"/>
          <w:u w:color="000000"/>
        </w:rPr>
        <w:t>投标函</w:t>
      </w:r>
      <w:bookmarkEnd w:id="20"/>
      <w:bookmarkEnd w:id="21"/>
    </w:p>
    <w:p>
      <w:pPr>
        <w:snapToGrid w:val="0"/>
        <w:spacing w:line="360" w:lineRule="auto"/>
        <w:jc w:val="center"/>
        <w:rPr>
          <w:rFonts w:hint="eastAsia" w:ascii="宋体" w:hAnsi="宋体" w:eastAsia="宋体" w:cs="宋体"/>
          <w:color w:val="auto"/>
          <w:sz w:val="28"/>
          <w:szCs w:val="24"/>
          <w:u w:color="000000"/>
          <w:lang w:val="zh-TW" w:eastAsia="zh-TW"/>
        </w:rPr>
      </w:pPr>
      <w:r>
        <w:rPr>
          <w:rFonts w:hint="eastAsia" w:ascii="宋体" w:hAnsi="宋体" w:eastAsia="宋体" w:cs="宋体"/>
          <w:color w:val="auto"/>
          <w:sz w:val="28"/>
          <w:szCs w:val="24"/>
          <w:u w:color="000000"/>
          <w:lang w:val="zh-TW" w:eastAsia="zh-TW"/>
        </w:rPr>
        <w:t>投标函</w:t>
      </w:r>
    </w:p>
    <w:p>
      <w:pPr>
        <w:pStyle w:val="47"/>
        <w:spacing w:before="0" w:after="0" w:line="300" w:lineRule="auto"/>
        <w:ind w:firstLine="0"/>
        <w:rPr>
          <w:rFonts w:hint="eastAsia" w:ascii="宋体" w:hAnsi="宋体" w:eastAsia="宋体" w:cs="宋体"/>
          <w:color w:val="auto"/>
          <w:kern w:val="2"/>
          <w:szCs w:val="21"/>
          <w:lang w:val="en-US" w:eastAsia="zh-CN"/>
        </w:rPr>
      </w:pPr>
      <w:r>
        <w:rPr>
          <w:rFonts w:hint="eastAsia" w:ascii="宋体" w:hAnsi="宋体" w:eastAsia="宋体" w:cs="宋体"/>
          <w:color w:val="auto"/>
          <w:kern w:val="2"/>
          <w:szCs w:val="21"/>
        </w:rPr>
        <w:t>致：南京邮电大学</w:t>
      </w:r>
      <w:r>
        <w:rPr>
          <w:rFonts w:hint="eastAsia" w:ascii="宋体" w:hAnsi="宋体" w:cs="宋体"/>
          <w:color w:val="auto"/>
          <w:kern w:val="2"/>
          <w:szCs w:val="21"/>
          <w:lang w:val="en-US" w:eastAsia="zh-CN"/>
        </w:rPr>
        <w:t>通达学院</w:t>
      </w:r>
    </w:p>
    <w:p>
      <w:pPr>
        <w:pStyle w:val="47"/>
        <w:spacing w:before="0" w:after="0" w:line="300" w:lineRule="auto"/>
        <w:ind w:firstLineChars="200"/>
        <w:rPr>
          <w:rFonts w:hint="eastAsia" w:ascii="宋体" w:hAnsi="宋体" w:eastAsia="宋体" w:cs="宋体"/>
          <w:color w:val="auto"/>
          <w:kern w:val="2"/>
          <w:szCs w:val="21"/>
        </w:rPr>
      </w:pPr>
      <w:r>
        <w:rPr>
          <w:rFonts w:hint="eastAsia" w:ascii="宋体" w:hAnsi="宋体" w:eastAsia="宋体" w:cs="宋体"/>
          <w:color w:val="auto"/>
          <w:kern w:val="2"/>
          <w:szCs w:val="21"/>
        </w:rPr>
        <w:t>根据贵方</w:t>
      </w:r>
      <w:r>
        <w:rPr>
          <w:rFonts w:hint="eastAsia" w:ascii="宋体" w:hAnsi="宋体" w:cs="宋体"/>
          <w:color w:val="auto"/>
          <w:kern w:val="2"/>
          <w:szCs w:val="21"/>
          <w:u w:val="single"/>
          <w:lang w:eastAsia="zh-CN"/>
        </w:rPr>
        <w:t>南京邮电大学通达学院校内配送服务采购项目（</w:t>
      </w:r>
      <w:r>
        <w:rPr>
          <w:rFonts w:hint="eastAsia" w:ascii="宋体" w:hAnsi="宋体" w:cs="宋体"/>
          <w:color w:val="auto"/>
          <w:kern w:val="2"/>
          <w:szCs w:val="21"/>
          <w:u w:val="single"/>
          <w:lang w:val="en-US" w:eastAsia="zh-CN"/>
        </w:rPr>
        <w:t>第二次</w:t>
      </w:r>
      <w:r>
        <w:rPr>
          <w:rFonts w:hint="eastAsia" w:ascii="宋体" w:hAnsi="宋体" w:cs="宋体"/>
          <w:color w:val="auto"/>
          <w:kern w:val="2"/>
          <w:szCs w:val="21"/>
          <w:u w:val="single"/>
          <w:lang w:eastAsia="zh-CN"/>
        </w:rPr>
        <w:t>）</w:t>
      </w:r>
      <w:r>
        <w:rPr>
          <w:rFonts w:hint="eastAsia" w:ascii="宋体" w:hAnsi="宋体" w:eastAsia="宋体" w:cs="宋体"/>
          <w:color w:val="auto"/>
          <w:kern w:val="2"/>
          <w:szCs w:val="21"/>
          <w:u w:val="single"/>
        </w:rPr>
        <w:t>（项目编号：</w:t>
      </w:r>
      <w:r>
        <w:rPr>
          <w:rFonts w:hint="eastAsia" w:ascii="宋体" w:hAnsi="宋体" w:cs="宋体"/>
          <w:color w:val="auto"/>
          <w:kern w:val="2"/>
          <w:szCs w:val="21"/>
          <w:u w:val="single"/>
          <w:lang w:eastAsia="zh-CN"/>
        </w:rPr>
        <w:t>TDCG2023024</w:t>
      </w:r>
      <w:r>
        <w:rPr>
          <w:rFonts w:hint="eastAsia" w:ascii="宋体" w:hAnsi="宋体" w:eastAsia="宋体" w:cs="宋体"/>
          <w:color w:val="auto"/>
          <w:kern w:val="2"/>
          <w:szCs w:val="21"/>
          <w:u w:val="single"/>
        </w:rPr>
        <w:t>）</w:t>
      </w:r>
      <w:r>
        <w:rPr>
          <w:rFonts w:hint="eastAsia" w:ascii="宋体" w:hAnsi="宋体" w:eastAsia="宋体" w:cs="宋体"/>
          <w:color w:val="auto"/>
          <w:kern w:val="2"/>
          <w:szCs w:val="21"/>
        </w:rPr>
        <w:t>的招标文件，正式授权下述签字人____________（姓名和职务）代表我方____________（投标人的名称），全权处理本次项目投标的有关事宜。</w:t>
      </w:r>
    </w:p>
    <w:p>
      <w:pPr>
        <w:pStyle w:val="47"/>
        <w:spacing w:before="0" w:after="0" w:line="300" w:lineRule="auto"/>
        <w:ind w:firstLineChars="200"/>
        <w:rPr>
          <w:rFonts w:hint="eastAsia" w:ascii="宋体" w:hAnsi="宋体" w:eastAsia="宋体" w:cs="宋体"/>
          <w:color w:val="auto"/>
          <w:kern w:val="2"/>
          <w:szCs w:val="21"/>
        </w:rPr>
      </w:pPr>
      <w:r>
        <w:rPr>
          <w:rFonts w:hint="eastAsia" w:ascii="宋体" w:hAnsi="宋体" w:eastAsia="宋体" w:cs="宋体"/>
          <w:color w:val="auto"/>
          <w:kern w:val="2"/>
          <w:szCs w:val="21"/>
        </w:rPr>
        <w:t>据此函，投标人宣布同意如下：</w:t>
      </w:r>
    </w:p>
    <w:p>
      <w:pPr>
        <w:pStyle w:val="47"/>
        <w:spacing w:before="0" w:after="0" w:line="300" w:lineRule="auto"/>
        <w:rPr>
          <w:rFonts w:hint="eastAsia" w:ascii="宋体" w:hAnsi="宋体" w:eastAsia="宋体" w:cs="宋体"/>
          <w:color w:val="auto"/>
          <w:kern w:val="2"/>
          <w:szCs w:val="21"/>
        </w:rPr>
      </w:pPr>
      <w:r>
        <w:rPr>
          <w:rFonts w:hint="eastAsia" w:ascii="宋体" w:hAnsi="宋体" w:eastAsia="宋体" w:cs="宋体"/>
          <w:color w:val="auto"/>
          <w:kern w:val="2"/>
          <w:szCs w:val="21"/>
        </w:rPr>
        <w:t>1.按招标文件规定的各项要求，向买方提供所需货物与服务。</w:t>
      </w:r>
    </w:p>
    <w:p>
      <w:pPr>
        <w:pStyle w:val="47"/>
        <w:spacing w:before="0" w:after="0" w:line="300" w:lineRule="auto"/>
        <w:ind w:firstLineChars="200"/>
        <w:rPr>
          <w:rFonts w:hint="eastAsia" w:ascii="宋体" w:hAnsi="宋体" w:eastAsia="宋体" w:cs="宋体"/>
          <w:color w:val="auto"/>
          <w:kern w:val="2"/>
          <w:szCs w:val="21"/>
        </w:rPr>
      </w:pPr>
      <w:r>
        <w:rPr>
          <w:rFonts w:hint="eastAsia" w:ascii="宋体" w:hAnsi="宋体" w:eastAsia="宋体" w:cs="宋体"/>
          <w:color w:val="auto"/>
          <w:kern w:val="2"/>
          <w:szCs w:val="21"/>
        </w:rPr>
        <w:t>2.我们完全理解贵方不一定将合同授予最低报价的投标人。</w:t>
      </w:r>
    </w:p>
    <w:p>
      <w:pPr>
        <w:pStyle w:val="47"/>
        <w:spacing w:before="0" w:after="0" w:line="300" w:lineRule="auto"/>
        <w:ind w:firstLineChars="200"/>
        <w:rPr>
          <w:rFonts w:hint="eastAsia" w:ascii="宋体" w:hAnsi="宋体" w:eastAsia="宋体" w:cs="宋体"/>
          <w:color w:val="auto"/>
          <w:kern w:val="2"/>
          <w:szCs w:val="21"/>
        </w:rPr>
      </w:pPr>
      <w:r>
        <w:rPr>
          <w:rFonts w:hint="eastAsia" w:ascii="宋体" w:hAnsi="宋体" w:eastAsia="宋体" w:cs="宋体"/>
          <w:color w:val="auto"/>
          <w:kern w:val="2"/>
          <w:szCs w:val="21"/>
        </w:rPr>
        <w:t>3.我们已详细审核全部招标文件及其有效补充文件，我们知道必须放弃提出含糊不清或误解问题的权利。</w:t>
      </w:r>
    </w:p>
    <w:p>
      <w:pPr>
        <w:pStyle w:val="47"/>
        <w:spacing w:before="0" w:after="0" w:line="300" w:lineRule="auto"/>
        <w:rPr>
          <w:rFonts w:hint="eastAsia" w:ascii="宋体" w:hAnsi="宋体" w:eastAsia="宋体" w:cs="宋体"/>
          <w:color w:val="auto"/>
          <w:kern w:val="2"/>
          <w:szCs w:val="21"/>
        </w:rPr>
      </w:pPr>
      <w:r>
        <w:rPr>
          <w:rFonts w:hint="eastAsia" w:ascii="宋体" w:hAnsi="宋体" w:eastAsia="宋体" w:cs="宋体"/>
          <w:color w:val="auto"/>
          <w:kern w:val="2"/>
          <w:szCs w:val="21"/>
        </w:rPr>
        <w:t>4.我们同意从规定的开标日期起遵循本投标文件，并在规定的投标有效期期满之前均具有约束力。</w:t>
      </w:r>
    </w:p>
    <w:p>
      <w:pPr>
        <w:pStyle w:val="47"/>
        <w:spacing w:before="0" w:after="0" w:line="300" w:lineRule="auto"/>
        <w:rPr>
          <w:rFonts w:hint="eastAsia" w:ascii="宋体" w:hAnsi="宋体" w:eastAsia="宋体" w:cs="宋体"/>
          <w:color w:val="auto"/>
          <w:kern w:val="2"/>
          <w:szCs w:val="21"/>
        </w:rPr>
      </w:pPr>
      <w:r>
        <w:rPr>
          <w:rFonts w:hint="eastAsia" w:ascii="宋体" w:hAnsi="宋体" w:eastAsia="宋体" w:cs="宋体"/>
          <w:color w:val="auto"/>
          <w:kern w:val="2"/>
          <w:szCs w:val="21"/>
        </w:rPr>
        <w:t>5.如果在开标后规定的投标有效期内撤回投标或中标后拒绝签订合同，我们的投标保证金可被贵方没收。</w:t>
      </w:r>
    </w:p>
    <w:p>
      <w:pPr>
        <w:pStyle w:val="47"/>
        <w:spacing w:before="0" w:after="0" w:line="300" w:lineRule="auto"/>
        <w:rPr>
          <w:rFonts w:hint="eastAsia" w:ascii="宋体" w:hAnsi="宋体" w:eastAsia="宋体" w:cs="宋体"/>
          <w:color w:val="auto"/>
          <w:kern w:val="2"/>
          <w:szCs w:val="21"/>
        </w:rPr>
      </w:pPr>
      <w:r>
        <w:rPr>
          <w:rFonts w:hint="eastAsia" w:ascii="宋体" w:hAnsi="宋体" w:eastAsia="宋体" w:cs="宋体"/>
          <w:color w:val="auto"/>
          <w:kern w:val="2"/>
          <w:szCs w:val="21"/>
        </w:rPr>
        <w:t>6.同意向贵方提供贵方可能另外要求的与投标有关的任何证据或资料，并保证我方已提供和将要提供的文件是真实的、准确的。</w:t>
      </w:r>
    </w:p>
    <w:p>
      <w:pPr>
        <w:pStyle w:val="47"/>
        <w:spacing w:before="0" w:after="0" w:line="300" w:lineRule="auto"/>
        <w:rPr>
          <w:rFonts w:hint="eastAsia" w:ascii="宋体" w:hAnsi="宋体" w:eastAsia="宋体" w:cs="宋体"/>
          <w:color w:val="auto"/>
          <w:kern w:val="2"/>
          <w:szCs w:val="21"/>
        </w:rPr>
      </w:pPr>
      <w:r>
        <w:rPr>
          <w:rFonts w:hint="eastAsia" w:ascii="宋体" w:hAnsi="宋体" w:eastAsia="宋体" w:cs="宋体"/>
          <w:color w:val="auto"/>
          <w:kern w:val="2"/>
          <w:szCs w:val="21"/>
        </w:rPr>
        <w:t>7.一旦我方中标,我方将根据招标文件的规定，严格履行合同的责任和义务,并保证在招标文件规定的时间完成项目，交付买方验收、使用。</w:t>
      </w:r>
    </w:p>
    <w:p>
      <w:pPr>
        <w:pStyle w:val="47"/>
        <w:spacing w:before="0" w:after="0" w:line="300" w:lineRule="auto"/>
        <w:ind w:firstLineChars="200"/>
        <w:rPr>
          <w:rFonts w:hint="eastAsia" w:ascii="宋体" w:hAnsi="宋体" w:eastAsia="宋体" w:cs="宋体"/>
          <w:color w:val="auto"/>
          <w:kern w:val="2"/>
          <w:szCs w:val="21"/>
        </w:rPr>
      </w:pPr>
      <w:r>
        <w:rPr>
          <w:rFonts w:hint="eastAsia" w:ascii="宋体" w:hAnsi="宋体" w:eastAsia="宋体" w:cs="宋体"/>
          <w:color w:val="auto"/>
          <w:kern w:val="2"/>
          <w:szCs w:val="21"/>
        </w:rPr>
        <w:t>8.遵守招标文件中要求的收费项目和标准。</w:t>
      </w:r>
    </w:p>
    <w:p>
      <w:pPr>
        <w:pStyle w:val="47"/>
        <w:spacing w:before="0" w:after="0" w:line="300" w:lineRule="auto"/>
        <w:ind w:firstLineChars="200"/>
        <w:rPr>
          <w:rFonts w:hint="eastAsia" w:ascii="宋体" w:hAnsi="宋体" w:eastAsia="宋体" w:cs="宋体"/>
          <w:color w:val="auto"/>
          <w:kern w:val="2"/>
          <w:szCs w:val="21"/>
        </w:rPr>
      </w:pPr>
      <w:r>
        <w:rPr>
          <w:rFonts w:hint="eastAsia" w:ascii="宋体" w:hAnsi="宋体" w:eastAsia="宋体" w:cs="宋体"/>
          <w:color w:val="auto"/>
          <w:kern w:val="2"/>
          <w:szCs w:val="21"/>
        </w:rPr>
        <w:t>9.与本投标有关的正式通讯地址为：</w:t>
      </w:r>
    </w:p>
    <w:p>
      <w:pPr>
        <w:pStyle w:val="47"/>
        <w:spacing w:before="0" w:after="0" w:line="300" w:lineRule="auto"/>
        <w:ind w:left="420" w:leftChars="200" w:firstLineChars="200"/>
        <w:rPr>
          <w:rFonts w:hint="eastAsia" w:ascii="宋体" w:hAnsi="宋体" w:eastAsia="宋体" w:cs="宋体"/>
          <w:color w:val="auto"/>
          <w:kern w:val="2"/>
          <w:szCs w:val="21"/>
        </w:rPr>
      </w:pPr>
      <w:r>
        <w:rPr>
          <w:rFonts w:hint="eastAsia" w:ascii="宋体" w:hAnsi="宋体" w:eastAsia="宋体" w:cs="宋体"/>
          <w:color w:val="auto"/>
          <w:kern w:val="2"/>
          <w:szCs w:val="21"/>
        </w:rPr>
        <w:t>地        址：</w:t>
      </w:r>
    </w:p>
    <w:p>
      <w:pPr>
        <w:pStyle w:val="47"/>
        <w:spacing w:before="0" w:after="0" w:line="300" w:lineRule="auto"/>
        <w:ind w:left="420" w:leftChars="200" w:firstLineChars="200"/>
        <w:rPr>
          <w:rFonts w:hint="eastAsia" w:ascii="宋体" w:hAnsi="宋体" w:eastAsia="宋体" w:cs="宋体"/>
          <w:color w:val="auto"/>
          <w:kern w:val="2"/>
          <w:szCs w:val="21"/>
        </w:rPr>
      </w:pPr>
      <w:r>
        <w:rPr>
          <w:rFonts w:hint="eastAsia" w:ascii="宋体" w:hAnsi="宋体" w:eastAsia="宋体" w:cs="宋体"/>
          <w:color w:val="auto"/>
          <w:kern w:val="2"/>
          <w:szCs w:val="21"/>
        </w:rPr>
        <w:t>邮        编：</w:t>
      </w:r>
    </w:p>
    <w:p>
      <w:pPr>
        <w:pStyle w:val="47"/>
        <w:spacing w:before="0" w:after="0" w:line="300" w:lineRule="auto"/>
        <w:ind w:left="420" w:leftChars="200" w:firstLineChars="200"/>
        <w:rPr>
          <w:rFonts w:hint="eastAsia" w:ascii="宋体" w:hAnsi="宋体" w:eastAsia="宋体" w:cs="宋体"/>
          <w:color w:val="auto"/>
          <w:kern w:val="2"/>
          <w:szCs w:val="21"/>
        </w:rPr>
      </w:pPr>
      <w:r>
        <w:rPr>
          <w:rFonts w:hint="eastAsia" w:ascii="宋体" w:hAnsi="宋体" w:eastAsia="宋体" w:cs="宋体"/>
          <w:color w:val="auto"/>
          <w:kern w:val="2"/>
          <w:szCs w:val="21"/>
        </w:rPr>
        <w:t>电        话：</w:t>
      </w:r>
    </w:p>
    <w:p>
      <w:pPr>
        <w:pStyle w:val="47"/>
        <w:spacing w:before="0" w:after="0" w:line="300" w:lineRule="auto"/>
        <w:ind w:left="420" w:leftChars="200" w:firstLineChars="200"/>
        <w:rPr>
          <w:rFonts w:hint="eastAsia" w:ascii="宋体" w:hAnsi="宋体" w:eastAsia="宋体" w:cs="宋体"/>
          <w:color w:val="auto"/>
          <w:kern w:val="2"/>
          <w:szCs w:val="21"/>
        </w:rPr>
      </w:pPr>
      <w:r>
        <w:rPr>
          <w:rFonts w:hint="eastAsia" w:ascii="宋体" w:hAnsi="宋体" w:eastAsia="宋体" w:cs="宋体"/>
          <w:color w:val="auto"/>
          <w:kern w:val="2"/>
          <w:szCs w:val="21"/>
        </w:rPr>
        <w:t>传        真：</w:t>
      </w:r>
    </w:p>
    <w:p>
      <w:pPr>
        <w:pStyle w:val="47"/>
        <w:spacing w:before="0" w:after="0" w:line="300" w:lineRule="auto"/>
        <w:ind w:left="420" w:leftChars="200" w:firstLineChars="200"/>
        <w:rPr>
          <w:rFonts w:hint="eastAsia" w:ascii="宋体" w:hAnsi="宋体" w:eastAsia="宋体" w:cs="宋体"/>
          <w:color w:val="auto"/>
          <w:kern w:val="2"/>
          <w:szCs w:val="21"/>
        </w:rPr>
      </w:pPr>
      <w:r>
        <w:rPr>
          <w:rFonts w:hint="eastAsia" w:ascii="宋体" w:hAnsi="宋体" w:eastAsia="宋体" w:cs="宋体"/>
          <w:color w:val="auto"/>
          <w:kern w:val="2"/>
          <w:szCs w:val="21"/>
        </w:rPr>
        <w:t>投标人开户行：</w:t>
      </w:r>
    </w:p>
    <w:p>
      <w:pPr>
        <w:pStyle w:val="47"/>
        <w:spacing w:before="0" w:after="0" w:line="300" w:lineRule="auto"/>
        <w:ind w:left="420" w:leftChars="200" w:firstLineChars="200"/>
        <w:rPr>
          <w:rFonts w:hint="eastAsia" w:ascii="宋体" w:hAnsi="宋体" w:eastAsia="宋体" w:cs="宋体"/>
          <w:color w:val="auto"/>
          <w:kern w:val="2"/>
          <w:szCs w:val="21"/>
        </w:rPr>
      </w:pPr>
      <w:r>
        <w:rPr>
          <w:rFonts w:hint="eastAsia" w:ascii="宋体" w:hAnsi="宋体" w:eastAsia="宋体" w:cs="宋体"/>
          <w:color w:val="auto"/>
          <w:kern w:val="2"/>
          <w:szCs w:val="21"/>
        </w:rPr>
        <w:t xml:space="preserve">账        户： </w:t>
      </w:r>
    </w:p>
    <w:p>
      <w:pPr>
        <w:pStyle w:val="47"/>
        <w:spacing w:before="0" w:after="0" w:line="300" w:lineRule="auto"/>
        <w:ind w:left="420" w:leftChars="200" w:firstLineChars="200"/>
        <w:rPr>
          <w:rFonts w:hint="eastAsia" w:ascii="宋体" w:hAnsi="宋体" w:eastAsia="宋体" w:cs="宋体"/>
          <w:color w:val="auto"/>
          <w:kern w:val="2"/>
          <w:szCs w:val="21"/>
        </w:rPr>
      </w:pPr>
      <w:r>
        <w:rPr>
          <w:rFonts w:hint="eastAsia" w:ascii="宋体" w:hAnsi="宋体" w:eastAsia="宋体" w:cs="宋体"/>
          <w:color w:val="auto"/>
          <w:kern w:val="2"/>
          <w:szCs w:val="21"/>
        </w:rPr>
        <w:t xml:space="preserve">投标人授权代表姓名（签字）： </w:t>
      </w:r>
    </w:p>
    <w:p>
      <w:pPr>
        <w:pStyle w:val="47"/>
        <w:spacing w:before="0" w:after="0" w:line="300" w:lineRule="auto"/>
        <w:ind w:left="420" w:leftChars="200" w:firstLineChars="200"/>
        <w:rPr>
          <w:rFonts w:hint="eastAsia" w:ascii="宋体" w:hAnsi="宋体" w:eastAsia="宋体" w:cs="宋体"/>
          <w:color w:val="auto"/>
          <w:kern w:val="2"/>
          <w:szCs w:val="21"/>
        </w:rPr>
      </w:pPr>
      <w:r>
        <w:rPr>
          <w:rFonts w:hint="eastAsia" w:ascii="宋体" w:hAnsi="宋体" w:eastAsia="宋体" w:cs="宋体"/>
          <w:color w:val="auto"/>
          <w:kern w:val="2"/>
          <w:szCs w:val="21"/>
        </w:rPr>
        <w:t xml:space="preserve">投标人名称（公章）： </w:t>
      </w:r>
    </w:p>
    <w:p>
      <w:pPr>
        <w:pStyle w:val="47"/>
        <w:spacing w:before="0" w:after="0" w:line="300" w:lineRule="auto"/>
        <w:ind w:left="420" w:leftChars="200" w:firstLineChars="200"/>
        <w:rPr>
          <w:rFonts w:hint="eastAsia" w:ascii="宋体" w:hAnsi="宋体" w:eastAsia="宋体" w:cs="宋体"/>
          <w:color w:val="auto"/>
          <w:kern w:val="2"/>
          <w:szCs w:val="21"/>
        </w:rPr>
      </w:pPr>
      <w:r>
        <w:rPr>
          <w:rFonts w:hint="eastAsia" w:ascii="宋体" w:hAnsi="宋体" w:eastAsia="宋体" w:cs="宋体"/>
          <w:color w:val="auto"/>
          <w:kern w:val="2"/>
          <w:szCs w:val="21"/>
        </w:rPr>
        <w:t>日        期：________年____月____日</w:t>
      </w:r>
    </w:p>
    <w:p>
      <w:pPr>
        <w:snapToGrid w:val="0"/>
        <w:spacing w:line="360" w:lineRule="auto"/>
        <w:jc w:val="right"/>
        <w:rPr>
          <w:rFonts w:hint="eastAsia" w:ascii="宋体" w:hAnsi="宋体" w:eastAsia="宋体" w:cs="宋体"/>
          <w:color w:val="auto"/>
          <w:szCs w:val="21"/>
          <w:u w:color="000000"/>
        </w:rPr>
      </w:pPr>
    </w:p>
    <w:p>
      <w:pPr>
        <w:spacing w:line="360" w:lineRule="auto"/>
        <w:jc w:val="right"/>
        <w:rPr>
          <w:rFonts w:hint="eastAsia" w:ascii="宋体" w:hAnsi="宋体" w:eastAsia="宋体" w:cs="宋体"/>
          <w:color w:val="auto"/>
          <w:szCs w:val="21"/>
          <w:u w:color="000000"/>
        </w:rPr>
      </w:pPr>
    </w:p>
    <w:p>
      <w:pPr>
        <w:jc w:val="left"/>
        <w:rPr>
          <w:rFonts w:hint="eastAsia" w:ascii="宋体" w:hAnsi="宋体" w:eastAsia="宋体" w:cs="宋体"/>
          <w:color w:val="auto"/>
        </w:rPr>
      </w:pPr>
      <w:r>
        <w:rPr>
          <w:rFonts w:hint="eastAsia" w:ascii="宋体" w:hAnsi="宋体" w:eastAsia="宋体" w:cs="宋体"/>
          <w:color w:val="auto"/>
        </w:rPr>
        <w:br w:type="page"/>
      </w:r>
    </w:p>
    <w:p>
      <w:pPr>
        <w:tabs>
          <w:tab w:val="left" w:pos="576"/>
        </w:tabs>
        <w:spacing w:before="156" w:beforeLines="50" w:after="156" w:afterLines="50" w:line="360" w:lineRule="auto"/>
        <w:outlineLvl w:val="2"/>
        <w:rPr>
          <w:rFonts w:hint="eastAsia" w:ascii="宋体" w:hAnsi="宋体" w:eastAsia="宋体" w:cs="宋体"/>
          <w:color w:val="auto"/>
          <w:sz w:val="24"/>
          <w:szCs w:val="24"/>
          <w:u w:color="000000"/>
        </w:rPr>
      </w:pPr>
      <w:bookmarkStart w:id="22" w:name="_Toc12813"/>
      <w:bookmarkStart w:id="23" w:name="_Toc448069992"/>
      <w:bookmarkStart w:id="24" w:name="_Toc11859492"/>
      <w:bookmarkStart w:id="25" w:name="_Toc415494579"/>
      <w:bookmarkStart w:id="26" w:name="_Toc452541709"/>
      <w:bookmarkStart w:id="27" w:name="_Toc51"/>
      <w:bookmarkStart w:id="28" w:name="_Toc448069989"/>
      <w:bookmarkStart w:id="29" w:name="_Toc415494575"/>
      <w:r>
        <w:rPr>
          <w:rFonts w:hint="eastAsia" w:ascii="宋体" w:hAnsi="宋体" w:eastAsia="宋体" w:cs="宋体"/>
          <w:color w:val="auto"/>
          <w:sz w:val="24"/>
          <w:szCs w:val="24"/>
          <w:u w:color="000000"/>
        </w:rPr>
        <w:t>6.2 投标一览表</w:t>
      </w:r>
      <w:bookmarkEnd w:id="22"/>
      <w:bookmarkEnd w:id="23"/>
      <w:bookmarkEnd w:id="24"/>
      <w:bookmarkEnd w:id="25"/>
    </w:p>
    <w:p>
      <w:pPr>
        <w:snapToGrid w:val="0"/>
        <w:spacing w:line="360" w:lineRule="auto"/>
        <w:jc w:val="center"/>
        <w:rPr>
          <w:rFonts w:hint="eastAsia" w:ascii="宋体" w:hAnsi="宋体" w:eastAsia="宋体" w:cs="宋体"/>
          <w:color w:val="auto"/>
          <w:sz w:val="28"/>
          <w:szCs w:val="24"/>
          <w:u w:color="000000"/>
          <w:lang w:val="zh-TW" w:eastAsia="zh-TW"/>
        </w:rPr>
      </w:pPr>
      <w:r>
        <w:rPr>
          <w:rFonts w:hint="eastAsia" w:ascii="宋体" w:hAnsi="宋体" w:eastAsia="宋体" w:cs="宋体"/>
          <w:color w:val="auto"/>
          <w:sz w:val="28"/>
          <w:szCs w:val="24"/>
          <w:u w:color="000000"/>
          <w:lang w:val="zh-TW" w:eastAsia="zh-TW"/>
        </w:rPr>
        <w:t>投标一览表</w:t>
      </w:r>
    </w:p>
    <w:p>
      <w:pPr>
        <w:adjustRightInd w:val="0"/>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投标人全称（加盖公章）：</w:t>
      </w:r>
    </w:p>
    <w:p>
      <w:pPr>
        <w:adjustRightInd w:val="0"/>
        <w:snapToGrid w:val="0"/>
        <w:spacing w:line="360" w:lineRule="auto"/>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rPr>
        <w:t>项目名称：</w:t>
      </w:r>
      <w:r>
        <w:rPr>
          <w:rFonts w:hint="eastAsia" w:ascii="宋体" w:hAnsi="宋体" w:eastAsia="宋体" w:cs="宋体"/>
          <w:color w:val="auto"/>
          <w:sz w:val="24"/>
          <w:szCs w:val="24"/>
          <w:lang w:eastAsia="zh-CN"/>
        </w:rPr>
        <w:t>南京邮电大学通达学院校内配送服务采购项目（第二次）</w:t>
      </w:r>
    </w:p>
    <w:p>
      <w:pPr>
        <w:adjustRightInd w:val="0"/>
        <w:snapToGrid w:val="0"/>
        <w:spacing w:line="360" w:lineRule="auto"/>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rPr>
        <w:t>项目编号：</w:t>
      </w:r>
      <w:r>
        <w:rPr>
          <w:rFonts w:hint="eastAsia" w:ascii="宋体" w:hAnsi="宋体" w:eastAsia="宋体" w:cs="宋体"/>
          <w:color w:val="auto"/>
          <w:sz w:val="24"/>
          <w:szCs w:val="24"/>
          <w:lang w:eastAsia="zh-CN"/>
        </w:rPr>
        <w:t>TDCG2023024</w:t>
      </w:r>
    </w:p>
    <w:tbl>
      <w:tblPr>
        <w:tblStyle w:val="25"/>
        <w:tblW w:w="8537" w:type="dxa"/>
        <w:tblInd w:w="-21" w:type="dxa"/>
        <w:tblLayout w:type="fixed"/>
        <w:tblCellMar>
          <w:top w:w="0" w:type="dxa"/>
          <w:left w:w="108" w:type="dxa"/>
          <w:bottom w:w="0" w:type="dxa"/>
          <w:right w:w="108" w:type="dxa"/>
        </w:tblCellMar>
      </w:tblPr>
      <w:tblGrid>
        <w:gridCol w:w="2165"/>
        <w:gridCol w:w="3186"/>
        <w:gridCol w:w="3186"/>
      </w:tblGrid>
      <w:tr>
        <w:tblPrEx>
          <w:tblCellMar>
            <w:top w:w="0" w:type="dxa"/>
            <w:left w:w="108" w:type="dxa"/>
            <w:bottom w:w="0" w:type="dxa"/>
            <w:right w:w="108" w:type="dxa"/>
          </w:tblCellMar>
        </w:tblPrEx>
        <w:trPr>
          <w:trHeight w:val="787" w:hRule="atLeast"/>
        </w:trPr>
        <w:tc>
          <w:tcPr>
            <w:tcW w:w="21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kern w:val="0"/>
                <w:sz w:val="28"/>
                <w:szCs w:val="28"/>
              </w:rPr>
            </w:pPr>
            <w:r>
              <w:rPr>
                <w:rFonts w:hint="eastAsia" w:ascii="宋体" w:hAnsi="宋体" w:eastAsia="宋体" w:cs="宋体"/>
                <w:kern w:val="0"/>
                <w:sz w:val="28"/>
                <w:szCs w:val="28"/>
              </w:rPr>
              <w:t>项目名称</w:t>
            </w:r>
          </w:p>
        </w:tc>
        <w:tc>
          <w:tcPr>
            <w:tcW w:w="6372" w:type="dxa"/>
            <w:gridSpan w:val="2"/>
            <w:tcBorders>
              <w:top w:val="single" w:color="000000" w:sz="4" w:space="0"/>
              <w:left w:val="nil"/>
              <w:bottom w:val="single" w:color="000000" w:sz="4" w:space="0"/>
              <w:right w:val="single" w:color="000000" w:sz="4" w:space="0"/>
            </w:tcBorders>
            <w:noWrap w:val="0"/>
            <w:vAlign w:val="center"/>
          </w:tcPr>
          <w:p>
            <w:pPr>
              <w:widowControl/>
              <w:jc w:val="left"/>
              <w:rPr>
                <w:rFonts w:hint="eastAsia" w:ascii="宋体" w:hAnsi="宋体" w:eastAsia="宋体" w:cs="宋体"/>
                <w:kern w:val="0"/>
                <w:sz w:val="28"/>
                <w:szCs w:val="28"/>
              </w:rPr>
            </w:pPr>
            <w:r>
              <w:rPr>
                <w:rFonts w:hint="eastAsia" w:ascii="宋体" w:hAnsi="宋体" w:eastAsia="宋体" w:cs="宋体"/>
                <w:b/>
                <w:bCs/>
                <w:kern w:val="0"/>
                <w:sz w:val="28"/>
                <w:szCs w:val="28"/>
              </w:rPr>
              <w:t xml:space="preserve">  </w:t>
            </w:r>
          </w:p>
        </w:tc>
      </w:tr>
      <w:tr>
        <w:tblPrEx>
          <w:tblCellMar>
            <w:top w:w="0" w:type="dxa"/>
            <w:left w:w="108" w:type="dxa"/>
            <w:bottom w:w="0" w:type="dxa"/>
            <w:right w:w="108" w:type="dxa"/>
          </w:tblCellMar>
        </w:tblPrEx>
        <w:trPr>
          <w:trHeight w:val="787" w:hRule="atLeast"/>
        </w:trPr>
        <w:tc>
          <w:tcPr>
            <w:tcW w:w="21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kern w:val="0"/>
                <w:sz w:val="28"/>
                <w:szCs w:val="28"/>
              </w:rPr>
            </w:pPr>
            <w:r>
              <w:rPr>
                <w:rFonts w:hint="eastAsia" w:ascii="宋体" w:hAnsi="宋体" w:eastAsia="宋体" w:cs="宋体"/>
                <w:kern w:val="0"/>
                <w:sz w:val="28"/>
                <w:szCs w:val="28"/>
              </w:rPr>
              <w:t>项目编号</w:t>
            </w:r>
          </w:p>
        </w:tc>
        <w:tc>
          <w:tcPr>
            <w:tcW w:w="6372" w:type="dxa"/>
            <w:gridSpan w:val="2"/>
            <w:tcBorders>
              <w:top w:val="single" w:color="000000" w:sz="4" w:space="0"/>
              <w:left w:val="nil"/>
              <w:bottom w:val="single" w:color="000000" w:sz="4" w:space="0"/>
              <w:right w:val="single" w:color="000000" w:sz="4" w:space="0"/>
            </w:tcBorders>
            <w:noWrap w:val="0"/>
            <w:vAlign w:val="center"/>
          </w:tcPr>
          <w:p>
            <w:pPr>
              <w:widowControl/>
              <w:spacing w:line="360" w:lineRule="auto"/>
              <w:ind w:firstLine="36" w:firstLineChars="13"/>
              <w:rPr>
                <w:rFonts w:hint="eastAsia" w:ascii="宋体" w:hAnsi="宋体" w:eastAsia="宋体" w:cs="宋体"/>
                <w:kern w:val="0"/>
                <w:sz w:val="28"/>
                <w:szCs w:val="28"/>
              </w:rPr>
            </w:pPr>
          </w:p>
        </w:tc>
      </w:tr>
      <w:tr>
        <w:tblPrEx>
          <w:tblCellMar>
            <w:top w:w="0" w:type="dxa"/>
            <w:left w:w="108" w:type="dxa"/>
            <w:bottom w:w="0" w:type="dxa"/>
            <w:right w:w="108" w:type="dxa"/>
          </w:tblCellMar>
        </w:tblPrEx>
        <w:trPr>
          <w:trHeight w:val="1248" w:hRule="atLeast"/>
        </w:trPr>
        <w:tc>
          <w:tcPr>
            <w:tcW w:w="2165" w:type="dxa"/>
            <w:vMerge w:val="restart"/>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bCs/>
                <w:sz w:val="28"/>
                <w:szCs w:val="28"/>
              </w:rPr>
            </w:pPr>
            <w:r>
              <w:rPr>
                <w:rFonts w:hint="eastAsia" w:ascii="宋体" w:hAnsi="宋体" w:eastAsia="宋体" w:cs="宋体"/>
                <w:bCs/>
                <w:sz w:val="28"/>
                <w:szCs w:val="28"/>
              </w:rPr>
              <w:t>投标报价</w:t>
            </w:r>
          </w:p>
          <w:p>
            <w:pPr>
              <w:jc w:val="center"/>
              <w:rPr>
                <w:rFonts w:hint="eastAsia" w:ascii="宋体" w:hAnsi="宋体" w:eastAsia="宋体" w:cs="宋体"/>
                <w:bCs/>
                <w:sz w:val="28"/>
                <w:szCs w:val="28"/>
              </w:rPr>
            </w:pPr>
          </w:p>
        </w:tc>
        <w:tc>
          <w:tcPr>
            <w:tcW w:w="3186" w:type="dxa"/>
            <w:tcBorders>
              <w:top w:val="single" w:color="000000" w:sz="4" w:space="0"/>
              <w:left w:val="nil"/>
              <w:bottom w:val="single" w:color="000000" w:sz="4" w:space="0"/>
              <w:right w:val="single" w:color="000000" w:sz="4" w:space="0"/>
            </w:tcBorders>
            <w:noWrap w:val="0"/>
            <w:vAlign w:val="center"/>
          </w:tcPr>
          <w:p>
            <w:pPr>
              <w:widowControl/>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rPr>
              <w:t>平台服务费</w:t>
            </w:r>
          </w:p>
        </w:tc>
        <w:tc>
          <w:tcPr>
            <w:tcW w:w="3186" w:type="dxa"/>
            <w:tcBorders>
              <w:top w:val="single" w:color="000000" w:sz="4" w:space="0"/>
              <w:left w:val="nil"/>
              <w:bottom w:val="single" w:color="000000" w:sz="4" w:space="0"/>
              <w:right w:val="single" w:color="000000" w:sz="4" w:space="0"/>
            </w:tcBorders>
            <w:noWrap w:val="0"/>
            <w:vAlign w:val="center"/>
          </w:tcPr>
          <w:p>
            <w:pPr>
              <w:spacing w:line="360" w:lineRule="auto"/>
              <w:jc w:val="center"/>
              <w:rPr>
                <w:rFonts w:hint="eastAsia" w:ascii="宋体" w:hAnsi="宋体" w:eastAsia="宋体" w:cs="宋体"/>
                <w:b w:val="0"/>
                <w:bCs w:val="0"/>
                <w:sz w:val="24"/>
                <w:szCs w:val="24"/>
                <w:lang w:val="en-US" w:eastAsia="zh-CN"/>
              </w:rPr>
            </w:pPr>
          </w:p>
        </w:tc>
      </w:tr>
      <w:tr>
        <w:tblPrEx>
          <w:tblCellMar>
            <w:top w:w="0" w:type="dxa"/>
            <w:left w:w="108" w:type="dxa"/>
            <w:bottom w:w="0" w:type="dxa"/>
            <w:right w:w="108" w:type="dxa"/>
          </w:tblCellMar>
        </w:tblPrEx>
        <w:trPr>
          <w:trHeight w:val="1248" w:hRule="atLeast"/>
        </w:trPr>
        <w:tc>
          <w:tcPr>
            <w:tcW w:w="2165"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bCs/>
                <w:sz w:val="28"/>
                <w:szCs w:val="28"/>
              </w:rPr>
            </w:pPr>
          </w:p>
        </w:tc>
        <w:tc>
          <w:tcPr>
            <w:tcW w:w="3186" w:type="dxa"/>
            <w:tcBorders>
              <w:top w:val="single" w:color="000000" w:sz="4" w:space="0"/>
              <w:left w:val="nil"/>
              <w:bottom w:val="single" w:color="000000" w:sz="4" w:space="0"/>
              <w:right w:val="single" w:color="000000" w:sz="4" w:space="0"/>
            </w:tcBorders>
            <w:noWrap w:val="0"/>
            <w:vAlign w:val="center"/>
          </w:tcPr>
          <w:p>
            <w:pPr>
              <w:widowControl/>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rPr>
              <w:t>垃圾清运费</w:t>
            </w:r>
          </w:p>
        </w:tc>
        <w:tc>
          <w:tcPr>
            <w:tcW w:w="3186" w:type="dxa"/>
            <w:tcBorders>
              <w:top w:val="single" w:color="000000" w:sz="4" w:space="0"/>
              <w:left w:val="nil"/>
              <w:bottom w:val="single" w:color="000000" w:sz="4" w:space="0"/>
              <w:right w:val="single" w:color="000000" w:sz="4" w:space="0"/>
            </w:tcBorders>
            <w:noWrap w:val="0"/>
            <w:vAlign w:val="center"/>
          </w:tcPr>
          <w:p>
            <w:pPr>
              <w:spacing w:line="360" w:lineRule="auto"/>
              <w:jc w:val="center"/>
              <w:rPr>
                <w:rFonts w:hint="eastAsia" w:ascii="宋体" w:hAnsi="宋体" w:eastAsia="宋体" w:cs="宋体"/>
                <w:b w:val="0"/>
                <w:bCs w:val="0"/>
                <w:sz w:val="24"/>
                <w:szCs w:val="24"/>
                <w:lang w:val="en-US" w:eastAsia="zh-CN"/>
              </w:rPr>
            </w:pPr>
          </w:p>
        </w:tc>
      </w:tr>
      <w:tr>
        <w:tblPrEx>
          <w:tblCellMar>
            <w:top w:w="0" w:type="dxa"/>
            <w:left w:w="108" w:type="dxa"/>
            <w:bottom w:w="0" w:type="dxa"/>
            <w:right w:w="108" w:type="dxa"/>
          </w:tblCellMar>
        </w:tblPrEx>
        <w:trPr>
          <w:trHeight w:val="1248" w:hRule="atLeast"/>
        </w:trPr>
        <w:tc>
          <w:tcPr>
            <w:tcW w:w="2165"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Cs/>
                <w:sz w:val="28"/>
                <w:szCs w:val="28"/>
              </w:rPr>
            </w:pPr>
          </w:p>
        </w:tc>
        <w:tc>
          <w:tcPr>
            <w:tcW w:w="3186" w:type="dxa"/>
            <w:tcBorders>
              <w:top w:val="single" w:color="000000" w:sz="4" w:space="0"/>
              <w:left w:val="nil"/>
              <w:bottom w:val="single" w:color="000000" w:sz="4" w:space="0"/>
              <w:right w:val="single" w:color="000000" w:sz="4" w:space="0"/>
            </w:tcBorders>
            <w:noWrap w:val="0"/>
            <w:vAlign w:val="center"/>
          </w:tcPr>
          <w:p>
            <w:pPr>
              <w:widowControl/>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rPr>
              <w:t>配送费</w:t>
            </w:r>
          </w:p>
        </w:tc>
        <w:tc>
          <w:tcPr>
            <w:tcW w:w="3186" w:type="dxa"/>
            <w:tcBorders>
              <w:top w:val="single" w:color="000000" w:sz="4" w:space="0"/>
              <w:left w:val="nil"/>
              <w:bottom w:val="single" w:color="000000" w:sz="4" w:space="0"/>
              <w:right w:val="single" w:color="000000" w:sz="4" w:space="0"/>
            </w:tcBorders>
            <w:noWrap w:val="0"/>
            <w:vAlign w:val="center"/>
          </w:tcPr>
          <w:p>
            <w:pPr>
              <w:spacing w:line="360" w:lineRule="auto"/>
              <w:jc w:val="center"/>
              <w:rPr>
                <w:rFonts w:hint="eastAsia" w:ascii="宋体" w:hAnsi="宋体" w:eastAsia="宋体" w:cs="宋体"/>
                <w:b w:val="0"/>
                <w:bCs w:val="0"/>
                <w:sz w:val="24"/>
                <w:szCs w:val="24"/>
                <w:lang w:val="en-US" w:eastAsia="zh-CN"/>
              </w:rPr>
            </w:pPr>
          </w:p>
        </w:tc>
      </w:tr>
    </w:tbl>
    <w:p>
      <w:pPr>
        <w:adjustRightInd w:val="0"/>
        <w:snapToGrid w:val="0"/>
        <w:spacing w:line="360" w:lineRule="auto"/>
        <w:ind w:firstLine="480" w:firstLineChars="200"/>
        <w:rPr>
          <w:rFonts w:hint="eastAsia" w:ascii="宋体" w:hAnsi="宋体" w:eastAsia="宋体" w:cs="宋体"/>
          <w:color w:val="auto"/>
          <w:sz w:val="24"/>
          <w:szCs w:val="24"/>
        </w:rPr>
      </w:pPr>
    </w:p>
    <w:p>
      <w:pPr>
        <w:adjustRightInd w:val="0"/>
        <w:snapToGrid w:val="0"/>
        <w:jc w:val="right"/>
        <w:rPr>
          <w:rFonts w:hint="eastAsia" w:ascii="宋体" w:hAnsi="宋体" w:eastAsia="宋体" w:cs="宋体"/>
          <w:color w:val="auto"/>
          <w:sz w:val="24"/>
          <w:szCs w:val="24"/>
        </w:rPr>
      </w:pPr>
    </w:p>
    <w:p>
      <w:pPr>
        <w:adjustRightInd w:val="0"/>
        <w:snapToGrid w:val="0"/>
        <w:spacing w:line="360" w:lineRule="auto"/>
        <w:jc w:val="right"/>
        <w:rPr>
          <w:rFonts w:hint="eastAsia" w:ascii="宋体" w:hAnsi="宋体" w:eastAsia="宋体" w:cs="宋体"/>
          <w:color w:val="auto"/>
          <w:sz w:val="24"/>
          <w:szCs w:val="24"/>
        </w:rPr>
      </w:pPr>
      <w:r>
        <w:rPr>
          <w:rFonts w:hint="eastAsia" w:ascii="宋体" w:hAnsi="宋体" w:eastAsia="宋体" w:cs="宋体"/>
          <w:color w:val="auto"/>
          <w:sz w:val="24"/>
          <w:szCs w:val="24"/>
        </w:rPr>
        <w:t>法定代表人（授权代表）签字：</w:t>
      </w:r>
      <w:r>
        <w:rPr>
          <w:rFonts w:hint="eastAsia" w:ascii="宋体" w:hAnsi="宋体" w:eastAsia="宋体" w:cs="宋体"/>
          <w:color w:val="auto"/>
          <w:sz w:val="24"/>
          <w:szCs w:val="24"/>
          <w:u w:val="single"/>
        </w:rPr>
        <w:t xml:space="preserve"> </w:t>
      </w:r>
    </w:p>
    <w:p>
      <w:pPr>
        <w:adjustRightInd w:val="0"/>
        <w:snapToGrid w:val="0"/>
        <w:spacing w:line="360" w:lineRule="auto"/>
        <w:ind w:firstLine="5880" w:firstLineChars="2450"/>
        <w:rPr>
          <w:rFonts w:hint="eastAsia" w:ascii="宋体" w:hAnsi="宋体" w:eastAsia="宋体" w:cs="宋体"/>
          <w:color w:val="auto"/>
          <w:sz w:val="24"/>
          <w:szCs w:val="24"/>
        </w:rPr>
      </w:pPr>
      <w:r>
        <w:rPr>
          <w:rFonts w:hint="eastAsia" w:ascii="宋体" w:hAnsi="宋体" w:eastAsia="宋体" w:cs="宋体"/>
          <w:color w:val="auto"/>
          <w:sz w:val="24"/>
          <w:szCs w:val="24"/>
        </w:rPr>
        <w:t>日期：</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日</w:t>
      </w:r>
    </w:p>
    <w:p>
      <w:pPr>
        <w:adjustRightInd w:val="0"/>
        <w:snapToGrid w:val="0"/>
        <w:spacing w:line="44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填写说明：</w:t>
      </w:r>
    </w:p>
    <w:p>
      <w:pPr>
        <w:adjustRightInd w:val="0"/>
        <w:snapToGrid w:val="0"/>
        <w:spacing w:line="44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1、投标一览表必须加盖投标单位公章，并单独装在小信封内于投标截止时间前与投标文件一起递交。</w:t>
      </w:r>
    </w:p>
    <w:p>
      <w:pPr>
        <w:adjustRightInd w:val="0"/>
        <w:snapToGrid w:val="0"/>
        <w:spacing w:line="440" w:lineRule="exact"/>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、投标报价不得高于最高限价，超过最高限价将否决投标。报价保留小数点后两位。</w:t>
      </w:r>
    </w:p>
    <w:p>
      <w:pPr>
        <w:widowControl/>
        <w:jc w:val="left"/>
        <w:rPr>
          <w:rFonts w:hint="eastAsia" w:ascii="宋体" w:hAnsi="宋体" w:eastAsia="宋体" w:cs="宋体"/>
          <w:color w:val="auto"/>
          <w:sz w:val="24"/>
          <w:szCs w:val="24"/>
        </w:rPr>
      </w:pPr>
      <w:r>
        <w:rPr>
          <w:rFonts w:hint="eastAsia" w:ascii="宋体" w:hAnsi="宋体" w:eastAsia="宋体" w:cs="宋体"/>
          <w:color w:val="auto"/>
          <w:sz w:val="24"/>
          <w:szCs w:val="24"/>
        </w:rPr>
        <w:br w:type="page"/>
      </w:r>
    </w:p>
    <w:p>
      <w:pPr>
        <w:jc w:val="left"/>
        <w:rPr>
          <w:rFonts w:hint="eastAsia" w:ascii="宋体" w:hAnsi="宋体" w:eastAsia="宋体" w:cs="宋体"/>
          <w:color w:val="auto"/>
          <w:sz w:val="24"/>
          <w:szCs w:val="24"/>
          <w:u w:color="000000"/>
        </w:rPr>
      </w:pPr>
      <w:bookmarkStart w:id="30" w:name="_Toc415494580"/>
      <w:bookmarkStart w:id="31" w:name="_Toc55"/>
      <w:bookmarkStart w:id="32" w:name="_Toc448069993"/>
      <w:bookmarkStart w:id="33" w:name="_Toc8435"/>
      <w:bookmarkStart w:id="34" w:name="_Toc11859493"/>
      <w:r>
        <w:rPr>
          <w:rFonts w:hint="eastAsia" w:ascii="宋体" w:hAnsi="宋体" w:eastAsia="宋体" w:cs="宋体"/>
          <w:color w:val="auto"/>
          <w:sz w:val="24"/>
          <w:szCs w:val="24"/>
          <w:u w:color="000000"/>
        </w:rPr>
        <w:t>6.3 法定代表人授权委托书</w:t>
      </w:r>
      <w:bookmarkEnd w:id="30"/>
      <w:bookmarkEnd w:id="31"/>
      <w:bookmarkEnd w:id="32"/>
      <w:bookmarkEnd w:id="33"/>
      <w:bookmarkEnd w:id="34"/>
    </w:p>
    <w:p>
      <w:pPr>
        <w:spacing w:before="312" w:beforeLines="100" w:after="312" w:afterLines="100" w:line="360" w:lineRule="auto"/>
        <w:jc w:val="center"/>
        <w:rPr>
          <w:rFonts w:hint="eastAsia" w:ascii="宋体" w:hAnsi="宋体" w:eastAsia="宋体" w:cs="宋体"/>
          <w:color w:val="auto"/>
          <w:sz w:val="28"/>
          <w:szCs w:val="28"/>
          <w:u w:color="000000"/>
        </w:rPr>
      </w:pPr>
      <w:r>
        <w:rPr>
          <w:rFonts w:hint="eastAsia" w:ascii="宋体" w:hAnsi="宋体" w:eastAsia="宋体" w:cs="宋体"/>
          <w:bCs/>
          <w:color w:val="auto"/>
          <w:sz w:val="28"/>
          <w:szCs w:val="28"/>
          <w:u w:color="000000"/>
          <w:lang w:val="zh-TW"/>
        </w:rPr>
        <w:t>法定代表人</w:t>
      </w:r>
      <w:r>
        <w:rPr>
          <w:rFonts w:hint="eastAsia" w:ascii="宋体" w:hAnsi="宋体" w:eastAsia="宋体" w:cs="宋体"/>
          <w:bCs/>
          <w:color w:val="auto"/>
          <w:sz w:val="28"/>
          <w:szCs w:val="28"/>
          <w:u w:color="000000"/>
          <w:lang w:val="zh-TW" w:eastAsia="zh-TW"/>
        </w:rPr>
        <w:t>授权</w:t>
      </w:r>
      <w:r>
        <w:rPr>
          <w:rFonts w:hint="eastAsia" w:ascii="宋体" w:hAnsi="宋体" w:eastAsia="宋体" w:cs="宋体"/>
          <w:bCs/>
          <w:color w:val="auto"/>
          <w:sz w:val="28"/>
          <w:szCs w:val="28"/>
          <w:u w:color="000000"/>
          <w:lang w:val="zh-TW"/>
        </w:rPr>
        <w:t>委托</w:t>
      </w:r>
      <w:r>
        <w:rPr>
          <w:rFonts w:hint="eastAsia" w:ascii="宋体" w:hAnsi="宋体" w:eastAsia="宋体" w:cs="宋体"/>
          <w:bCs/>
          <w:color w:val="auto"/>
          <w:sz w:val="28"/>
          <w:szCs w:val="28"/>
          <w:u w:color="000000"/>
          <w:lang w:val="zh-TW" w:eastAsia="zh-TW"/>
        </w:rPr>
        <w:t>书</w:t>
      </w:r>
    </w:p>
    <w:p>
      <w:pPr>
        <w:shd w:val="clear" w:color="auto" w:fill="FFFFFF"/>
        <w:snapToGrid w:val="0"/>
        <w:spacing w:line="360" w:lineRule="auto"/>
        <w:ind w:firstLine="482"/>
        <w:rPr>
          <w:rFonts w:hint="eastAsia" w:ascii="宋体" w:hAnsi="宋体" w:eastAsia="宋体" w:cs="宋体"/>
          <w:bCs/>
          <w:color w:val="auto"/>
          <w:sz w:val="24"/>
          <w:szCs w:val="24"/>
        </w:rPr>
      </w:pPr>
      <w:r>
        <w:rPr>
          <w:rFonts w:hint="eastAsia" w:ascii="宋体" w:hAnsi="宋体" w:eastAsia="宋体" w:cs="宋体"/>
          <w:bCs/>
          <w:color w:val="auto"/>
          <w:sz w:val="24"/>
          <w:szCs w:val="24"/>
        </w:rPr>
        <w:t>本授权书声明：____________（投标人名称）授权________________（被授权人的姓名、职务）为我方就</w:t>
      </w:r>
      <w:r>
        <w:rPr>
          <w:rFonts w:hint="eastAsia" w:ascii="宋体" w:hAnsi="宋体" w:eastAsia="宋体" w:cs="宋体"/>
          <w:bCs/>
          <w:color w:val="auto"/>
          <w:sz w:val="24"/>
          <w:szCs w:val="24"/>
          <w:u w:val="single"/>
          <w:lang w:eastAsia="zh-CN"/>
        </w:rPr>
        <w:t>南京邮电大学通达学院校内配送服务采购项目</w:t>
      </w:r>
      <w:r>
        <w:rPr>
          <w:rFonts w:hint="eastAsia" w:ascii="宋体" w:hAnsi="宋体" w:eastAsia="宋体" w:cs="宋体"/>
          <w:bCs/>
          <w:color w:val="auto"/>
          <w:sz w:val="24"/>
          <w:szCs w:val="24"/>
        </w:rPr>
        <w:t>（项目编号：</w:t>
      </w:r>
      <w:r>
        <w:rPr>
          <w:rFonts w:hint="eastAsia" w:ascii="宋体" w:hAnsi="宋体" w:eastAsia="宋体" w:cs="宋体"/>
          <w:bCs/>
          <w:color w:val="auto"/>
          <w:sz w:val="24"/>
          <w:szCs w:val="24"/>
          <w:u w:val="single"/>
        </w:rPr>
        <w:t xml:space="preserve"> </w:t>
      </w:r>
      <w:r>
        <w:rPr>
          <w:rFonts w:hint="eastAsia" w:ascii="宋体" w:hAnsi="宋体" w:eastAsia="宋体" w:cs="宋体"/>
          <w:bCs/>
          <w:color w:val="auto"/>
          <w:sz w:val="24"/>
          <w:szCs w:val="24"/>
        </w:rPr>
        <w:t>）采购活动的合法代理人，以本单位名义全权处理一切与该项目采购有关的事务。</w:t>
      </w:r>
    </w:p>
    <w:p>
      <w:pPr>
        <w:shd w:val="clear" w:color="auto" w:fill="FFFFFF"/>
        <w:snapToGrid w:val="0"/>
        <w:spacing w:line="360" w:lineRule="auto"/>
        <w:ind w:firstLine="482"/>
        <w:rPr>
          <w:rFonts w:hint="eastAsia" w:ascii="宋体" w:hAnsi="宋体" w:eastAsia="宋体" w:cs="宋体"/>
          <w:bCs/>
          <w:color w:val="auto"/>
          <w:sz w:val="24"/>
          <w:szCs w:val="24"/>
        </w:rPr>
      </w:pPr>
      <w:r>
        <w:rPr>
          <w:rFonts w:hint="eastAsia" w:ascii="宋体" w:hAnsi="宋体" w:eastAsia="宋体" w:cs="宋体"/>
          <w:bCs/>
          <w:color w:val="auto"/>
          <w:sz w:val="24"/>
          <w:szCs w:val="24"/>
        </w:rPr>
        <w:t>本授权书于______年____月____日起生效，特此声明。</w:t>
      </w:r>
    </w:p>
    <w:p>
      <w:pPr>
        <w:shd w:val="clear" w:color="auto" w:fill="FFFFFF"/>
        <w:snapToGrid w:val="0"/>
        <w:spacing w:line="360" w:lineRule="auto"/>
        <w:ind w:firstLine="480"/>
        <w:rPr>
          <w:rFonts w:hint="eastAsia" w:ascii="宋体" w:hAnsi="宋体" w:eastAsia="宋体" w:cs="宋体"/>
          <w:bCs/>
          <w:color w:val="auto"/>
        </w:rPr>
      </w:pPr>
    </w:p>
    <w:p>
      <w:pPr>
        <w:shd w:val="clear" w:color="auto" w:fill="FFFFFF"/>
        <w:snapToGrid w:val="0"/>
        <w:spacing w:line="360" w:lineRule="auto"/>
        <w:rPr>
          <w:rFonts w:hint="eastAsia" w:ascii="宋体" w:hAnsi="宋体" w:eastAsia="宋体" w:cs="宋体"/>
          <w:bCs/>
          <w:color w:val="auto"/>
          <w:sz w:val="24"/>
          <w:szCs w:val="24"/>
        </w:rPr>
      </w:pPr>
      <w:r>
        <w:rPr>
          <w:rFonts w:hint="eastAsia" w:ascii="宋体" w:hAnsi="宋体" w:eastAsia="宋体" w:cs="宋体"/>
          <w:bCs/>
          <w:color w:val="auto"/>
          <w:sz w:val="24"/>
          <w:szCs w:val="24"/>
        </w:rPr>
        <w:t xml:space="preserve">         授权单位盖章：_________________________________</w:t>
      </w:r>
    </w:p>
    <w:p>
      <w:pPr>
        <w:shd w:val="clear" w:color="auto" w:fill="FFFFFF"/>
        <w:snapToGrid w:val="0"/>
        <w:spacing w:line="360" w:lineRule="auto"/>
        <w:rPr>
          <w:rFonts w:hint="eastAsia" w:ascii="宋体" w:hAnsi="宋体" w:eastAsia="宋体" w:cs="宋体"/>
          <w:bCs/>
          <w:color w:val="auto"/>
          <w:sz w:val="24"/>
          <w:szCs w:val="24"/>
        </w:rPr>
      </w:pPr>
      <w:r>
        <w:rPr>
          <w:rFonts w:hint="eastAsia" w:ascii="宋体" w:hAnsi="宋体" w:eastAsia="宋体" w:cs="宋体"/>
          <w:bCs/>
          <w:color w:val="auto"/>
          <w:sz w:val="24"/>
          <w:szCs w:val="24"/>
        </w:rPr>
        <w:t xml:space="preserve">         单位名称：_____________________________________</w:t>
      </w:r>
    </w:p>
    <w:p>
      <w:pPr>
        <w:shd w:val="clear" w:color="auto" w:fill="FFFFFF"/>
        <w:snapToGrid w:val="0"/>
        <w:spacing w:line="360" w:lineRule="auto"/>
        <w:rPr>
          <w:rFonts w:hint="eastAsia" w:ascii="宋体" w:hAnsi="宋体" w:eastAsia="宋体" w:cs="宋体"/>
          <w:bCs/>
          <w:color w:val="auto"/>
          <w:sz w:val="24"/>
          <w:szCs w:val="24"/>
        </w:rPr>
      </w:pPr>
      <w:r>
        <w:rPr>
          <w:rFonts w:hint="eastAsia" w:ascii="宋体" w:hAnsi="宋体" w:eastAsia="宋体" w:cs="宋体"/>
          <w:bCs/>
          <w:color w:val="auto"/>
          <w:sz w:val="24"/>
          <w:szCs w:val="24"/>
        </w:rPr>
        <w:t xml:space="preserve">         法人签字：_____________________________________</w:t>
      </w:r>
    </w:p>
    <w:p>
      <w:pPr>
        <w:shd w:val="clear" w:color="auto" w:fill="FFFFFF"/>
        <w:snapToGrid w:val="0"/>
        <w:spacing w:line="360" w:lineRule="auto"/>
        <w:rPr>
          <w:rFonts w:hint="eastAsia" w:ascii="宋体" w:hAnsi="宋体" w:eastAsia="宋体" w:cs="宋体"/>
          <w:bCs/>
          <w:color w:val="auto"/>
          <w:sz w:val="24"/>
          <w:szCs w:val="24"/>
        </w:rPr>
      </w:pPr>
      <w:r>
        <w:rPr>
          <w:rFonts w:hint="eastAsia" w:ascii="宋体" w:hAnsi="宋体" w:eastAsia="宋体" w:cs="宋体"/>
          <w:bCs/>
          <w:color w:val="auto"/>
          <w:sz w:val="24"/>
          <w:szCs w:val="24"/>
        </w:rPr>
        <w:t xml:space="preserve">         代理人（被授权人）签字：_______________________</w:t>
      </w:r>
    </w:p>
    <w:p>
      <w:pPr>
        <w:shd w:val="clear" w:color="auto" w:fill="FFFFFF"/>
        <w:snapToGrid w:val="0"/>
        <w:spacing w:line="360" w:lineRule="auto"/>
        <w:rPr>
          <w:rFonts w:hint="eastAsia" w:ascii="宋体" w:hAnsi="宋体" w:eastAsia="宋体" w:cs="宋体"/>
          <w:bCs/>
          <w:color w:val="auto"/>
          <w:sz w:val="24"/>
          <w:szCs w:val="24"/>
        </w:rPr>
      </w:pPr>
      <w:r>
        <w:rPr>
          <w:rFonts w:hint="eastAsia" w:ascii="宋体" w:hAnsi="宋体" w:eastAsia="宋体" w:cs="宋体"/>
          <w:bCs/>
          <w:color w:val="auto"/>
          <w:sz w:val="24"/>
          <w:szCs w:val="24"/>
        </w:rPr>
        <w:t xml:space="preserve">         职    务：_____________________________________</w:t>
      </w:r>
    </w:p>
    <w:p>
      <w:pPr>
        <w:shd w:val="clear" w:color="auto" w:fill="FFFFFF"/>
        <w:snapToGrid w:val="0"/>
        <w:spacing w:line="360" w:lineRule="auto"/>
        <w:rPr>
          <w:rFonts w:hint="eastAsia" w:ascii="宋体" w:hAnsi="宋体" w:eastAsia="宋体" w:cs="宋体"/>
          <w:bCs/>
          <w:color w:val="auto"/>
          <w:sz w:val="24"/>
          <w:szCs w:val="24"/>
        </w:rPr>
      </w:pPr>
      <w:r>
        <w:rPr>
          <w:rFonts w:hint="eastAsia" w:ascii="宋体" w:hAnsi="宋体" w:eastAsia="宋体" w:cs="宋体"/>
          <w:bCs/>
          <w:color w:val="auto"/>
          <w:sz w:val="24"/>
          <w:szCs w:val="24"/>
        </w:rPr>
        <w:t xml:space="preserve">         地址：</w:t>
      </w:r>
      <w:r>
        <w:rPr>
          <w:rFonts w:hint="eastAsia" w:ascii="宋体" w:hAnsi="宋体" w:eastAsia="宋体" w:cs="宋体"/>
          <w:bCs/>
          <w:color w:val="auto"/>
          <w:sz w:val="24"/>
          <w:szCs w:val="24"/>
          <w:u w:val="single"/>
        </w:rPr>
        <w:t xml:space="preserve">                                         </w:t>
      </w:r>
    </w:p>
    <w:p>
      <w:pPr>
        <w:shd w:val="clear" w:color="auto" w:fill="FFFFFF"/>
        <w:snapToGrid w:val="0"/>
        <w:spacing w:line="360" w:lineRule="auto"/>
        <w:rPr>
          <w:rFonts w:hint="eastAsia" w:ascii="宋体" w:hAnsi="宋体" w:eastAsia="宋体" w:cs="宋体"/>
          <w:color w:val="auto"/>
          <w:sz w:val="24"/>
          <w:szCs w:val="24"/>
        </w:rPr>
      </w:pPr>
      <w:r>
        <w:rPr>
          <w:rFonts w:hint="eastAsia" w:ascii="宋体" w:hAnsi="宋体" w:eastAsia="宋体" w:cs="宋体"/>
          <w:bCs/>
          <w:color w:val="auto"/>
          <w:sz w:val="24"/>
          <w:szCs w:val="24"/>
        </w:rPr>
        <w:t xml:space="preserve">         日期：______年____月____日</w:t>
      </w:r>
    </w:p>
    <w:p>
      <w:pPr>
        <w:spacing w:line="360" w:lineRule="auto"/>
        <w:rPr>
          <w:rFonts w:hint="eastAsia" w:ascii="宋体" w:hAnsi="宋体" w:eastAsia="宋体" w:cs="宋体"/>
          <w:b/>
          <w:bCs/>
          <w:color w:val="auto"/>
          <w:kern w:val="11"/>
          <w:szCs w:val="21"/>
          <w:u w:val="single" w:color="000000"/>
          <w:lang w:val="zh-TW"/>
        </w:rPr>
      </w:pPr>
    </w:p>
    <w:p>
      <w:pPr>
        <w:spacing w:line="360" w:lineRule="auto"/>
        <w:ind w:right="420"/>
        <w:rPr>
          <w:rFonts w:hint="eastAsia" w:ascii="宋体" w:hAnsi="宋体" w:eastAsia="宋体" w:cs="宋体"/>
          <w:color w:val="auto"/>
          <w:szCs w:val="21"/>
          <w:u w:color="000000"/>
          <w:lang w:val="zh-TW" w:eastAsia="zh-TW"/>
        </w:rPr>
      </w:pPr>
    </w:p>
    <w:p>
      <w:pPr>
        <w:spacing w:line="360" w:lineRule="auto"/>
        <w:ind w:right="420"/>
        <w:rPr>
          <w:rFonts w:hint="eastAsia" w:ascii="宋体" w:hAnsi="宋体" w:eastAsia="宋体" w:cs="宋体"/>
          <w:b/>
          <w:color w:val="auto"/>
          <w:szCs w:val="21"/>
          <w:u w:color="000000"/>
          <w:lang w:val="zh-TW"/>
        </w:rPr>
      </w:pPr>
      <w:r>
        <w:rPr>
          <w:rFonts w:hint="eastAsia" w:ascii="宋体" w:hAnsi="宋体" w:eastAsia="宋体" w:cs="宋体"/>
          <w:b/>
          <w:color w:val="auto"/>
          <w:szCs w:val="21"/>
          <w:u w:color="000000"/>
          <w:lang w:val="zh-TW" w:eastAsia="zh-TW"/>
        </w:rPr>
        <w:t>注：</w:t>
      </w:r>
      <w:r>
        <w:rPr>
          <w:rFonts w:hint="eastAsia" w:ascii="宋体" w:hAnsi="宋体" w:eastAsia="宋体" w:cs="宋体"/>
          <w:b/>
          <w:color w:val="auto"/>
          <w:szCs w:val="21"/>
          <w:u w:color="000000"/>
          <w:lang w:val="zh-TW"/>
        </w:rPr>
        <w:t>代理</w:t>
      </w:r>
      <w:r>
        <w:rPr>
          <w:rFonts w:hint="eastAsia" w:ascii="宋体" w:hAnsi="宋体" w:eastAsia="宋体" w:cs="宋体"/>
          <w:b/>
          <w:color w:val="auto"/>
          <w:szCs w:val="21"/>
          <w:u w:color="000000"/>
          <w:lang w:val="zh-TW" w:eastAsia="zh-TW"/>
        </w:rPr>
        <w:t>人应持本</w:t>
      </w:r>
      <w:r>
        <w:rPr>
          <w:rFonts w:hint="eastAsia" w:ascii="宋体" w:hAnsi="宋体" w:eastAsia="宋体" w:cs="宋体"/>
          <w:b/>
          <w:color w:val="auto"/>
          <w:szCs w:val="21"/>
          <w:u w:color="000000"/>
          <w:lang w:val="zh-TW"/>
        </w:rPr>
        <w:t>授权书</w:t>
      </w:r>
      <w:r>
        <w:rPr>
          <w:rFonts w:hint="eastAsia" w:ascii="宋体" w:hAnsi="宋体" w:eastAsia="宋体" w:cs="宋体"/>
          <w:b/>
          <w:color w:val="auto"/>
          <w:szCs w:val="21"/>
          <w:u w:color="000000"/>
          <w:lang w:val="zh-TW" w:eastAsia="zh-TW"/>
        </w:rPr>
        <w:t>参加</w:t>
      </w:r>
      <w:r>
        <w:rPr>
          <w:rFonts w:hint="eastAsia" w:ascii="宋体" w:hAnsi="宋体" w:eastAsia="宋体" w:cs="宋体"/>
          <w:b/>
          <w:color w:val="auto"/>
          <w:szCs w:val="21"/>
          <w:u w:color="000000"/>
          <w:lang w:val="zh-TW"/>
        </w:rPr>
        <w:t>投标</w:t>
      </w:r>
      <w:r>
        <w:rPr>
          <w:rFonts w:hint="eastAsia" w:ascii="宋体" w:hAnsi="宋体" w:eastAsia="宋体" w:cs="宋体"/>
          <w:b/>
          <w:color w:val="auto"/>
          <w:szCs w:val="21"/>
          <w:u w:color="000000"/>
          <w:lang w:val="zh-TW" w:eastAsia="zh-TW"/>
        </w:rPr>
        <w:t>，并提供一份原件在</w:t>
      </w:r>
      <w:r>
        <w:rPr>
          <w:rFonts w:hint="eastAsia" w:ascii="宋体" w:hAnsi="宋体" w:eastAsia="宋体" w:cs="宋体"/>
          <w:b/>
          <w:color w:val="auto"/>
          <w:szCs w:val="21"/>
          <w:u w:color="000000"/>
          <w:lang w:val="zh-TW"/>
        </w:rPr>
        <w:t>投标</w:t>
      </w:r>
      <w:r>
        <w:rPr>
          <w:rFonts w:hint="eastAsia" w:ascii="宋体" w:hAnsi="宋体" w:eastAsia="宋体" w:cs="宋体"/>
          <w:b/>
          <w:color w:val="auto"/>
          <w:szCs w:val="21"/>
          <w:u w:color="000000"/>
          <w:lang w:val="zh-TW" w:eastAsia="zh-TW"/>
        </w:rPr>
        <w:t>文件中</w:t>
      </w:r>
      <w:r>
        <w:rPr>
          <w:rFonts w:hint="eastAsia" w:ascii="宋体" w:hAnsi="宋体" w:eastAsia="宋体" w:cs="宋体"/>
          <w:b/>
          <w:color w:val="auto"/>
          <w:szCs w:val="21"/>
          <w:u w:color="000000"/>
          <w:lang w:val="zh-TW"/>
        </w:rPr>
        <w:t>。</w:t>
      </w:r>
    </w:p>
    <w:p>
      <w:pPr>
        <w:spacing w:line="360" w:lineRule="auto"/>
        <w:ind w:right="420"/>
        <w:rPr>
          <w:rFonts w:hint="eastAsia" w:ascii="宋体" w:hAnsi="宋体" w:eastAsia="宋体" w:cs="宋体"/>
          <w:color w:val="auto"/>
          <w:szCs w:val="21"/>
          <w:u w:color="000000"/>
        </w:rPr>
      </w:pPr>
    </w:p>
    <w:p>
      <w:pPr>
        <w:jc w:val="left"/>
        <w:rPr>
          <w:rFonts w:hint="eastAsia" w:ascii="宋体" w:hAnsi="宋体" w:eastAsia="宋体" w:cs="宋体"/>
          <w:color w:val="auto"/>
          <w:szCs w:val="21"/>
          <w:u w:color="000000"/>
        </w:rPr>
      </w:pPr>
      <w:r>
        <w:rPr>
          <w:rFonts w:hint="eastAsia" w:ascii="宋体" w:hAnsi="宋体" w:eastAsia="宋体" w:cs="宋体"/>
          <w:color w:val="auto"/>
          <w:szCs w:val="21"/>
          <w:u w:color="000000"/>
        </w:rPr>
        <w:br w:type="page"/>
      </w:r>
    </w:p>
    <w:p>
      <w:pPr>
        <w:snapToGrid w:val="0"/>
        <w:spacing w:line="360" w:lineRule="auto"/>
        <w:ind w:firstLine="482"/>
        <w:rPr>
          <w:rFonts w:hint="eastAsia" w:ascii="宋体" w:hAnsi="宋体" w:eastAsia="宋体" w:cs="宋体"/>
          <w:color w:val="auto"/>
          <w:sz w:val="24"/>
          <w:szCs w:val="24"/>
          <w:u w:color="000000"/>
          <w:lang w:val="zh-TW"/>
        </w:rPr>
      </w:pPr>
      <w:r>
        <w:rPr>
          <w:rFonts w:hint="eastAsia" w:ascii="宋体" w:hAnsi="宋体" w:eastAsia="宋体" w:cs="宋体"/>
          <w:color w:val="auto"/>
          <w:sz w:val="24"/>
          <w:szCs w:val="24"/>
          <w:u w:color="000000"/>
          <w:lang w:val="zh-TW" w:eastAsia="zh-TW"/>
        </w:rPr>
        <w:t>附：</w:t>
      </w:r>
      <w:r>
        <w:rPr>
          <w:rFonts w:hint="eastAsia" w:ascii="宋体" w:hAnsi="宋体" w:eastAsia="宋体" w:cs="宋体"/>
          <w:bCs/>
          <w:color w:val="auto"/>
          <w:sz w:val="24"/>
          <w:szCs w:val="24"/>
        </w:rPr>
        <w:t>法人</w:t>
      </w:r>
      <w:r>
        <w:rPr>
          <w:rFonts w:hint="eastAsia" w:ascii="宋体" w:hAnsi="宋体" w:eastAsia="宋体" w:cs="宋体"/>
          <w:color w:val="auto"/>
          <w:sz w:val="24"/>
          <w:szCs w:val="24"/>
          <w:u w:color="000000"/>
          <w:lang w:val="zh-TW" w:eastAsia="zh-TW"/>
        </w:rPr>
        <w:t>身份证复印件</w:t>
      </w:r>
      <w:r>
        <w:rPr>
          <w:rFonts w:hint="eastAsia" w:ascii="宋体" w:hAnsi="宋体" w:eastAsia="宋体" w:cs="宋体"/>
          <w:color w:val="auto"/>
          <w:sz w:val="24"/>
          <w:szCs w:val="24"/>
          <w:u w:color="000000"/>
          <w:lang w:val="zh-TW"/>
        </w:rPr>
        <w:t>（</w:t>
      </w:r>
      <w:r>
        <w:rPr>
          <w:rFonts w:hint="eastAsia" w:ascii="宋体" w:hAnsi="宋体" w:eastAsia="宋体" w:cs="宋体"/>
          <w:color w:val="auto"/>
          <w:sz w:val="24"/>
          <w:szCs w:val="24"/>
          <w:u w:color="000000"/>
          <w:lang w:val="zh-TW" w:eastAsia="zh-TW"/>
        </w:rPr>
        <w:t>需同时提供正面及背面</w:t>
      </w:r>
      <w:r>
        <w:rPr>
          <w:rFonts w:hint="eastAsia" w:ascii="宋体" w:hAnsi="宋体" w:eastAsia="宋体" w:cs="宋体"/>
          <w:color w:val="auto"/>
          <w:sz w:val="24"/>
          <w:szCs w:val="24"/>
          <w:u w:color="000000"/>
          <w:lang w:val="zh-TW"/>
        </w:rPr>
        <w:t>）</w:t>
      </w:r>
    </w:p>
    <w:tbl>
      <w:tblPr>
        <w:tblStyle w:val="25"/>
        <w:tblW w:w="8002" w:type="dxa"/>
        <w:jc w:val="center"/>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001"/>
        <w:gridCol w:w="4001"/>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500" w:hRule="atLeast"/>
          <w:jc w:val="center"/>
        </w:trPr>
        <w:tc>
          <w:tcPr>
            <w:tcW w:w="4001" w:type="dxa"/>
            <w:vAlign w:val="center"/>
          </w:tcPr>
          <w:p>
            <w:pPr>
              <w:jc w:val="center"/>
              <w:rPr>
                <w:rFonts w:hint="eastAsia" w:ascii="宋体" w:hAnsi="宋体" w:eastAsia="宋体" w:cs="宋体"/>
                <w:color w:val="auto"/>
                <w:sz w:val="24"/>
                <w:szCs w:val="24"/>
              </w:rPr>
            </w:pPr>
            <w:r>
              <w:rPr>
                <w:rFonts w:hint="eastAsia" w:ascii="宋体" w:hAnsi="宋体" w:eastAsia="宋体" w:cs="宋体"/>
                <w:bCs/>
                <w:color w:val="auto"/>
                <w:sz w:val="24"/>
                <w:szCs w:val="24"/>
              </w:rPr>
              <w:t>法人</w:t>
            </w:r>
            <w:r>
              <w:rPr>
                <w:rFonts w:hint="eastAsia" w:ascii="宋体" w:hAnsi="宋体" w:eastAsia="宋体" w:cs="宋体"/>
                <w:color w:val="auto"/>
                <w:sz w:val="24"/>
                <w:szCs w:val="24"/>
              </w:rPr>
              <w:t>身份证复印件正面</w:t>
            </w:r>
          </w:p>
        </w:tc>
        <w:tc>
          <w:tcPr>
            <w:tcW w:w="4001" w:type="dxa"/>
            <w:vAlign w:val="center"/>
          </w:tcPr>
          <w:p>
            <w:pPr>
              <w:jc w:val="center"/>
              <w:rPr>
                <w:rFonts w:hint="eastAsia" w:ascii="宋体" w:hAnsi="宋体" w:eastAsia="宋体" w:cs="宋体"/>
                <w:color w:val="auto"/>
                <w:sz w:val="24"/>
                <w:szCs w:val="24"/>
              </w:rPr>
            </w:pPr>
            <w:r>
              <w:rPr>
                <w:rFonts w:hint="eastAsia" w:ascii="宋体" w:hAnsi="宋体" w:eastAsia="宋体" w:cs="宋体"/>
                <w:bCs/>
                <w:color w:val="auto"/>
                <w:sz w:val="24"/>
                <w:szCs w:val="24"/>
              </w:rPr>
              <w:t>法人</w:t>
            </w:r>
            <w:r>
              <w:rPr>
                <w:rFonts w:hint="eastAsia" w:ascii="宋体" w:hAnsi="宋体" w:eastAsia="宋体" w:cs="宋体"/>
                <w:color w:val="auto"/>
                <w:sz w:val="24"/>
                <w:szCs w:val="24"/>
              </w:rPr>
              <w:t>身份证复印件背面</w:t>
            </w:r>
          </w:p>
        </w:tc>
      </w:tr>
    </w:tbl>
    <w:p>
      <w:pPr>
        <w:snapToGrid w:val="0"/>
        <w:spacing w:line="360" w:lineRule="auto"/>
        <w:ind w:firstLine="482"/>
        <w:rPr>
          <w:rFonts w:hint="eastAsia" w:ascii="宋体" w:hAnsi="宋体" w:eastAsia="宋体" w:cs="宋体"/>
          <w:color w:val="auto"/>
          <w:sz w:val="24"/>
          <w:szCs w:val="24"/>
          <w:u w:color="000000"/>
          <w:lang w:eastAsia="zh-TW"/>
        </w:rPr>
      </w:pPr>
    </w:p>
    <w:p>
      <w:pPr>
        <w:snapToGrid w:val="0"/>
        <w:spacing w:line="360" w:lineRule="auto"/>
        <w:ind w:firstLine="482"/>
        <w:rPr>
          <w:rFonts w:hint="eastAsia" w:ascii="宋体" w:hAnsi="宋体" w:eastAsia="宋体" w:cs="宋体"/>
          <w:color w:val="auto"/>
          <w:sz w:val="24"/>
          <w:szCs w:val="24"/>
          <w:u w:color="000000"/>
          <w:lang w:eastAsia="zh-TW"/>
        </w:rPr>
      </w:pPr>
    </w:p>
    <w:p>
      <w:pPr>
        <w:snapToGrid w:val="0"/>
        <w:spacing w:line="360" w:lineRule="auto"/>
        <w:ind w:firstLine="482"/>
        <w:rPr>
          <w:rFonts w:hint="eastAsia" w:ascii="宋体" w:hAnsi="宋体" w:eastAsia="宋体" w:cs="宋体"/>
          <w:color w:val="auto"/>
          <w:sz w:val="24"/>
          <w:szCs w:val="24"/>
          <w:u w:color="000000"/>
          <w:lang w:val="zh-TW"/>
        </w:rPr>
      </w:pPr>
      <w:r>
        <w:rPr>
          <w:rFonts w:hint="eastAsia" w:ascii="宋体" w:hAnsi="宋体" w:eastAsia="宋体" w:cs="宋体"/>
          <w:color w:val="auto"/>
          <w:sz w:val="24"/>
          <w:szCs w:val="24"/>
          <w:u w:color="000000"/>
          <w:lang w:val="zh-TW" w:eastAsia="zh-TW"/>
        </w:rPr>
        <w:t>附：委托代理人身份证复印件</w:t>
      </w:r>
      <w:r>
        <w:rPr>
          <w:rFonts w:hint="eastAsia" w:ascii="宋体" w:hAnsi="宋体" w:eastAsia="宋体" w:cs="宋体"/>
          <w:color w:val="auto"/>
          <w:sz w:val="24"/>
          <w:szCs w:val="24"/>
          <w:u w:color="000000"/>
          <w:lang w:val="zh-TW"/>
        </w:rPr>
        <w:t>（</w:t>
      </w:r>
      <w:r>
        <w:rPr>
          <w:rFonts w:hint="eastAsia" w:ascii="宋体" w:hAnsi="宋体" w:eastAsia="宋体" w:cs="宋体"/>
          <w:color w:val="auto"/>
          <w:sz w:val="24"/>
          <w:szCs w:val="24"/>
          <w:u w:color="000000"/>
          <w:lang w:val="zh-TW" w:eastAsia="zh-TW"/>
        </w:rPr>
        <w:t>需同时提供正面及背面</w:t>
      </w:r>
      <w:r>
        <w:rPr>
          <w:rFonts w:hint="eastAsia" w:ascii="宋体" w:hAnsi="宋体" w:eastAsia="宋体" w:cs="宋体"/>
          <w:color w:val="auto"/>
          <w:sz w:val="24"/>
          <w:szCs w:val="24"/>
          <w:u w:color="000000"/>
          <w:lang w:val="zh-TW"/>
        </w:rPr>
        <w:t>）</w:t>
      </w:r>
    </w:p>
    <w:tbl>
      <w:tblPr>
        <w:tblStyle w:val="25"/>
        <w:tblW w:w="8002" w:type="dxa"/>
        <w:jc w:val="center"/>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001"/>
        <w:gridCol w:w="4001"/>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493" w:hRule="atLeast"/>
          <w:jc w:val="center"/>
        </w:trPr>
        <w:tc>
          <w:tcPr>
            <w:tcW w:w="4001" w:type="dxa"/>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u w:color="000000"/>
                <w:lang w:val="zh-TW" w:eastAsia="zh-TW"/>
              </w:rPr>
              <w:t>代理人</w:t>
            </w:r>
            <w:r>
              <w:rPr>
                <w:rFonts w:hint="eastAsia" w:ascii="宋体" w:hAnsi="宋体" w:eastAsia="宋体" w:cs="宋体"/>
                <w:color w:val="auto"/>
                <w:sz w:val="24"/>
                <w:szCs w:val="24"/>
              </w:rPr>
              <w:t>身份证复印件正面</w:t>
            </w:r>
          </w:p>
        </w:tc>
        <w:tc>
          <w:tcPr>
            <w:tcW w:w="4001" w:type="dxa"/>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u w:color="000000"/>
                <w:lang w:val="zh-TW" w:eastAsia="zh-TW"/>
              </w:rPr>
              <w:t>代理人</w:t>
            </w:r>
            <w:r>
              <w:rPr>
                <w:rFonts w:hint="eastAsia" w:ascii="宋体" w:hAnsi="宋体" w:eastAsia="宋体" w:cs="宋体"/>
                <w:color w:val="auto"/>
                <w:sz w:val="24"/>
                <w:szCs w:val="24"/>
              </w:rPr>
              <w:t>身份证复印件背面</w:t>
            </w:r>
          </w:p>
        </w:tc>
      </w:tr>
    </w:tbl>
    <w:p>
      <w:pPr>
        <w:spacing w:line="360" w:lineRule="auto"/>
        <w:ind w:right="420"/>
        <w:rPr>
          <w:rFonts w:hint="eastAsia" w:ascii="宋体" w:hAnsi="宋体" w:eastAsia="宋体" w:cs="宋体"/>
          <w:color w:val="auto"/>
          <w:szCs w:val="21"/>
          <w:u w:color="000000"/>
        </w:rPr>
      </w:pPr>
    </w:p>
    <w:p>
      <w:pPr>
        <w:spacing w:line="360" w:lineRule="auto"/>
        <w:ind w:right="420"/>
        <w:rPr>
          <w:rFonts w:hint="eastAsia" w:ascii="宋体" w:hAnsi="宋体" w:eastAsia="宋体" w:cs="宋体"/>
          <w:color w:val="auto"/>
          <w:szCs w:val="21"/>
          <w:u w:color="000000"/>
        </w:rPr>
      </w:pPr>
    </w:p>
    <w:p>
      <w:pPr>
        <w:jc w:val="left"/>
        <w:rPr>
          <w:rFonts w:hint="eastAsia" w:ascii="宋体" w:hAnsi="宋体" w:eastAsia="宋体" w:cs="宋体"/>
          <w:color w:val="auto"/>
        </w:rPr>
      </w:pPr>
      <w:r>
        <w:rPr>
          <w:rFonts w:hint="eastAsia" w:ascii="宋体" w:hAnsi="宋体" w:eastAsia="宋体" w:cs="宋体"/>
          <w:color w:val="auto"/>
        </w:rPr>
        <w:br w:type="page"/>
      </w:r>
    </w:p>
    <w:p>
      <w:pPr>
        <w:tabs>
          <w:tab w:val="left" w:pos="576"/>
        </w:tabs>
        <w:spacing w:before="156" w:beforeLines="50" w:after="156" w:afterLines="50" w:line="360" w:lineRule="auto"/>
        <w:outlineLvl w:val="2"/>
        <w:rPr>
          <w:rFonts w:hint="eastAsia" w:ascii="宋体" w:hAnsi="宋体" w:eastAsia="宋体" w:cs="宋体"/>
          <w:color w:val="auto"/>
          <w:sz w:val="24"/>
          <w:szCs w:val="24"/>
          <w:u w:color="000000"/>
        </w:rPr>
      </w:pPr>
      <w:bookmarkStart w:id="35" w:name="_Toc448069994"/>
      <w:bookmarkStart w:id="36" w:name="_Toc415494581"/>
      <w:bookmarkStart w:id="37" w:name="_Toc11859494"/>
      <w:bookmarkStart w:id="38" w:name="_Toc20352"/>
      <w:bookmarkStart w:id="39" w:name="_Toc56"/>
      <w:r>
        <w:rPr>
          <w:rFonts w:hint="eastAsia" w:ascii="宋体" w:hAnsi="宋体" w:eastAsia="宋体" w:cs="宋体"/>
          <w:color w:val="auto"/>
          <w:sz w:val="24"/>
          <w:szCs w:val="24"/>
          <w:u w:color="000000"/>
        </w:rPr>
        <w:t>6.4 资格证明文件</w:t>
      </w:r>
      <w:bookmarkEnd w:id="35"/>
      <w:bookmarkEnd w:id="36"/>
      <w:bookmarkEnd w:id="37"/>
      <w:bookmarkEnd w:id="38"/>
      <w:bookmarkEnd w:id="39"/>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1.满足《中华人民共和国政府采购法》第二十二条规定；</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（1）具有独立承担民事责任的能力（提供法人或者其他组织的营业执照；</w:t>
      </w:r>
      <w:r>
        <w:rPr>
          <w:rFonts w:hint="eastAsia" w:ascii="宋体" w:hAnsi="宋体" w:eastAsia="宋体" w:cs="宋体"/>
          <w:sz w:val="24"/>
          <w:szCs w:val="24"/>
          <w:lang w:val="en-US" w:eastAsia="zh-CN"/>
        </w:rPr>
        <w:t>投标人</w:t>
      </w:r>
      <w:r>
        <w:rPr>
          <w:rFonts w:hint="eastAsia" w:ascii="宋体" w:hAnsi="宋体" w:eastAsia="宋体" w:cs="宋体"/>
          <w:sz w:val="24"/>
          <w:szCs w:val="24"/>
        </w:rPr>
        <w:t>为自然人的，提供其身份证）；</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（2）具有良好的商业信誉和健全的财务会计制度（提供2022年度或2023年度经审计的财务报表，或投标截止时间前六个月内银行出具的资信证明，或财政部门认可的政府采购专业担保机构出具的投标担保函）；</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（3）具有履行合同所必需的设备和专业技术能力（供应商根据履行采购项目合同需要，提供履行合同所必需的设备和专业技术能力的证明材料）；</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（4）有依法缴纳税收和社会保障资金的良好记录（提供参加本次政府采购活动前半年内至少一个月缴纳增值税，或营业税，或企业所得税的凭据；并提供缴纳社会保险的凭据（专用收据，或社会保险缴纳清单）</w:t>
      </w:r>
      <w:r>
        <w:rPr>
          <w:rFonts w:hint="eastAsia" w:ascii="宋体" w:hAnsi="宋体" w:eastAsia="宋体" w:cs="宋体"/>
          <w:sz w:val="24"/>
          <w:szCs w:val="24"/>
          <w:lang w:eastAsia="zh-CN"/>
        </w:rPr>
        <w:t>）</w:t>
      </w:r>
      <w:r>
        <w:rPr>
          <w:rFonts w:hint="eastAsia" w:ascii="宋体" w:hAnsi="宋体" w:eastAsia="宋体" w:cs="宋体"/>
          <w:sz w:val="24"/>
          <w:szCs w:val="24"/>
        </w:rPr>
        <w:t>；</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（5）参加政府采购活动前三年内，在经营活动中没有重大违法记录（提供承诺书）；</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（6）法律、行政法规规定的其他条件：无</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2.落实政府采购政策需满足的资格要求：无</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3.本项目的特定资格要求：</w:t>
      </w:r>
    </w:p>
    <w:p>
      <w:pPr>
        <w:shd w:val="clear"/>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b w:val="0"/>
          <w:bCs w:val="0"/>
          <w:color w:val="auto"/>
          <w:sz w:val="24"/>
          <w:szCs w:val="24"/>
          <w:highlight w:val="none"/>
          <w:lang w:val="en-US" w:eastAsia="zh-CN"/>
        </w:rPr>
        <w:t>（1）投标人须具备有效期内的食品经营许可证</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（投标时提供复印件加盖公章，原件备查）</w:t>
      </w:r>
      <w:r>
        <w:rPr>
          <w:rFonts w:hint="eastAsia" w:ascii="宋体" w:hAnsi="宋体" w:eastAsia="宋体" w:cs="宋体"/>
          <w:color w:val="auto"/>
          <w:sz w:val="24"/>
          <w:szCs w:val="24"/>
          <w:highlight w:val="none"/>
          <w:lang w:eastAsia="zh-CN"/>
        </w:rPr>
        <w:t>。</w:t>
      </w:r>
    </w:p>
    <w:p>
      <w:pPr>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b w:val="0"/>
          <w:bCs w:val="0"/>
          <w:color w:val="auto"/>
          <w:sz w:val="24"/>
          <w:szCs w:val="24"/>
          <w:highlight w:val="none"/>
          <w:lang w:val="en-US" w:eastAsia="zh-CN"/>
        </w:rPr>
        <w:t>（2）投标人须提供2021年度或2022年度纳税证明和截止投标日前拟投入本项目人员近六个月社保缴纳证明</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（投标时提供复印件加盖公章，原件备查）</w:t>
      </w:r>
      <w:r>
        <w:rPr>
          <w:rFonts w:hint="eastAsia" w:ascii="宋体" w:hAnsi="宋体" w:eastAsia="宋体" w:cs="宋体"/>
          <w:sz w:val="24"/>
          <w:szCs w:val="24"/>
          <w:lang w:eastAsia="zh-CN"/>
        </w:rPr>
        <w:t>。</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4.本项目拒绝下述投标人参加投标：</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4.1</w:t>
      </w:r>
      <w:r>
        <w:rPr>
          <w:rFonts w:hint="eastAsia" w:ascii="宋体" w:hAnsi="宋体" w:eastAsia="宋体" w:cs="宋体"/>
          <w:sz w:val="24"/>
          <w:szCs w:val="24"/>
        </w:rPr>
        <w:t>投标人单位负责人为同一人或者存在直接控股、管理关系的不同投标人，不得参加同一合同项下的政府采购活动。</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4.2</w:t>
      </w:r>
      <w:r>
        <w:rPr>
          <w:rFonts w:hint="eastAsia" w:ascii="宋体" w:hAnsi="宋体" w:eastAsia="宋体" w:cs="宋体"/>
          <w:sz w:val="24"/>
          <w:szCs w:val="24"/>
        </w:rPr>
        <w:t>凡为采购项目提供整体设计、规范编制或者项目管理、监理、检测等服务的投标人，不得再参加本项目的采购活动。</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sz w:val="24"/>
          <w:szCs w:val="24"/>
          <w:lang w:val="en-US" w:eastAsia="zh-CN"/>
        </w:rPr>
        <w:t>4.3</w:t>
      </w:r>
      <w:r>
        <w:rPr>
          <w:rFonts w:hint="eastAsia" w:ascii="宋体" w:hAnsi="宋体" w:eastAsia="宋体" w:cs="宋体"/>
          <w:sz w:val="24"/>
          <w:szCs w:val="24"/>
        </w:rPr>
        <w:t>投标人被“信用中国”网站（www.creditchina.gov.cn）、“中国政府采购网”(www.ccgp.gov.cn)列入失信被执行人、重大税收违法案件当事人名单、政府采购严重违法失信行为记录名单</w:t>
      </w:r>
      <w:r>
        <w:rPr>
          <w:rFonts w:hint="eastAsia" w:ascii="宋体" w:hAnsi="宋体" w:eastAsia="宋体" w:cs="宋体"/>
          <w:color w:val="auto"/>
          <w:sz w:val="24"/>
          <w:szCs w:val="24"/>
        </w:rPr>
        <w:t>。</w:t>
      </w:r>
    </w:p>
    <w:p>
      <w:pPr>
        <w:spacing w:before="156" w:beforeLines="50" w:after="156" w:afterLines="50" w:line="360" w:lineRule="auto"/>
        <w:jc w:val="center"/>
        <w:rPr>
          <w:rFonts w:hint="eastAsia" w:ascii="宋体" w:hAnsi="宋体" w:eastAsia="宋体" w:cs="宋体"/>
          <w:color w:val="auto"/>
          <w:sz w:val="28"/>
          <w:szCs w:val="21"/>
          <w:u w:color="FF0000"/>
        </w:rPr>
      </w:pPr>
      <w:r>
        <w:rPr>
          <w:rFonts w:hint="eastAsia" w:ascii="宋体" w:hAnsi="宋体" w:eastAsia="宋体" w:cs="宋体"/>
          <w:color w:val="auto"/>
          <w:sz w:val="28"/>
          <w:szCs w:val="21"/>
          <w:u w:color="FF0000"/>
        </w:rPr>
        <w:t>具备履行合同所必需的设备和专业技术能力的书面声明</w:t>
      </w:r>
    </w:p>
    <w:p>
      <w:pPr>
        <w:spacing w:line="460" w:lineRule="exact"/>
        <w:ind w:firstLine="492"/>
        <w:rPr>
          <w:rFonts w:hint="eastAsia" w:ascii="宋体" w:hAnsi="宋体" w:eastAsia="宋体" w:cs="宋体"/>
          <w:bCs/>
          <w:color w:val="auto"/>
          <w:sz w:val="24"/>
          <w:szCs w:val="24"/>
        </w:rPr>
      </w:pPr>
      <w:r>
        <w:rPr>
          <w:rFonts w:hint="eastAsia" w:ascii="宋体" w:hAnsi="宋体" w:eastAsia="宋体" w:cs="宋体"/>
          <w:bCs/>
          <w:color w:val="auto"/>
          <w:sz w:val="24"/>
          <w:szCs w:val="24"/>
        </w:rPr>
        <w:t>我公司郑重声明：我公司具备履行本项采购合同所必需的设备和专业技术能力，为履行本项采购合同我公司具备如下主要设备和主要专业技术能力：</w:t>
      </w:r>
    </w:p>
    <w:p>
      <w:pPr>
        <w:spacing w:line="460" w:lineRule="exact"/>
        <w:ind w:firstLine="492"/>
        <w:rPr>
          <w:rFonts w:hint="eastAsia" w:ascii="宋体" w:hAnsi="宋体" w:eastAsia="宋体" w:cs="宋体"/>
          <w:bCs/>
          <w:color w:val="auto"/>
          <w:sz w:val="24"/>
          <w:szCs w:val="24"/>
        </w:rPr>
      </w:pPr>
      <w:r>
        <w:rPr>
          <w:rFonts w:hint="eastAsia" w:ascii="宋体" w:hAnsi="宋体" w:eastAsia="宋体" w:cs="宋体"/>
          <w:bCs/>
          <w:color w:val="auto"/>
          <w:sz w:val="24"/>
          <w:szCs w:val="24"/>
        </w:rPr>
        <w:t>主要设备有：  。</w:t>
      </w:r>
    </w:p>
    <w:p>
      <w:pPr>
        <w:spacing w:line="460" w:lineRule="exact"/>
        <w:ind w:firstLine="492"/>
        <w:rPr>
          <w:rFonts w:hint="eastAsia" w:ascii="宋体" w:hAnsi="宋体" w:eastAsia="宋体" w:cs="宋体"/>
          <w:bCs/>
          <w:color w:val="auto"/>
          <w:sz w:val="24"/>
          <w:szCs w:val="24"/>
        </w:rPr>
      </w:pPr>
      <w:r>
        <w:rPr>
          <w:rFonts w:hint="eastAsia" w:ascii="宋体" w:hAnsi="宋体" w:eastAsia="宋体" w:cs="宋体"/>
          <w:bCs/>
          <w:color w:val="auto"/>
          <w:sz w:val="24"/>
          <w:szCs w:val="24"/>
        </w:rPr>
        <w:t>主要专业技术能力有：   。</w:t>
      </w:r>
    </w:p>
    <w:p>
      <w:pPr>
        <w:spacing w:line="460" w:lineRule="exact"/>
        <w:ind w:firstLine="492"/>
        <w:rPr>
          <w:rFonts w:hint="eastAsia" w:ascii="宋体" w:hAnsi="宋体" w:eastAsia="宋体" w:cs="宋体"/>
          <w:bCs/>
          <w:color w:val="auto"/>
          <w:sz w:val="24"/>
          <w:szCs w:val="24"/>
        </w:rPr>
      </w:pPr>
    </w:p>
    <w:p>
      <w:pPr>
        <w:adjustRightInd w:val="0"/>
        <w:snapToGrid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bCs/>
          <w:color w:val="auto"/>
          <w:sz w:val="24"/>
          <w:szCs w:val="24"/>
        </w:rPr>
        <w:t xml:space="preserve">                             </w:t>
      </w:r>
      <w:r>
        <w:rPr>
          <w:rFonts w:hint="eastAsia" w:ascii="宋体" w:hAnsi="宋体" w:eastAsia="宋体" w:cs="宋体"/>
          <w:color w:val="auto"/>
          <w:sz w:val="24"/>
          <w:szCs w:val="24"/>
        </w:rPr>
        <w:t>声明人：</w:t>
      </w:r>
      <w:r>
        <w:rPr>
          <w:rFonts w:hint="eastAsia" w:ascii="宋体" w:hAnsi="宋体" w:eastAsia="宋体" w:cs="宋体"/>
          <w:color w:val="auto"/>
          <w:sz w:val="24"/>
          <w:szCs w:val="24"/>
          <w:u w:val="single"/>
        </w:rPr>
        <w:t xml:space="preserve">                            </w:t>
      </w:r>
    </w:p>
    <w:p>
      <w:pPr>
        <w:adjustRightInd w:val="0"/>
        <w:snapToGrid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 xml:space="preserve">                             法定代表人</w:t>
      </w:r>
      <w:r>
        <w:rPr>
          <w:rFonts w:hint="eastAsia" w:ascii="宋体" w:hAnsi="宋体" w:eastAsia="宋体" w:cs="宋体"/>
          <w:bCs/>
          <w:color w:val="auto"/>
          <w:sz w:val="24"/>
          <w:szCs w:val="24"/>
        </w:rPr>
        <w:t>（被授权人）</w:t>
      </w:r>
      <w:r>
        <w:rPr>
          <w:rFonts w:hint="eastAsia" w:ascii="宋体" w:hAnsi="宋体" w:eastAsia="宋体" w:cs="宋体"/>
          <w:color w:val="auto"/>
          <w:sz w:val="24"/>
          <w:szCs w:val="24"/>
        </w:rPr>
        <w:t>签字：</w:t>
      </w:r>
      <w:r>
        <w:rPr>
          <w:rFonts w:hint="eastAsia" w:ascii="宋体" w:hAnsi="宋体" w:eastAsia="宋体" w:cs="宋体"/>
          <w:color w:val="auto"/>
          <w:sz w:val="24"/>
          <w:szCs w:val="24"/>
          <w:u w:val="single"/>
        </w:rPr>
        <w:t xml:space="preserve">             </w:t>
      </w:r>
    </w:p>
    <w:p>
      <w:pPr>
        <w:spacing w:line="460" w:lineRule="exact"/>
        <w:ind w:firstLine="3960" w:firstLineChars="1650"/>
        <w:rPr>
          <w:rFonts w:hint="eastAsia" w:ascii="宋体" w:hAnsi="宋体" w:eastAsia="宋体" w:cs="宋体"/>
          <w:bCs/>
          <w:color w:val="auto"/>
          <w:sz w:val="24"/>
          <w:szCs w:val="24"/>
        </w:rPr>
      </w:pPr>
      <w:r>
        <w:rPr>
          <w:rFonts w:hint="eastAsia" w:ascii="宋体" w:hAnsi="宋体" w:eastAsia="宋体" w:cs="宋体"/>
          <w:bCs/>
          <w:color w:val="auto"/>
          <w:sz w:val="24"/>
          <w:szCs w:val="24"/>
        </w:rPr>
        <w:t>日期：</w:t>
      </w:r>
      <w:r>
        <w:rPr>
          <w:rFonts w:hint="eastAsia" w:ascii="宋体" w:hAnsi="宋体" w:eastAsia="宋体" w:cs="宋体"/>
          <w:bCs/>
          <w:color w:val="auto"/>
          <w:sz w:val="24"/>
          <w:szCs w:val="24"/>
          <w:u w:val="single"/>
        </w:rPr>
        <w:t xml:space="preserve">       </w:t>
      </w:r>
      <w:r>
        <w:rPr>
          <w:rFonts w:hint="eastAsia" w:ascii="宋体" w:hAnsi="宋体" w:eastAsia="宋体" w:cs="宋体"/>
          <w:bCs/>
          <w:color w:val="auto"/>
          <w:sz w:val="24"/>
          <w:szCs w:val="24"/>
        </w:rPr>
        <w:t>年</w:t>
      </w:r>
      <w:r>
        <w:rPr>
          <w:rFonts w:hint="eastAsia" w:ascii="宋体" w:hAnsi="宋体" w:eastAsia="宋体" w:cs="宋体"/>
          <w:bCs/>
          <w:color w:val="auto"/>
          <w:sz w:val="24"/>
          <w:szCs w:val="24"/>
          <w:u w:val="single"/>
        </w:rPr>
        <w:t xml:space="preserve">    </w:t>
      </w:r>
      <w:r>
        <w:rPr>
          <w:rFonts w:hint="eastAsia" w:ascii="宋体" w:hAnsi="宋体" w:eastAsia="宋体" w:cs="宋体"/>
          <w:bCs/>
          <w:color w:val="auto"/>
          <w:sz w:val="24"/>
          <w:szCs w:val="24"/>
        </w:rPr>
        <w:t>月</w:t>
      </w:r>
      <w:r>
        <w:rPr>
          <w:rFonts w:hint="eastAsia" w:ascii="宋体" w:hAnsi="宋体" w:eastAsia="宋体" w:cs="宋体"/>
          <w:bCs/>
          <w:color w:val="auto"/>
          <w:sz w:val="24"/>
          <w:szCs w:val="24"/>
          <w:u w:val="single"/>
        </w:rPr>
        <w:t xml:space="preserve">    </w:t>
      </w:r>
      <w:r>
        <w:rPr>
          <w:rFonts w:hint="eastAsia" w:ascii="宋体" w:hAnsi="宋体" w:eastAsia="宋体" w:cs="宋体"/>
          <w:bCs/>
          <w:color w:val="auto"/>
          <w:sz w:val="24"/>
          <w:szCs w:val="24"/>
        </w:rPr>
        <w:t>日</w:t>
      </w:r>
    </w:p>
    <w:p>
      <w:pPr>
        <w:spacing w:line="460" w:lineRule="exact"/>
        <w:rPr>
          <w:rFonts w:hint="eastAsia" w:ascii="宋体" w:hAnsi="宋体" w:eastAsia="宋体" w:cs="宋体"/>
          <w:bCs/>
          <w:color w:val="auto"/>
          <w:sz w:val="24"/>
          <w:szCs w:val="24"/>
        </w:rPr>
      </w:pPr>
    </w:p>
    <w:p>
      <w:pPr>
        <w:spacing w:line="360" w:lineRule="auto"/>
        <w:ind w:firstLine="480" w:firstLineChars="200"/>
        <w:rPr>
          <w:rFonts w:hint="eastAsia" w:ascii="宋体" w:hAnsi="宋体" w:eastAsia="宋体" w:cs="宋体"/>
          <w:color w:val="auto"/>
          <w:sz w:val="24"/>
          <w:szCs w:val="24"/>
          <w:u w:color="FF0000"/>
        </w:rPr>
      </w:pPr>
    </w:p>
    <w:p>
      <w:pPr>
        <w:spacing w:line="360" w:lineRule="auto"/>
        <w:ind w:firstLine="420" w:firstLineChars="200"/>
        <w:rPr>
          <w:rFonts w:hint="eastAsia" w:ascii="宋体" w:hAnsi="宋体" w:eastAsia="宋体" w:cs="宋体"/>
          <w:color w:val="auto"/>
          <w:szCs w:val="21"/>
          <w:u w:color="FF0000"/>
        </w:rPr>
      </w:pPr>
    </w:p>
    <w:p>
      <w:pPr>
        <w:jc w:val="left"/>
        <w:rPr>
          <w:rFonts w:hint="eastAsia" w:ascii="宋体" w:hAnsi="宋体" w:eastAsia="宋体" w:cs="宋体"/>
          <w:color w:val="auto"/>
          <w:szCs w:val="21"/>
          <w:u w:color="FF0000"/>
        </w:rPr>
      </w:pPr>
      <w:r>
        <w:rPr>
          <w:rFonts w:hint="eastAsia" w:ascii="宋体" w:hAnsi="宋体" w:eastAsia="宋体" w:cs="宋体"/>
          <w:color w:val="auto"/>
          <w:szCs w:val="21"/>
          <w:u w:color="FF0000"/>
        </w:rPr>
        <w:br w:type="page"/>
      </w:r>
    </w:p>
    <w:p>
      <w:pPr>
        <w:adjustRightInd w:val="0"/>
        <w:snapToGrid w:val="0"/>
        <w:spacing w:before="156" w:beforeLines="50" w:after="156" w:afterLines="50" w:line="360" w:lineRule="auto"/>
        <w:jc w:val="center"/>
        <w:rPr>
          <w:rFonts w:hint="eastAsia" w:ascii="宋体" w:hAnsi="宋体" w:eastAsia="宋体" w:cs="宋体"/>
          <w:color w:val="auto"/>
          <w:sz w:val="28"/>
          <w:szCs w:val="28"/>
        </w:rPr>
      </w:pPr>
      <w:r>
        <w:rPr>
          <w:rFonts w:hint="eastAsia" w:ascii="宋体" w:hAnsi="宋体" w:eastAsia="宋体" w:cs="宋体"/>
          <w:color w:val="auto"/>
          <w:sz w:val="28"/>
          <w:szCs w:val="28"/>
        </w:rPr>
        <w:t>无违法违规记录声明</w:t>
      </w:r>
    </w:p>
    <w:p>
      <w:pPr>
        <w:adjustRightInd w:val="0"/>
        <w:snapToGrid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本单位在经营活动中没有违法违规记录，近三年内没有被司法部门或行业主管部门处罚，无被政府职能部门认定有行贿和欺诈行为。</w:t>
      </w:r>
    </w:p>
    <w:p>
      <w:pPr>
        <w:adjustRightInd w:val="0"/>
        <w:snapToGrid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特此声明。</w:t>
      </w:r>
    </w:p>
    <w:p>
      <w:pPr>
        <w:adjustRightInd w:val="0"/>
        <w:snapToGrid w:val="0"/>
        <w:spacing w:line="420" w:lineRule="exact"/>
        <w:ind w:firstLine="480" w:firstLineChars="200"/>
        <w:rPr>
          <w:rFonts w:hint="eastAsia" w:ascii="宋体" w:hAnsi="宋体" w:eastAsia="宋体" w:cs="宋体"/>
          <w:color w:val="auto"/>
          <w:sz w:val="24"/>
          <w:szCs w:val="24"/>
        </w:rPr>
      </w:pPr>
    </w:p>
    <w:p>
      <w:pPr>
        <w:adjustRightInd w:val="0"/>
        <w:snapToGrid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bCs/>
          <w:color w:val="auto"/>
          <w:sz w:val="24"/>
          <w:szCs w:val="24"/>
        </w:rPr>
        <w:t xml:space="preserve">                             </w:t>
      </w:r>
      <w:r>
        <w:rPr>
          <w:rFonts w:hint="eastAsia" w:ascii="宋体" w:hAnsi="宋体" w:eastAsia="宋体" w:cs="宋体"/>
          <w:color w:val="auto"/>
          <w:sz w:val="24"/>
          <w:szCs w:val="24"/>
        </w:rPr>
        <w:t>声明人：</w:t>
      </w:r>
      <w:r>
        <w:rPr>
          <w:rFonts w:hint="eastAsia" w:ascii="宋体" w:hAnsi="宋体" w:eastAsia="宋体" w:cs="宋体"/>
          <w:color w:val="auto"/>
          <w:sz w:val="24"/>
          <w:szCs w:val="24"/>
          <w:u w:val="single"/>
        </w:rPr>
        <w:t xml:space="preserve">                            </w:t>
      </w:r>
    </w:p>
    <w:p>
      <w:pPr>
        <w:adjustRightInd w:val="0"/>
        <w:snapToGrid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 xml:space="preserve">                             法定代表人</w:t>
      </w:r>
      <w:r>
        <w:rPr>
          <w:rFonts w:hint="eastAsia" w:ascii="宋体" w:hAnsi="宋体" w:eastAsia="宋体" w:cs="宋体"/>
          <w:bCs/>
          <w:color w:val="auto"/>
          <w:sz w:val="24"/>
          <w:szCs w:val="24"/>
        </w:rPr>
        <w:t>（被授权人）</w:t>
      </w:r>
      <w:r>
        <w:rPr>
          <w:rFonts w:hint="eastAsia" w:ascii="宋体" w:hAnsi="宋体" w:eastAsia="宋体" w:cs="宋体"/>
          <w:color w:val="auto"/>
          <w:sz w:val="24"/>
          <w:szCs w:val="24"/>
        </w:rPr>
        <w:t>签字：</w:t>
      </w:r>
      <w:r>
        <w:rPr>
          <w:rFonts w:hint="eastAsia" w:ascii="宋体" w:hAnsi="宋体" w:eastAsia="宋体" w:cs="宋体"/>
          <w:color w:val="auto"/>
          <w:sz w:val="24"/>
          <w:szCs w:val="24"/>
          <w:u w:val="single"/>
        </w:rPr>
        <w:t xml:space="preserve">             </w:t>
      </w:r>
    </w:p>
    <w:p>
      <w:pPr>
        <w:spacing w:line="460" w:lineRule="exact"/>
        <w:ind w:firstLine="3960" w:firstLineChars="1650"/>
        <w:rPr>
          <w:rFonts w:hint="eastAsia" w:ascii="宋体" w:hAnsi="宋体" w:eastAsia="宋体" w:cs="宋体"/>
          <w:bCs/>
          <w:color w:val="auto"/>
          <w:sz w:val="24"/>
          <w:szCs w:val="24"/>
        </w:rPr>
      </w:pPr>
      <w:r>
        <w:rPr>
          <w:rFonts w:hint="eastAsia" w:ascii="宋体" w:hAnsi="宋体" w:eastAsia="宋体" w:cs="宋体"/>
          <w:bCs/>
          <w:color w:val="auto"/>
          <w:sz w:val="24"/>
          <w:szCs w:val="24"/>
        </w:rPr>
        <w:t>日期：</w:t>
      </w:r>
      <w:r>
        <w:rPr>
          <w:rFonts w:hint="eastAsia" w:ascii="宋体" w:hAnsi="宋体" w:eastAsia="宋体" w:cs="宋体"/>
          <w:bCs/>
          <w:color w:val="auto"/>
          <w:sz w:val="24"/>
          <w:szCs w:val="24"/>
          <w:u w:val="single"/>
        </w:rPr>
        <w:t xml:space="preserve">       </w:t>
      </w:r>
      <w:r>
        <w:rPr>
          <w:rFonts w:hint="eastAsia" w:ascii="宋体" w:hAnsi="宋体" w:eastAsia="宋体" w:cs="宋体"/>
          <w:bCs/>
          <w:color w:val="auto"/>
          <w:sz w:val="24"/>
          <w:szCs w:val="24"/>
        </w:rPr>
        <w:t>年</w:t>
      </w:r>
      <w:r>
        <w:rPr>
          <w:rFonts w:hint="eastAsia" w:ascii="宋体" w:hAnsi="宋体" w:eastAsia="宋体" w:cs="宋体"/>
          <w:bCs/>
          <w:color w:val="auto"/>
          <w:sz w:val="24"/>
          <w:szCs w:val="24"/>
          <w:u w:val="single"/>
        </w:rPr>
        <w:t xml:space="preserve">    </w:t>
      </w:r>
      <w:r>
        <w:rPr>
          <w:rFonts w:hint="eastAsia" w:ascii="宋体" w:hAnsi="宋体" w:eastAsia="宋体" w:cs="宋体"/>
          <w:bCs/>
          <w:color w:val="auto"/>
          <w:sz w:val="24"/>
          <w:szCs w:val="24"/>
        </w:rPr>
        <w:t>月</w:t>
      </w:r>
      <w:r>
        <w:rPr>
          <w:rFonts w:hint="eastAsia" w:ascii="宋体" w:hAnsi="宋体" w:eastAsia="宋体" w:cs="宋体"/>
          <w:bCs/>
          <w:color w:val="auto"/>
          <w:sz w:val="24"/>
          <w:szCs w:val="24"/>
          <w:u w:val="single"/>
        </w:rPr>
        <w:t xml:space="preserve">    </w:t>
      </w:r>
      <w:r>
        <w:rPr>
          <w:rFonts w:hint="eastAsia" w:ascii="宋体" w:hAnsi="宋体" w:eastAsia="宋体" w:cs="宋体"/>
          <w:bCs/>
          <w:color w:val="auto"/>
          <w:sz w:val="24"/>
          <w:szCs w:val="24"/>
        </w:rPr>
        <w:t>日</w:t>
      </w:r>
    </w:p>
    <w:p>
      <w:pPr>
        <w:spacing w:line="360" w:lineRule="auto"/>
        <w:ind w:firstLine="420" w:firstLineChars="200"/>
        <w:rPr>
          <w:rFonts w:hint="eastAsia" w:ascii="宋体" w:hAnsi="宋体" w:eastAsia="宋体" w:cs="宋体"/>
          <w:color w:val="auto"/>
          <w:szCs w:val="21"/>
          <w:u w:color="FF0000"/>
        </w:rPr>
      </w:pPr>
    </w:p>
    <w:p>
      <w:pPr>
        <w:spacing w:line="360" w:lineRule="auto"/>
        <w:ind w:firstLine="420" w:firstLineChars="200"/>
        <w:rPr>
          <w:rFonts w:hint="eastAsia" w:ascii="宋体" w:hAnsi="宋体" w:eastAsia="宋体" w:cs="宋体"/>
          <w:color w:val="auto"/>
          <w:szCs w:val="21"/>
          <w:u w:color="FF0000"/>
        </w:rPr>
      </w:pPr>
    </w:p>
    <w:p>
      <w:pPr>
        <w:spacing w:line="360" w:lineRule="auto"/>
        <w:ind w:firstLine="420" w:firstLineChars="200"/>
        <w:rPr>
          <w:rFonts w:hint="eastAsia" w:ascii="宋体" w:hAnsi="宋体" w:eastAsia="宋体" w:cs="宋体"/>
          <w:color w:val="auto"/>
          <w:szCs w:val="21"/>
          <w:u w:color="FF0000"/>
        </w:rPr>
      </w:pPr>
    </w:p>
    <w:p>
      <w:pPr>
        <w:spacing w:line="500" w:lineRule="exact"/>
        <w:jc w:val="center"/>
        <w:rPr>
          <w:rFonts w:ascii="宋体" w:hAnsi="宋体" w:eastAsia="宋体" w:cs="Times New Roman"/>
          <w:b/>
          <w:szCs w:val="21"/>
        </w:rPr>
      </w:pPr>
      <w:r>
        <w:rPr>
          <w:rFonts w:hint="eastAsia" w:ascii="宋体" w:hAnsi="宋体" w:eastAsia="宋体" w:cs="宋体"/>
          <w:color w:val="auto"/>
          <w:sz w:val="24"/>
          <w:szCs w:val="24"/>
          <w:u w:color="000000"/>
        </w:rPr>
        <w:br w:type="page"/>
      </w:r>
      <w:r>
        <w:rPr>
          <w:rFonts w:hint="eastAsia" w:ascii="宋体" w:hAnsi="宋体" w:eastAsia="宋体" w:cs="宋体"/>
          <w:color w:val="auto"/>
          <w:sz w:val="28"/>
          <w:szCs w:val="28"/>
        </w:rPr>
        <w:t>供应商信用承诺书</w:t>
      </w:r>
    </w:p>
    <w:p>
      <w:pPr>
        <w:spacing w:line="500" w:lineRule="exact"/>
        <w:rPr>
          <w:rFonts w:ascii="方正仿宋_GBK" w:hAnsi="Calibri" w:eastAsia="宋体" w:cs="Times New Roman"/>
          <w:szCs w:val="32"/>
        </w:rPr>
      </w:pPr>
    </w:p>
    <w:p>
      <w:pPr>
        <w:adjustRightInd w:val="0"/>
        <w:snapToGrid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承诺主体名称：</w:t>
      </w:r>
    </w:p>
    <w:p>
      <w:pPr>
        <w:adjustRightInd w:val="0"/>
        <w:snapToGrid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统一社会信用代码：</w:t>
      </w:r>
    </w:p>
    <w:p>
      <w:pPr>
        <w:adjustRightInd w:val="0"/>
        <w:snapToGrid w:val="0"/>
        <w:spacing w:line="420" w:lineRule="exact"/>
        <w:ind w:firstLine="480" w:firstLineChars="200"/>
        <w:rPr>
          <w:rFonts w:hint="eastAsia" w:ascii="宋体" w:hAnsi="宋体" w:eastAsia="宋体" w:cs="宋体"/>
          <w:color w:val="auto"/>
          <w:sz w:val="24"/>
          <w:szCs w:val="24"/>
        </w:rPr>
      </w:pPr>
    </w:p>
    <w:p>
      <w:pPr>
        <w:adjustRightInd w:val="0"/>
        <w:snapToGrid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为维护公平竞争、规范有序的市场秩序，营造诚实守信的信用环境，共同推进社会信用体系建设完善，树立企业诚信守法形象，本企业对________________________项目政府采购活动郑重承诺如下:</w:t>
      </w:r>
    </w:p>
    <w:p>
      <w:pPr>
        <w:adjustRightInd w:val="0"/>
        <w:snapToGrid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一、对提供给注册登记部门、行业管理部门、司法部门、行业组织以及在政府采购活动中提交的所有资料的合法性、真实性、准确性和有效性负责；</w:t>
      </w:r>
    </w:p>
    <w:p>
      <w:pPr>
        <w:adjustRightInd w:val="0"/>
        <w:snapToGrid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二、严格按照国家法律、法规和规章开展采购活动，全面履行应尽的责任和义务，全面做到履约守信，具备《中华人民共和国政府采购法》第二十二条第一款规定的条件;</w:t>
      </w:r>
    </w:p>
    <w:p>
      <w:pPr>
        <w:adjustRightInd w:val="0"/>
        <w:snapToGrid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三、严格依法开展生产经营活动，主动接受行业监管，自愿接受依法开展的日常检查；违法失信经营后将自愿接受约束和惩戒，并依法承担相应责任；</w:t>
      </w:r>
    </w:p>
    <w:p>
      <w:pPr>
        <w:adjustRightInd w:val="0"/>
        <w:snapToGrid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四、自觉接受行政管理部门、行业组织、社会公众、新闻舆论的监督；</w:t>
      </w:r>
    </w:p>
    <w:p>
      <w:pPr>
        <w:adjustRightInd w:val="0"/>
        <w:snapToGrid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五、自觉做到自我约束、自我管理，不制假售假、商标侵权、虚假宣传、违约毁约、恶意逃债、偷税漏税、垄断和不正当竞争，维护经营者、消费者的合法权益；</w:t>
      </w:r>
    </w:p>
    <w:p>
      <w:pPr>
        <w:adjustRightInd w:val="0"/>
        <w:snapToGrid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六、提出政府采购质疑和投诉坚持依法依规、诚实信用原则，在全国范围12个月内没有三次以上查无实据的政府采购投诉；</w:t>
      </w:r>
    </w:p>
    <w:p>
      <w:pPr>
        <w:adjustRightInd w:val="0"/>
        <w:snapToGrid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七、严格遵守信用信息公示相关规定，向社会公示信用信息；</w:t>
      </w:r>
    </w:p>
    <w:p>
      <w:pPr>
        <w:adjustRightInd w:val="0"/>
        <w:snapToGrid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八、在“信用中国”和“中国政府采购网”网站中无违法违规、较重或严重失信记录；</w:t>
      </w:r>
    </w:p>
    <w:p>
      <w:pPr>
        <w:adjustRightInd w:val="0"/>
        <w:snapToGrid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九、如违反承诺，自愿接受管理部门依法给予的行政处罚，同意将违反承诺的行为作为不良记录记入信用档案，依法依规进行信息公示，并承担所产生的一切法律责任和经济损失。</w:t>
      </w:r>
    </w:p>
    <w:p>
      <w:pPr>
        <w:adjustRightInd w:val="0"/>
        <w:snapToGrid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十、本承诺书自签订之日起生效。</w:t>
      </w:r>
    </w:p>
    <w:p>
      <w:pPr>
        <w:adjustRightInd w:val="0"/>
        <w:snapToGrid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 （注：法定代表人或负责人、主体名称发生变更的应当重新做出承诺。）</w:t>
      </w:r>
    </w:p>
    <w:p>
      <w:pPr>
        <w:spacing w:line="560" w:lineRule="exact"/>
        <w:rPr>
          <w:rFonts w:ascii="宋体" w:hAnsi="宋体" w:eastAsia="宋体" w:cs="Times New Roman"/>
          <w:szCs w:val="21"/>
        </w:rPr>
      </w:pPr>
    </w:p>
    <w:p>
      <w:pPr>
        <w:adjustRightInd w:val="0"/>
        <w:snapToGrid w:val="0"/>
        <w:spacing w:line="420" w:lineRule="exact"/>
        <w:ind w:firstLine="420" w:firstLineChars="200"/>
        <w:rPr>
          <w:rFonts w:hint="eastAsia" w:ascii="宋体" w:hAnsi="宋体" w:eastAsia="宋体" w:cs="宋体"/>
          <w:color w:val="auto"/>
          <w:sz w:val="24"/>
          <w:szCs w:val="24"/>
        </w:rPr>
      </w:pPr>
      <w:r>
        <w:rPr>
          <w:rFonts w:hint="eastAsia" w:ascii="宋体" w:hAnsi="宋体" w:eastAsia="宋体" w:cs="Times New Roman"/>
          <w:szCs w:val="21"/>
        </w:rPr>
        <w:t xml:space="preserve">　　　　　　　　　　      </w:t>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 xml:space="preserve">承诺单位（签章）：           </w:t>
      </w:r>
    </w:p>
    <w:p>
      <w:pPr>
        <w:adjustRightInd w:val="0"/>
        <w:snapToGrid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法定代表人（负责人）：</w:t>
      </w:r>
    </w:p>
    <w:p>
      <w:pPr>
        <w:spacing w:line="560" w:lineRule="exact"/>
        <w:jc w:val="center"/>
        <w:rPr>
          <w:rFonts w:ascii="宋体" w:hAnsi="宋体" w:eastAsia="宋体" w:cs="Times New Roman"/>
          <w:szCs w:val="21"/>
        </w:rPr>
      </w:pPr>
      <w:r>
        <w:rPr>
          <w:rFonts w:hint="eastAsia" w:ascii="宋体" w:hAnsi="宋体" w:eastAsia="宋体" w:cs="Times New Roman"/>
          <w:szCs w:val="21"/>
        </w:rPr>
        <w:t>　　　　　　　　　      　</w:t>
      </w:r>
      <w:r>
        <w:rPr>
          <w:rFonts w:hint="eastAsia" w:ascii="宋体" w:hAnsi="宋体" w:eastAsia="宋体" w:cs="宋体"/>
          <w:color w:val="auto"/>
          <w:sz w:val="24"/>
          <w:szCs w:val="24"/>
        </w:rPr>
        <w:t>年    月    日</w:t>
      </w:r>
    </w:p>
    <w:p>
      <w:pPr>
        <w:jc w:val="left"/>
        <w:rPr>
          <w:rFonts w:hint="eastAsia" w:ascii="宋体" w:hAnsi="宋体" w:eastAsia="宋体" w:cs="宋体"/>
          <w:color w:val="auto"/>
          <w:szCs w:val="21"/>
          <w:u w:color="FF0000"/>
        </w:rPr>
      </w:pPr>
    </w:p>
    <w:p>
      <w:pPr>
        <w:tabs>
          <w:tab w:val="left" w:pos="576"/>
        </w:tabs>
        <w:spacing w:before="156" w:beforeLines="50" w:after="156" w:afterLines="50" w:line="360" w:lineRule="auto"/>
        <w:outlineLvl w:val="2"/>
        <w:rPr>
          <w:rFonts w:hint="eastAsia" w:ascii="宋体" w:hAnsi="宋体" w:eastAsia="宋体" w:cs="宋体"/>
          <w:color w:val="auto"/>
          <w:sz w:val="24"/>
          <w:szCs w:val="24"/>
          <w:u w:color="000000"/>
        </w:rPr>
      </w:pPr>
      <w:bookmarkStart w:id="40" w:name="_Toc22989"/>
      <w:bookmarkStart w:id="41" w:name="_Toc11859495"/>
      <w:r>
        <w:rPr>
          <w:rFonts w:hint="eastAsia" w:ascii="宋体" w:hAnsi="宋体" w:eastAsia="宋体" w:cs="宋体"/>
          <w:color w:val="auto"/>
          <w:sz w:val="24"/>
          <w:szCs w:val="24"/>
          <w:u w:color="000000"/>
        </w:rPr>
        <w:t>6.5 商务条款响应及偏离表</w:t>
      </w:r>
      <w:bookmarkEnd w:id="40"/>
      <w:bookmarkEnd w:id="41"/>
    </w:p>
    <w:p>
      <w:pPr>
        <w:spacing w:before="156" w:beforeLines="50" w:after="156" w:afterLines="50" w:line="360" w:lineRule="auto"/>
        <w:jc w:val="center"/>
        <w:rPr>
          <w:rFonts w:hint="eastAsia" w:ascii="宋体" w:hAnsi="宋体" w:eastAsia="宋体" w:cs="宋体"/>
          <w:bCs/>
          <w:color w:val="auto"/>
          <w:sz w:val="28"/>
          <w:szCs w:val="28"/>
          <w:u w:color="000000"/>
          <w:lang w:val="zh-TW" w:eastAsia="zh-TW"/>
        </w:rPr>
      </w:pPr>
      <w:r>
        <w:rPr>
          <w:rFonts w:hint="eastAsia" w:ascii="宋体" w:hAnsi="宋体" w:eastAsia="宋体" w:cs="宋体"/>
          <w:bCs/>
          <w:color w:val="auto"/>
          <w:sz w:val="28"/>
          <w:szCs w:val="28"/>
          <w:u w:color="000000"/>
          <w:lang w:val="zh-TW"/>
        </w:rPr>
        <w:t>商务条款响应及偏离表</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投标人全称（公章）：</w:t>
      </w:r>
      <w:r>
        <w:rPr>
          <w:rFonts w:hint="eastAsia" w:ascii="宋体" w:hAnsi="宋体" w:eastAsia="宋体" w:cs="宋体"/>
          <w:color w:val="auto"/>
          <w:sz w:val="24"/>
          <w:szCs w:val="24"/>
          <w:u w:val="single"/>
        </w:rPr>
        <w:t xml:space="preserve">                     </w:t>
      </w:r>
    </w:p>
    <w:p>
      <w:pPr>
        <w:spacing w:line="360" w:lineRule="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项目名称：</w:t>
      </w:r>
      <w:r>
        <w:rPr>
          <w:rFonts w:hint="eastAsia" w:ascii="宋体" w:hAnsi="宋体" w:eastAsia="宋体" w:cs="宋体"/>
          <w:color w:val="auto"/>
          <w:sz w:val="24"/>
          <w:szCs w:val="24"/>
          <w:u w:val="single"/>
          <w:lang w:eastAsia="zh-CN"/>
        </w:rPr>
        <w:t>南京邮电大学通达学院校内配送服务采购项目</w:t>
      </w:r>
    </w:p>
    <w:tbl>
      <w:tblPr>
        <w:tblStyle w:val="25"/>
        <w:tblW w:w="936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76"/>
        <w:gridCol w:w="2976"/>
        <w:gridCol w:w="1985"/>
        <w:gridCol w:w="1843"/>
        <w:gridCol w:w="16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2" w:hRule="atLeast"/>
          <w:jc w:val="center"/>
        </w:trPr>
        <w:tc>
          <w:tcPr>
            <w:tcW w:w="876" w:type="dxa"/>
            <w:vAlign w:val="center"/>
          </w:tcPr>
          <w:p>
            <w:pPr>
              <w:pStyle w:val="33"/>
              <w:widowControl w:val="0"/>
              <w:snapToGrid w:val="0"/>
              <w:jc w:val="center"/>
              <w:rPr>
                <w:rFonts w:hint="eastAsia" w:ascii="宋体" w:hAnsi="宋体" w:eastAsia="宋体" w:cs="宋体"/>
                <w:color w:val="auto"/>
              </w:rPr>
            </w:pPr>
            <w:r>
              <w:rPr>
                <w:rFonts w:hint="eastAsia" w:ascii="宋体" w:hAnsi="宋体" w:eastAsia="宋体" w:cs="宋体"/>
                <w:color w:val="auto"/>
              </w:rPr>
              <w:t>序号</w:t>
            </w:r>
          </w:p>
        </w:tc>
        <w:tc>
          <w:tcPr>
            <w:tcW w:w="2976" w:type="dxa"/>
            <w:vAlign w:val="center"/>
          </w:tcPr>
          <w:p>
            <w:pPr>
              <w:pStyle w:val="33"/>
              <w:widowControl w:val="0"/>
              <w:snapToGrid w:val="0"/>
              <w:jc w:val="center"/>
              <w:rPr>
                <w:rFonts w:hint="eastAsia" w:ascii="宋体" w:hAnsi="宋体" w:eastAsia="宋体" w:cs="宋体"/>
                <w:color w:val="auto"/>
              </w:rPr>
            </w:pPr>
            <w:r>
              <w:rPr>
                <w:rFonts w:hint="eastAsia" w:ascii="宋体" w:hAnsi="宋体" w:eastAsia="宋体" w:cs="宋体"/>
                <w:color w:val="auto"/>
              </w:rPr>
              <w:t>项目</w:t>
            </w:r>
          </w:p>
        </w:tc>
        <w:tc>
          <w:tcPr>
            <w:tcW w:w="1985" w:type="dxa"/>
            <w:vAlign w:val="center"/>
          </w:tcPr>
          <w:p>
            <w:pPr>
              <w:pStyle w:val="33"/>
              <w:widowControl w:val="0"/>
              <w:snapToGrid w:val="0"/>
              <w:jc w:val="center"/>
              <w:rPr>
                <w:rFonts w:hint="eastAsia" w:ascii="宋体" w:hAnsi="宋体" w:eastAsia="宋体" w:cs="宋体"/>
                <w:color w:val="auto"/>
              </w:rPr>
            </w:pPr>
            <w:r>
              <w:rPr>
                <w:rFonts w:hint="eastAsia" w:ascii="宋体" w:hAnsi="宋体" w:eastAsia="宋体" w:cs="宋体"/>
                <w:color w:val="auto"/>
              </w:rPr>
              <w:t>招标文件要求</w:t>
            </w:r>
          </w:p>
        </w:tc>
        <w:tc>
          <w:tcPr>
            <w:tcW w:w="1843" w:type="dxa"/>
            <w:vAlign w:val="center"/>
          </w:tcPr>
          <w:p>
            <w:pPr>
              <w:pStyle w:val="33"/>
              <w:widowControl w:val="0"/>
              <w:snapToGrid w:val="0"/>
              <w:jc w:val="center"/>
              <w:rPr>
                <w:rFonts w:hint="eastAsia" w:ascii="宋体" w:hAnsi="宋体" w:eastAsia="宋体" w:cs="宋体"/>
                <w:color w:val="auto"/>
              </w:rPr>
            </w:pPr>
            <w:r>
              <w:rPr>
                <w:rFonts w:hint="eastAsia" w:ascii="宋体" w:hAnsi="宋体" w:eastAsia="宋体" w:cs="宋体"/>
                <w:color w:val="auto"/>
              </w:rPr>
              <w:t>投标人的承诺或说明</w:t>
            </w:r>
          </w:p>
        </w:tc>
        <w:tc>
          <w:tcPr>
            <w:tcW w:w="1687" w:type="dxa"/>
            <w:vAlign w:val="center"/>
          </w:tcPr>
          <w:p>
            <w:pPr>
              <w:pStyle w:val="33"/>
              <w:widowControl w:val="0"/>
              <w:snapToGrid w:val="0"/>
              <w:jc w:val="center"/>
              <w:rPr>
                <w:rFonts w:hint="eastAsia" w:ascii="宋体" w:hAnsi="宋体" w:eastAsia="宋体" w:cs="宋体"/>
                <w:color w:val="auto"/>
              </w:rPr>
            </w:pPr>
            <w:r>
              <w:rPr>
                <w:rFonts w:hint="eastAsia" w:ascii="宋体" w:hAnsi="宋体" w:eastAsia="宋体" w:cs="宋体"/>
                <w:color w:val="auto"/>
              </w:rPr>
              <w:t>偏离情况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876" w:type="dxa"/>
            <w:vAlign w:val="center"/>
          </w:tcPr>
          <w:p>
            <w:pPr>
              <w:pStyle w:val="33"/>
              <w:widowControl w:val="0"/>
              <w:snapToGrid w:val="0"/>
              <w:jc w:val="center"/>
              <w:rPr>
                <w:rFonts w:hint="eastAsia" w:ascii="宋体" w:hAnsi="宋体" w:eastAsia="宋体" w:cs="宋体"/>
                <w:color w:val="auto"/>
              </w:rPr>
            </w:pPr>
            <w:r>
              <w:rPr>
                <w:rFonts w:hint="eastAsia" w:ascii="宋体" w:hAnsi="宋体" w:eastAsia="宋体" w:cs="宋体"/>
                <w:color w:val="auto"/>
              </w:rPr>
              <w:t>1</w:t>
            </w:r>
          </w:p>
        </w:tc>
        <w:tc>
          <w:tcPr>
            <w:tcW w:w="2976" w:type="dxa"/>
            <w:vAlign w:val="center"/>
          </w:tcPr>
          <w:p>
            <w:pPr>
              <w:pStyle w:val="33"/>
              <w:widowControl w:val="0"/>
              <w:snapToGrid w:val="0"/>
              <w:jc w:val="center"/>
              <w:rPr>
                <w:rFonts w:hint="eastAsia" w:ascii="宋体" w:hAnsi="宋体" w:eastAsia="宋体" w:cs="宋体"/>
                <w:color w:val="auto"/>
              </w:rPr>
            </w:pPr>
          </w:p>
        </w:tc>
        <w:tc>
          <w:tcPr>
            <w:tcW w:w="1985" w:type="dxa"/>
            <w:vAlign w:val="center"/>
          </w:tcPr>
          <w:p>
            <w:pPr>
              <w:pStyle w:val="33"/>
              <w:widowControl w:val="0"/>
              <w:snapToGrid w:val="0"/>
              <w:jc w:val="center"/>
              <w:rPr>
                <w:rFonts w:hint="eastAsia" w:ascii="宋体" w:hAnsi="宋体" w:eastAsia="宋体" w:cs="宋体"/>
                <w:color w:val="auto"/>
              </w:rPr>
            </w:pPr>
          </w:p>
        </w:tc>
        <w:tc>
          <w:tcPr>
            <w:tcW w:w="1843" w:type="dxa"/>
            <w:vAlign w:val="center"/>
          </w:tcPr>
          <w:p>
            <w:pPr>
              <w:pStyle w:val="33"/>
              <w:widowControl w:val="0"/>
              <w:snapToGrid w:val="0"/>
              <w:jc w:val="center"/>
              <w:rPr>
                <w:rFonts w:hint="eastAsia" w:ascii="宋体" w:hAnsi="宋体" w:eastAsia="宋体" w:cs="宋体"/>
                <w:color w:val="auto"/>
              </w:rPr>
            </w:pPr>
          </w:p>
        </w:tc>
        <w:tc>
          <w:tcPr>
            <w:tcW w:w="1687" w:type="dxa"/>
            <w:vAlign w:val="center"/>
          </w:tcPr>
          <w:p>
            <w:pPr>
              <w:pStyle w:val="33"/>
              <w:widowControl w:val="0"/>
              <w:snapToGrid w:val="0"/>
              <w:jc w:val="center"/>
              <w:rPr>
                <w:rFonts w:hint="eastAsia" w:ascii="宋体" w:hAnsi="宋体" w:eastAsia="宋体" w:cs="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876" w:type="dxa"/>
            <w:vAlign w:val="center"/>
          </w:tcPr>
          <w:p>
            <w:pPr>
              <w:pStyle w:val="33"/>
              <w:widowControl w:val="0"/>
              <w:snapToGrid w:val="0"/>
              <w:jc w:val="center"/>
              <w:rPr>
                <w:rFonts w:hint="eastAsia" w:ascii="宋体" w:hAnsi="宋体" w:eastAsia="宋体" w:cs="宋体"/>
                <w:color w:val="auto"/>
              </w:rPr>
            </w:pPr>
            <w:r>
              <w:rPr>
                <w:rFonts w:hint="eastAsia" w:ascii="宋体" w:hAnsi="宋体" w:eastAsia="宋体" w:cs="宋体"/>
                <w:color w:val="auto"/>
              </w:rPr>
              <w:t>2</w:t>
            </w:r>
          </w:p>
        </w:tc>
        <w:tc>
          <w:tcPr>
            <w:tcW w:w="2976" w:type="dxa"/>
            <w:vAlign w:val="center"/>
          </w:tcPr>
          <w:p>
            <w:pPr>
              <w:pStyle w:val="33"/>
              <w:widowControl w:val="0"/>
              <w:snapToGrid w:val="0"/>
              <w:jc w:val="center"/>
              <w:rPr>
                <w:rFonts w:hint="eastAsia" w:ascii="宋体" w:hAnsi="宋体" w:eastAsia="宋体" w:cs="宋体"/>
                <w:color w:val="auto"/>
              </w:rPr>
            </w:pPr>
          </w:p>
        </w:tc>
        <w:tc>
          <w:tcPr>
            <w:tcW w:w="1985" w:type="dxa"/>
            <w:vAlign w:val="center"/>
          </w:tcPr>
          <w:p>
            <w:pPr>
              <w:pStyle w:val="33"/>
              <w:widowControl w:val="0"/>
              <w:snapToGrid w:val="0"/>
              <w:jc w:val="center"/>
              <w:rPr>
                <w:rFonts w:hint="eastAsia" w:ascii="宋体" w:hAnsi="宋体" w:eastAsia="宋体" w:cs="宋体"/>
                <w:color w:val="auto"/>
              </w:rPr>
            </w:pPr>
          </w:p>
        </w:tc>
        <w:tc>
          <w:tcPr>
            <w:tcW w:w="1843" w:type="dxa"/>
            <w:vAlign w:val="center"/>
          </w:tcPr>
          <w:p>
            <w:pPr>
              <w:pStyle w:val="33"/>
              <w:widowControl w:val="0"/>
              <w:snapToGrid w:val="0"/>
              <w:jc w:val="center"/>
              <w:rPr>
                <w:rFonts w:hint="eastAsia" w:ascii="宋体" w:hAnsi="宋体" w:eastAsia="宋体" w:cs="宋体"/>
                <w:color w:val="auto"/>
              </w:rPr>
            </w:pPr>
          </w:p>
        </w:tc>
        <w:tc>
          <w:tcPr>
            <w:tcW w:w="1687" w:type="dxa"/>
            <w:vAlign w:val="center"/>
          </w:tcPr>
          <w:p>
            <w:pPr>
              <w:pStyle w:val="33"/>
              <w:widowControl w:val="0"/>
              <w:snapToGrid w:val="0"/>
              <w:jc w:val="center"/>
              <w:rPr>
                <w:rFonts w:hint="eastAsia" w:ascii="宋体" w:hAnsi="宋体" w:eastAsia="宋体" w:cs="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876" w:type="dxa"/>
            <w:vAlign w:val="center"/>
          </w:tcPr>
          <w:p>
            <w:pPr>
              <w:pStyle w:val="33"/>
              <w:widowControl w:val="0"/>
              <w:snapToGrid w:val="0"/>
              <w:jc w:val="center"/>
              <w:rPr>
                <w:rFonts w:hint="eastAsia" w:ascii="宋体" w:hAnsi="宋体" w:eastAsia="宋体" w:cs="宋体"/>
                <w:color w:val="auto"/>
              </w:rPr>
            </w:pPr>
            <w:r>
              <w:rPr>
                <w:rFonts w:hint="eastAsia" w:ascii="宋体" w:hAnsi="宋体" w:eastAsia="宋体" w:cs="宋体"/>
                <w:color w:val="auto"/>
              </w:rPr>
              <w:t>3</w:t>
            </w:r>
          </w:p>
        </w:tc>
        <w:tc>
          <w:tcPr>
            <w:tcW w:w="2976" w:type="dxa"/>
            <w:vAlign w:val="center"/>
          </w:tcPr>
          <w:p>
            <w:pPr>
              <w:pStyle w:val="33"/>
              <w:widowControl w:val="0"/>
              <w:snapToGrid w:val="0"/>
              <w:jc w:val="center"/>
              <w:rPr>
                <w:rFonts w:hint="eastAsia" w:ascii="宋体" w:hAnsi="宋体" w:eastAsia="宋体" w:cs="宋体"/>
                <w:color w:val="auto"/>
              </w:rPr>
            </w:pPr>
          </w:p>
        </w:tc>
        <w:tc>
          <w:tcPr>
            <w:tcW w:w="1985" w:type="dxa"/>
            <w:vAlign w:val="center"/>
          </w:tcPr>
          <w:p>
            <w:pPr>
              <w:pStyle w:val="33"/>
              <w:widowControl w:val="0"/>
              <w:snapToGrid w:val="0"/>
              <w:jc w:val="center"/>
              <w:rPr>
                <w:rFonts w:hint="eastAsia" w:ascii="宋体" w:hAnsi="宋体" w:eastAsia="宋体" w:cs="宋体"/>
                <w:color w:val="auto"/>
              </w:rPr>
            </w:pPr>
          </w:p>
        </w:tc>
        <w:tc>
          <w:tcPr>
            <w:tcW w:w="1843" w:type="dxa"/>
            <w:vAlign w:val="center"/>
          </w:tcPr>
          <w:p>
            <w:pPr>
              <w:pStyle w:val="33"/>
              <w:widowControl w:val="0"/>
              <w:snapToGrid w:val="0"/>
              <w:jc w:val="center"/>
              <w:rPr>
                <w:rFonts w:hint="eastAsia" w:ascii="宋体" w:hAnsi="宋体" w:eastAsia="宋体" w:cs="宋体"/>
                <w:color w:val="auto"/>
              </w:rPr>
            </w:pPr>
          </w:p>
        </w:tc>
        <w:tc>
          <w:tcPr>
            <w:tcW w:w="1687" w:type="dxa"/>
            <w:vAlign w:val="center"/>
          </w:tcPr>
          <w:p>
            <w:pPr>
              <w:pStyle w:val="33"/>
              <w:widowControl w:val="0"/>
              <w:snapToGrid w:val="0"/>
              <w:jc w:val="center"/>
              <w:rPr>
                <w:rFonts w:hint="eastAsia" w:ascii="宋体" w:hAnsi="宋体" w:eastAsia="宋体" w:cs="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876" w:type="dxa"/>
            <w:vAlign w:val="center"/>
          </w:tcPr>
          <w:p>
            <w:pPr>
              <w:pStyle w:val="33"/>
              <w:widowControl w:val="0"/>
              <w:snapToGrid w:val="0"/>
              <w:jc w:val="center"/>
              <w:rPr>
                <w:rFonts w:hint="eastAsia" w:ascii="宋体" w:hAnsi="宋体" w:eastAsia="宋体" w:cs="宋体"/>
                <w:color w:val="auto"/>
              </w:rPr>
            </w:pPr>
            <w:r>
              <w:rPr>
                <w:rFonts w:hint="eastAsia" w:ascii="宋体" w:hAnsi="宋体" w:eastAsia="宋体" w:cs="宋体"/>
                <w:color w:val="auto"/>
              </w:rPr>
              <w:t>4</w:t>
            </w:r>
          </w:p>
        </w:tc>
        <w:tc>
          <w:tcPr>
            <w:tcW w:w="2976" w:type="dxa"/>
            <w:vAlign w:val="center"/>
          </w:tcPr>
          <w:p>
            <w:pPr>
              <w:pStyle w:val="33"/>
              <w:widowControl w:val="0"/>
              <w:snapToGrid w:val="0"/>
              <w:jc w:val="center"/>
              <w:rPr>
                <w:rFonts w:hint="eastAsia" w:ascii="宋体" w:hAnsi="宋体" w:eastAsia="宋体" w:cs="宋体"/>
                <w:color w:val="auto"/>
              </w:rPr>
            </w:pPr>
          </w:p>
        </w:tc>
        <w:tc>
          <w:tcPr>
            <w:tcW w:w="1985" w:type="dxa"/>
            <w:vAlign w:val="center"/>
          </w:tcPr>
          <w:p>
            <w:pPr>
              <w:pStyle w:val="33"/>
              <w:widowControl w:val="0"/>
              <w:snapToGrid w:val="0"/>
              <w:jc w:val="center"/>
              <w:rPr>
                <w:rFonts w:hint="eastAsia" w:ascii="宋体" w:hAnsi="宋体" w:eastAsia="宋体" w:cs="宋体"/>
                <w:color w:val="auto"/>
              </w:rPr>
            </w:pPr>
          </w:p>
        </w:tc>
        <w:tc>
          <w:tcPr>
            <w:tcW w:w="1843" w:type="dxa"/>
            <w:vAlign w:val="center"/>
          </w:tcPr>
          <w:p>
            <w:pPr>
              <w:pStyle w:val="33"/>
              <w:widowControl w:val="0"/>
              <w:snapToGrid w:val="0"/>
              <w:jc w:val="center"/>
              <w:rPr>
                <w:rFonts w:hint="eastAsia" w:ascii="宋体" w:hAnsi="宋体" w:eastAsia="宋体" w:cs="宋体"/>
                <w:color w:val="auto"/>
              </w:rPr>
            </w:pPr>
          </w:p>
        </w:tc>
        <w:tc>
          <w:tcPr>
            <w:tcW w:w="1687" w:type="dxa"/>
            <w:vAlign w:val="center"/>
          </w:tcPr>
          <w:p>
            <w:pPr>
              <w:pStyle w:val="33"/>
              <w:widowControl w:val="0"/>
              <w:snapToGrid w:val="0"/>
              <w:jc w:val="center"/>
              <w:rPr>
                <w:rFonts w:hint="eastAsia" w:ascii="宋体" w:hAnsi="宋体" w:eastAsia="宋体" w:cs="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876" w:type="dxa"/>
            <w:vAlign w:val="center"/>
          </w:tcPr>
          <w:p>
            <w:pPr>
              <w:pStyle w:val="33"/>
              <w:widowControl w:val="0"/>
              <w:snapToGrid w:val="0"/>
              <w:jc w:val="center"/>
              <w:rPr>
                <w:rFonts w:hint="eastAsia" w:ascii="宋体" w:hAnsi="宋体" w:eastAsia="宋体" w:cs="宋体"/>
                <w:color w:val="auto"/>
              </w:rPr>
            </w:pPr>
            <w:r>
              <w:rPr>
                <w:rFonts w:hint="eastAsia" w:ascii="宋体" w:hAnsi="宋体" w:eastAsia="宋体" w:cs="宋体"/>
                <w:color w:val="auto"/>
              </w:rPr>
              <w:t>5</w:t>
            </w:r>
          </w:p>
        </w:tc>
        <w:tc>
          <w:tcPr>
            <w:tcW w:w="2976" w:type="dxa"/>
            <w:vAlign w:val="center"/>
          </w:tcPr>
          <w:p>
            <w:pPr>
              <w:pStyle w:val="33"/>
              <w:widowControl w:val="0"/>
              <w:snapToGrid w:val="0"/>
              <w:jc w:val="center"/>
              <w:rPr>
                <w:rFonts w:hint="eastAsia" w:ascii="宋体" w:hAnsi="宋体" w:eastAsia="宋体" w:cs="宋体"/>
                <w:color w:val="auto"/>
              </w:rPr>
            </w:pPr>
          </w:p>
        </w:tc>
        <w:tc>
          <w:tcPr>
            <w:tcW w:w="1985" w:type="dxa"/>
            <w:vAlign w:val="center"/>
          </w:tcPr>
          <w:p>
            <w:pPr>
              <w:pStyle w:val="33"/>
              <w:widowControl w:val="0"/>
              <w:snapToGrid w:val="0"/>
              <w:jc w:val="center"/>
              <w:rPr>
                <w:rFonts w:hint="eastAsia" w:ascii="宋体" w:hAnsi="宋体" w:eastAsia="宋体" w:cs="宋体"/>
                <w:color w:val="auto"/>
              </w:rPr>
            </w:pPr>
          </w:p>
        </w:tc>
        <w:tc>
          <w:tcPr>
            <w:tcW w:w="1843" w:type="dxa"/>
            <w:vAlign w:val="center"/>
          </w:tcPr>
          <w:p>
            <w:pPr>
              <w:pStyle w:val="33"/>
              <w:widowControl w:val="0"/>
              <w:snapToGrid w:val="0"/>
              <w:jc w:val="center"/>
              <w:rPr>
                <w:rFonts w:hint="eastAsia" w:ascii="宋体" w:hAnsi="宋体" w:eastAsia="宋体" w:cs="宋体"/>
                <w:color w:val="auto"/>
              </w:rPr>
            </w:pPr>
          </w:p>
        </w:tc>
        <w:tc>
          <w:tcPr>
            <w:tcW w:w="1687" w:type="dxa"/>
            <w:vAlign w:val="center"/>
          </w:tcPr>
          <w:p>
            <w:pPr>
              <w:pStyle w:val="33"/>
              <w:widowControl w:val="0"/>
              <w:snapToGrid w:val="0"/>
              <w:jc w:val="center"/>
              <w:rPr>
                <w:rFonts w:hint="eastAsia" w:ascii="宋体" w:hAnsi="宋体" w:eastAsia="宋体" w:cs="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876" w:type="dxa"/>
            <w:vAlign w:val="center"/>
          </w:tcPr>
          <w:p>
            <w:pPr>
              <w:pStyle w:val="33"/>
              <w:widowControl w:val="0"/>
              <w:snapToGrid w:val="0"/>
              <w:jc w:val="center"/>
              <w:rPr>
                <w:rFonts w:hint="eastAsia" w:ascii="宋体" w:hAnsi="宋体" w:eastAsia="宋体" w:cs="宋体"/>
                <w:color w:val="auto"/>
              </w:rPr>
            </w:pPr>
            <w:r>
              <w:rPr>
                <w:rFonts w:hint="eastAsia" w:ascii="宋体" w:hAnsi="宋体" w:eastAsia="宋体" w:cs="宋体"/>
                <w:color w:val="auto"/>
              </w:rPr>
              <w:t>6</w:t>
            </w:r>
          </w:p>
        </w:tc>
        <w:tc>
          <w:tcPr>
            <w:tcW w:w="2976" w:type="dxa"/>
            <w:vAlign w:val="center"/>
          </w:tcPr>
          <w:p>
            <w:pPr>
              <w:pStyle w:val="33"/>
              <w:widowControl w:val="0"/>
              <w:snapToGrid w:val="0"/>
              <w:jc w:val="center"/>
              <w:rPr>
                <w:rFonts w:hint="eastAsia" w:ascii="宋体" w:hAnsi="宋体" w:eastAsia="宋体" w:cs="宋体"/>
                <w:color w:val="auto"/>
              </w:rPr>
            </w:pPr>
          </w:p>
        </w:tc>
        <w:tc>
          <w:tcPr>
            <w:tcW w:w="1985" w:type="dxa"/>
            <w:vAlign w:val="center"/>
          </w:tcPr>
          <w:p>
            <w:pPr>
              <w:pStyle w:val="33"/>
              <w:widowControl w:val="0"/>
              <w:snapToGrid w:val="0"/>
              <w:jc w:val="center"/>
              <w:rPr>
                <w:rFonts w:hint="eastAsia" w:ascii="宋体" w:hAnsi="宋体" w:eastAsia="宋体" w:cs="宋体"/>
                <w:color w:val="auto"/>
              </w:rPr>
            </w:pPr>
          </w:p>
        </w:tc>
        <w:tc>
          <w:tcPr>
            <w:tcW w:w="1843" w:type="dxa"/>
            <w:vAlign w:val="center"/>
          </w:tcPr>
          <w:p>
            <w:pPr>
              <w:pStyle w:val="33"/>
              <w:widowControl w:val="0"/>
              <w:snapToGrid w:val="0"/>
              <w:jc w:val="center"/>
              <w:rPr>
                <w:rFonts w:hint="eastAsia" w:ascii="宋体" w:hAnsi="宋体" w:eastAsia="宋体" w:cs="宋体"/>
                <w:color w:val="auto"/>
              </w:rPr>
            </w:pPr>
          </w:p>
        </w:tc>
        <w:tc>
          <w:tcPr>
            <w:tcW w:w="1687" w:type="dxa"/>
            <w:vAlign w:val="center"/>
          </w:tcPr>
          <w:p>
            <w:pPr>
              <w:pStyle w:val="33"/>
              <w:widowControl w:val="0"/>
              <w:snapToGrid w:val="0"/>
              <w:jc w:val="center"/>
              <w:rPr>
                <w:rFonts w:hint="eastAsia" w:ascii="宋体" w:hAnsi="宋体" w:eastAsia="宋体" w:cs="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876" w:type="dxa"/>
            <w:vAlign w:val="center"/>
          </w:tcPr>
          <w:p>
            <w:pPr>
              <w:pStyle w:val="33"/>
              <w:widowControl w:val="0"/>
              <w:snapToGrid w:val="0"/>
              <w:jc w:val="center"/>
              <w:rPr>
                <w:rFonts w:hint="eastAsia" w:ascii="宋体" w:hAnsi="宋体" w:eastAsia="宋体" w:cs="宋体"/>
                <w:color w:val="auto"/>
              </w:rPr>
            </w:pPr>
            <w:r>
              <w:rPr>
                <w:rFonts w:hint="eastAsia" w:ascii="宋体" w:hAnsi="宋体" w:eastAsia="宋体" w:cs="宋体"/>
                <w:color w:val="auto"/>
              </w:rPr>
              <w:t>7</w:t>
            </w:r>
          </w:p>
        </w:tc>
        <w:tc>
          <w:tcPr>
            <w:tcW w:w="2976" w:type="dxa"/>
            <w:vAlign w:val="center"/>
          </w:tcPr>
          <w:p>
            <w:pPr>
              <w:pStyle w:val="33"/>
              <w:widowControl w:val="0"/>
              <w:snapToGrid w:val="0"/>
              <w:jc w:val="center"/>
              <w:rPr>
                <w:rFonts w:hint="eastAsia" w:ascii="宋体" w:hAnsi="宋体" w:eastAsia="宋体" w:cs="宋体"/>
                <w:color w:val="auto"/>
              </w:rPr>
            </w:pPr>
          </w:p>
        </w:tc>
        <w:tc>
          <w:tcPr>
            <w:tcW w:w="1985" w:type="dxa"/>
            <w:vAlign w:val="center"/>
          </w:tcPr>
          <w:p>
            <w:pPr>
              <w:pStyle w:val="33"/>
              <w:widowControl w:val="0"/>
              <w:snapToGrid w:val="0"/>
              <w:jc w:val="center"/>
              <w:rPr>
                <w:rFonts w:hint="eastAsia" w:ascii="宋体" w:hAnsi="宋体" w:eastAsia="宋体" w:cs="宋体"/>
                <w:color w:val="auto"/>
              </w:rPr>
            </w:pPr>
          </w:p>
        </w:tc>
        <w:tc>
          <w:tcPr>
            <w:tcW w:w="1843" w:type="dxa"/>
            <w:vAlign w:val="center"/>
          </w:tcPr>
          <w:p>
            <w:pPr>
              <w:pStyle w:val="33"/>
              <w:widowControl w:val="0"/>
              <w:snapToGrid w:val="0"/>
              <w:jc w:val="center"/>
              <w:rPr>
                <w:rFonts w:hint="eastAsia" w:ascii="宋体" w:hAnsi="宋体" w:eastAsia="宋体" w:cs="宋体"/>
                <w:color w:val="auto"/>
              </w:rPr>
            </w:pPr>
          </w:p>
        </w:tc>
        <w:tc>
          <w:tcPr>
            <w:tcW w:w="1687" w:type="dxa"/>
            <w:vAlign w:val="center"/>
          </w:tcPr>
          <w:p>
            <w:pPr>
              <w:pStyle w:val="33"/>
              <w:widowControl w:val="0"/>
              <w:snapToGrid w:val="0"/>
              <w:jc w:val="center"/>
              <w:rPr>
                <w:rFonts w:hint="eastAsia" w:ascii="宋体" w:hAnsi="宋体" w:eastAsia="宋体" w:cs="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876" w:type="dxa"/>
            <w:vAlign w:val="center"/>
          </w:tcPr>
          <w:p>
            <w:pPr>
              <w:pStyle w:val="33"/>
              <w:widowControl w:val="0"/>
              <w:snapToGrid w:val="0"/>
              <w:jc w:val="center"/>
              <w:rPr>
                <w:rFonts w:hint="eastAsia" w:ascii="宋体" w:hAnsi="宋体" w:eastAsia="宋体" w:cs="宋体"/>
                <w:color w:val="auto"/>
              </w:rPr>
            </w:pPr>
            <w:r>
              <w:rPr>
                <w:rFonts w:hint="eastAsia" w:ascii="宋体" w:hAnsi="宋体" w:eastAsia="宋体" w:cs="宋体"/>
                <w:color w:val="auto"/>
              </w:rPr>
              <w:t>8</w:t>
            </w:r>
          </w:p>
        </w:tc>
        <w:tc>
          <w:tcPr>
            <w:tcW w:w="2976" w:type="dxa"/>
            <w:vAlign w:val="center"/>
          </w:tcPr>
          <w:p>
            <w:pPr>
              <w:pStyle w:val="33"/>
              <w:widowControl w:val="0"/>
              <w:snapToGrid w:val="0"/>
              <w:jc w:val="center"/>
              <w:rPr>
                <w:rFonts w:hint="eastAsia" w:ascii="宋体" w:hAnsi="宋体" w:eastAsia="宋体" w:cs="宋体"/>
                <w:color w:val="auto"/>
              </w:rPr>
            </w:pPr>
          </w:p>
        </w:tc>
        <w:tc>
          <w:tcPr>
            <w:tcW w:w="1985" w:type="dxa"/>
            <w:vAlign w:val="center"/>
          </w:tcPr>
          <w:p>
            <w:pPr>
              <w:pStyle w:val="33"/>
              <w:widowControl w:val="0"/>
              <w:snapToGrid w:val="0"/>
              <w:jc w:val="center"/>
              <w:rPr>
                <w:rFonts w:hint="eastAsia" w:ascii="宋体" w:hAnsi="宋体" w:eastAsia="宋体" w:cs="宋体"/>
                <w:color w:val="auto"/>
              </w:rPr>
            </w:pPr>
          </w:p>
        </w:tc>
        <w:tc>
          <w:tcPr>
            <w:tcW w:w="1843" w:type="dxa"/>
            <w:vAlign w:val="center"/>
          </w:tcPr>
          <w:p>
            <w:pPr>
              <w:pStyle w:val="33"/>
              <w:widowControl w:val="0"/>
              <w:snapToGrid w:val="0"/>
              <w:jc w:val="center"/>
              <w:rPr>
                <w:rFonts w:hint="eastAsia" w:ascii="宋体" w:hAnsi="宋体" w:eastAsia="宋体" w:cs="宋体"/>
                <w:color w:val="auto"/>
              </w:rPr>
            </w:pPr>
          </w:p>
        </w:tc>
        <w:tc>
          <w:tcPr>
            <w:tcW w:w="1687" w:type="dxa"/>
            <w:vAlign w:val="center"/>
          </w:tcPr>
          <w:p>
            <w:pPr>
              <w:pStyle w:val="33"/>
              <w:widowControl w:val="0"/>
              <w:snapToGrid w:val="0"/>
              <w:jc w:val="center"/>
              <w:rPr>
                <w:rFonts w:hint="eastAsia" w:ascii="宋体" w:hAnsi="宋体" w:eastAsia="宋体" w:cs="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876" w:type="dxa"/>
            <w:vAlign w:val="center"/>
          </w:tcPr>
          <w:p>
            <w:pPr>
              <w:pStyle w:val="33"/>
              <w:widowControl w:val="0"/>
              <w:snapToGrid w:val="0"/>
              <w:jc w:val="center"/>
              <w:rPr>
                <w:rFonts w:hint="eastAsia" w:ascii="宋体" w:hAnsi="宋体" w:eastAsia="宋体" w:cs="宋体"/>
                <w:color w:val="auto"/>
              </w:rPr>
            </w:pPr>
            <w:r>
              <w:rPr>
                <w:rFonts w:hint="eastAsia" w:ascii="宋体" w:hAnsi="宋体" w:eastAsia="宋体" w:cs="宋体"/>
                <w:color w:val="auto"/>
              </w:rPr>
              <w:t>9</w:t>
            </w:r>
          </w:p>
        </w:tc>
        <w:tc>
          <w:tcPr>
            <w:tcW w:w="2976" w:type="dxa"/>
            <w:vAlign w:val="center"/>
          </w:tcPr>
          <w:p>
            <w:pPr>
              <w:pStyle w:val="33"/>
              <w:widowControl w:val="0"/>
              <w:snapToGrid w:val="0"/>
              <w:jc w:val="center"/>
              <w:rPr>
                <w:rFonts w:hint="eastAsia" w:ascii="宋体" w:hAnsi="宋体" w:eastAsia="宋体" w:cs="宋体"/>
                <w:color w:val="auto"/>
              </w:rPr>
            </w:pPr>
          </w:p>
        </w:tc>
        <w:tc>
          <w:tcPr>
            <w:tcW w:w="1985" w:type="dxa"/>
            <w:vAlign w:val="center"/>
          </w:tcPr>
          <w:p>
            <w:pPr>
              <w:pStyle w:val="33"/>
              <w:widowControl w:val="0"/>
              <w:snapToGrid w:val="0"/>
              <w:jc w:val="center"/>
              <w:rPr>
                <w:rFonts w:hint="eastAsia" w:ascii="宋体" w:hAnsi="宋体" w:eastAsia="宋体" w:cs="宋体"/>
                <w:color w:val="auto"/>
              </w:rPr>
            </w:pPr>
          </w:p>
        </w:tc>
        <w:tc>
          <w:tcPr>
            <w:tcW w:w="1843" w:type="dxa"/>
            <w:vAlign w:val="center"/>
          </w:tcPr>
          <w:p>
            <w:pPr>
              <w:pStyle w:val="33"/>
              <w:widowControl w:val="0"/>
              <w:snapToGrid w:val="0"/>
              <w:jc w:val="center"/>
              <w:rPr>
                <w:rFonts w:hint="eastAsia" w:ascii="宋体" w:hAnsi="宋体" w:eastAsia="宋体" w:cs="宋体"/>
                <w:color w:val="auto"/>
              </w:rPr>
            </w:pPr>
          </w:p>
        </w:tc>
        <w:tc>
          <w:tcPr>
            <w:tcW w:w="1687" w:type="dxa"/>
            <w:vAlign w:val="center"/>
          </w:tcPr>
          <w:p>
            <w:pPr>
              <w:pStyle w:val="33"/>
              <w:widowControl w:val="0"/>
              <w:snapToGrid w:val="0"/>
              <w:jc w:val="center"/>
              <w:rPr>
                <w:rFonts w:hint="eastAsia" w:ascii="宋体" w:hAnsi="宋体" w:eastAsia="宋体" w:cs="宋体"/>
                <w:color w:val="auto"/>
              </w:rPr>
            </w:pPr>
          </w:p>
        </w:tc>
      </w:tr>
    </w:tbl>
    <w:p>
      <w:pPr>
        <w:pStyle w:val="33"/>
        <w:widowControl w:val="0"/>
        <w:spacing w:line="360" w:lineRule="auto"/>
        <w:ind w:firstLine="4320" w:firstLineChars="1800"/>
        <w:rPr>
          <w:rFonts w:hint="eastAsia" w:ascii="宋体" w:hAnsi="宋体" w:eastAsia="宋体" w:cs="宋体"/>
          <w:color w:val="auto"/>
          <w:u w:val="single"/>
        </w:rPr>
      </w:pPr>
      <w:r>
        <w:rPr>
          <w:rFonts w:hint="eastAsia" w:ascii="宋体" w:hAnsi="宋体" w:eastAsia="宋体" w:cs="宋体"/>
          <w:color w:val="auto"/>
        </w:rPr>
        <w:t>法定代表人（授权代表）签字：</w:t>
      </w:r>
      <w:r>
        <w:rPr>
          <w:rFonts w:hint="eastAsia" w:ascii="宋体" w:hAnsi="宋体" w:eastAsia="宋体" w:cs="宋体"/>
          <w:color w:val="auto"/>
          <w:u w:val="single"/>
        </w:rPr>
        <w:t xml:space="preserve">         </w:t>
      </w:r>
    </w:p>
    <w:p>
      <w:pPr>
        <w:pStyle w:val="33"/>
        <w:widowControl w:val="0"/>
        <w:spacing w:line="360" w:lineRule="auto"/>
        <w:ind w:firstLine="5640" w:firstLineChars="2350"/>
        <w:rPr>
          <w:rFonts w:hint="eastAsia" w:ascii="宋体" w:hAnsi="宋体" w:eastAsia="宋体" w:cs="宋体"/>
          <w:color w:val="auto"/>
          <w:u w:val="single"/>
        </w:rPr>
      </w:pPr>
      <w:r>
        <w:rPr>
          <w:rFonts w:hint="eastAsia" w:ascii="宋体" w:hAnsi="宋体" w:eastAsia="宋体" w:cs="宋体"/>
          <w:bCs/>
          <w:color w:val="auto"/>
        </w:rPr>
        <w:t>日期：</w:t>
      </w:r>
      <w:r>
        <w:rPr>
          <w:rFonts w:hint="eastAsia" w:ascii="宋体" w:hAnsi="宋体" w:eastAsia="宋体" w:cs="宋体"/>
          <w:bCs/>
          <w:color w:val="auto"/>
          <w:u w:val="single"/>
        </w:rPr>
        <w:t xml:space="preserve">       </w:t>
      </w:r>
      <w:r>
        <w:rPr>
          <w:rFonts w:hint="eastAsia" w:ascii="宋体" w:hAnsi="宋体" w:eastAsia="宋体" w:cs="宋体"/>
          <w:bCs/>
          <w:color w:val="auto"/>
        </w:rPr>
        <w:t>年</w:t>
      </w:r>
      <w:r>
        <w:rPr>
          <w:rFonts w:hint="eastAsia" w:ascii="宋体" w:hAnsi="宋体" w:eastAsia="宋体" w:cs="宋体"/>
          <w:bCs/>
          <w:color w:val="auto"/>
          <w:u w:val="single"/>
        </w:rPr>
        <w:t xml:space="preserve">    </w:t>
      </w:r>
      <w:r>
        <w:rPr>
          <w:rFonts w:hint="eastAsia" w:ascii="宋体" w:hAnsi="宋体" w:eastAsia="宋体" w:cs="宋体"/>
          <w:bCs/>
          <w:color w:val="auto"/>
        </w:rPr>
        <w:t>月</w:t>
      </w:r>
      <w:r>
        <w:rPr>
          <w:rFonts w:hint="eastAsia" w:ascii="宋体" w:hAnsi="宋体" w:eastAsia="宋体" w:cs="宋体"/>
          <w:bCs/>
          <w:color w:val="auto"/>
          <w:u w:val="single"/>
        </w:rPr>
        <w:t xml:space="preserve">    </w:t>
      </w:r>
      <w:r>
        <w:rPr>
          <w:rFonts w:hint="eastAsia" w:ascii="宋体" w:hAnsi="宋体" w:eastAsia="宋体" w:cs="宋体"/>
          <w:bCs/>
          <w:color w:val="auto"/>
        </w:rPr>
        <w:t>日</w:t>
      </w:r>
    </w:p>
    <w:p>
      <w:pPr>
        <w:adjustRightInd w:val="0"/>
        <w:snapToGrid w:val="0"/>
        <w:spacing w:line="400" w:lineRule="exact"/>
        <w:ind w:left="693" w:hanging="693" w:hangingChars="330"/>
        <w:rPr>
          <w:rFonts w:hint="eastAsia" w:ascii="宋体" w:hAnsi="宋体" w:eastAsia="宋体" w:cs="宋体"/>
          <w:color w:val="auto"/>
          <w:szCs w:val="21"/>
        </w:rPr>
      </w:pPr>
      <w:r>
        <w:rPr>
          <w:rFonts w:hint="eastAsia" w:ascii="宋体" w:hAnsi="宋体" w:eastAsia="宋体" w:cs="宋体"/>
          <w:color w:val="auto"/>
          <w:szCs w:val="21"/>
        </w:rPr>
        <w:t>注：</w:t>
      </w:r>
    </w:p>
    <w:p>
      <w:pPr>
        <w:pStyle w:val="46"/>
        <w:spacing w:line="400" w:lineRule="exact"/>
        <w:ind w:firstLine="420"/>
        <w:rPr>
          <w:rFonts w:hint="eastAsia" w:ascii="宋体" w:hAnsi="宋体" w:eastAsia="宋体" w:cs="宋体"/>
          <w:color w:val="auto"/>
          <w:sz w:val="21"/>
        </w:rPr>
      </w:pPr>
      <w:r>
        <w:rPr>
          <w:rFonts w:hint="eastAsia" w:ascii="宋体" w:hAnsi="宋体" w:eastAsia="宋体" w:cs="宋体"/>
          <w:color w:val="auto"/>
          <w:sz w:val="21"/>
        </w:rPr>
        <w:t>1．投标人应当逐条对照招标文件合同条款，就投标文件对合同条款存在的偏差与例外逐条做出说明；</w:t>
      </w:r>
    </w:p>
    <w:p>
      <w:pPr>
        <w:pStyle w:val="46"/>
        <w:spacing w:line="400" w:lineRule="exact"/>
        <w:ind w:firstLine="420"/>
        <w:rPr>
          <w:rFonts w:hint="eastAsia" w:ascii="宋体" w:hAnsi="宋体" w:eastAsia="宋体" w:cs="宋体"/>
          <w:color w:val="auto"/>
          <w:sz w:val="21"/>
        </w:rPr>
      </w:pPr>
      <w:r>
        <w:rPr>
          <w:rFonts w:hint="eastAsia" w:ascii="宋体" w:hAnsi="宋体" w:eastAsia="宋体" w:cs="宋体"/>
          <w:color w:val="auto"/>
          <w:sz w:val="21"/>
        </w:rPr>
        <w:t>2．如投标文件对合同条款无任何偏差，投标人仅需在本偏离表中填写“无偏离”即可。</w:t>
      </w:r>
    </w:p>
    <w:p>
      <w:pPr>
        <w:pStyle w:val="46"/>
        <w:spacing w:line="400" w:lineRule="exact"/>
        <w:ind w:firstLine="420"/>
        <w:rPr>
          <w:rFonts w:hint="eastAsia" w:ascii="宋体" w:hAnsi="宋体" w:eastAsia="宋体" w:cs="宋体"/>
          <w:color w:val="auto"/>
          <w:sz w:val="21"/>
        </w:rPr>
      </w:pPr>
      <w:r>
        <w:rPr>
          <w:rFonts w:hint="eastAsia" w:ascii="宋体" w:hAnsi="宋体" w:eastAsia="宋体" w:cs="宋体"/>
          <w:color w:val="auto"/>
          <w:sz w:val="21"/>
        </w:rPr>
        <w:t>3. 投标人未填写该表则表示完全满足招标文件合同条款要求。</w:t>
      </w:r>
    </w:p>
    <w:p>
      <w:pPr>
        <w:spacing w:line="360" w:lineRule="auto"/>
        <w:ind w:firstLine="420" w:firstLineChars="200"/>
        <w:rPr>
          <w:rFonts w:hint="eastAsia" w:ascii="宋体" w:hAnsi="宋体" w:eastAsia="宋体" w:cs="宋体"/>
          <w:color w:val="auto"/>
          <w:szCs w:val="21"/>
          <w:u w:color="FF0000"/>
        </w:rPr>
      </w:pPr>
    </w:p>
    <w:p>
      <w:pPr>
        <w:jc w:val="left"/>
        <w:rPr>
          <w:rFonts w:hint="eastAsia" w:ascii="宋体" w:hAnsi="宋体" w:eastAsia="宋体" w:cs="宋体"/>
          <w:color w:val="auto"/>
          <w:sz w:val="24"/>
          <w:szCs w:val="24"/>
          <w:u w:color="000000"/>
        </w:rPr>
      </w:pPr>
      <w:r>
        <w:rPr>
          <w:rFonts w:hint="eastAsia" w:ascii="宋体" w:hAnsi="宋体" w:eastAsia="宋体" w:cs="宋体"/>
          <w:color w:val="auto"/>
          <w:sz w:val="24"/>
          <w:szCs w:val="24"/>
          <w:u w:color="000000"/>
        </w:rPr>
        <w:br w:type="page"/>
      </w:r>
    </w:p>
    <w:p>
      <w:pPr>
        <w:tabs>
          <w:tab w:val="left" w:pos="576"/>
        </w:tabs>
        <w:spacing w:before="156" w:beforeLines="50" w:after="156" w:afterLines="50" w:line="360" w:lineRule="auto"/>
        <w:outlineLvl w:val="2"/>
        <w:rPr>
          <w:rFonts w:hint="eastAsia" w:ascii="宋体" w:hAnsi="宋体" w:eastAsia="宋体" w:cs="宋体"/>
          <w:color w:val="auto"/>
          <w:sz w:val="24"/>
          <w:szCs w:val="24"/>
          <w:u w:color="000000"/>
        </w:rPr>
      </w:pPr>
      <w:bookmarkStart w:id="42" w:name="_Toc8695"/>
      <w:bookmarkStart w:id="43" w:name="_Toc11859496"/>
      <w:r>
        <w:rPr>
          <w:rFonts w:hint="eastAsia" w:ascii="宋体" w:hAnsi="宋体" w:eastAsia="宋体" w:cs="宋体"/>
          <w:color w:val="auto"/>
          <w:sz w:val="24"/>
          <w:szCs w:val="24"/>
          <w:u w:color="000000"/>
        </w:rPr>
        <w:t>6.6 技术参数响应及偏离表</w:t>
      </w:r>
      <w:bookmarkEnd w:id="42"/>
      <w:bookmarkEnd w:id="43"/>
    </w:p>
    <w:p>
      <w:pPr>
        <w:spacing w:before="156" w:beforeLines="50" w:after="156" w:afterLines="50" w:line="360" w:lineRule="auto"/>
        <w:jc w:val="center"/>
        <w:rPr>
          <w:rFonts w:hint="eastAsia" w:ascii="宋体" w:hAnsi="宋体" w:eastAsia="宋体" w:cs="宋体"/>
          <w:bCs/>
          <w:color w:val="auto"/>
          <w:sz w:val="28"/>
          <w:szCs w:val="28"/>
          <w:u w:color="000000"/>
          <w:lang w:val="zh-TW" w:eastAsia="zh-TW"/>
        </w:rPr>
      </w:pPr>
      <w:r>
        <w:rPr>
          <w:rFonts w:hint="eastAsia" w:ascii="宋体" w:hAnsi="宋体" w:eastAsia="宋体" w:cs="宋体"/>
          <w:bCs/>
          <w:color w:val="auto"/>
          <w:sz w:val="28"/>
          <w:szCs w:val="28"/>
          <w:u w:color="000000"/>
          <w:lang w:val="zh-TW"/>
        </w:rPr>
        <w:t>技术参数响应及偏离表</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投标人全称（公章）：</w:t>
      </w:r>
      <w:r>
        <w:rPr>
          <w:rFonts w:hint="eastAsia" w:ascii="宋体" w:hAnsi="宋体" w:eastAsia="宋体" w:cs="宋体"/>
          <w:color w:val="auto"/>
          <w:sz w:val="24"/>
          <w:szCs w:val="24"/>
          <w:u w:val="single"/>
        </w:rPr>
        <w:t xml:space="preserve">                     </w:t>
      </w:r>
    </w:p>
    <w:p>
      <w:pPr>
        <w:spacing w:line="360" w:lineRule="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项目名称：</w:t>
      </w:r>
      <w:r>
        <w:rPr>
          <w:rFonts w:hint="eastAsia" w:ascii="宋体" w:hAnsi="宋体" w:eastAsia="宋体" w:cs="宋体"/>
          <w:color w:val="auto"/>
          <w:sz w:val="24"/>
          <w:szCs w:val="24"/>
          <w:u w:val="single"/>
          <w:lang w:eastAsia="zh-CN"/>
        </w:rPr>
        <w:t>南京邮电大学通达学院校内配送服务采购项目</w:t>
      </w:r>
    </w:p>
    <w:tbl>
      <w:tblPr>
        <w:tblStyle w:val="25"/>
        <w:tblW w:w="916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84"/>
        <w:gridCol w:w="4086"/>
        <w:gridCol w:w="1618"/>
        <w:gridCol w:w="1308"/>
        <w:gridCol w:w="117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42" w:hRule="atLeast"/>
          <w:jc w:val="center"/>
        </w:trPr>
        <w:tc>
          <w:tcPr>
            <w:tcW w:w="98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auto"/>
                <w:sz w:val="24"/>
                <w:szCs w:val="24"/>
              </w:rPr>
            </w:pPr>
            <w:r>
              <w:rPr>
                <w:rFonts w:hint="eastAsia" w:ascii="宋体" w:hAnsi="宋体" w:eastAsia="宋体" w:cs="宋体"/>
                <w:color w:val="auto"/>
                <w:sz w:val="24"/>
                <w:szCs w:val="24"/>
              </w:rPr>
              <w:t>序号</w:t>
            </w:r>
          </w:p>
        </w:tc>
        <w:tc>
          <w:tcPr>
            <w:tcW w:w="408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auto"/>
                <w:sz w:val="24"/>
                <w:szCs w:val="24"/>
              </w:rPr>
            </w:pPr>
            <w:r>
              <w:rPr>
                <w:rFonts w:hint="eastAsia" w:ascii="宋体" w:hAnsi="宋体" w:eastAsia="宋体" w:cs="宋体"/>
                <w:color w:val="auto"/>
                <w:sz w:val="24"/>
                <w:szCs w:val="24"/>
              </w:rPr>
              <w:t>招标文件要求</w:t>
            </w:r>
          </w:p>
        </w:tc>
        <w:tc>
          <w:tcPr>
            <w:tcW w:w="16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auto"/>
                <w:sz w:val="24"/>
                <w:szCs w:val="24"/>
              </w:rPr>
            </w:pPr>
            <w:r>
              <w:rPr>
                <w:rFonts w:hint="eastAsia" w:ascii="宋体" w:hAnsi="宋体" w:eastAsia="宋体" w:cs="宋体"/>
                <w:color w:val="auto"/>
                <w:sz w:val="24"/>
                <w:szCs w:val="24"/>
              </w:rPr>
              <w:t>供应商响应</w:t>
            </w:r>
          </w:p>
        </w:tc>
        <w:tc>
          <w:tcPr>
            <w:tcW w:w="130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auto"/>
                <w:sz w:val="24"/>
                <w:szCs w:val="24"/>
              </w:rPr>
            </w:pPr>
            <w:r>
              <w:rPr>
                <w:rFonts w:hint="eastAsia" w:ascii="宋体" w:hAnsi="宋体" w:eastAsia="宋体" w:cs="宋体"/>
                <w:color w:val="auto"/>
                <w:sz w:val="24"/>
                <w:szCs w:val="24"/>
              </w:rPr>
              <w:t>超出、符合或偏离</w:t>
            </w:r>
          </w:p>
        </w:tc>
        <w:tc>
          <w:tcPr>
            <w:tcW w:w="11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auto"/>
                <w:sz w:val="24"/>
                <w:szCs w:val="24"/>
              </w:rPr>
            </w:pPr>
            <w:r>
              <w:rPr>
                <w:rFonts w:hint="eastAsia" w:ascii="宋体" w:hAnsi="宋体" w:eastAsia="宋体" w:cs="宋体"/>
                <w:color w:val="auto"/>
                <w:sz w:val="24"/>
                <w:szCs w:val="24"/>
              </w:rPr>
              <w:t>原因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color w:val="auto"/>
                <w:sz w:val="24"/>
                <w:szCs w:val="24"/>
              </w:rPr>
            </w:pPr>
          </w:p>
        </w:tc>
        <w:tc>
          <w:tcPr>
            <w:tcW w:w="4086"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color w:val="auto"/>
                <w:sz w:val="24"/>
                <w:szCs w:val="24"/>
              </w:rPr>
            </w:pPr>
          </w:p>
        </w:tc>
        <w:tc>
          <w:tcPr>
            <w:tcW w:w="1618"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color w:val="auto"/>
                <w:sz w:val="24"/>
                <w:szCs w:val="24"/>
              </w:rPr>
            </w:pPr>
          </w:p>
        </w:tc>
        <w:tc>
          <w:tcPr>
            <w:tcW w:w="1308"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color w:val="auto"/>
                <w:sz w:val="24"/>
                <w:szCs w:val="24"/>
              </w:rPr>
            </w:pPr>
          </w:p>
        </w:tc>
        <w:tc>
          <w:tcPr>
            <w:tcW w:w="1173"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color w:val="auto"/>
                <w:sz w:val="24"/>
                <w:szCs w:val="24"/>
              </w:rPr>
            </w:pPr>
          </w:p>
        </w:tc>
        <w:tc>
          <w:tcPr>
            <w:tcW w:w="4086"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color w:val="auto"/>
                <w:sz w:val="24"/>
                <w:szCs w:val="24"/>
              </w:rPr>
            </w:pPr>
          </w:p>
        </w:tc>
        <w:tc>
          <w:tcPr>
            <w:tcW w:w="1618"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color w:val="auto"/>
                <w:sz w:val="24"/>
                <w:szCs w:val="24"/>
              </w:rPr>
            </w:pPr>
          </w:p>
        </w:tc>
        <w:tc>
          <w:tcPr>
            <w:tcW w:w="1308"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color w:val="auto"/>
                <w:sz w:val="24"/>
                <w:szCs w:val="24"/>
              </w:rPr>
            </w:pPr>
          </w:p>
        </w:tc>
        <w:tc>
          <w:tcPr>
            <w:tcW w:w="1173"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color w:val="auto"/>
                <w:sz w:val="24"/>
                <w:szCs w:val="24"/>
              </w:rPr>
            </w:pPr>
          </w:p>
        </w:tc>
        <w:tc>
          <w:tcPr>
            <w:tcW w:w="4086"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szCs w:val="24"/>
              </w:rPr>
            </w:pPr>
          </w:p>
        </w:tc>
        <w:tc>
          <w:tcPr>
            <w:tcW w:w="1618"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color w:val="auto"/>
                <w:sz w:val="24"/>
                <w:szCs w:val="24"/>
              </w:rPr>
            </w:pPr>
          </w:p>
        </w:tc>
        <w:tc>
          <w:tcPr>
            <w:tcW w:w="1308"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color w:val="auto"/>
                <w:sz w:val="24"/>
                <w:szCs w:val="24"/>
              </w:rPr>
            </w:pPr>
          </w:p>
        </w:tc>
        <w:tc>
          <w:tcPr>
            <w:tcW w:w="1173"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color w:val="auto"/>
                <w:sz w:val="24"/>
                <w:szCs w:val="24"/>
              </w:rPr>
            </w:pPr>
          </w:p>
        </w:tc>
        <w:tc>
          <w:tcPr>
            <w:tcW w:w="4086"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szCs w:val="24"/>
              </w:rPr>
            </w:pPr>
          </w:p>
        </w:tc>
        <w:tc>
          <w:tcPr>
            <w:tcW w:w="1618"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color w:val="auto"/>
                <w:sz w:val="24"/>
                <w:szCs w:val="24"/>
              </w:rPr>
            </w:pPr>
          </w:p>
        </w:tc>
        <w:tc>
          <w:tcPr>
            <w:tcW w:w="1308"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color w:val="auto"/>
                <w:sz w:val="24"/>
                <w:szCs w:val="24"/>
              </w:rPr>
            </w:pPr>
          </w:p>
        </w:tc>
        <w:tc>
          <w:tcPr>
            <w:tcW w:w="1173"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color w:val="auto"/>
                <w:sz w:val="24"/>
                <w:szCs w:val="24"/>
              </w:rPr>
            </w:pPr>
          </w:p>
        </w:tc>
        <w:tc>
          <w:tcPr>
            <w:tcW w:w="4086"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szCs w:val="24"/>
              </w:rPr>
            </w:pPr>
          </w:p>
        </w:tc>
        <w:tc>
          <w:tcPr>
            <w:tcW w:w="1618"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color w:val="auto"/>
                <w:sz w:val="24"/>
                <w:szCs w:val="24"/>
              </w:rPr>
            </w:pPr>
          </w:p>
        </w:tc>
        <w:tc>
          <w:tcPr>
            <w:tcW w:w="1308"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color w:val="auto"/>
                <w:sz w:val="24"/>
                <w:szCs w:val="24"/>
              </w:rPr>
            </w:pPr>
          </w:p>
        </w:tc>
        <w:tc>
          <w:tcPr>
            <w:tcW w:w="1173"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color w:val="auto"/>
                <w:sz w:val="24"/>
                <w:szCs w:val="24"/>
              </w:rPr>
            </w:pPr>
          </w:p>
        </w:tc>
        <w:tc>
          <w:tcPr>
            <w:tcW w:w="4086"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szCs w:val="24"/>
              </w:rPr>
            </w:pPr>
          </w:p>
        </w:tc>
        <w:tc>
          <w:tcPr>
            <w:tcW w:w="1618"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color w:val="auto"/>
                <w:sz w:val="24"/>
                <w:szCs w:val="24"/>
              </w:rPr>
            </w:pPr>
          </w:p>
        </w:tc>
        <w:tc>
          <w:tcPr>
            <w:tcW w:w="1308"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color w:val="auto"/>
                <w:sz w:val="24"/>
                <w:szCs w:val="24"/>
              </w:rPr>
            </w:pPr>
          </w:p>
        </w:tc>
        <w:tc>
          <w:tcPr>
            <w:tcW w:w="1173"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color w:val="auto"/>
                <w:sz w:val="24"/>
                <w:szCs w:val="24"/>
              </w:rPr>
            </w:pPr>
          </w:p>
        </w:tc>
        <w:tc>
          <w:tcPr>
            <w:tcW w:w="4086"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szCs w:val="24"/>
              </w:rPr>
            </w:pPr>
          </w:p>
        </w:tc>
        <w:tc>
          <w:tcPr>
            <w:tcW w:w="1618"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color w:val="auto"/>
                <w:sz w:val="24"/>
                <w:szCs w:val="24"/>
              </w:rPr>
            </w:pPr>
          </w:p>
        </w:tc>
        <w:tc>
          <w:tcPr>
            <w:tcW w:w="1308"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color w:val="auto"/>
                <w:sz w:val="24"/>
                <w:szCs w:val="24"/>
              </w:rPr>
            </w:pPr>
          </w:p>
        </w:tc>
        <w:tc>
          <w:tcPr>
            <w:tcW w:w="1173"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color w:val="auto"/>
                <w:sz w:val="24"/>
                <w:szCs w:val="24"/>
              </w:rPr>
            </w:pPr>
          </w:p>
        </w:tc>
        <w:tc>
          <w:tcPr>
            <w:tcW w:w="4086"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szCs w:val="24"/>
              </w:rPr>
            </w:pPr>
          </w:p>
        </w:tc>
        <w:tc>
          <w:tcPr>
            <w:tcW w:w="1618"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color w:val="auto"/>
                <w:sz w:val="24"/>
                <w:szCs w:val="24"/>
              </w:rPr>
            </w:pPr>
          </w:p>
        </w:tc>
        <w:tc>
          <w:tcPr>
            <w:tcW w:w="1308"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color w:val="auto"/>
                <w:sz w:val="24"/>
                <w:szCs w:val="24"/>
              </w:rPr>
            </w:pPr>
          </w:p>
        </w:tc>
        <w:tc>
          <w:tcPr>
            <w:tcW w:w="1173"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color w:val="auto"/>
                <w:sz w:val="24"/>
                <w:szCs w:val="24"/>
              </w:rPr>
            </w:pPr>
          </w:p>
        </w:tc>
        <w:tc>
          <w:tcPr>
            <w:tcW w:w="4086"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szCs w:val="24"/>
                <w:shd w:val="clear" w:color="auto" w:fill="FFFFFF"/>
              </w:rPr>
            </w:pPr>
          </w:p>
        </w:tc>
        <w:tc>
          <w:tcPr>
            <w:tcW w:w="1618"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color w:val="auto"/>
                <w:sz w:val="24"/>
                <w:szCs w:val="24"/>
              </w:rPr>
            </w:pPr>
          </w:p>
        </w:tc>
        <w:tc>
          <w:tcPr>
            <w:tcW w:w="1308"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color w:val="auto"/>
                <w:sz w:val="24"/>
                <w:szCs w:val="24"/>
              </w:rPr>
            </w:pPr>
          </w:p>
        </w:tc>
        <w:tc>
          <w:tcPr>
            <w:tcW w:w="1173"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color w:val="auto"/>
                <w:sz w:val="24"/>
                <w:szCs w:val="24"/>
              </w:rPr>
            </w:pPr>
          </w:p>
        </w:tc>
        <w:tc>
          <w:tcPr>
            <w:tcW w:w="4086"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szCs w:val="24"/>
                <w:shd w:val="clear" w:color="auto" w:fill="FFFFFF"/>
              </w:rPr>
            </w:pPr>
          </w:p>
        </w:tc>
        <w:tc>
          <w:tcPr>
            <w:tcW w:w="1618"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szCs w:val="24"/>
                <w:shd w:val="clear" w:color="auto" w:fill="FFFFFF"/>
              </w:rPr>
            </w:pPr>
          </w:p>
        </w:tc>
        <w:tc>
          <w:tcPr>
            <w:tcW w:w="1308"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color w:val="auto"/>
                <w:sz w:val="24"/>
                <w:szCs w:val="24"/>
              </w:rPr>
            </w:pPr>
          </w:p>
        </w:tc>
        <w:tc>
          <w:tcPr>
            <w:tcW w:w="1173"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color w:val="auto"/>
                <w:sz w:val="24"/>
                <w:szCs w:val="24"/>
              </w:rPr>
            </w:pPr>
          </w:p>
        </w:tc>
      </w:tr>
    </w:tbl>
    <w:p>
      <w:pPr>
        <w:pStyle w:val="33"/>
        <w:widowControl w:val="0"/>
        <w:spacing w:line="360" w:lineRule="auto"/>
        <w:ind w:firstLine="4320" w:firstLineChars="1800"/>
        <w:rPr>
          <w:rFonts w:hint="eastAsia" w:ascii="宋体" w:hAnsi="宋体" w:eastAsia="宋体" w:cs="宋体"/>
          <w:color w:val="auto"/>
          <w:u w:val="single"/>
        </w:rPr>
      </w:pPr>
      <w:r>
        <w:rPr>
          <w:rFonts w:hint="eastAsia" w:ascii="宋体" w:hAnsi="宋体" w:eastAsia="宋体" w:cs="宋体"/>
          <w:color w:val="auto"/>
        </w:rPr>
        <w:t>法定代表人（授权代表）签字：</w:t>
      </w:r>
      <w:r>
        <w:rPr>
          <w:rFonts w:hint="eastAsia" w:ascii="宋体" w:hAnsi="宋体" w:eastAsia="宋体" w:cs="宋体"/>
          <w:color w:val="auto"/>
          <w:u w:val="single"/>
        </w:rPr>
        <w:t xml:space="preserve">         </w:t>
      </w:r>
    </w:p>
    <w:p>
      <w:pPr>
        <w:pStyle w:val="33"/>
        <w:widowControl w:val="0"/>
        <w:spacing w:line="360" w:lineRule="auto"/>
        <w:ind w:firstLine="5640" w:firstLineChars="2350"/>
        <w:rPr>
          <w:rFonts w:hint="eastAsia" w:ascii="宋体" w:hAnsi="宋体" w:eastAsia="宋体" w:cs="宋体"/>
          <w:color w:val="auto"/>
          <w:u w:val="single"/>
        </w:rPr>
      </w:pPr>
      <w:r>
        <w:rPr>
          <w:rFonts w:hint="eastAsia" w:ascii="宋体" w:hAnsi="宋体" w:eastAsia="宋体" w:cs="宋体"/>
          <w:bCs/>
          <w:color w:val="auto"/>
        </w:rPr>
        <w:t>日期：</w:t>
      </w:r>
      <w:r>
        <w:rPr>
          <w:rFonts w:hint="eastAsia" w:ascii="宋体" w:hAnsi="宋体" w:eastAsia="宋体" w:cs="宋体"/>
          <w:bCs/>
          <w:color w:val="auto"/>
          <w:u w:val="single"/>
        </w:rPr>
        <w:t xml:space="preserve">       </w:t>
      </w:r>
      <w:r>
        <w:rPr>
          <w:rFonts w:hint="eastAsia" w:ascii="宋体" w:hAnsi="宋体" w:eastAsia="宋体" w:cs="宋体"/>
          <w:bCs/>
          <w:color w:val="auto"/>
        </w:rPr>
        <w:t>年</w:t>
      </w:r>
      <w:r>
        <w:rPr>
          <w:rFonts w:hint="eastAsia" w:ascii="宋体" w:hAnsi="宋体" w:eastAsia="宋体" w:cs="宋体"/>
          <w:bCs/>
          <w:color w:val="auto"/>
          <w:u w:val="single"/>
        </w:rPr>
        <w:t xml:space="preserve">    </w:t>
      </w:r>
      <w:r>
        <w:rPr>
          <w:rFonts w:hint="eastAsia" w:ascii="宋体" w:hAnsi="宋体" w:eastAsia="宋体" w:cs="宋体"/>
          <w:bCs/>
          <w:color w:val="auto"/>
        </w:rPr>
        <w:t>月</w:t>
      </w:r>
      <w:r>
        <w:rPr>
          <w:rFonts w:hint="eastAsia" w:ascii="宋体" w:hAnsi="宋体" w:eastAsia="宋体" w:cs="宋体"/>
          <w:bCs/>
          <w:color w:val="auto"/>
          <w:u w:val="single"/>
        </w:rPr>
        <w:t xml:space="preserve">    </w:t>
      </w:r>
      <w:r>
        <w:rPr>
          <w:rFonts w:hint="eastAsia" w:ascii="宋体" w:hAnsi="宋体" w:eastAsia="宋体" w:cs="宋体"/>
          <w:bCs/>
          <w:color w:val="auto"/>
        </w:rPr>
        <w:t>日</w:t>
      </w:r>
    </w:p>
    <w:p>
      <w:pPr>
        <w:pStyle w:val="46"/>
        <w:snapToGrid w:val="0"/>
        <w:spacing w:line="400" w:lineRule="exact"/>
        <w:ind w:firstLine="420"/>
        <w:rPr>
          <w:rFonts w:hint="eastAsia" w:ascii="宋体" w:hAnsi="宋体" w:eastAsia="宋体" w:cs="宋体"/>
          <w:color w:val="auto"/>
          <w:sz w:val="21"/>
        </w:rPr>
      </w:pPr>
    </w:p>
    <w:p>
      <w:pPr>
        <w:pStyle w:val="46"/>
        <w:snapToGrid w:val="0"/>
        <w:spacing w:line="400" w:lineRule="exact"/>
        <w:ind w:firstLine="420"/>
        <w:rPr>
          <w:rFonts w:hint="eastAsia" w:ascii="宋体" w:hAnsi="宋体" w:eastAsia="宋体" w:cs="宋体"/>
          <w:color w:val="auto"/>
          <w:sz w:val="21"/>
        </w:rPr>
      </w:pPr>
      <w:r>
        <w:rPr>
          <w:rFonts w:hint="eastAsia" w:ascii="宋体" w:hAnsi="宋体" w:eastAsia="宋体" w:cs="宋体"/>
          <w:color w:val="auto"/>
          <w:sz w:val="21"/>
        </w:rPr>
        <w:t>注：1．投标人应当逐条对照招标文件技术条款，就投标文件对技术条款存在的偏差与例外逐条做出说明；</w:t>
      </w:r>
    </w:p>
    <w:p>
      <w:pPr>
        <w:pStyle w:val="46"/>
        <w:snapToGrid w:val="0"/>
        <w:spacing w:line="400" w:lineRule="exact"/>
        <w:ind w:firstLine="420"/>
        <w:rPr>
          <w:rFonts w:hint="eastAsia" w:ascii="宋体" w:hAnsi="宋体" w:eastAsia="宋体" w:cs="宋体"/>
          <w:color w:val="auto"/>
          <w:sz w:val="21"/>
        </w:rPr>
      </w:pPr>
      <w:r>
        <w:rPr>
          <w:rFonts w:hint="eastAsia" w:ascii="宋体" w:hAnsi="宋体" w:eastAsia="宋体" w:cs="宋体"/>
          <w:color w:val="auto"/>
          <w:sz w:val="21"/>
        </w:rPr>
        <w:t>2．如投标文件对技术条款无任何偏差，投标人仅需在本偏离表中填写“无偏离”即可。</w:t>
      </w:r>
    </w:p>
    <w:p>
      <w:pPr>
        <w:shd w:val="clear" w:color="auto" w:fill="FFFFFF"/>
        <w:snapToGrid w:val="0"/>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3. 投标人未填写该表则表示完全满足招标文件技术条款要求。</w:t>
      </w:r>
    </w:p>
    <w:p>
      <w:pPr>
        <w:spacing w:line="360" w:lineRule="auto"/>
        <w:rPr>
          <w:rFonts w:hint="eastAsia" w:ascii="宋体" w:hAnsi="宋体" w:eastAsia="宋体" w:cs="宋体"/>
          <w:color w:val="auto"/>
          <w:szCs w:val="21"/>
          <w:u w:color="FF0000"/>
        </w:rPr>
      </w:pPr>
    </w:p>
    <w:p>
      <w:pPr>
        <w:widowControl/>
        <w:jc w:val="left"/>
        <w:rPr>
          <w:rFonts w:hint="eastAsia" w:ascii="宋体" w:hAnsi="宋体" w:eastAsia="宋体" w:cs="宋体"/>
          <w:color w:val="auto"/>
          <w:szCs w:val="21"/>
          <w:u w:color="FF0000"/>
        </w:rPr>
      </w:pPr>
      <w:r>
        <w:rPr>
          <w:rFonts w:hint="eastAsia" w:ascii="宋体" w:hAnsi="宋体" w:eastAsia="宋体" w:cs="宋体"/>
          <w:color w:val="auto"/>
          <w:szCs w:val="21"/>
          <w:u w:color="FF0000"/>
        </w:rPr>
        <w:br w:type="page"/>
      </w:r>
    </w:p>
    <w:p>
      <w:pPr>
        <w:tabs>
          <w:tab w:val="left" w:pos="576"/>
        </w:tabs>
        <w:spacing w:before="156" w:beforeLines="50" w:after="156" w:afterLines="50" w:line="360" w:lineRule="auto"/>
        <w:outlineLvl w:val="2"/>
        <w:rPr>
          <w:rFonts w:hint="eastAsia" w:ascii="宋体" w:hAnsi="宋体" w:eastAsia="宋体" w:cs="宋体"/>
          <w:color w:val="auto"/>
          <w:sz w:val="24"/>
          <w:szCs w:val="24"/>
          <w:u w:color="000000"/>
        </w:rPr>
      </w:pPr>
      <w:bookmarkStart w:id="44" w:name="_Toc22906"/>
      <w:r>
        <w:rPr>
          <w:rFonts w:hint="eastAsia" w:ascii="宋体" w:hAnsi="宋体" w:eastAsia="宋体" w:cs="宋体"/>
          <w:color w:val="auto"/>
          <w:sz w:val="24"/>
          <w:szCs w:val="24"/>
          <w:u w:color="000000"/>
        </w:rPr>
        <w:t>6.7 技术规范点对点应答</w:t>
      </w:r>
      <w:bookmarkEnd w:id="44"/>
    </w:p>
    <w:p>
      <w:pPr>
        <w:spacing w:line="360" w:lineRule="auto"/>
        <w:rPr>
          <w:rFonts w:hint="eastAsia" w:ascii="宋体" w:hAnsi="宋体" w:eastAsia="宋体" w:cs="宋体"/>
          <w:color w:val="auto"/>
          <w:szCs w:val="21"/>
          <w:u w:color="FF0000"/>
        </w:rPr>
      </w:pPr>
    </w:p>
    <w:p>
      <w:pPr>
        <w:spacing w:line="360" w:lineRule="auto"/>
        <w:rPr>
          <w:rFonts w:hint="eastAsia" w:ascii="宋体" w:hAnsi="宋体" w:eastAsia="宋体" w:cs="宋体"/>
          <w:color w:val="auto"/>
          <w:szCs w:val="21"/>
          <w:u w:color="FF0000"/>
        </w:rPr>
      </w:pPr>
    </w:p>
    <w:p>
      <w:pPr>
        <w:spacing w:line="360" w:lineRule="auto"/>
        <w:rPr>
          <w:rFonts w:hint="eastAsia" w:ascii="宋体" w:hAnsi="宋体" w:eastAsia="宋体" w:cs="宋体"/>
          <w:color w:val="auto"/>
          <w:szCs w:val="21"/>
          <w:u w:color="FF0000"/>
        </w:rPr>
      </w:pPr>
    </w:p>
    <w:p>
      <w:pPr>
        <w:widowControl/>
        <w:jc w:val="left"/>
        <w:rPr>
          <w:rFonts w:hint="eastAsia" w:ascii="宋体" w:hAnsi="宋体" w:eastAsia="宋体" w:cs="宋体"/>
          <w:color w:val="auto"/>
          <w:sz w:val="24"/>
          <w:szCs w:val="24"/>
          <w:u w:color="000000"/>
        </w:rPr>
      </w:pPr>
      <w:r>
        <w:rPr>
          <w:rFonts w:hint="eastAsia" w:ascii="宋体" w:hAnsi="宋体" w:eastAsia="宋体" w:cs="宋体"/>
          <w:color w:val="auto"/>
          <w:sz w:val="24"/>
          <w:szCs w:val="24"/>
          <w:u w:color="000000"/>
        </w:rPr>
        <w:br w:type="page"/>
      </w:r>
    </w:p>
    <w:p>
      <w:pPr>
        <w:tabs>
          <w:tab w:val="left" w:pos="576"/>
        </w:tabs>
        <w:spacing w:before="156" w:beforeLines="50" w:after="156" w:afterLines="50" w:line="360" w:lineRule="auto"/>
        <w:outlineLvl w:val="2"/>
        <w:rPr>
          <w:rFonts w:hint="eastAsia" w:ascii="宋体" w:hAnsi="宋体" w:eastAsia="宋体" w:cs="宋体"/>
          <w:color w:val="auto"/>
          <w:sz w:val="24"/>
          <w:szCs w:val="24"/>
          <w:u w:color="000000"/>
          <w:lang w:val="en-US" w:eastAsia="zh-CN"/>
        </w:rPr>
      </w:pPr>
      <w:bookmarkStart w:id="45" w:name="_Toc29532"/>
      <w:r>
        <w:rPr>
          <w:rFonts w:hint="eastAsia" w:ascii="宋体" w:hAnsi="宋体" w:eastAsia="宋体" w:cs="宋体"/>
          <w:color w:val="auto"/>
          <w:sz w:val="24"/>
          <w:szCs w:val="24"/>
          <w:u w:color="000000"/>
        </w:rPr>
        <w:t xml:space="preserve">6.8 </w:t>
      </w:r>
      <w:r>
        <w:rPr>
          <w:rFonts w:hint="eastAsia" w:ascii="宋体" w:hAnsi="宋体" w:eastAsia="宋体" w:cs="宋体"/>
          <w:color w:val="auto"/>
          <w:sz w:val="24"/>
          <w:szCs w:val="24"/>
          <w:u w:color="000000"/>
          <w:lang w:val="en-US" w:eastAsia="zh-CN"/>
        </w:rPr>
        <w:t>综合实力证明</w:t>
      </w:r>
      <w:bookmarkEnd w:id="45"/>
    </w:p>
    <w:p>
      <w:pPr>
        <w:bidi w:val="0"/>
        <w:jc w:val="center"/>
        <w:rPr>
          <w:rFonts w:hint="eastAsia" w:ascii="宋体" w:hAnsi="宋体" w:eastAsia="宋体" w:cs="宋体"/>
          <w:color w:val="auto"/>
          <w:sz w:val="28"/>
          <w:szCs w:val="24"/>
          <w:u w:color="000000"/>
          <w:lang w:val="zh-TW" w:eastAsia="zh-TW"/>
        </w:rPr>
      </w:pPr>
      <w:r>
        <w:rPr>
          <w:rFonts w:hint="eastAsia" w:ascii="宋体" w:hAnsi="宋体" w:eastAsia="宋体" w:cs="宋体"/>
          <w:color w:val="auto"/>
          <w:sz w:val="28"/>
          <w:szCs w:val="24"/>
          <w:u w:color="000000"/>
          <w:lang w:val="zh-TW" w:eastAsia="zh-TW"/>
        </w:rPr>
        <w:t>业绩情况表</w:t>
      </w:r>
    </w:p>
    <w:p>
      <w:pPr>
        <w:pStyle w:val="32"/>
        <w:widowControl w:val="0"/>
        <w:ind w:firstLine="0" w:firstLineChars="0"/>
        <w:jc w:val="center"/>
        <w:rPr>
          <w:rFonts w:hint="eastAsia" w:ascii="宋体" w:hAnsi="宋体" w:eastAsia="宋体" w:cs="宋体"/>
          <w:bCs/>
          <w:color w:val="auto"/>
          <w:sz w:val="21"/>
          <w:szCs w:val="21"/>
          <w:lang w:eastAsia="zh-CN"/>
        </w:rPr>
      </w:pPr>
      <w:r>
        <w:rPr>
          <w:rFonts w:hint="eastAsia" w:ascii="宋体" w:hAnsi="宋体" w:eastAsia="宋体" w:cs="宋体"/>
          <w:bCs/>
          <w:color w:val="auto"/>
          <w:sz w:val="21"/>
          <w:szCs w:val="21"/>
          <w:lang w:eastAsia="zh-CN"/>
        </w:rPr>
        <w:t>近年（</w:t>
      </w:r>
      <w:r>
        <w:rPr>
          <w:rFonts w:hint="eastAsia" w:ascii="宋体" w:hAnsi="宋体" w:eastAsia="宋体" w:cs="宋体"/>
          <w:bCs/>
          <w:color w:val="auto"/>
          <w:sz w:val="21"/>
          <w:szCs w:val="21"/>
          <w:u w:val="single"/>
          <w:lang w:eastAsia="zh-CN"/>
        </w:rPr>
        <w:t xml:space="preserve">    </w:t>
      </w:r>
      <w:r>
        <w:rPr>
          <w:rFonts w:hint="eastAsia" w:ascii="宋体" w:hAnsi="宋体" w:eastAsia="宋体" w:cs="宋体"/>
          <w:bCs/>
          <w:color w:val="auto"/>
          <w:sz w:val="21"/>
          <w:szCs w:val="21"/>
          <w:lang w:eastAsia="zh-CN"/>
        </w:rPr>
        <w:t>年</w:t>
      </w:r>
      <w:r>
        <w:rPr>
          <w:rFonts w:hint="eastAsia" w:ascii="宋体" w:hAnsi="宋体" w:eastAsia="宋体" w:cs="宋体"/>
          <w:bCs/>
          <w:color w:val="auto"/>
          <w:sz w:val="21"/>
          <w:szCs w:val="21"/>
          <w:u w:val="single"/>
          <w:lang w:eastAsia="zh-CN"/>
        </w:rPr>
        <w:t xml:space="preserve">  </w:t>
      </w:r>
      <w:r>
        <w:rPr>
          <w:rFonts w:hint="eastAsia" w:ascii="宋体" w:hAnsi="宋体" w:eastAsia="宋体" w:cs="宋体"/>
          <w:bCs/>
          <w:color w:val="auto"/>
          <w:sz w:val="21"/>
          <w:szCs w:val="21"/>
          <w:lang w:eastAsia="zh-CN"/>
        </w:rPr>
        <w:t>月</w:t>
      </w:r>
      <w:r>
        <w:rPr>
          <w:rFonts w:hint="eastAsia" w:ascii="宋体" w:hAnsi="宋体" w:eastAsia="宋体" w:cs="宋体"/>
          <w:bCs/>
          <w:color w:val="auto"/>
          <w:sz w:val="21"/>
          <w:szCs w:val="21"/>
          <w:u w:val="single"/>
          <w:lang w:eastAsia="zh-CN"/>
        </w:rPr>
        <w:t xml:space="preserve">  </w:t>
      </w:r>
      <w:r>
        <w:rPr>
          <w:rFonts w:hint="eastAsia" w:ascii="宋体" w:hAnsi="宋体" w:eastAsia="宋体" w:cs="宋体"/>
          <w:bCs/>
          <w:color w:val="auto"/>
          <w:sz w:val="21"/>
          <w:szCs w:val="21"/>
          <w:lang w:eastAsia="zh-CN"/>
        </w:rPr>
        <w:t>日至</w:t>
      </w:r>
      <w:r>
        <w:rPr>
          <w:rFonts w:hint="eastAsia" w:ascii="宋体" w:hAnsi="宋体" w:eastAsia="宋体" w:cs="宋体"/>
          <w:bCs/>
          <w:color w:val="auto"/>
          <w:sz w:val="21"/>
          <w:szCs w:val="21"/>
          <w:u w:val="single"/>
          <w:lang w:eastAsia="zh-CN"/>
        </w:rPr>
        <w:t xml:space="preserve">    </w:t>
      </w:r>
      <w:r>
        <w:rPr>
          <w:rFonts w:hint="eastAsia" w:ascii="宋体" w:hAnsi="宋体" w:eastAsia="宋体" w:cs="宋体"/>
          <w:bCs/>
          <w:color w:val="auto"/>
          <w:sz w:val="21"/>
          <w:szCs w:val="21"/>
          <w:lang w:eastAsia="zh-CN"/>
        </w:rPr>
        <w:t>年</w:t>
      </w:r>
      <w:r>
        <w:rPr>
          <w:rFonts w:hint="eastAsia" w:ascii="宋体" w:hAnsi="宋体" w:eastAsia="宋体" w:cs="宋体"/>
          <w:bCs/>
          <w:color w:val="auto"/>
          <w:sz w:val="21"/>
          <w:szCs w:val="21"/>
          <w:u w:val="single"/>
          <w:lang w:eastAsia="zh-CN"/>
        </w:rPr>
        <w:t xml:space="preserve">  </w:t>
      </w:r>
      <w:r>
        <w:rPr>
          <w:rFonts w:hint="eastAsia" w:ascii="宋体" w:hAnsi="宋体" w:eastAsia="宋体" w:cs="宋体"/>
          <w:bCs/>
          <w:color w:val="auto"/>
          <w:sz w:val="21"/>
          <w:szCs w:val="21"/>
          <w:lang w:eastAsia="zh-CN"/>
        </w:rPr>
        <w:t>月</w:t>
      </w:r>
      <w:r>
        <w:rPr>
          <w:rFonts w:hint="eastAsia" w:ascii="宋体" w:hAnsi="宋体" w:eastAsia="宋体" w:cs="宋体"/>
          <w:bCs/>
          <w:color w:val="auto"/>
          <w:sz w:val="21"/>
          <w:szCs w:val="21"/>
          <w:u w:val="single"/>
          <w:lang w:eastAsia="zh-CN"/>
        </w:rPr>
        <w:t xml:space="preserve">  </w:t>
      </w:r>
      <w:r>
        <w:rPr>
          <w:rFonts w:hint="eastAsia" w:ascii="宋体" w:hAnsi="宋体" w:eastAsia="宋体" w:cs="宋体"/>
          <w:bCs/>
          <w:color w:val="auto"/>
          <w:sz w:val="21"/>
          <w:szCs w:val="21"/>
          <w:lang w:eastAsia="zh-CN"/>
        </w:rPr>
        <w:t>日）业绩情况表</w:t>
      </w:r>
    </w:p>
    <w:tbl>
      <w:tblPr>
        <w:tblStyle w:val="25"/>
        <w:tblW w:w="9003" w:type="dxa"/>
        <w:tblInd w:w="0"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638"/>
        <w:gridCol w:w="1095"/>
        <w:gridCol w:w="1095"/>
        <w:gridCol w:w="1003"/>
        <w:gridCol w:w="913"/>
        <w:gridCol w:w="731"/>
        <w:gridCol w:w="913"/>
        <w:gridCol w:w="913"/>
        <w:gridCol w:w="1005"/>
        <w:gridCol w:w="697"/>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c>
          <w:tcPr>
            <w:tcW w:w="638" w:type="dxa"/>
            <w:vAlign w:val="center"/>
          </w:tcPr>
          <w:p>
            <w:pPr>
              <w:spacing w:before="124" w:beforeLines="40" w:after="124" w:afterLines="40"/>
              <w:jc w:val="center"/>
              <w:rPr>
                <w:rFonts w:hint="eastAsia" w:ascii="宋体" w:hAnsi="宋体" w:eastAsia="宋体" w:cs="宋体"/>
                <w:color w:val="auto"/>
                <w:szCs w:val="21"/>
              </w:rPr>
            </w:pPr>
            <w:r>
              <w:rPr>
                <w:rFonts w:hint="eastAsia" w:ascii="宋体" w:hAnsi="宋体" w:eastAsia="宋体" w:cs="宋体"/>
                <w:color w:val="auto"/>
                <w:szCs w:val="21"/>
              </w:rPr>
              <w:t>序号</w:t>
            </w:r>
          </w:p>
        </w:tc>
        <w:tc>
          <w:tcPr>
            <w:tcW w:w="1095" w:type="dxa"/>
            <w:vAlign w:val="center"/>
          </w:tcPr>
          <w:p>
            <w:pPr>
              <w:spacing w:before="124" w:beforeLines="40" w:after="124" w:afterLines="40"/>
              <w:jc w:val="center"/>
              <w:rPr>
                <w:rFonts w:hint="eastAsia" w:ascii="宋体" w:hAnsi="宋体" w:eastAsia="宋体" w:cs="宋体"/>
                <w:color w:val="auto"/>
                <w:szCs w:val="21"/>
              </w:rPr>
            </w:pPr>
            <w:r>
              <w:rPr>
                <w:rFonts w:hint="eastAsia" w:ascii="宋体" w:hAnsi="宋体" w:eastAsia="宋体" w:cs="宋体"/>
                <w:color w:val="auto"/>
                <w:szCs w:val="21"/>
              </w:rPr>
              <w:t>合同名称</w:t>
            </w:r>
          </w:p>
        </w:tc>
        <w:tc>
          <w:tcPr>
            <w:tcW w:w="1095" w:type="dxa"/>
            <w:vAlign w:val="center"/>
          </w:tcPr>
          <w:p>
            <w:pPr>
              <w:spacing w:before="124" w:beforeLines="40" w:after="124" w:afterLines="40"/>
              <w:jc w:val="center"/>
              <w:rPr>
                <w:rFonts w:hint="eastAsia" w:ascii="宋体" w:hAnsi="宋体" w:eastAsia="宋体" w:cs="宋体"/>
                <w:color w:val="auto"/>
                <w:szCs w:val="21"/>
              </w:rPr>
            </w:pPr>
            <w:r>
              <w:rPr>
                <w:rFonts w:hint="eastAsia" w:ascii="宋体" w:hAnsi="宋体" w:eastAsia="宋体" w:cs="宋体"/>
                <w:color w:val="auto"/>
                <w:szCs w:val="21"/>
              </w:rPr>
              <w:t>合同编号</w:t>
            </w:r>
          </w:p>
        </w:tc>
        <w:tc>
          <w:tcPr>
            <w:tcW w:w="1003" w:type="dxa"/>
            <w:vAlign w:val="center"/>
          </w:tcPr>
          <w:p>
            <w:pPr>
              <w:spacing w:before="124" w:beforeLines="40" w:after="124" w:afterLines="40"/>
              <w:jc w:val="center"/>
              <w:rPr>
                <w:rFonts w:hint="eastAsia" w:ascii="宋体" w:hAnsi="宋体" w:eastAsia="宋体" w:cs="宋体"/>
                <w:color w:val="auto"/>
                <w:szCs w:val="21"/>
              </w:rPr>
            </w:pPr>
            <w:r>
              <w:rPr>
                <w:rFonts w:hint="eastAsia" w:ascii="宋体" w:hAnsi="宋体" w:eastAsia="宋体" w:cs="宋体"/>
                <w:color w:val="auto"/>
                <w:szCs w:val="21"/>
              </w:rPr>
              <w:t>合同签订时间</w:t>
            </w:r>
          </w:p>
        </w:tc>
        <w:tc>
          <w:tcPr>
            <w:tcW w:w="913" w:type="dxa"/>
            <w:vAlign w:val="center"/>
          </w:tcPr>
          <w:p>
            <w:pPr>
              <w:spacing w:before="124" w:beforeLines="40" w:after="124" w:afterLines="40"/>
              <w:jc w:val="center"/>
              <w:rPr>
                <w:rFonts w:hint="eastAsia" w:ascii="宋体" w:hAnsi="宋体" w:eastAsia="宋体" w:cs="宋体"/>
                <w:color w:val="auto"/>
                <w:szCs w:val="21"/>
              </w:rPr>
            </w:pPr>
            <w:r>
              <w:rPr>
                <w:rFonts w:hint="eastAsia" w:ascii="宋体" w:hAnsi="宋体" w:eastAsia="宋体" w:cs="宋体"/>
                <w:color w:val="auto"/>
                <w:szCs w:val="21"/>
              </w:rPr>
              <w:t>采购内容</w:t>
            </w:r>
          </w:p>
        </w:tc>
        <w:tc>
          <w:tcPr>
            <w:tcW w:w="731" w:type="dxa"/>
            <w:vAlign w:val="center"/>
          </w:tcPr>
          <w:p>
            <w:pPr>
              <w:spacing w:before="124" w:beforeLines="40" w:after="124" w:afterLines="40"/>
              <w:jc w:val="center"/>
              <w:rPr>
                <w:rFonts w:hint="eastAsia" w:ascii="宋体" w:hAnsi="宋体" w:eastAsia="宋体" w:cs="宋体"/>
                <w:color w:val="auto"/>
                <w:szCs w:val="21"/>
              </w:rPr>
            </w:pPr>
            <w:r>
              <w:rPr>
                <w:rFonts w:hint="eastAsia" w:ascii="宋体" w:hAnsi="宋体" w:eastAsia="宋体" w:cs="宋体"/>
                <w:color w:val="auto"/>
                <w:szCs w:val="21"/>
              </w:rPr>
              <w:t>合同金额（万元）</w:t>
            </w:r>
          </w:p>
        </w:tc>
        <w:tc>
          <w:tcPr>
            <w:tcW w:w="913" w:type="dxa"/>
            <w:vAlign w:val="center"/>
          </w:tcPr>
          <w:p>
            <w:pPr>
              <w:spacing w:before="124" w:beforeLines="40" w:after="124" w:afterLines="40"/>
              <w:jc w:val="center"/>
              <w:rPr>
                <w:rFonts w:hint="eastAsia" w:ascii="宋体" w:hAnsi="宋体" w:eastAsia="宋体" w:cs="宋体"/>
                <w:color w:val="auto"/>
                <w:szCs w:val="21"/>
              </w:rPr>
            </w:pPr>
            <w:r>
              <w:rPr>
                <w:rFonts w:hint="eastAsia" w:ascii="宋体" w:hAnsi="宋体" w:eastAsia="宋体" w:cs="宋体"/>
                <w:color w:val="auto"/>
                <w:szCs w:val="21"/>
              </w:rPr>
              <w:t>合同卖方</w:t>
            </w:r>
          </w:p>
        </w:tc>
        <w:tc>
          <w:tcPr>
            <w:tcW w:w="913" w:type="dxa"/>
            <w:vAlign w:val="center"/>
          </w:tcPr>
          <w:p>
            <w:pPr>
              <w:spacing w:before="124" w:beforeLines="40" w:after="124" w:afterLines="40"/>
              <w:jc w:val="center"/>
              <w:rPr>
                <w:rFonts w:hint="eastAsia" w:ascii="宋体" w:hAnsi="宋体" w:eastAsia="宋体" w:cs="宋体"/>
                <w:color w:val="auto"/>
                <w:szCs w:val="21"/>
              </w:rPr>
            </w:pPr>
            <w:r>
              <w:rPr>
                <w:rFonts w:hint="eastAsia" w:ascii="宋体" w:hAnsi="宋体" w:eastAsia="宋体" w:cs="宋体"/>
                <w:color w:val="auto"/>
                <w:szCs w:val="21"/>
              </w:rPr>
              <w:t>合同买方</w:t>
            </w:r>
          </w:p>
        </w:tc>
        <w:tc>
          <w:tcPr>
            <w:tcW w:w="1005" w:type="dxa"/>
            <w:vAlign w:val="center"/>
          </w:tcPr>
          <w:p>
            <w:pPr>
              <w:spacing w:before="124" w:beforeLines="40" w:after="124" w:afterLines="40"/>
              <w:jc w:val="center"/>
              <w:rPr>
                <w:rFonts w:hint="eastAsia" w:ascii="宋体" w:hAnsi="宋体" w:eastAsia="宋体" w:cs="宋体"/>
                <w:color w:val="auto"/>
                <w:szCs w:val="21"/>
              </w:rPr>
            </w:pPr>
            <w:r>
              <w:rPr>
                <w:rFonts w:hint="eastAsia" w:ascii="宋体" w:hAnsi="宋体" w:eastAsia="宋体" w:cs="宋体"/>
                <w:color w:val="auto"/>
                <w:szCs w:val="21"/>
              </w:rPr>
              <w:t>合同买方联系人及联系电话</w:t>
            </w:r>
          </w:p>
        </w:tc>
        <w:tc>
          <w:tcPr>
            <w:tcW w:w="697" w:type="dxa"/>
            <w:vAlign w:val="center"/>
          </w:tcPr>
          <w:p>
            <w:pPr>
              <w:spacing w:before="124" w:beforeLines="40" w:after="124" w:afterLines="40"/>
              <w:jc w:val="center"/>
              <w:rPr>
                <w:rFonts w:hint="eastAsia" w:ascii="宋体" w:hAnsi="宋体" w:eastAsia="宋体" w:cs="宋体"/>
                <w:color w:val="auto"/>
                <w:szCs w:val="21"/>
              </w:rPr>
            </w:pPr>
            <w:r>
              <w:rPr>
                <w:rFonts w:hint="eastAsia" w:ascii="宋体" w:hAnsi="宋体" w:eastAsia="宋体" w:cs="宋体"/>
                <w:color w:val="auto"/>
                <w:szCs w:val="21"/>
              </w:rPr>
              <w:t>备注</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c>
          <w:tcPr>
            <w:tcW w:w="638" w:type="dxa"/>
          </w:tcPr>
          <w:p>
            <w:pPr>
              <w:spacing w:before="124" w:beforeLines="40" w:after="124" w:afterLines="40"/>
              <w:jc w:val="center"/>
              <w:rPr>
                <w:rFonts w:hint="eastAsia" w:ascii="宋体" w:hAnsi="宋体" w:eastAsia="宋体" w:cs="宋体"/>
                <w:color w:val="auto"/>
                <w:szCs w:val="21"/>
              </w:rPr>
            </w:pPr>
          </w:p>
        </w:tc>
        <w:tc>
          <w:tcPr>
            <w:tcW w:w="1095" w:type="dxa"/>
          </w:tcPr>
          <w:p>
            <w:pPr>
              <w:spacing w:before="124" w:beforeLines="40" w:after="124" w:afterLines="40"/>
              <w:jc w:val="center"/>
              <w:rPr>
                <w:rFonts w:hint="eastAsia" w:ascii="宋体" w:hAnsi="宋体" w:eastAsia="宋体" w:cs="宋体"/>
                <w:color w:val="auto"/>
                <w:szCs w:val="21"/>
              </w:rPr>
            </w:pPr>
          </w:p>
        </w:tc>
        <w:tc>
          <w:tcPr>
            <w:tcW w:w="1095" w:type="dxa"/>
          </w:tcPr>
          <w:p>
            <w:pPr>
              <w:spacing w:before="124" w:beforeLines="40" w:after="124" w:afterLines="40"/>
              <w:jc w:val="center"/>
              <w:rPr>
                <w:rFonts w:hint="eastAsia" w:ascii="宋体" w:hAnsi="宋体" w:eastAsia="宋体" w:cs="宋体"/>
                <w:color w:val="auto"/>
                <w:szCs w:val="21"/>
              </w:rPr>
            </w:pPr>
          </w:p>
        </w:tc>
        <w:tc>
          <w:tcPr>
            <w:tcW w:w="1003" w:type="dxa"/>
          </w:tcPr>
          <w:p>
            <w:pPr>
              <w:spacing w:before="124" w:beforeLines="40" w:after="124" w:afterLines="40"/>
              <w:jc w:val="center"/>
              <w:rPr>
                <w:rFonts w:hint="eastAsia" w:ascii="宋体" w:hAnsi="宋体" w:eastAsia="宋体" w:cs="宋体"/>
                <w:color w:val="auto"/>
                <w:szCs w:val="21"/>
              </w:rPr>
            </w:pPr>
          </w:p>
        </w:tc>
        <w:tc>
          <w:tcPr>
            <w:tcW w:w="913" w:type="dxa"/>
          </w:tcPr>
          <w:p>
            <w:pPr>
              <w:spacing w:before="124" w:beforeLines="40" w:after="124" w:afterLines="40"/>
              <w:jc w:val="center"/>
              <w:rPr>
                <w:rFonts w:hint="eastAsia" w:ascii="宋体" w:hAnsi="宋体" w:eastAsia="宋体" w:cs="宋体"/>
                <w:color w:val="auto"/>
                <w:szCs w:val="21"/>
              </w:rPr>
            </w:pPr>
          </w:p>
        </w:tc>
        <w:tc>
          <w:tcPr>
            <w:tcW w:w="731" w:type="dxa"/>
          </w:tcPr>
          <w:p>
            <w:pPr>
              <w:spacing w:before="124" w:beforeLines="40" w:after="124" w:afterLines="40"/>
              <w:jc w:val="center"/>
              <w:rPr>
                <w:rFonts w:hint="eastAsia" w:ascii="宋体" w:hAnsi="宋体" w:eastAsia="宋体" w:cs="宋体"/>
                <w:color w:val="auto"/>
                <w:szCs w:val="21"/>
              </w:rPr>
            </w:pPr>
          </w:p>
        </w:tc>
        <w:tc>
          <w:tcPr>
            <w:tcW w:w="913" w:type="dxa"/>
          </w:tcPr>
          <w:p>
            <w:pPr>
              <w:spacing w:before="124" w:beforeLines="40" w:after="124" w:afterLines="40"/>
              <w:jc w:val="center"/>
              <w:rPr>
                <w:rFonts w:hint="eastAsia" w:ascii="宋体" w:hAnsi="宋体" w:eastAsia="宋体" w:cs="宋体"/>
                <w:color w:val="auto"/>
                <w:szCs w:val="21"/>
              </w:rPr>
            </w:pPr>
          </w:p>
        </w:tc>
        <w:tc>
          <w:tcPr>
            <w:tcW w:w="913" w:type="dxa"/>
          </w:tcPr>
          <w:p>
            <w:pPr>
              <w:spacing w:before="124" w:beforeLines="40" w:after="124" w:afterLines="40"/>
              <w:jc w:val="center"/>
              <w:rPr>
                <w:rFonts w:hint="eastAsia" w:ascii="宋体" w:hAnsi="宋体" w:eastAsia="宋体" w:cs="宋体"/>
                <w:color w:val="auto"/>
                <w:szCs w:val="21"/>
              </w:rPr>
            </w:pPr>
          </w:p>
        </w:tc>
        <w:tc>
          <w:tcPr>
            <w:tcW w:w="1005" w:type="dxa"/>
          </w:tcPr>
          <w:p>
            <w:pPr>
              <w:spacing w:before="124" w:beforeLines="40" w:after="124" w:afterLines="40"/>
              <w:jc w:val="center"/>
              <w:rPr>
                <w:rFonts w:hint="eastAsia" w:ascii="宋体" w:hAnsi="宋体" w:eastAsia="宋体" w:cs="宋体"/>
                <w:color w:val="auto"/>
                <w:szCs w:val="21"/>
              </w:rPr>
            </w:pPr>
          </w:p>
        </w:tc>
        <w:tc>
          <w:tcPr>
            <w:tcW w:w="697" w:type="dxa"/>
          </w:tcPr>
          <w:p>
            <w:pPr>
              <w:spacing w:before="124" w:beforeLines="40" w:after="124" w:afterLines="40"/>
              <w:jc w:val="center"/>
              <w:rPr>
                <w:rFonts w:hint="eastAsia" w:ascii="宋体" w:hAnsi="宋体" w:eastAsia="宋体" w:cs="宋体"/>
                <w:color w:val="auto"/>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c>
          <w:tcPr>
            <w:tcW w:w="638" w:type="dxa"/>
          </w:tcPr>
          <w:p>
            <w:pPr>
              <w:spacing w:before="124" w:beforeLines="40" w:after="124" w:afterLines="40"/>
              <w:jc w:val="center"/>
              <w:rPr>
                <w:rFonts w:hint="eastAsia" w:ascii="宋体" w:hAnsi="宋体" w:eastAsia="宋体" w:cs="宋体"/>
                <w:color w:val="auto"/>
                <w:szCs w:val="21"/>
              </w:rPr>
            </w:pPr>
          </w:p>
        </w:tc>
        <w:tc>
          <w:tcPr>
            <w:tcW w:w="1095" w:type="dxa"/>
          </w:tcPr>
          <w:p>
            <w:pPr>
              <w:spacing w:before="124" w:beforeLines="40" w:after="124" w:afterLines="40"/>
              <w:jc w:val="center"/>
              <w:rPr>
                <w:rFonts w:hint="eastAsia" w:ascii="宋体" w:hAnsi="宋体" w:eastAsia="宋体" w:cs="宋体"/>
                <w:color w:val="auto"/>
                <w:szCs w:val="21"/>
              </w:rPr>
            </w:pPr>
          </w:p>
        </w:tc>
        <w:tc>
          <w:tcPr>
            <w:tcW w:w="1095" w:type="dxa"/>
          </w:tcPr>
          <w:p>
            <w:pPr>
              <w:spacing w:before="124" w:beforeLines="40" w:after="124" w:afterLines="40"/>
              <w:jc w:val="center"/>
              <w:rPr>
                <w:rFonts w:hint="eastAsia" w:ascii="宋体" w:hAnsi="宋体" w:eastAsia="宋体" w:cs="宋体"/>
                <w:color w:val="auto"/>
                <w:szCs w:val="21"/>
              </w:rPr>
            </w:pPr>
          </w:p>
        </w:tc>
        <w:tc>
          <w:tcPr>
            <w:tcW w:w="1003" w:type="dxa"/>
          </w:tcPr>
          <w:p>
            <w:pPr>
              <w:spacing w:before="124" w:beforeLines="40" w:after="124" w:afterLines="40"/>
              <w:jc w:val="center"/>
              <w:rPr>
                <w:rFonts w:hint="eastAsia" w:ascii="宋体" w:hAnsi="宋体" w:eastAsia="宋体" w:cs="宋体"/>
                <w:color w:val="auto"/>
                <w:szCs w:val="21"/>
              </w:rPr>
            </w:pPr>
          </w:p>
        </w:tc>
        <w:tc>
          <w:tcPr>
            <w:tcW w:w="913" w:type="dxa"/>
          </w:tcPr>
          <w:p>
            <w:pPr>
              <w:spacing w:before="124" w:beforeLines="40" w:after="124" w:afterLines="40"/>
              <w:jc w:val="center"/>
              <w:rPr>
                <w:rFonts w:hint="eastAsia" w:ascii="宋体" w:hAnsi="宋体" w:eastAsia="宋体" w:cs="宋体"/>
                <w:color w:val="auto"/>
                <w:szCs w:val="21"/>
              </w:rPr>
            </w:pPr>
          </w:p>
        </w:tc>
        <w:tc>
          <w:tcPr>
            <w:tcW w:w="731" w:type="dxa"/>
          </w:tcPr>
          <w:p>
            <w:pPr>
              <w:spacing w:before="124" w:beforeLines="40" w:after="124" w:afterLines="40"/>
              <w:jc w:val="center"/>
              <w:rPr>
                <w:rFonts w:hint="eastAsia" w:ascii="宋体" w:hAnsi="宋体" w:eastAsia="宋体" w:cs="宋体"/>
                <w:color w:val="auto"/>
                <w:szCs w:val="21"/>
              </w:rPr>
            </w:pPr>
          </w:p>
        </w:tc>
        <w:tc>
          <w:tcPr>
            <w:tcW w:w="913" w:type="dxa"/>
          </w:tcPr>
          <w:p>
            <w:pPr>
              <w:spacing w:before="124" w:beforeLines="40" w:after="124" w:afterLines="40"/>
              <w:jc w:val="center"/>
              <w:rPr>
                <w:rFonts w:hint="eastAsia" w:ascii="宋体" w:hAnsi="宋体" w:eastAsia="宋体" w:cs="宋体"/>
                <w:color w:val="auto"/>
                <w:szCs w:val="21"/>
              </w:rPr>
            </w:pPr>
          </w:p>
        </w:tc>
        <w:tc>
          <w:tcPr>
            <w:tcW w:w="913" w:type="dxa"/>
          </w:tcPr>
          <w:p>
            <w:pPr>
              <w:spacing w:before="124" w:beforeLines="40" w:after="124" w:afterLines="40"/>
              <w:jc w:val="center"/>
              <w:rPr>
                <w:rFonts w:hint="eastAsia" w:ascii="宋体" w:hAnsi="宋体" w:eastAsia="宋体" w:cs="宋体"/>
                <w:color w:val="auto"/>
                <w:szCs w:val="21"/>
              </w:rPr>
            </w:pPr>
          </w:p>
        </w:tc>
        <w:tc>
          <w:tcPr>
            <w:tcW w:w="1005" w:type="dxa"/>
          </w:tcPr>
          <w:p>
            <w:pPr>
              <w:spacing w:before="124" w:beforeLines="40" w:after="124" w:afterLines="40"/>
              <w:jc w:val="center"/>
              <w:rPr>
                <w:rFonts w:hint="eastAsia" w:ascii="宋体" w:hAnsi="宋体" w:eastAsia="宋体" w:cs="宋体"/>
                <w:color w:val="auto"/>
                <w:szCs w:val="21"/>
              </w:rPr>
            </w:pPr>
          </w:p>
        </w:tc>
        <w:tc>
          <w:tcPr>
            <w:tcW w:w="697" w:type="dxa"/>
          </w:tcPr>
          <w:p>
            <w:pPr>
              <w:spacing w:before="124" w:beforeLines="40" w:after="124" w:afterLines="40"/>
              <w:jc w:val="center"/>
              <w:rPr>
                <w:rFonts w:hint="eastAsia" w:ascii="宋体" w:hAnsi="宋体" w:eastAsia="宋体" w:cs="宋体"/>
                <w:color w:val="auto"/>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c>
          <w:tcPr>
            <w:tcW w:w="638" w:type="dxa"/>
          </w:tcPr>
          <w:p>
            <w:pPr>
              <w:spacing w:before="124" w:beforeLines="40" w:after="124" w:afterLines="40"/>
              <w:jc w:val="center"/>
              <w:rPr>
                <w:rFonts w:hint="eastAsia" w:ascii="宋体" w:hAnsi="宋体" w:eastAsia="宋体" w:cs="宋体"/>
                <w:color w:val="auto"/>
                <w:szCs w:val="21"/>
              </w:rPr>
            </w:pPr>
          </w:p>
        </w:tc>
        <w:tc>
          <w:tcPr>
            <w:tcW w:w="1095" w:type="dxa"/>
          </w:tcPr>
          <w:p>
            <w:pPr>
              <w:spacing w:before="124" w:beforeLines="40" w:after="124" w:afterLines="40"/>
              <w:jc w:val="center"/>
              <w:rPr>
                <w:rFonts w:hint="eastAsia" w:ascii="宋体" w:hAnsi="宋体" w:eastAsia="宋体" w:cs="宋体"/>
                <w:color w:val="auto"/>
                <w:szCs w:val="21"/>
              </w:rPr>
            </w:pPr>
          </w:p>
        </w:tc>
        <w:tc>
          <w:tcPr>
            <w:tcW w:w="1095" w:type="dxa"/>
          </w:tcPr>
          <w:p>
            <w:pPr>
              <w:spacing w:before="124" w:beforeLines="40" w:after="124" w:afterLines="40"/>
              <w:jc w:val="center"/>
              <w:rPr>
                <w:rFonts w:hint="eastAsia" w:ascii="宋体" w:hAnsi="宋体" w:eastAsia="宋体" w:cs="宋体"/>
                <w:color w:val="auto"/>
                <w:szCs w:val="21"/>
              </w:rPr>
            </w:pPr>
          </w:p>
        </w:tc>
        <w:tc>
          <w:tcPr>
            <w:tcW w:w="1003" w:type="dxa"/>
          </w:tcPr>
          <w:p>
            <w:pPr>
              <w:spacing w:before="124" w:beforeLines="40" w:after="124" w:afterLines="40"/>
              <w:jc w:val="center"/>
              <w:rPr>
                <w:rFonts w:hint="eastAsia" w:ascii="宋体" w:hAnsi="宋体" w:eastAsia="宋体" w:cs="宋体"/>
                <w:color w:val="auto"/>
                <w:szCs w:val="21"/>
              </w:rPr>
            </w:pPr>
          </w:p>
        </w:tc>
        <w:tc>
          <w:tcPr>
            <w:tcW w:w="913" w:type="dxa"/>
          </w:tcPr>
          <w:p>
            <w:pPr>
              <w:spacing w:before="124" w:beforeLines="40" w:after="124" w:afterLines="40"/>
              <w:jc w:val="center"/>
              <w:rPr>
                <w:rFonts w:hint="eastAsia" w:ascii="宋体" w:hAnsi="宋体" w:eastAsia="宋体" w:cs="宋体"/>
                <w:color w:val="auto"/>
                <w:szCs w:val="21"/>
              </w:rPr>
            </w:pPr>
          </w:p>
        </w:tc>
        <w:tc>
          <w:tcPr>
            <w:tcW w:w="731" w:type="dxa"/>
          </w:tcPr>
          <w:p>
            <w:pPr>
              <w:spacing w:before="124" w:beforeLines="40" w:after="124" w:afterLines="40"/>
              <w:jc w:val="center"/>
              <w:rPr>
                <w:rFonts w:hint="eastAsia" w:ascii="宋体" w:hAnsi="宋体" w:eastAsia="宋体" w:cs="宋体"/>
                <w:color w:val="auto"/>
                <w:szCs w:val="21"/>
              </w:rPr>
            </w:pPr>
          </w:p>
        </w:tc>
        <w:tc>
          <w:tcPr>
            <w:tcW w:w="913" w:type="dxa"/>
          </w:tcPr>
          <w:p>
            <w:pPr>
              <w:spacing w:before="124" w:beforeLines="40" w:after="124" w:afterLines="40"/>
              <w:jc w:val="center"/>
              <w:rPr>
                <w:rFonts w:hint="eastAsia" w:ascii="宋体" w:hAnsi="宋体" w:eastAsia="宋体" w:cs="宋体"/>
                <w:color w:val="auto"/>
                <w:szCs w:val="21"/>
              </w:rPr>
            </w:pPr>
          </w:p>
        </w:tc>
        <w:tc>
          <w:tcPr>
            <w:tcW w:w="913" w:type="dxa"/>
          </w:tcPr>
          <w:p>
            <w:pPr>
              <w:spacing w:before="124" w:beforeLines="40" w:after="124" w:afterLines="40"/>
              <w:jc w:val="center"/>
              <w:rPr>
                <w:rFonts w:hint="eastAsia" w:ascii="宋体" w:hAnsi="宋体" w:eastAsia="宋体" w:cs="宋体"/>
                <w:color w:val="auto"/>
                <w:szCs w:val="21"/>
              </w:rPr>
            </w:pPr>
          </w:p>
        </w:tc>
        <w:tc>
          <w:tcPr>
            <w:tcW w:w="1005" w:type="dxa"/>
          </w:tcPr>
          <w:p>
            <w:pPr>
              <w:spacing w:before="124" w:beforeLines="40" w:after="124" w:afterLines="40"/>
              <w:jc w:val="center"/>
              <w:rPr>
                <w:rFonts w:hint="eastAsia" w:ascii="宋体" w:hAnsi="宋体" w:eastAsia="宋体" w:cs="宋体"/>
                <w:color w:val="auto"/>
                <w:szCs w:val="21"/>
              </w:rPr>
            </w:pPr>
          </w:p>
        </w:tc>
        <w:tc>
          <w:tcPr>
            <w:tcW w:w="697" w:type="dxa"/>
          </w:tcPr>
          <w:p>
            <w:pPr>
              <w:spacing w:before="124" w:beforeLines="40" w:after="124" w:afterLines="40"/>
              <w:jc w:val="center"/>
              <w:rPr>
                <w:rFonts w:hint="eastAsia" w:ascii="宋体" w:hAnsi="宋体" w:eastAsia="宋体" w:cs="宋体"/>
                <w:color w:val="auto"/>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c>
          <w:tcPr>
            <w:tcW w:w="5475" w:type="dxa"/>
            <w:gridSpan w:val="6"/>
            <w:vAlign w:val="center"/>
          </w:tcPr>
          <w:p>
            <w:pPr>
              <w:spacing w:before="124" w:beforeLines="40" w:after="124" w:afterLines="40"/>
              <w:jc w:val="center"/>
              <w:rPr>
                <w:rFonts w:hint="eastAsia" w:ascii="宋体" w:hAnsi="宋体" w:eastAsia="宋体" w:cs="宋体"/>
                <w:color w:val="auto"/>
                <w:szCs w:val="21"/>
              </w:rPr>
            </w:pPr>
            <w:r>
              <w:rPr>
                <w:rFonts w:hint="eastAsia" w:ascii="宋体" w:hAnsi="宋体" w:eastAsia="宋体" w:cs="宋体"/>
                <w:color w:val="auto"/>
                <w:szCs w:val="21"/>
              </w:rPr>
              <w:t>合同金额合计：</w:t>
            </w:r>
          </w:p>
        </w:tc>
        <w:tc>
          <w:tcPr>
            <w:tcW w:w="3528" w:type="dxa"/>
            <w:gridSpan w:val="4"/>
            <w:vAlign w:val="center"/>
          </w:tcPr>
          <w:p>
            <w:pPr>
              <w:spacing w:before="124" w:beforeLines="40" w:after="124" w:afterLines="40"/>
              <w:jc w:val="center"/>
              <w:rPr>
                <w:rFonts w:hint="eastAsia" w:ascii="宋体" w:hAnsi="宋体" w:eastAsia="宋体" w:cs="宋体"/>
                <w:color w:val="auto"/>
                <w:szCs w:val="21"/>
                <w:u w:val="single"/>
              </w:rPr>
            </w:pPr>
            <w:r>
              <w:rPr>
                <w:rFonts w:hint="eastAsia" w:ascii="宋体" w:hAnsi="宋体" w:eastAsia="宋体" w:cs="宋体"/>
                <w:color w:val="auto"/>
                <w:szCs w:val="21"/>
              </w:rPr>
              <w:t>人民币</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万元</w:t>
            </w:r>
          </w:p>
        </w:tc>
      </w:tr>
    </w:tbl>
    <w:p>
      <w:pPr>
        <w:pStyle w:val="46"/>
        <w:ind w:left="315" w:hanging="315" w:hangingChars="150"/>
        <w:rPr>
          <w:rFonts w:hint="eastAsia" w:ascii="宋体" w:hAnsi="宋体" w:eastAsia="宋体" w:cs="宋体"/>
          <w:color w:val="auto"/>
          <w:sz w:val="21"/>
        </w:rPr>
      </w:pPr>
      <w:r>
        <w:rPr>
          <w:rFonts w:hint="eastAsia" w:ascii="宋体" w:hAnsi="宋体" w:eastAsia="宋体" w:cs="宋体"/>
          <w:color w:val="auto"/>
          <w:sz w:val="21"/>
        </w:rPr>
        <w:t>注：若本项目对投标人业绩有要求，投标人应当如实填写本表并根据评分标准中的相关要求在本表后附相关合同关键页（须包括合同名称、服务内容、实施时间、合同金额、合同签字盖章页，如果提供的是框架合同，需提供对应框架合同结算的订单或结算单据）的复印件（加盖公章）或者其他相关证明材料。</w:t>
      </w:r>
    </w:p>
    <w:p>
      <w:pPr>
        <w:spacing w:line="360" w:lineRule="auto"/>
        <w:rPr>
          <w:rFonts w:hint="eastAsia" w:ascii="宋体" w:hAnsi="宋体" w:eastAsia="宋体" w:cs="宋体"/>
          <w:color w:val="auto"/>
          <w:szCs w:val="21"/>
          <w:u w:color="FF0000"/>
        </w:rPr>
      </w:pPr>
    </w:p>
    <w:p>
      <w:pPr>
        <w:spacing w:line="360" w:lineRule="auto"/>
        <w:rPr>
          <w:rFonts w:hint="eastAsia" w:ascii="宋体" w:hAnsi="宋体" w:eastAsia="宋体" w:cs="宋体"/>
          <w:color w:val="auto"/>
          <w:szCs w:val="21"/>
          <w:u w:color="FF0000"/>
        </w:rPr>
      </w:pPr>
    </w:p>
    <w:p>
      <w:pPr>
        <w:jc w:val="left"/>
        <w:rPr>
          <w:rFonts w:hint="eastAsia" w:ascii="宋体" w:hAnsi="宋体" w:eastAsia="宋体" w:cs="宋体"/>
          <w:color w:val="auto"/>
          <w:sz w:val="24"/>
          <w:szCs w:val="24"/>
          <w:u w:color="000000"/>
        </w:rPr>
      </w:pPr>
      <w:r>
        <w:rPr>
          <w:rFonts w:hint="eastAsia" w:ascii="宋体" w:hAnsi="宋体" w:eastAsia="宋体" w:cs="宋体"/>
          <w:color w:val="auto"/>
          <w:sz w:val="24"/>
          <w:szCs w:val="24"/>
          <w:u w:color="000000"/>
        </w:rPr>
        <w:br w:type="page"/>
      </w:r>
    </w:p>
    <w:p>
      <w:pPr>
        <w:tabs>
          <w:tab w:val="left" w:pos="576"/>
        </w:tabs>
        <w:spacing w:before="156" w:beforeLines="50" w:after="156" w:afterLines="50" w:line="360" w:lineRule="auto"/>
        <w:outlineLvl w:val="2"/>
        <w:rPr>
          <w:rFonts w:hint="eastAsia" w:ascii="宋体" w:hAnsi="宋体" w:eastAsia="宋体" w:cs="宋体"/>
          <w:color w:val="auto"/>
          <w:sz w:val="24"/>
          <w:szCs w:val="24"/>
          <w:u w:color="000000"/>
        </w:rPr>
      </w:pPr>
      <w:bookmarkStart w:id="46" w:name="_Toc21283"/>
      <w:r>
        <w:rPr>
          <w:rFonts w:hint="eastAsia" w:ascii="宋体" w:hAnsi="宋体" w:eastAsia="宋体" w:cs="宋体"/>
          <w:color w:val="auto"/>
          <w:sz w:val="24"/>
          <w:szCs w:val="24"/>
          <w:u w:color="000000"/>
        </w:rPr>
        <w:t>6.9 技术方案</w:t>
      </w:r>
      <w:bookmarkEnd w:id="46"/>
    </w:p>
    <w:p>
      <w:pPr>
        <w:spacing w:line="360" w:lineRule="auto"/>
        <w:ind w:firstLine="480" w:firstLineChars="200"/>
        <w:rPr>
          <w:rFonts w:hint="eastAsia" w:ascii="宋体" w:hAnsi="宋体" w:eastAsia="宋体" w:cs="宋体"/>
          <w:color w:val="auto"/>
          <w:sz w:val="24"/>
          <w:szCs w:val="24"/>
          <w:u w:color="FF0000"/>
        </w:rPr>
      </w:pPr>
      <w:r>
        <w:rPr>
          <w:rFonts w:hint="eastAsia" w:ascii="宋体" w:hAnsi="宋体" w:eastAsia="宋体" w:cs="宋体"/>
          <w:color w:val="auto"/>
          <w:sz w:val="24"/>
          <w:szCs w:val="24"/>
          <w:u w:color="FF0000"/>
        </w:rPr>
        <w:t>包括但不限于如下内容：</w:t>
      </w:r>
    </w:p>
    <w:p>
      <w:pPr>
        <w:spacing w:line="360" w:lineRule="auto"/>
        <w:ind w:firstLine="480" w:firstLineChars="200"/>
        <w:rPr>
          <w:rFonts w:hint="eastAsia" w:ascii="宋体" w:hAnsi="宋体" w:eastAsia="宋体" w:cs="宋体"/>
          <w:color w:val="auto"/>
          <w:sz w:val="24"/>
          <w:szCs w:val="24"/>
          <w:u w:color="FF0000"/>
          <w:lang w:eastAsia="zh-CN"/>
        </w:rPr>
      </w:pPr>
      <w:r>
        <w:rPr>
          <w:rFonts w:hint="eastAsia" w:ascii="宋体" w:hAnsi="宋体" w:eastAsia="宋体" w:cs="宋体"/>
          <w:color w:val="auto"/>
          <w:sz w:val="24"/>
          <w:szCs w:val="24"/>
          <w:u w:color="FF0000"/>
        </w:rPr>
        <w:t>1、</w:t>
      </w:r>
      <w:r>
        <w:rPr>
          <w:rFonts w:hint="eastAsia" w:ascii="宋体" w:hAnsi="宋体" w:eastAsia="宋体" w:cs="宋体"/>
          <w:color w:val="auto"/>
          <w:sz w:val="24"/>
          <w:szCs w:val="24"/>
          <w:u w:color="FF0000"/>
          <w:lang w:val="en-US" w:eastAsia="zh-CN"/>
        </w:rPr>
        <w:t>项目实施能力</w:t>
      </w:r>
    </w:p>
    <w:p>
      <w:pPr>
        <w:spacing w:line="360" w:lineRule="auto"/>
        <w:ind w:firstLine="480" w:firstLineChars="200"/>
        <w:rPr>
          <w:rFonts w:hint="eastAsia" w:ascii="宋体" w:hAnsi="宋体" w:eastAsia="宋体" w:cs="宋体"/>
          <w:color w:val="auto"/>
          <w:sz w:val="24"/>
          <w:szCs w:val="24"/>
          <w:u w:color="FF0000"/>
        </w:rPr>
      </w:pPr>
    </w:p>
    <w:p>
      <w:pPr>
        <w:spacing w:line="360" w:lineRule="auto"/>
        <w:ind w:firstLine="480" w:firstLineChars="200"/>
        <w:rPr>
          <w:rFonts w:hint="eastAsia" w:ascii="宋体" w:hAnsi="宋体" w:eastAsia="宋体" w:cs="宋体"/>
          <w:color w:val="auto"/>
          <w:sz w:val="24"/>
          <w:szCs w:val="24"/>
          <w:u w:color="FF0000"/>
        </w:rPr>
      </w:pPr>
    </w:p>
    <w:p>
      <w:pPr>
        <w:spacing w:line="360" w:lineRule="auto"/>
        <w:ind w:firstLine="480" w:firstLineChars="200"/>
        <w:rPr>
          <w:rFonts w:hint="eastAsia" w:ascii="宋体" w:hAnsi="宋体" w:eastAsia="宋体" w:cs="宋体"/>
          <w:color w:val="auto"/>
          <w:sz w:val="24"/>
          <w:szCs w:val="24"/>
          <w:u w:color="FF0000"/>
        </w:rPr>
      </w:pPr>
      <w:r>
        <w:rPr>
          <w:rFonts w:hint="eastAsia" w:ascii="宋体" w:hAnsi="宋体" w:eastAsia="宋体" w:cs="宋体"/>
          <w:color w:val="auto"/>
          <w:sz w:val="24"/>
          <w:szCs w:val="24"/>
          <w:u w:color="FF0000"/>
        </w:rPr>
        <w:t>2、售后服务及培训方案</w:t>
      </w:r>
    </w:p>
    <w:p>
      <w:pPr>
        <w:spacing w:line="360" w:lineRule="auto"/>
        <w:ind w:firstLine="480" w:firstLineChars="200"/>
        <w:rPr>
          <w:rFonts w:hint="eastAsia" w:ascii="宋体" w:hAnsi="宋体" w:eastAsia="宋体" w:cs="宋体"/>
          <w:color w:val="auto"/>
          <w:sz w:val="24"/>
          <w:szCs w:val="24"/>
          <w:u w:color="FF0000"/>
        </w:rPr>
      </w:pPr>
    </w:p>
    <w:p>
      <w:pPr>
        <w:widowControl/>
        <w:jc w:val="left"/>
        <w:rPr>
          <w:rFonts w:hint="eastAsia" w:ascii="宋体" w:hAnsi="宋体" w:eastAsia="宋体" w:cs="宋体"/>
          <w:color w:val="auto"/>
          <w:sz w:val="24"/>
          <w:szCs w:val="24"/>
          <w:u w:color="000000"/>
        </w:rPr>
      </w:pPr>
      <w:r>
        <w:rPr>
          <w:rFonts w:hint="eastAsia" w:ascii="宋体" w:hAnsi="宋体" w:eastAsia="宋体" w:cs="宋体"/>
          <w:color w:val="auto"/>
          <w:sz w:val="24"/>
          <w:szCs w:val="24"/>
          <w:u w:color="000000"/>
        </w:rPr>
        <w:br w:type="page"/>
      </w:r>
    </w:p>
    <w:p>
      <w:pPr>
        <w:tabs>
          <w:tab w:val="left" w:pos="576"/>
        </w:tabs>
        <w:spacing w:before="156" w:beforeLines="50" w:after="156" w:afterLines="50" w:line="360" w:lineRule="auto"/>
        <w:outlineLvl w:val="2"/>
        <w:rPr>
          <w:rFonts w:hint="eastAsia" w:ascii="宋体" w:hAnsi="宋体" w:eastAsia="宋体" w:cs="宋体"/>
          <w:color w:val="auto"/>
          <w:sz w:val="24"/>
          <w:szCs w:val="24"/>
          <w:u w:color="000000"/>
        </w:rPr>
      </w:pPr>
      <w:bookmarkStart w:id="47" w:name="_Toc11859499"/>
      <w:bookmarkStart w:id="48" w:name="_Toc8056"/>
      <w:r>
        <w:rPr>
          <w:rFonts w:hint="eastAsia" w:ascii="宋体" w:hAnsi="宋体" w:eastAsia="宋体" w:cs="宋体"/>
          <w:color w:val="auto"/>
          <w:sz w:val="24"/>
          <w:szCs w:val="24"/>
          <w:u w:color="000000"/>
        </w:rPr>
        <w:t>6.10 投标人其它声明及材料</w:t>
      </w:r>
      <w:bookmarkEnd w:id="47"/>
      <w:bookmarkEnd w:id="48"/>
    </w:p>
    <w:p>
      <w:pPr>
        <w:spacing w:before="156" w:beforeLines="50" w:after="156" w:afterLines="50" w:line="360" w:lineRule="auto"/>
        <w:jc w:val="center"/>
        <w:rPr>
          <w:rFonts w:hint="eastAsia" w:ascii="宋体" w:hAnsi="宋体" w:eastAsia="宋体" w:cs="宋体"/>
          <w:color w:val="auto"/>
          <w:sz w:val="28"/>
          <w:szCs w:val="28"/>
        </w:rPr>
      </w:pPr>
      <w:r>
        <w:rPr>
          <w:rFonts w:hint="eastAsia" w:ascii="宋体" w:hAnsi="宋体" w:eastAsia="宋体" w:cs="宋体"/>
          <w:color w:val="auto"/>
          <w:sz w:val="28"/>
          <w:szCs w:val="28"/>
        </w:rPr>
        <w:t>投标人信息一览表</w:t>
      </w:r>
    </w:p>
    <w:tbl>
      <w:tblPr>
        <w:tblStyle w:val="25"/>
        <w:tblW w:w="90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4"/>
        <w:gridCol w:w="2446"/>
        <w:gridCol w:w="2447"/>
        <w:gridCol w:w="2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1664" w:type="dxa"/>
            <w:shd w:val="clear" w:color="auto" w:fill="auto"/>
            <w:vAlign w:val="center"/>
          </w:tcPr>
          <w:p>
            <w:pPr>
              <w:spacing w:line="44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投标人名称</w:t>
            </w:r>
          </w:p>
          <w:p>
            <w:pPr>
              <w:spacing w:line="44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（加盖公章）</w:t>
            </w:r>
          </w:p>
        </w:tc>
        <w:tc>
          <w:tcPr>
            <w:tcW w:w="7339" w:type="dxa"/>
            <w:gridSpan w:val="3"/>
            <w:shd w:val="clear" w:color="auto" w:fill="auto"/>
            <w:vAlign w:val="center"/>
          </w:tcPr>
          <w:p>
            <w:pPr>
              <w:spacing w:line="440" w:lineRule="exact"/>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1664" w:type="dxa"/>
            <w:shd w:val="clear" w:color="auto" w:fill="auto"/>
            <w:vAlign w:val="center"/>
          </w:tcPr>
          <w:p>
            <w:pPr>
              <w:spacing w:line="44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注册地址</w:t>
            </w:r>
          </w:p>
        </w:tc>
        <w:tc>
          <w:tcPr>
            <w:tcW w:w="7339" w:type="dxa"/>
            <w:gridSpan w:val="3"/>
            <w:shd w:val="clear" w:color="auto" w:fill="auto"/>
            <w:vAlign w:val="center"/>
          </w:tcPr>
          <w:p>
            <w:pPr>
              <w:spacing w:line="440" w:lineRule="exact"/>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 w:hRule="atLeast"/>
          <w:jc w:val="center"/>
        </w:trPr>
        <w:tc>
          <w:tcPr>
            <w:tcW w:w="1664" w:type="dxa"/>
            <w:shd w:val="clear" w:color="auto" w:fill="auto"/>
            <w:vAlign w:val="center"/>
          </w:tcPr>
          <w:p>
            <w:pPr>
              <w:spacing w:line="44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企业类型</w:t>
            </w:r>
          </w:p>
          <w:p>
            <w:pPr>
              <w:spacing w:line="44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（请勾选）</w:t>
            </w:r>
          </w:p>
        </w:tc>
        <w:tc>
          <w:tcPr>
            <w:tcW w:w="7339" w:type="dxa"/>
            <w:gridSpan w:val="3"/>
            <w:shd w:val="clear" w:color="auto" w:fill="auto"/>
            <w:vAlign w:val="center"/>
          </w:tcPr>
          <w:p>
            <w:pPr>
              <w:spacing w:line="44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□大型企业  □中型企业  □小型企业  □微型企业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7" w:hRule="atLeast"/>
          <w:jc w:val="center"/>
        </w:trPr>
        <w:tc>
          <w:tcPr>
            <w:tcW w:w="1664" w:type="dxa"/>
            <w:shd w:val="clear" w:color="auto" w:fill="auto"/>
            <w:vAlign w:val="center"/>
          </w:tcPr>
          <w:p>
            <w:pPr>
              <w:spacing w:line="44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所投产品属性</w:t>
            </w:r>
          </w:p>
          <w:p>
            <w:pPr>
              <w:spacing w:line="44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（请勾选）</w:t>
            </w:r>
          </w:p>
        </w:tc>
        <w:tc>
          <w:tcPr>
            <w:tcW w:w="7339" w:type="dxa"/>
            <w:gridSpan w:val="3"/>
            <w:shd w:val="clear" w:color="auto" w:fill="auto"/>
            <w:vAlign w:val="center"/>
          </w:tcPr>
          <w:p>
            <w:pPr>
              <w:spacing w:line="44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□节能  □节水  □环保  □节能环保  □节水环保</w:t>
            </w:r>
          </w:p>
          <w:p>
            <w:pPr>
              <w:spacing w:line="44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□普通产品（即非节能节水环保产品）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1664" w:type="dxa"/>
            <w:shd w:val="clear" w:color="auto" w:fill="auto"/>
            <w:vAlign w:val="center"/>
          </w:tcPr>
          <w:p>
            <w:pPr>
              <w:spacing w:line="44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授权代表姓名</w:t>
            </w:r>
          </w:p>
        </w:tc>
        <w:tc>
          <w:tcPr>
            <w:tcW w:w="2446" w:type="dxa"/>
            <w:shd w:val="clear" w:color="auto" w:fill="auto"/>
            <w:vAlign w:val="center"/>
          </w:tcPr>
          <w:p>
            <w:pPr>
              <w:spacing w:line="440" w:lineRule="exact"/>
              <w:jc w:val="center"/>
              <w:rPr>
                <w:rFonts w:hint="eastAsia" w:ascii="宋体" w:hAnsi="宋体" w:eastAsia="宋体" w:cs="宋体"/>
                <w:color w:val="auto"/>
                <w:sz w:val="24"/>
                <w:szCs w:val="24"/>
              </w:rPr>
            </w:pPr>
          </w:p>
        </w:tc>
        <w:tc>
          <w:tcPr>
            <w:tcW w:w="2447" w:type="dxa"/>
            <w:shd w:val="clear" w:color="auto" w:fill="auto"/>
            <w:vAlign w:val="center"/>
          </w:tcPr>
          <w:p>
            <w:pPr>
              <w:spacing w:line="44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手机号码</w:t>
            </w:r>
          </w:p>
        </w:tc>
        <w:tc>
          <w:tcPr>
            <w:tcW w:w="2446" w:type="dxa"/>
            <w:shd w:val="clear" w:color="auto" w:fill="auto"/>
            <w:vAlign w:val="center"/>
          </w:tcPr>
          <w:p>
            <w:pPr>
              <w:spacing w:line="440" w:lineRule="exact"/>
              <w:jc w:val="center"/>
              <w:rPr>
                <w:rFonts w:hint="eastAsia" w:ascii="宋体" w:hAnsi="宋体" w:eastAsia="宋体" w:cs="宋体"/>
                <w:color w:val="auto"/>
                <w:sz w:val="24"/>
                <w:szCs w:val="24"/>
              </w:rPr>
            </w:pPr>
          </w:p>
        </w:tc>
      </w:tr>
    </w:tbl>
    <w:p>
      <w:pPr>
        <w:pStyle w:val="12"/>
        <w:kinsoku w:val="0"/>
        <w:overflowPunct w:val="0"/>
        <w:spacing w:after="0" w:line="360" w:lineRule="auto"/>
        <w:ind w:firstLine="420" w:firstLineChars="200"/>
        <w:rPr>
          <w:rFonts w:hint="eastAsia" w:ascii="宋体" w:hAnsi="宋体" w:eastAsia="宋体" w:cs="宋体"/>
          <w:color w:val="auto"/>
        </w:rPr>
      </w:pPr>
    </w:p>
    <w:p>
      <w:pPr>
        <w:spacing w:line="360" w:lineRule="auto"/>
        <w:ind w:firstLine="420" w:firstLineChars="200"/>
        <w:rPr>
          <w:rFonts w:hint="eastAsia" w:ascii="宋体" w:hAnsi="宋体" w:eastAsia="宋体" w:cs="宋体"/>
          <w:color w:val="auto"/>
          <w:szCs w:val="21"/>
          <w:u w:color="FF0000"/>
        </w:rPr>
      </w:pPr>
    </w:p>
    <w:p>
      <w:pPr>
        <w:spacing w:line="360" w:lineRule="auto"/>
        <w:ind w:firstLine="480" w:firstLineChars="200"/>
        <w:rPr>
          <w:rFonts w:hint="eastAsia" w:ascii="宋体" w:hAnsi="宋体" w:eastAsia="宋体" w:cs="宋体"/>
          <w:color w:val="auto"/>
          <w:sz w:val="24"/>
          <w:szCs w:val="24"/>
          <w:u w:color="FF0000"/>
        </w:rPr>
      </w:pPr>
    </w:p>
    <w:p>
      <w:pPr>
        <w:rPr>
          <w:rFonts w:hint="eastAsia" w:ascii="宋体" w:hAnsi="宋体" w:eastAsia="宋体" w:cs="宋体"/>
          <w:color w:val="auto"/>
          <w:sz w:val="24"/>
          <w:szCs w:val="24"/>
          <w:u w:color="FF0000"/>
          <w:lang w:val="en-US" w:eastAsia="zh-CN"/>
        </w:rPr>
      </w:pPr>
      <w:r>
        <w:rPr>
          <w:rFonts w:hint="eastAsia" w:ascii="宋体" w:hAnsi="宋体" w:eastAsia="宋体" w:cs="宋体"/>
          <w:color w:val="auto"/>
          <w:sz w:val="24"/>
          <w:szCs w:val="24"/>
          <w:u w:color="FF0000"/>
          <w:lang w:val="en-US" w:eastAsia="zh-CN"/>
        </w:rPr>
        <w:br w:type="page"/>
      </w:r>
    </w:p>
    <w:p>
      <w:pPr>
        <w:spacing w:line="360" w:lineRule="auto"/>
        <w:rPr>
          <w:rFonts w:hint="eastAsia" w:ascii="宋体" w:hAnsi="宋体" w:eastAsia="宋体" w:cs="宋体"/>
          <w:color w:val="auto"/>
          <w:sz w:val="24"/>
          <w:szCs w:val="24"/>
          <w:u w:color="FF0000"/>
          <w:lang w:val="en-US" w:eastAsia="zh-CN"/>
        </w:rPr>
      </w:pPr>
      <w:r>
        <w:rPr>
          <w:rFonts w:hint="eastAsia" w:ascii="宋体" w:hAnsi="宋体" w:eastAsia="宋体" w:cs="宋体"/>
          <w:color w:val="auto"/>
          <w:sz w:val="24"/>
          <w:szCs w:val="24"/>
          <w:u w:color="FF0000"/>
          <w:lang w:val="en-US" w:eastAsia="zh-CN"/>
        </w:rPr>
        <w:t>6.11免费提供零配件清单</w:t>
      </w:r>
    </w:p>
    <w:p>
      <w:pPr>
        <w:pStyle w:val="32"/>
        <w:ind w:left="0" w:leftChars="0" w:firstLine="0" w:firstLineChars="0"/>
        <w:rPr>
          <w:rFonts w:hint="eastAsia" w:ascii="宋体" w:hAnsi="宋体" w:eastAsia="宋体" w:cs="宋体"/>
          <w:color w:val="auto"/>
          <w:sz w:val="24"/>
          <w:szCs w:val="24"/>
          <w:u w:color="FF0000"/>
          <w:lang w:val="en-US" w:eastAsia="zh-CN"/>
        </w:rPr>
      </w:pPr>
      <w:r>
        <w:rPr>
          <w:rFonts w:hint="eastAsia" w:ascii="宋体" w:hAnsi="宋体" w:eastAsia="宋体" w:cs="宋体"/>
          <w:color w:val="auto"/>
          <w:sz w:val="24"/>
          <w:szCs w:val="24"/>
          <w:u w:color="FF0000"/>
          <w:lang w:val="en-US" w:eastAsia="zh-CN"/>
        </w:rPr>
        <w:t>6.12拟派驻本项目人员一览表</w:t>
      </w:r>
    </w:p>
    <w:p>
      <w:pPr>
        <w:spacing w:line="360" w:lineRule="auto"/>
        <w:rPr>
          <w:rFonts w:hint="default" w:ascii="宋体" w:hAnsi="宋体" w:eastAsia="宋体" w:cs="宋体"/>
          <w:color w:val="auto"/>
          <w:sz w:val="24"/>
          <w:szCs w:val="24"/>
          <w:u w:color="FF0000"/>
          <w:lang w:val="en-US" w:eastAsia="zh-CN"/>
        </w:rPr>
      </w:pPr>
      <w:r>
        <w:rPr>
          <w:rFonts w:hint="eastAsia" w:ascii="宋体" w:hAnsi="宋体" w:eastAsia="宋体" w:cs="宋体"/>
          <w:color w:val="auto"/>
          <w:sz w:val="24"/>
          <w:szCs w:val="24"/>
          <w:u w:color="FF0000"/>
          <w:lang w:val="en-US" w:eastAsia="zh-CN"/>
        </w:rPr>
        <w:t>6.13其他投标人认为需要提供的内容...</w:t>
      </w:r>
    </w:p>
    <w:bookmarkEnd w:id="26"/>
    <w:bookmarkEnd w:id="27"/>
    <w:bookmarkEnd w:id="28"/>
    <w:bookmarkEnd w:id="29"/>
    <w:p>
      <w:pPr>
        <w:widowControl/>
        <w:jc w:val="left"/>
        <w:rPr>
          <w:rFonts w:hint="eastAsia" w:ascii="宋体" w:hAnsi="宋体" w:eastAsia="宋体" w:cs="宋体"/>
          <w:color w:val="auto"/>
          <w:sz w:val="24"/>
          <w:szCs w:val="24"/>
          <w:u w:color="000000"/>
        </w:rPr>
      </w:pPr>
    </w:p>
    <w:sectPr>
      <w:headerReference r:id="rId5" w:type="default"/>
      <w:footerReference r:id="rId6" w:type="default"/>
      <w:pgSz w:w="11906" w:h="16838"/>
      <w:pgMar w:top="1418" w:right="1418" w:bottom="1418" w:left="170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幼圆">
    <w:panose1 w:val="0201050906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PMingLiU">
    <w:altName w:val="PMingLiU-ExtB"/>
    <w:panose1 w:val="02020500000000000000"/>
    <w:charset w:val="88"/>
    <w:family w:val="roman"/>
    <w:pitch w:val="default"/>
    <w:sig w:usb0="00000000" w:usb1="00000000" w:usb2="00000016" w:usb3="00000000" w:csb0="00100001" w:csb1="00000000"/>
  </w:font>
  <w:font w:name="仿宋_GB2312">
    <w:altName w:val="仿宋"/>
    <w:panose1 w:val="00000000000000000000"/>
    <w:charset w:val="86"/>
    <w:family w:val="modern"/>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rPr>
        <w:rFonts w:ascii="Times New Roman" w:hAnsi="Times New Roman" w:cs="Times New Roman"/>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rPr>
        <w:rFonts w:ascii="Times New Roman" w:hAnsi="Times New Roman" w:cs="Times New Roman"/>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jc w:val="center"/>
                          </w:pPr>
                          <w:r>
                            <w:rPr>
                              <w:rFonts w:ascii="Times New Roman" w:hAnsi="Times New Roman" w:cs="Times New Roman"/>
                              <w:sz w:val="21"/>
                              <w:szCs w:val="21"/>
                            </w:rPr>
                            <w:t>第</w:t>
                          </w: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Arabic  \* MERGEFORMAT </w:instrText>
                          </w:r>
                          <w:r>
                            <w:rPr>
                              <w:rFonts w:ascii="Times New Roman" w:hAnsi="Times New Roman" w:cs="Times New Roman"/>
                              <w:sz w:val="21"/>
                              <w:szCs w:val="21"/>
                            </w:rPr>
                            <w:fldChar w:fldCharType="separate"/>
                          </w:r>
                          <w:r>
                            <w:rPr>
                              <w:rFonts w:ascii="Times New Roman" w:hAnsi="Times New Roman" w:cs="Times New Roman"/>
                              <w:sz w:val="21"/>
                              <w:szCs w:val="21"/>
                            </w:rPr>
                            <w:t>1</w:t>
                          </w:r>
                          <w:r>
                            <w:rPr>
                              <w:rFonts w:ascii="Times New Roman" w:hAnsi="Times New Roman" w:cs="Times New Roman"/>
                              <w:sz w:val="21"/>
                              <w:szCs w:val="21"/>
                            </w:rPr>
                            <w:fldChar w:fldCharType="end"/>
                          </w:r>
                          <w:r>
                            <w:rPr>
                              <w:rFonts w:ascii="Times New Roman" w:hAnsi="Times New Roman" w:cs="Times New Roman"/>
                              <w:sz w:val="21"/>
                              <w:szCs w:val="21"/>
                            </w:rPr>
                            <w:t>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8"/>
                      <w:jc w:val="center"/>
                    </w:pPr>
                    <w:r>
                      <w:rPr>
                        <w:rFonts w:ascii="Times New Roman" w:hAnsi="Times New Roman" w:cs="Times New Roman"/>
                        <w:sz w:val="21"/>
                        <w:szCs w:val="21"/>
                      </w:rPr>
                      <w:t>第</w:t>
                    </w: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Arabic  \* MERGEFORMAT </w:instrText>
                    </w:r>
                    <w:r>
                      <w:rPr>
                        <w:rFonts w:ascii="Times New Roman" w:hAnsi="Times New Roman" w:cs="Times New Roman"/>
                        <w:sz w:val="21"/>
                        <w:szCs w:val="21"/>
                      </w:rPr>
                      <w:fldChar w:fldCharType="separate"/>
                    </w:r>
                    <w:r>
                      <w:rPr>
                        <w:rFonts w:ascii="Times New Roman" w:hAnsi="Times New Roman" w:cs="Times New Roman"/>
                        <w:sz w:val="21"/>
                        <w:szCs w:val="21"/>
                      </w:rPr>
                      <w:t>1</w:t>
                    </w:r>
                    <w:r>
                      <w:rPr>
                        <w:rFonts w:ascii="Times New Roman" w:hAnsi="Times New Roman" w:cs="Times New Roman"/>
                        <w:sz w:val="21"/>
                        <w:szCs w:val="21"/>
                      </w:rPr>
                      <w:fldChar w:fldCharType="end"/>
                    </w:r>
                    <w:r>
                      <w:rPr>
                        <w:rFonts w:ascii="Times New Roman" w:hAnsi="Times New Roman" w:cs="Times New Roman"/>
                        <w:sz w:val="21"/>
                        <w:szCs w:val="21"/>
                      </w:rPr>
                      <w:t>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rPr>
        <w:rFonts w:ascii="Times New Roman" w:hAnsi="Times New Roman" w:cs="Times New Roman"/>
        <w:sz w:val="21"/>
        <w:szCs w:val="21"/>
      </w:rPr>
    </w:pPr>
    <w:r>
      <w:rPr>
        <w:rFonts w:hint="eastAsia" w:ascii="Times New Roman" w:hAnsi="Times New Roman" w:cs="Times New Roman"/>
        <w:sz w:val="21"/>
        <w:lang w:eastAsia="zh-CN"/>
      </w:rPr>
      <w:t>南京邮电大学通达学院校内配送服务采购项目</w:t>
    </w:r>
    <w:r>
      <w:rPr>
        <w:rFonts w:ascii="Times New Roman" w:hAnsi="Times New Roman" w:cs="Times New Roman"/>
        <w:sz w:val="21"/>
      </w:rPr>
      <w:t>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rPr>
        <w:rFonts w:ascii="Times New Roman" w:hAnsi="Times New Roman" w:cs="Times New Roman"/>
      </w:rPr>
    </w:pPr>
    <w:r>
      <w:rPr>
        <w:rFonts w:hint="eastAsia" w:ascii="Times New Roman" w:hAnsi="Times New Roman" w:cs="Times New Roman"/>
        <w:sz w:val="21"/>
        <w:lang w:eastAsia="zh-CN"/>
      </w:rPr>
      <w:t>南京邮电大学通达学院校内配送服务采购项目</w:t>
    </w:r>
    <w:r>
      <w:rPr>
        <w:rFonts w:ascii="Times New Roman" w:hAnsi="Times New Roman" w:cs="Times New Roman"/>
        <w:sz w:val="21"/>
      </w:rPr>
      <w:t>招标文件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AyMzJkOGNiMDEyZDQzM2FkNGM4ODJmZGE4NDczMDMifQ=="/>
  </w:docVars>
  <w:rsids>
    <w:rsidRoot w:val="00D17229"/>
    <w:rsid w:val="000017D3"/>
    <w:rsid w:val="000022EF"/>
    <w:rsid w:val="000031D8"/>
    <w:rsid w:val="00005096"/>
    <w:rsid w:val="000056D9"/>
    <w:rsid w:val="000056E1"/>
    <w:rsid w:val="00006D84"/>
    <w:rsid w:val="00011C0C"/>
    <w:rsid w:val="00012CB3"/>
    <w:rsid w:val="000136D5"/>
    <w:rsid w:val="000138F2"/>
    <w:rsid w:val="000177AE"/>
    <w:rsid w:val="00020746"/>
    <w:rsid w:val="00021785"/>
    <w:rsid w:val="00022EE9"/>
    <w:rsid w:val="000243B6"/>
    <w:rsid w:val="0002477E"/>
    <w:rsid w:val="0002551A"/>
    <w:rsid w:val="00025649"/>
    <w:rsid w:val="00027040"/>
    <w:rsid w:val="0003047D"/>
    <w:rsid w:val="00031DD4"/>
    <w:rsid w:val="0003270F"/>
    <w:rsid w:val="00033710"/>
    <w:rsid w:val="00034684"/>
    <w:rsid w:val="00035C7F"/>
    <w:rsid w:val="0003780A"/>
    <w:rsid w:val="00041ECF"/>
    <w:rsid w:val="00042B97"/>
    <w:rsid w:val="0004378F"/>
    <w:rsid w:val="000519F3"/>
    <w:rsid w:val="00051C12"/>
    <w:rsid w:val="00051FF7"/>
    <w:rsid w:val="000529A7"/>
    <w:rsid w:val="00052F06"/>
    <w:rsid w:val="00055251"/>
    <w:rsid w:val="00057F21"/>
    <w:rsid w:val="00060CBE"/>
    <w:rsid w:val="00061742"/>
    <w:rsid w:val="00063293"/>
    <w:rsid w:val="00064072"/>
    <w:rsid w:val="00064B14"/>
    <w:rsid w:val="000654F4"/>
    <w:rsid w:val="00067BF9"/>
    <w:rsid w:val="00070161"/>
    <w:rsid w:val="00071D24"/>
    <w:rsid w:val="000733DD"/>
    <w:rsid w:val="00074A07"/>
    <w:rsid w:val="00075C4E"/>
    <w:rsid w:val="00075C6A"/>
    <w:rsid w:val="00077862"/>
    <w:rsid w:val="00077C90"/>
    <w:rsid w:val="000818B3"/>
    <w:rsid w:val="000823B6"/>
    <w:rsid w:val="00082AA9"/>
    <w:rsid w:val="00083208"/>
    <w:rsid w:val="0008394A"/>
    <w:rsid w:val="000841BE"/>
    <w:rsid w:val="000847FF"/>
    <w:rsid w:val="00085C2A"/>
    <w:rsid w:val="00086855"/>
    <w:rsid w:val="00087768"/>
    <w:rsid w:val="0009049D"/>
    <w:rsid w:val="00090E2D"/>
    <w:rsid w:val="00090E45"/>
    <w:rsid w:val="00091794"/>
    <w:rsid w:val="0009742B"/>
    <w:rsid w:val="000977F6"/>
    <w:rsid w:val="000A0BDB"/>
    <w:rsid w:val="000A1531"/>
    <w:rsid w:val="000A24F8"/>
    <w:rsid w:val="000A721E"/>
    <w:rsid w:val="000B15BC"/>
    <w:rsid w:val="000B1A64"/>
    <w:rsid w:val="000B1C64"/>
    <w:rsid w:val="000B370E"/>
    <w:rsid w:val="000B5784"/>
    <w:rsid w:val="000C17DB"/>
    <w:rsid w:val="000C4D61"/>
    <w:rsid w:val="000C5960"/>
    <w:rsid w:val="000D0593"/>
    <w:rsid w:val="000D394A"/>
    <w:rsid w:val="000D5167"/>
    <w:rsid w:val="000E2443"/>
    <w:rsid w:val="000E40F0"/>
    <w:rsid w:val="000E5CA9"/>
    <w:rsid w:val="000E5D3A"/>
    <w:rsid w:val="000F0A11"/>
    <w:rsid w:val="000F1704"/>
    <w:rsid w:val="000F28A9"/>
    <w:rsid w:val="000F29AA"/>
    <w:rsid w:val="000F3038"/>
    <w:rsid w:val="000F4052"/>
    <w:rsid w:val="000F5248"/>
    <w:rsid w:val="000F6EF7"/>
    <w:rsid w:val="000F7662"/>
    <w:rsid w:val="000F7EFA"/>
    <w:rsid w:val="00101ED5"/>
    <w:rsid w:val="001041C8"/>
    <w:rsid w:val="001061CB"/>
    <w:rsid w:val="00106F06"/>
    <w:rsid w:val="00110081"/>
    <w:rsid w:val="00110CFB"/>
    <w:rsid w:val="001153B6"/>
    <w:rsid w:val="001211A1"/>
    <w:rsid w:val="00121E0C"/>
    <w:rsid w:val="00122553"/>
    <w:rsid w:val="0012333F"/>
    <w:rsid w:val="00125E7A"/>
    <w:rsid w:val="00126333"/>
    <w:rsid w:val="00126F74"/>
    <w:rsid w:val="001273C6"/>
    <w:rsid w:val="00134ACB"/>
    <w:rsid w:val="00137345"/>
    <w:rsid w:val="001377E4"/>
    <w:rsid w:val="001401FB"/>
    <w:rsid w:val="001405B1"/>
    <w:rsid w:val="0014080E"/>
    <w:rsid w:val="0014146B"/>
    <w:rsid w:val="001435C0"/>
    <w:rsid w:val="0014418D"/>
    <w:rsid w:val="001501CB"/>
    <w:rsid w:val="001512A0"/>
    <w:rsid w:val="00152247"/>
    <w:rsid w:val="00156C30"/>
    <w:rsid w:val="001576D3"/>
    <w:rsid w:val="001624C7"/>
    <w:rsid w:val="00164B11"/>
    <w:rsid w:val="00164C1F"/>
    <w:rsid w:val="0017080F"/>
    <w:rsid w:val="0017171C"/>
    <w:rsid w:val="001717C1"/>
    <w:rsid w:val="00171CA7"/>
    <w:rsid w:val="001724E1"/>
    <w:rsid w:val="001727F4"/>
    <w:rsid w:val="00173C7E"/>
    <w:rsid w:val="00174139"/>
    <w:rsid w:val="001760AB"/>
    <w:rsid w:val="001769F4"/>
    <w:rsid w:val="001810D4"/>
    <w:rsid w:val="001857CA"/>
    <w:rsid w:val="001869BD"/>
    <w:rsid w:val="00190DBD"/>
    <w:rsid w:val="00192802"/>
    <w:rsid w:val="00195465"/>
    <w:rsid w:val="00195931"/>
    <w:rsid w:val="00196C25"/>
    <w:rsid w:val="00196F5A"/>
    <w:rsid w:val="001A049E"/>
    <w:rsid w:val="001A054F"/>
    <w:rsid w:val="001A5D25"/>
    <w:rsid w:val="001B033E"/>
    <w:rsid w:val="001B1F27"/>
    <w:rsid w:val="001B6844"/>
    <w:rsid w:val="001C01D0"/>
    <w:rsid w:val="001C080E"/>
    <w:rsid w:val="001C19FF"/>
    <w:rsid w:val="001C1CA1"/>
    <w:rsid w:val="001C2329"/>
    <w:rsid w:val="001C2F31"/>
    <w:rsid w:val="001C394B"/>
    <w:rsid w:val="001C6630"/>
    <w:rsid w:val="001C6A24"/>
    <w:rsid w:val="001D0C4E"/>
    <w:rsid w:val="001D26C9"/>
    <w:rsid w:val="001D40E3"/>
    <w:rsid w:val="001D4F9C"/>
    <w:rsid w:val="001D6E90"/>
    <w:rsid w:val="001E2BFC"/>
    <w:rsid w:val="001E5FB5"/>
    <w:rsid w:val="001E711D"/>
    <w:rsid w:val="001F06C5"/>
    <w:rsid w:val="001F154A"/>
    <w:rsid w:val="001F1A04"/>
    <w:rsid w:val="001F3E71"/>
    <w:rsid w:val="001F5348"/>
    <w:rsid w:val="001F553F"/>
    <w:rsid w:val="001F6616"/>
    <w:rsid w:val="002022F4"/>
    <w:rsid w:val="00204F29"/>
    <w:rsid w:val="002060D9"/>
    <w:rsid w:val="002114D6"/>
    <w:rsid w:val="00211FBE"/>
    <w:rsid w:val="00213E33"/>
    <w:rsid w:val="00217026"/>
    <w:rsid w:val="00220B2D"/>
    <w:rsid w:val="00223BEB"/>
    <w:rsid w:val="00223DC9"/>
    <w:rsid w:val="00225B81"/>
    <w:rsid w:val="00226B8F"/>
    <w:rsid w:val="00227613"/>
    <w:rsid w:val="0023233F"/>
    <w:rsid w:val="00232A96"/>
    <w:rsid w:val="002356AB"/>
    <w:rsid w:val="002371AE"/>
    <w:rsid w:val="00237254"/>
    <w:rsid w:val="00237700"/>
    <w:rsid w:val="00241588"/>
    <w:rsid w:val="0024346F"/>
    <w:rsid w:val="002434F2"/>
    <w:rsid w:val="00255A1C"/>
    <w:rsid w:val="00255C42"/>
    <w:rsid w:val="00255DCD"/>
    <w:rsid w:val="00255F0D"/>
    <w:rsid w:val="00257273"/>
    <w:rsid w:val="002603C3"/>
    <w:rsid w:val="00260626"/>
    <w:rsid w:val="002652A7"/>
    <w:rsid w:val="00267CF4"/>
    <w:rsid w:val="0027152D"/>
    <w:rsid w:val="00271948"/>
    <w:rsid w:val="00271E99"/>
    <w:rsid w:val="00272F19"/>
    <w:rsid w:val="00274370"/>
    <w:rsid w:val="00274DB5"/>
    <w:rsid w:val="00276455"/>
    <w:rsid w:val="00280795"/>
    <w:rsid w:val="00282712"/>
    <w:rsid w:val="0028294F"/>
    <w:rsid w:val="00282DB2"/>
    <w:rsid w:val="00282E2B"/>
    <w:rsid w:val="00284433"/>
    <w:rsid w:val="002852E4"/>
    <w:rsid w:val="002855FB"/>
    <w:rsid w:val="00285883"/>
    <w:rsid w:val="0028597D"/>
    <w:rsid w:val="00285E94"/>
    <w:rsid w:val="00287B18"/>
    <w:rsid w:val="002934A2"/>
    <w:rsid w:val="00293F58"/>
    <w:rsid w:val="00295012"/>
    <w:rsid w:val="00295A8D"/>
    <w:rsid w:val="00296FA2"/>
    <w:rsid w:val="00297A13"/>
    <w:rsid w:val="00297CF8"/>
    <w:rsid w:val="00297D7D"/>
    <w:rsid w:val="002A001A"/>
    <w:rsid w:val="002A0160"/>
    <w:rsid w:val="002A19D0"/>
    <w:rsid w:val="002A23C9"/>
    <w:rsid w:val="002A2B68"/>
    <w:rsid w:val="002A38E1"/>
    <w:rsid w:val="002A3902"/>
    <w:rsid w:val="002A3A8D"/>
    <w:rsid w:val="002A725D"/>
    <w:rsid w:val="002A7B58"/>
    <w:rsid w:val="002A7B5E"/>
    <w:rsid w:val="002B141F"/>
    <w:rsid w:val="002B2DD6"/>
    <w:rsid w:val="002B3C23"/>
    <w:rsid w:val="002B3E9D"/>
    <w:rsid w:val="002B4B51"/>
    <w:rsid w:val="002B5A10"/>
    <w:rsid w:val="002B5FA2"/>
    <w:rsid w:val="002C04A6"/>
    <w:rsid w:val="002C0B34"/>
    <w:rsid w:val="002C0F09"/>
    <w:rsid w:val="002C14C5"/>
    <w:rsid w:val="002C17D9"/>
    <w:rsid w:val="002C2F68"/>
    <w:rsid w:val="002C568F"/>
    <w:rsid w:val="002D1D9D"/>
    <w:rsid w:val="002D2076"/>
    <w:rsid w:val="002D266B"/>
    <w:rsid w:val="002D3BFF"/>
    <w:rsid w:val="002D4157"/>
    <w:rsid w:val="002D4AAC"/>
    <w:rsid w:val="002D5B39"/>
    <w:rsid w:val="002E16CD"/>
    <w:rsid w:val="002E6A01"/>
    <w:rsid w:val="002E7DDA"/>
    <w:rsid w:val="002F0AC0"/>
    <w:rsid w:val="002F36BD"/>
    <w:rsid w:val="002F37C1"/>
    <w:rsid w:val="002F3ABE"/>
    <w:rsid w:val="00302E57"/>
    <w:rsid w:val="00304A73"/>
    <w:rsid w:val="00305651"/>
    <w:rsid w:val="00312F7A"/>
    <w:rsid w:val="00313C03"/>
    <w:rsid w:val="00314D70"/>
    <w:rsid w:val="00315009"/>
    <w:rsid w:val="003176B9"/>
    <w:rsid w:val="00321C8E"/>
    <w:rsid w:val="00322E79"/>
    <w:rsid w:val="00324F65"/>
    <w:rsid w:val="003274B9"/>
    <w:rsid w:val="00333D35"/>
    <w:rsid w:val="0033460E"/>
    <w:rsid w:val="00340075"/>
    <w:rsid w:val="003405A1"/>
    <w:rsid w:val="00340657"/>
    <w:rsid w:val="00343DDF"/>
    <w:rsid w:val="0034502A"/>
    <w:rsid w:val="003453DF"/>
    <w:rsid w:val="00345EE9"/>
    <w:rsid w:val="003470C8"/>
    <w:rsid w:val="003526F5"/>
    <w:rsid w:val="00352DFA"/>
    <w:rsid w:val="00352F15"/>
    <w:rsid w:val="00353B35"/>
    <w:rsid w:val="0035446D"/>
    <w:rsid w:val="0035596A"/>
    <w:rsid w:val="00356F3F"/>
    <w:rsid w:val="00357288"/>
    <w:rsid w:val="003575A3"/>
    <w:rsid w:val="00364878"/>
    <w:rsid w:val="003659EF"/>
    <w:rsid w:val="003668F7"/>
    <w:rsid w:val="00371FF0"/>
    <w:rsid w:val="00372783"/>
    <w:rsid w:val="00372973"/>
    <w:rsid w:val="003746F1"/>
    <w:rsid w:val="00377CBF"/>
    <w:rsid w:val="0038057E"/>
    <w:rsid w:val="0038085B"/>
    <w:rsid w:val="003811AF"/>
    <w:rsid w:val="0038214E"/>
    <w:rsid w:val="00383FF1"/>
    <w:rsid w:val="00386FF7"/>
    <w:rsid w:val="00390C1B"/>
    <w:rsid w:val="00391B1F"/>
    <w:rsid w:val="00393A8B"/>
    <w:rsid w:val="0039544C"/>
    <w:rsid w:val="003955DD"/>
    <w:rsid w:val="003958B6"/>
    <w:rsid w:val="003A06BC"/>
    <w:rsid w:val="003A34B7"/>
    <w:rsid w:val="003B13B9"/>
    <w:rsid w:val="003B2BFB"/>
    <w:rsid w:val="003B3EB7"/>
    <w:rsid w:val="003B5C1C"/>
    <w:rsid w:val="003B5E39"/>
    <w:rsid w:val="003B6105"/>
    <w:rsid w:val="003B63A1"/>
    <w:rsid w:val="003B79B1"/>
    <w:rsid w:val="003C0334"/>
    <w:rsid w:val="003C08EB"/>
    <w:rsid w:val="003C3AAB"/>
    <w:rsid w:val="003C47E7"/>
    <w:rsid w:val="003D17A7"/>
    <w:rsid w:val="003D1A16"/>
    <w:rsid w:val="003D23C8"/>
    <w:rsid w:val="003D4745"/>
    <w:rsid w:val="003E482A"/>
    <w:rsid w:val="003E50A1"/>
    <w:rsid w:val="003E52AB"/>
    <w:rsid w:val="003E722A"/>
    <w:rsid w:val="003E7603"/>
    <w:rsid w:val="003F16D6"/>
    <w:rsid w:val="003F27A4"/>
    <w:rsid w:val="003F30FE"/>
    <w:rsid w:val="003F357F"/>
    <w:rsid w:val="003F3817"/>
    <w:rsid w:val="003F3C1E"/>
    <w:rsid w:val="003F3EAD"/>
    <w:rsid w:val="003F4815"/>
    <w:rsid w:val="003F560A"/>
    <w:rsid w:val="003F6B5C"/>
    <w:rsid w:val="003F7813"/>
    <w:rsid w:val="00400FF2"/>
    <w:rsid w:val="004024FC"/>
    <w:rsid w:val="00403BA9"/>
    <w:rsid w:val="00405454"/>
    <w:rsid w:val="004068F7"/>
    <w:rsid w:val="004112AB"/>
    <w:rsid w:val="00411354"/>
    <w:rsid w:val="00412E8E"/>
    <w:rsid w:val="00413316"/>
    <w:rsid w:val="00413F76"/>
    <w:rsid w:val="00413FB9"/>
    <w:rsid w:val="00414180"/>
    <w:rsid w:val="00414513"/>
    <w:rsid w:val="004150B4"/>
    <w:rsid w:val="004152B9"/>
    <w:rsid w:val="004169EA"/>
    <w:rsid w:val="00420274"/>
    <w:rsid w:val="00420EEF"/>
    <w:rsid w:val="004212E4"/>
    <w:rsid w:val="004216B5"/>
    <w:rsid w:val="00423E5E"/>
    <w:rsid w:val="00425681"/>
    <w:rsid w:val="00425D6C"/>
    <w:rsid w:val="00427193"/>
    <w:rsid w:val="00427855"/>
    <w:rsid w:val="00430650"/>
    <w:rsid w:val="004329BA"/>
    <w:rsid w:val="00434E02"/>
    <w:rsid w:val="00437B0E"/>
    <w:rsid w:val="0044129B"/>
    <w:rsid w:val="004424EF"/>
    <w:rsid w:val="0044282B"/>
    <w:rsid w:val="004433C7"/>
    <w:rsid w:val="00443675"/>
    <w:rsid w:val="004452F8"/>
    <w:rsid w:val="00450097"/>
    <w:rsid w:val="00451DBD"/>
    <w:rsid w:val="004521DA"/>
    <w:rsid w:val="004523D0"/>
    <w:rsid w:val="004527E1"/>
    <w:rsid w:val="00452BCD"/>
    <w:rsid w:val="00456760"/>
    <w:rsid w:val="00457A4F"/>
    <w:rsid w:val="00461AE8"/>
    <w:rsid w:val="004625C1"/>
    <w:rsid w:val="004641F1"/>
    <w:rsid w:val="00467381"/>
    <w:rsid w:val="00467451"/>
    <w:rsid w:val="004678BE"/>
    <w:rsid w:val="00470959"/>
    <w:rsid w:val="00471D8B"/>
    <w:rsid w:val="004724A1"/>
    <w:rsid w:val="00473234"/>
    <w:rsid w:val="00473BA3"/>
    <w:rsid w:val="00474A6B"/>
    <w:rsid w:val="00481E9F"/>
    <w:rsid w:val="00486130"/>
    <w:rsid w:val="00486BA8"/>
    <w:rsid w:val="00487D6E"/>
    <w:rsid w:val="00487EF5"/>
    <w:rsid w:val="00492B22"/>
    <w:rsid w:val="00494647"/>
    <w:rsid w:val="0049745C"/>
    <w:rsid w:val="00497726"/>
    <w:rsid w:val="00497B2E"/>
    <w:rsid w:val="00497E92"/>
    <w:rsid w:val="004A0B2D"/>
    <w:rsid w:val="004A1929"/>
    <w:rsid w:val="004A3472"/>
    <w:rsid w:val="004A49F0"/>
    <w:rsid w:val="004A5E73"/>
    <w:rsid w:val="004B13D2"/>
    <w:rsid w:val="004B36B9"/>
    <w:rsid w:val="004B3C67"/>
    <w:rsid w:val="004B637A"/>
    <w:rsid w:val="004B7673"/>
    <w:rsid w:val="004C1870"/>
    <w:rsid w:val="004C21C7"/>
    <w:rsid w:val="004C47A9"/>
    <w:rsid w:val="004C5B9C"/>
    <w:rsid w:val="004C762C"/>
    <w:rsid w:val="004C7AEE"/>
    <w:rsid w:val="004D07A8"/>
    <w:rsid w:val="004D2B8E"/>
    <w:rsid w:val="004D3765"/>
    <w:rsid w:val="004D4BE2"/>
    <w:rsid w:val="004D58C1"/>
    <w:rsid w:val="004D5AC3"/>
    <w:rsid w:val="004D7696"/>
    <w:rsid w:val="004E145D"/>
    <w:rsid w:val="004E1975"/>
    <w:rsid w:val="004E48DA"/>
    <w:rsid w:val="004E6F3B"/>
    <w:rsid w:val="004F02D2"/>
    <w:rsid w:val="004F1FC7"/>
    <w:rsid w:val="004F4326"/>
    <w:rsid w:val="004F6EE6"/>
    <w:rsid w:val="004F75A0"/>
    <w:rsid w:val="005004B1"/>
    <w:rsid w:val="00500823"/>
    <w:rsid w:val="00501412"/>
    <w:rsid w:val="00501877"/>
    <w:rsid w:val="00502C0C"/>
    <w:rsid w:val="00503971"/>
    <w:rsid w:val="00505E92"/>
    <w:rsid w:val="0050798D"/>
    <w:rsid w:val="0051287F"/>
    <w:rsid w:val="00512AED"/>
    <w:rsid w:val="00512DE6"/>
    <w:rsid w:val="00513BFA"/>
    <w:rsid w:val="0052238C"/>
    <w:rsid w:val="0052238F"/>
    <w:rsid w:val="0052308D"/>
    <w:rsid w:val="00524292"/>
    <w:rsid w:val="00525E16"/>
    <w:rsid w:val="005325CC"/>
    <w:rsid w:val="005342A4"/>
    <w:rsid w:val="00534C63"/>
    <w:rsid w:val="00536846"/>
    <w:rsid w:val="00540922"/>
    <w:rsid w:val="005438D1"/>
    <w:rsid w:val="00543CD1"/>
    <w:rsid w:val="00544C00"/>
    <w:rsid w:val="0054631B"/>
    <w:rsid w:val="0054744F"/>
    <w:rsid w:val="0054760E"/>
    <w:rsid w:val="0055016C"/>
    <w:rsid w:val="005522F2"/>
    <w:rsid w:val="005540D8"/>
    <w:rsid w:val="00557DC9"/>
    <w:rsid w:val="005635C9"/>
    <w:rsid w:val="005669FD"/>
    <w:rsid w:val="005675A5"/>
    <w:rsid w:val="00570959"/>
    <w:rsid w:val="00572357"/>
    <w:rsid w:val="005773A9"/>
    <w:rsid w:val="00577C8E"/>
    <w:rsid w:val="00582367"/>
    <w:rsid w:val="005823F5"/>
    <w:rsid w:val="0058395A"/>
    <w:rsid w:val="0058423D"/>
    <w:rsid w:val="005860E9"/>
    <w:rsid w:val="00590311"/>
    <w:rsid w:val="00590713"/>
    <w:rsid w:val="00590A1B"/>
    <w:rsid w:val="00590E0F"/>
    <w:rsid w:val="00592F21"/>
    <w:rsid w:val="005933FA"/>
    <w:rsid w:val="005943FD"/>
    <w:rsid w:val="005945AE"/>
    <w:rsid w:val="00594942"/>
    <w:rsid w:val="005968D1"/>
    <w:rsid w:val="005A04F3"/>
    <w:rsid w:val="005A10EC"/>
    <w:rsid w:val="005A12A8"/>
    <w:rsid w:val="005A41C0"/>
    <w:rsid w:val="005A45BD"/>
    <w:rsid w:val="005A47CE"/>
    <w:rsid w:val="005A52A9"/>
    <w:rsid w:val="005A6217"/>
    <w:rsid w:val="005A6481"/>
    <w:rsid w:val="005B0FEC"/>
    <w:rsid w:val="005B11EB"/>
    <w:rsid w:val="005B30ED"/>
    <w:rsid w:val="005B3470"/>
    <w:rsid w:val="005B37A1"/>
    <w:rsid w:val="005C0544"/>
    <w:rsid w:val="005C058A"/>
    <w:rsid w:val="005C0958"/>
    <w:rsid w:val="005C0A53"/>
    <w:rsid w:val="005C154F"/>
    <w:rsid w:val="005C1C9D"/>
    <w:rsid w:val="005C1EF4"/>
    <w:rsid w:val="005C2888"/>
    <w:rsid w:val="005C41A2"/>
    <w:rsid w:val="005C4E37"/>
    <w:rsid w:val="005C5156"/>
    <w:rsid w:val="005C60F3"/>
    <w:rsid w:val="005C67A2"/>
    <w:rsid w:val="005D1077"/>
    <w:rsid w:val="005D29E6"/>
    <w:rsid w:val="005D4F34"/>
    <w:rsid w:val="005D533D"/>
    <w:rsid w:val="005D5E5A"/>
    <w:rsid w:val="005D6AEC"/>
    <w:rsid w:val="005D7EE6"/>
    <w:rsid w:val="005E36C9"/>
    <w:rsid w:val="005E6044"/>
    <w:rsid w:val="005E63A8"/>
    <w:rsid w:val="005F14DA"/>
    <w:rsid w:val="005F257A"/>
    <w:rsid w:val="005F2B8A"/>
    <w:rsid w:val="005F3189"/>
    <w:rsid w:val="005F31AC"/>
    <w:rsid w:val="005F45B0"/>
    <w:rsid w:val="005F6414"/>
    <w:rsid w:val="005F6A89"/>
    <w:rsid w:val="005F6AFB"/>
    <w:rsid w:val="00600F96"/>
    <w:rsid w:val="00601664"/>
    <w:rsid w:val="00603A3D"/>
    <w:rsid w:val="00603C1D"/>
    <w:rsid w:val="00604373"/>
    <w:rsid w:val="0060641A"/>
    <w:rsid w:val="00606727"/>
    <w:rsid w:val="00612C15"/>
    <w:rsid w:val="006136E6"/>
    <w:rsid w:val="006143EA"/>
    <w:rsid w:val="0061553E"/>
    <w:rsid w:val="00616107"/>
    <w:rsid w:val="006235EE"/>
    <w:rsid w:val="006240C6"/>
    <w:rsid w:val="00627ED0"/>
    <w:rsid w:val="006302E2"/>
    <w:rsid w:val="00630438"/>
    <w:rsid w:val="00630AD6"/>
    <w:rsid w:val="00631C4B"/>
    <w:rsid w:val="006333FF"/>
    <w:rsid w:val="00634CFB"/>
    <w:rsid w:val="00635874"/>
    <w:rsid w:val="00642094"/>
    <w:rsid w:val="006424DB"/>
    <w:rsid w:val="00643A07"/>
    <w:rsid w:val="00644455"/>
    <w:rsid w:val="006470AE"/>
    <w:rsid w:val="006474FB"/>
    <w:rsid w:val="00651029"/>
    <w:rsid w:val="006517ED"/>
    <w:rsid w:val="00654F3C"/>
    <w:rsid w:val="00655D33"/>
    <w:rsid w:val="0065712D"/>
    <w:rsid w:val="00660F1D"/>
    <w:rsid w:val="00662B7D"/>
    <w:rsid w:val="00663AD1"/>
    <w:rsid w:val="00671CC2"/>
    <w:rsid w:val="00671D80"/>
    <w:rsid w:val="0067375A"/>
    <w:rsid w:val="00675D5F"/>
    <w:rsid w:val="006767C0"/>
    <w:rsid w:val="00676A92"/>
    <w:rsid w:val="00681E86"/>
    <w:rsid w:val="00685167"/>
    <w:rsid w:val="00685281"/>
    <w:rsid w:val="0069072E"/>
    <w:rsid w:val="00692A24"/>
    <w:rsid w:val="00694197"/>
    <w:rsid w:val="0069480A"/>
    <w:rsid w:val="006952F7"/>
    <w:rsid w:val="00696814"/>
    <w:rsid w:val="006976B6"/>
    <w:rsid w:val="00697B96"/>
    <w:rsid w:val="006A00C5"/>
    <w:rsid w:val="006A099E"/>
    <w:rsid w:val="006A12EA"/>
    <w:rsid w:val="006A14D5"/>
    <w:rsid w:val="006A1CC4"/>
    <w:rsid w:val="006A1E62"/>
    <w:rsid w:val="006A2AA2"/>
    <w:rsid w:val="006A30A3"/>
    <w:rsid w:val="006A33F0"/>
    <w:rsid w:val="006A361C"/>
    <w:rsid w:val="006A4239"/>
    <w:rsid w:val="006A5D02"/>
    <w:rsid w:val="006A5F5B"/>
    <w:rsid w:val="006B1127"/>
    <w:rsid w:val="006B1F3D"/>
    <w:rsid w:val="006B3516"/>
    <w:rsid w:val="006B3F6C"/>
    <w:rsid w:val="006B620E"/>
    <w:rsid w:val="006B6B31"/>
    <w:rsid w:val="006B6DD9"/>
    <w:rsid w:val="006B747D"/>
    <w:rsid w:val="006C0A33"/>
    <w:rsid w:val="006C0A4A"/>
    <w:rsid w:val="006C1F9E"/>
    <w:rsid w:val="006C3BFC"/>
    <w:rsid w:val="006C4CDB"/>
    <w:rsid w:val="006C7234"/>
    <w:rsid w:val="006D0F1D"/>
    <w:rsid w:val="006D3687"/>
    <w:rsid w:val="006D415F"/>
    <w:rsid w:val="006D72B8"/>
    <w:rsid w:val="006E18FD"/>
    <w:rsid w:val="006E190B"/>
    <w:rsid w:val="006E289E"/>
    <w:rsid w:val="006E3140"/>
    <w:rsid w:val="006E4DF8"/>
    <w:rsid w:val="006E5496"/>
    <w:rsid w:val="006E67D2"/>
    <w:rsid w:val="006E7C64"/>
    <w:rsid w:val="006F02ED"/>
    <w:rsid w:val="006F04DA"/>
    <w:rsid w:val="006F0D67"/>
    <w:rsid w:val="006F131B"/>
    <w:rsid w:val="006F1F64"/>
    <w:rsid w:val="006F315C"/>
    <w:rsid w:val="006F4EFB"/>
    <w:rsid w:val="006F74DF"/>
    <w:rsid w:val="006F7E4F"/>
    <w:rsid w:val="007004C2"/>
    <w:rsid w:val="00702242"/>
    <w:rsid w:val="00702455"/>
    <w:rsid w:val="007028F5"/>
    <w:rsid w:val="00702A56"/>
    <w:rsid w:val="007078CE"/>
    <w:rsid w:val="0071296E"/>
    <w:rsid w:val="00713111"/>
    <w:rsid w:val="00713D9E"/>
    <w:rsid w:val="00714E98"/>
    <w:rsid w:val="00715DF2"/>
    <w:rsid w:val="0071769D"/>
    <w:rsid w:val="00717AFE"/>
    <w:rsid w:val="00721837"/>
    <w:rsid w:val="0072202A"/>
    <w:rsid w:val="0072423B"/>
    <w:rsid w:val="007303AC"/>
    <w:rsid w:val="00731920"/>
    <w:rsid w:val="00731BA4"/>
    <w:rsid w:val="00731D0A"/>
    <w:rsid w:val="0073276B"/>
    <w:rsid w:val="00733882"/>
    <w:rsid w:val="0073483C"/>
    <w:rsid w:val="007371B8"/>
    <w:rsid w:val="0074125D"/>
    <w:rsid w:val="007421E4"/>
    <w:rsid w:val="007424D1"/>
    <w:rsid w:val="0074350D"/>
    <w:rsid w:val="00743BAA"/>
    <w:rsid w:val="00745539"/>
    <w:rsid w:val="00745F99"/>
    <w:rsid w:val="007462D9"/>
    <w:rsid w:val="00746F0D"/>
    <w:rsid w:val="00751E11"/>
    <w:rsid w:val="00752D07"/>
    <w:rsid w:val="00753C5E"/>
    <w:rsid w:val="00754099"/>
    <w:rsid w:val="007540A2"/>
    <w:rsid w:val="007543F9"/>
    <w:rsid w:val="0075615C"/>
    <w:rsid w:val="00756F8E"/>
    <w:rsid w:val="0075746A"/>
    <w:rsid w:val="00764891"/>
    <w:rsid w:val="00764C0C"/>
    <w:rsid w:val="00764D9C"/>
    <w:rsid w:val="007650EB"/>
    <w:rsid w:val="00765FE0"/>
    <w:rsid w:val="007677EE"/>
    <w:rsid w:val="00771C6A"/>
    <w:rsid w:val="00772202"/>
    <w:rsid w:val="007724C2"/>
    <w:rsid w:val="00772F76"/>
    <w:rsid w:val="00775FA0"/>
    <w:rsid w:val="00777137"/>
    <w:rsid w:val="0077728A"/>
    <w:rsid w:val="00781363"/>
    <w:rsid w:val="00782E36"/>
    <w:rsid w:val="007839CF"/>
    <w:rsid w:val="00783EEC"/>
    <w:rsid w:val="00786683"/>
    <w:rsid w:val="00786760"/>
    <w:rsid w:val="00787851"/>
    <w:rsid w:val="00791FD2"/>
    <w:rsid w:val="00792171"/>
    <w:rsid w:val="007943A5"/>
    <w:rsid w:val="007A0244"/>
    <w:rsid w:val="007A045F"/>
    <w:rsid w:val="007A0763"/>
    <w:rsid w:val="007A1B29"/>
    <w:rsid w:val="007A3588"/>
    <w:rsid w:val="007A4164"/>
    <w:rsid w:val="007A58D6"/>
    <w:rsid w:val="007A6874"/>
    <w:rsid w:val="007A6ECA"/>
    <w:rsid w:val="007B4254"/>
    <w:rsid w:val="007B6BB3"/>
    <w:rsid w:val="007C135E"/>
    <w:rsid w:val="007C31E2"/>
    <w:rsid w:val="007C36AC"/>
    <w:rsid w:val="007C44A0"/>
    <w:rsid w:val="007C466B"/>
    <w:rsid w:val="007C47D7"/>
    <w:rsid w:val="007C4A00"/>
    <w:rsid w:val="007D2565"/>
    <w:rsid w:val="007D2570"/>
    <w:rsid w:val="007D287D"/>
    <w:rsid w:val="007D3112"/>
    <w:rsid w:val="007D37F2"/>
    <w:rsid w:val="007D6C3C"/>
    <w:rsid w:val="007D6CA3"/>
    <w:rsid w:val="007D74FB"/>
    <w:rsid w:val="007D7F28"/>
    <w:rsid w:val="007D7F7A"/>
    <w:rsid w:val="007E1F95"/>
    <w:rsid w:val="007E2BEE"/>
    <w:rsid w:val="007E3352"/>
    <w:rsid w:val="007E450B"/>
    <w:rsid w:val="007E5217"/>
    <w:rsid w:val="007E52C3"/>
    <w:rsid w:val="007E6E25"/>
    <w:rsid w:val="007E716E"/>
    <w:rsid w:val="007F077B"/>
    <w:rsid w:val="007F1727"/>
    <w:rsid w:val="007F1FAA"/>
    <w:rsid w:val="007F219B"/>
    <w:rsid w:val="007F3E85"/>
    <w:rsid w:val="007F4D88"/>
    <w:rsid w:val="007F539A"/>
    <w:rsid w:val="007F6CCC"/>
    <w:rsid w:val="007F6CCE"/>
    <w:rsid w:val="007F7CCF"/>
    <w:rsid w:val="0080290D"/>
    <w:rsid w:val="008029C4"/>
    <w:rsid w:val="00802B9E"/>
    <w:rsid w:val="0080507F"/>
    <w:rsid w:val="00805E73"/>
    <w:rsid w:val="0080603D"/>
    <w:rsid w:val="0080620E"/>
    <w:rsid w:val="00807C51"/>
    <w:rsid w:val="00807F64"/>
    <w:rsid w:val="0081084A"/>
    <w:rsid w:val="008128B7"/>
    <w:rsid w:val="00813D9E"/>
    <w:rsid w:val="008144F3"/>
    <w:rsid w:val="00814829"/>
    <w:rsid w:val="0081699D"/>
    <w:rsid w:val="00820680"/>
    <w:rsid w:val="00821163"/>
    <w:rsid w:val="00821C0A"/>
    <w:rsid w:val="00822711"/>
    <w:rsid w:val="0082416D"/>
    <w:rsid w:val="00826199"/>
    <w:rsid w:val="00827D80"/>
    <w:rsid w:val="00831C1B"/>
    <w:rsid w:val="00832BCF"/>
    <w:rsid w:val="0083420A"/>
    <w:rsid w:val="00834AB5"/>
    <w:rsid w:val="008361B8"/>
    <w:rsid w:val="00836E96"/>
    <w:rsid w:val="0083724E"/>
    <w:rsid w:val="00844E3D"/>
    <w:rsid w:val="00845A41"/>
    <w:rsid w:val="00846CAC"/>
    <w:rsid w:val="00847BED"/>
    <w:rsid w:val="0085041A"/>
    <w:rsid w:val="00851CBC"/>
    <w:rsid w:val="0085621B"/>
    <w:rsid w:val="00856605"/>
    <w:rsid w:val="00857886"/>
    <w:rsid w:val="00857D15"/>
    <w:rsid w:val="008615C9"/>
    <w:rsid w:val="00861B30"/>
    <w:rsid w:val="00861B61"/>
    <w:rsid w:val="00862EDD"/>
    <w:rsid w:val="008637E2"/>
    <w:rsid w:val="00864621"/>
    <w:rsid w:val="00866D26"/>
    <w:rsid w:val="008702D6"/>
    <w:rsid w:val="00870AE9"/>
    <w:rsid w:val="00874FBF"/>
    <w:rsid w:val="00875B81"/>
    <w:rsid w:val="008770E5"/>
    <w:rsid w:val="00877A41"/>
    <w:rsid w:val="00881EF0"/>
    <w:rsid w:val="00882109"/>
    <w:rsid w:val="00882706"/>
    <w:rsid w:val="00882A57"/>
    <w:rsid w:val="0088462B"/>
    <w:rsid w:val="00887FB8"/>
    <w:rsid w:val="008915B5"/>
    <w:rsid w:val="0089397A"/>
    <w:rsid w:val="00894064"/>
    <w:rsid w:val="00895870"/>
    <w:rsid w:val="008A1F11"/>
    <w:rsid w:val="008A2099"/>
    <w:rsid w:val="008A4101"/>
    <w:rsid w:val="008A4989"/>
    <w:rsid w:val="008A4C74"/>
    <w:rsid w:val="008A4F7E"/>
    <w:rsid w:val="008A59B4"/>
    <w:rsid w:val="008A7288"/>
    <w:rsid w:val="008B0FFE"/>
    <w:rsid w:val="008B36A0"/>
    <w:rsid w:val="008C084F"/>
    <w:rsid w:val="008C087A"/>
    <w:rsid w:val="008C1940"/>
    <w:rsid w:val="008C68BE"/>
    <w:rsid w:val="008D0C99"/>
    <w:rsid w:val="008D1032"/>
    <w:rsid w:val="008D13BA"/>
    <w:rsid w:val="008D34D9"/>
    <w:rsid w:val="008D5AB5"/>
    <w:rsid w:val="008E1373"/>
    <w:rsid w:val="008E2E2D"/>
    <w:rsid w:val="008E2FF7"/>
    <w:rsid w:val="008E3949"/>
    <w:rsid w:val="008E544D"/>
    <w:rsid w:val="008F083E"/>
    <w:rsid w:val="008F2DF0"/>
    <w:rsid w:val="008F3D63"/>
    <w:rsid w:val="008F5FFE"/>
    <w:rsid w:val="008F7795"/>
    <w:rsid w:val="009002F8"/>
    <w:rsid w:val="009029A6"/>
    <w:rsid w:val="00904D01"/>
    <w:rsid w:val="00905914"/>
    <w:rsid w:val="00905DA6"/>
    <w:rsid w:val="00906499"/>
    <w:rsid w:val="00906DEF"/>
    <w:rsid w:val="00910CB3"/>
    <w:rsid w:val="00911168"/>
    <w:rsid w:val="0091223E"/>
    <w:rsid w:val="009142B8"/>
    <w:rsid w:val="00917B18"/>
    <w:rsid w:val="00917C0B"/>
    <w:rsid w:val="00920218"/>
    <w:rsid w:val="009225B9"/>
    <w:rsid w:val="00922F59"/>
    <w:rsid w:val="00923EE7"/>
    <w:rsid w:val="00924A78"/>
    <w:rsid w:val="00925C13"/>
    <w:rsid w:val="009268BD"/>
    <w:rsid w:val="00930462"/>
    <w:rsid w:val="00935304"/>
    <w:rsid w:val="009363BF"/>
    <w:rsid w:val="00937D09"/>
    <w:rsid w:val="00942AC5"/>
    <w:rsid w:val="00950E03"/>
    <w:rsid w:val="00955250"/>
    <w:rsid w:val="00956F08"/>
    <w:rsid w:val="00957C5A"/>
    <w:rsid w:val="00957C6A"/>
    <w:rsid w:val="0096087C"/>
    <w:rsid w:val="00961629"/>
    <w:rsid w:val="009628DC"/>
    <w:rsid w:val="00964181"/>
    <w:rsid w:val="009645F2"/>
    <w:rsid w:val="0097002B"/>
    <w:rsid w:val="009706C6"/>
    <w:rsid w:val="00971100"/>
    <w:rsid w:val="00971E2B"/>
    <w:rsid w:val="00972DAD"/>
    <w:rsid w:val="0097322E"/>
    <w:rsid w:val="009775A6"/>
    <w:rsid w:val="00977CA6"/>
    <w:rsid w:val="009857EC"/>
    <w:rsid w:val="009860B0"/>
    <w:rsid w:val="00986BE8"/>
    <w:rsid w:val="00987498"/>
    <w:rsid w:val="0099238A"/>
    <w:rsid w:val="00994E47"/>
    <w:rsid w:val="00995D56"/>
    <w:rsid w:val="009A051D"/>
    <w:rsid w:val="009A3265"/>
    <w:rsid w:val="009A53DE"/>
    <w:rsid w:val="009A6565"/>
    <w:rsid w:val="009A7760"/>
    <w:rsid w:val="009B0ACA"/>
    <w:rsid w:val="009B19A7"/>
    <w:rsid w:val="009B2098"/>
    <w:rsid w:val="009B28A8"/>
    <w:rsid w:val="009B39FF"/>
    <w:rsid w:val="009B4F59"/>
    <w:rsid w:val="009B6788"/>
    <w:rsid w:val="009B712F"/>
    <w:rsid w:val="009B7A2B"/>
    <w:rsid w:val="009C0AEC"/>
    <w:rsid w:val="009C0D34"/>
    <w:rsid w:val="009C18C7"/>
    <w:rsid w:val="009C42DE"/>
    <w:rsid w:val="009C6DAC"/>
    <w:rsid w:val="009C7DC7"/>
    <w:rsid w:val="009C7F7E"/>
    <w:rsid w:val="009D07FD"/>
    <w:rsid w:val="009D08F0"/>
    <w:rsid w:val="009D0D3A"/>
    <w:rsid w:val="009D414F"/>
    <w:rsid w:val="009D58D8"/>
    <w:rsid w:val="009D6158"/>
    <w:rsid w:val="009E109C"/>
    <w:rsid w:val="009E38B7"/>
    <w:rsid w:val="009E3B3B"/>
    <w:rsid w:val="009E3C63"/>
    <w:rsid w:val="009E4718"/>
    <w:rsid w:val="009E6CF5"/>
    <w:rsid w:val="009F107B"/>
    <w:rsid w:val="009F1759"/>
    <w:rsid w:val="009F2006"/>
    <w:rsid w:val="009F3D28"/>
    <w:rsid w:val="009F4BA1"/>
    <w:rsid w:val="00A018A2"/>
    <w:rsid w:val="00A050EB"/>
    <w:rsid w:val="00A06DF3"/>
    <w:rsid w:val="00A07213"/>
    <w:rsid w:val="00A07F87"/>
    <w:rsid w:val="00A11CFC"/>
    <w:rsid w:val="00A1518B"/>
    <w:rsid w:val="00A2208E"/>
    <w:rsid w:val="00A235CD"/>
    <w:rsid w:val="00A240EC"/>
    <w:rsid w:val="00A24933"/>
    <w:rsid w:val="00A27391"/>
    <w:rsid w:val="00A30B64"/>
    <w:rsid w:val="00A315BB"/>
    <w:rsid w:val="00A31AB5"/>
    <w:rsid w:val="00A32256"/>
    <w:rsid w:val="00A352AE"/>
    <w:rsid w:val="00A3556B"/>
    <w:rsid w:val="00A35CAF"/>
    <w:rsid w:val="00A35CCD"/>
    <w:rsid w:val="00A36A6E"/>
    <w:rsid w:val="00A3740E"/>
    <w:rsid w:val="00A41B25"/>
    <w:rsid w:val="00A42971"/>
    <w:rsid w:val="00A435BB"/>
    <w:rsid w:val="00A4402D"/>
    <w:rsid w:val="00A441E3"/>
    <w:rsid w:val="00A44EDB"/>
    <w:rsid w:val="00A45B05"/>
    <w:rsid w:val="00A45DC9"/>
    <w:rsid w:val="00A466A5"/>
    <w:rsid w:val="00A47C88"/>
    <w:rsid w:val="00A51F83"/>
    <w:rsid w:val="00A53B98"/>
    <w:rsid w:val="00A54418"/>
    <w:rsid w:val="00A55563"/>
    <w:rsid w:val="00A5702D"/>
    <w:rsid w:val="00A5794F"/>
    <w:rsid w:val="00A57F70"/>
    <w:rsid w:val="00A617B5"/>
    <w:rsid w:val="00A61917"/>
    <w:rsid w:val="00A63285"/>
    <w:rsid w:val="00A63672"/>
    <w:rsid w:val="00A66223"/>
    <w:rsid w:val="00A7000D"/>
    <w:rsid w:val="00A726EF"/>
    <w:rsid w:val="00A7411F"/>
    <w:rsid w:val="00A74E1C"/>
    <w:rsid w:val="00A7688E"/>
    <w:rsid w:val="00A814F9"/>
    <w:rsid w:val="00A818EE"/>
    <w:rsid w:val="00A8384A"/>
    <w:rsid w:val="00A9162E"/>
    <w:rsid w:val="00A916AD"/>
    <w:rsid w:val="00A92A61"/>
    <w:rsid w:val="00A93AA1"/>
    <w:rsid w:val="00A93F22"/>
    <w:rsid w:val="00A951AD"/>
    <w:rsid w:val="00A951DB"/>
    <w:rsid w:val="00A953D8"/>
    <w:rsid w:val="00A96608"/>
    <w:rsid w:val="00A9700B"/>
    <w:rsid w:val="00A97C63"/>
    <w:rsid w:val="00AA02A8"/>
    <w:rsid w:val="00AA0CF0"/>
    <w:rsid w:val="00AA2D92"/>
    <w:rsid w:val="00AA5B8D"/>
    <w:rsid w:val="00AA5E8F"/>
    <w:rsid w:val="00AB155C"/>
    <w:rsid w:val="00AB3127"/>
    <w:rsid w:val="00AB6B8B"/>
    <w:rsid w:val="00AB7613"/>
    <w:rsid w:val="00AC150D"/>
    <w:rsid w:val="00AC1A25"/>
    <w:rsid w:val="00AC3012"/>
    <w:rsid w:val="00AC6EAF"/>
    <w:rsid w:val="00AC7996"/>
    <w:rsid w:val="00AD0CE7"/>
    <w:rsid w:val="00AD0D9D"/>
    <w:rsid w:val="00AD108D"/>
    <w:rsid w:val="00AD184D"/>
    <w:rsid w:val="00AD3035"/>
    <w:rsid w:val="00AD3E14"/>
    <w:rsid w:val="00AD4153"/>
    <w:rsid w:val="00AE07E3"/>
    <w:rsid w:val="00AE333F"/>
    <w:rsid w:val="00AE59D5"/>
    <w:rsid w:val="00AE6D52"/>
    <w:rsid w:val="00AE766A"/>
    <w:rsid w:val="00AE7EBF"/>
    <w:rsid w:val="00AF3B1D"/>
    <w:rsid w:val="00AF4731"/>
    <w:rsid w:val="00AF6595"/>
    <w:rsid w:val="00AF7D8E"/>
    <w:rsid w:val="00B01163"/>
    <w:rsid w:val="00B02602"/>
    <w:rsid w:val="00B02FC0"/>
    <w:rsid w:val="00B05184"/>
    <w:rsid w:val="00B055C0"/>
    <w:rsid w:val="00B0564D"/>
    <w:rsid w:val="00B0571C"/>
    <w:rsid w:val="00B058D4"/>
    <w:rsid w:val="00B06E96"/>
    <w:rsid w:val="00B11BC2"/>
    <w:rsid w:val="00B1218C"/>
    <w:rsid w:val="00B129BD"/>
    <w:rsid w:val="00B14667"/>
    <w:rsid w:val="00B14E97"/>
    <w:rsid w:val="00B15120"/>
    <w:rsid w:val="00B15A5D"/>
    <w:rsid w:val="00B15D02"/>
    <w:rsid w:val="00B17A38"/>
    <w:rsid w:val="00B21868"/>
    <w:rsid w:val="00B27F36"/>
    <w:rsid w:val="00B31967"/>
    <w:rsid w:val="00B3420F"/>
    <w:rsid w:val="00B3446D"/>
    <w:rsid w:val="00B35F24"/>
    <w:rsid w:val="00B362E5"/>
    <w:rsid w:val="00B36455"/>
    <w:rsid w:val="00B41746"/>
    <w:rsid w:val="00B44AB7"/>
    <w:rsid w:val="00B450FF"/>
    <w:rsid w:val="00B4555C"/>
    <w:rsid w:val="00B47A52"/>
    <w:rsid w:val="00B50C2E"/>
    <w:rsid w:val="00B50FAA"/>
    <w:rsid w:val="00B51AD8"/>
    <w:rsid w:val="00B541CB"/>
    <w:rsid w:val="00B60A47"/>
    <w:rsid w:val="00B60D93"/>
    <w:rsid w:val="00B658AD"/>
    <w:rsid w:val="00B65938"/>
    <w:rsid w:val="00B715EF"/>
    <w:rsid w:val="00B71691"/>
    <w:rsid w:val="00B739DB"/>
    <w:rsid w:val="00B76F17"/>
    <w:rsid w:val="00B777DF"/>
    <w:rsid w:val="00B81221"/>
    <w:rsid w:val="00B82EAD"/>
    <w:rsid w:val="00B8318C"/>
    <w:rsid w:val="00B840FF"/>
    <w:rsid w:val="00B85B8B"/>
    <w:rsid w:val="00B92B80"/>
    <w:rsid w:val="00B93FD0"/>
    <w:rsid w:val="00B94214"/>
    <w:rsid w:val="00B943E5"/>
    <w:rsid w:val="00B9496F"/>
    <w:rsid w:val="00B950BE"/>
    <w:rsid w:val="00B95AC9"/>
    <w:rsid w:val="00B9723F"/>
    <w:rsid w:val="00BA3A6A"/>
    <w:rsid w:val="00BA3DF5"/>
    <w:rsid w:val="00BA672F"/>
    <w:rsid w:val="00BA6769"/>
    <w:rsid w:val="00BA67D8"/>
    <w:rsid w:val="00BA7B7F"/>
    <w:rsid w:val="00BB001A"/>
    <w:rsid w:val="00BB06A3"/>
    <w:rsid w:val="00BB1FDE"/>
    <w:rsid w:val="00BB292A"/>
    <w:rsid w:val="00BB2DDF"/>
    <w:rsid w:val="00BB2F9D"/>
    <w:rsid w:val="00BB33B7"/>
    <w:rsid w:val="00BB5D54"/>
    <w:rsid w:val="00BB6DDE"/>
    <w:rsid w:val="00BC1223"/>
    <w:rsid w:val="00BC3241"/>
    <w:rsid w:val="00BC42EB"/>
    <w:rsid w:val="00BC4AAD"/>
    <w:rsid w:val="00BC63A7"/>
    <w:rsid w:val="00BC6475"/>
    <w:rsid w:val="00BC7AD3"/>
    <w:rsid w:val="00BD07A5"/>
    <w:rsid w:val="00BD0E91"/>
    <w:rsid w:val="00BD37DD"/>
    <w:rsid w:val="00BD3A50"/>
    <w:rsid w:val="00BD4293"/>
    <w:rsid w:val="00BD5F58"/>
    <w:rsid w:val="00BF16E0"/>
    <w:rsid w:val="00BF4910"/>
    <w:rsid w:val="00C00A72"/>
    <w:rsid w:val="00C00C53"/>
    <w:rsid w:val="00C03AA8"/>
    <w:rsid w:val="00C03B00"/>
    <w:rsid w:val="00C043BB"/>
    <w:rsid w:val="00C06507"/>
    <w:rsid w:val="00C105C2"/>
    <w:rsid w:val="00C11180"/>
    <w:rsid w:val="00C13534"/>
    <w:rsid w:val="00C16181"/>
    <w:rsid w:val="00C175E8"/>
    <w:rsid w:val="00C2073E"/>
    <w:rsid w:val="00C21B22"/>
    <w:rsid w:val="00C22A87"/>
    <w:rsid w:val="00C24E9D"/>
    <w:rsid w:val="00C25A97"/>
    <w:rsid w:val="00C30FC9"/>
    <w:rsid w:val="00C332B5"/>
    <w:rsid w:val="00C40F17"/>
    <w:rsid w:val="00C410D5"/>
    <w:rsid w:val="00C43681"/>
    <w:rsid w:val="00C43BBF"/>
    <w:rsid w:val="00C440F9"/>
    <w:rsid w:val="00C45491"/>
    <w:rsid w:val="00C47498"/>
    <w:rsid w:val="00C51B4F"/>
    <w:rsid w:val="00C527F3"/>
    <w:rsid w:val="00C5281E"/>
    <w:rsid w:val="00C567EA"/>
    <w:rsid w:val="00C60DDC"/>
    <w:rsid w:val="00C62B40"/>
    <w:rsid w:val="00C62E0A"/>
    <w:rsid w:val="00C6491B"/>
    <w:rsid w:val="00C6696D"/>
    <w:rsid w:val="00C706A9"/>
    <w:rsid w:val="00C73123"/>
    <w:rsid w:val="00C734C5"/>
    <w:rsid w:val="00C741C2"/>
    <w:rsid w:val="00C75BC7"/>
    <w:rsid w:val="00C75CE0"/>
    <w:rsid w:val="00C7627F"/>
    <w:rsid w:val="00C77010"/>
    <w:rsid w:val="00C77E07"/>
    <w:rsid w:val="00C806C8"/>
    <w:rsid w:val="00C80A4C"/>
    <w:rsid w:val="00C83FDF"/>
    <w:rsid w:val="00C84E97"/>
    <w:rsid w:val="00C854FA"/>
    <w:rsid w:val="00C916AA"/>
    <w:rsid w:val="00C92821"/>
    <w:rsid w:val="00C9451E"/>
    <w:rsid w:val="00C975F4"/>
    <w:rsid w:val="00CA1B4F"/>
    <w:rsid w:val="00CA3203"/>
    <w:rsid w:val="00CA6663"/>
    <w:rsid w:val="00CA6B1A"/>
    <w:rsid w:val="00CA7870"/>
    <w:rsid w:val="00CB0927"/>
    <w:rsid w:val="00CB283F"/>
    <w:rsid w:val="00CB5259"/>
    <w:rsid w:val="00CB58D1"/>
    <w:rsid w:val="00CB64E3"/>
    <w:rsid w:val="00CB69E8"/>
    <w:rsid w:val="00CB78A5"/>
    <w:rsid w:val="00CC05AF"/>
    <w:rsid w:val="00CC06F0"/>
    <w:rsid w:val="00CC2296"/>
    <w:rsid w:val="00CC2EBF"/>
    <w:rsid w:val="00CC3027"/>
    <w:rsid w:val="00CC3219"/>
    <w:rsid w:val="00CC41C9"/>
    <w:rsid w:val="00CC4CA9"/>
    <w:rsid w:val="00CD14C0"/>
    <w:rsid w:val="00CD2217"/>
    <w:rsid w:val="00CD3502"/>
    <w:rsid w:val="00CD3705"/>
    <w:rsid w:val="00CD4B4D"/>
    <w:rsid w:val="00CE041D"/>
    <w:rsid w:val="00CE2EBE"/>
    <w:rsid w:val="00CE3CC5"/>
    <w:rsid w:val="00CE67CD"/>
    <w:rsid w:val="00CE705F"/>
    <w:rsid w:val="00CE7D14"/>
    <w:rsid w:val="00CF0C8F"/>
    <w:rsid w:val="00CF1470"/>
    <w:rsid w:val="00CF1CF9"/>
    <w:rsid w:val="00CF367B"/>
    <w:rsid w:val="00CF3988"/>
    <w:rsid w:val="00CF40B2"/>
    <w:rsid w:val="00CF5A5E"/>
    <w:rsid w:val="00CF64F1"/>
    <w:rsid w:val="00CF6F66"/>
    <w:rsid w:val="00CF7BAA"/>
    <w:rsid w:val="00D0035F"/>
    <w:rsid w:val="00D00FAC"/>
    <w:rsid w:val="00D02B1E"/>
    <w:rsid w:val="00D04813"/>
    <w:rsid w:val="00D049C1"/>
    <w:rsid w:val="00D04C6F"/>
    <w:rsid w:val="00D0516B"/>
    <w:rsid w:val="00D05316"/>
    <w:rsid w:val="00D05D6C"/>
    <w:rsid w:val="00D10F5F"/>
    <w:rsid w:val="00D1137D"/>
    <w:rsid w:val="00D11B87"/>
    <w:rsid w:val="00D1287D"/>
    <w:rsid w:val="00D129E5"/>
    <w:rsid w:val="00D15699"/>
    <w:rsid w:val="00D17229"/>
    <w:rsid w:val="00D17561"/>
    <w:rsid w:val="00D17CD0"/>
    <w:rsid w:val="00D17D55"/>
    <w:rsid w:val="00D207DB"/>
    <w:rsid w:val="00D20F95"/>
    <w:rsid w:val="00D23CBA"/>
    <w:rsid w:val="00D245B9"/>
    <w:rsid w:val="00D246C9"/>
    <w:rsid w:val="00D24C47"/>
    <w:rsid w:val="00D30149"/>
    <w:rsid w:val="00D3167A"/>
    <w:rsid w:val="00D31A47"/>
    <w:rsid w:val="00D31F2F"/>
    <w:rsid w:val="00D36933"/>
    <w:rsid w:val="00D401E7"/>
    <w:rsid w:val="00D40686"/>
    <w:rsid w:val="00D40975"/>
    <w:rsid w:val="00D425EA"/>
    <w:rsid w:val="00D437FB"/>
    <w:rsid w:val="00D44DA4"/>
    <w:rsid w:val="00D45898"/>
    <w:rsid w:val="00D46ABD"/>
    <w:rsid w:val="00D474F2"/>
    <w:rsid w:val="00D516F8"/>
    <w:rsid w:val="00D51A51"/>
    <w:rsid w:val="00D51A6E"/>
    <w:rsid w:val="00D525B2"/>
    <w:rsid w:val="00D544AB"/>
    <w:rsid w:val="00D57C2F"/>
    <w:rsid w:val="00D57F61"/>
    <w:rsid w:val="00D601DE"/>
    <w:rsid w:val="00D654CB"/>
    <w:rsid w:val="00D65F79"/>
    <w:rsid w:val="00D71342"/>
    <w:rsid w:val="00D75BC3"/>
    <w:rsid w:val="00D767AE"/>
    <w:rsid w:val="00D775BE"/>
    <w:rsid w:val="00D777F0"/>
    <w:rsid w:val="00D77DF8"/>
    <w:rsid w:val="00D819A9"/>
    <w:rsid w:val="00D822EA"/>
    <w:rsid w:val="00D82C05"/>
    <w:rsid w:val="00D8308B"/>
    <w:rsid w:val="00D84526"/>
    <w:rsid w:val="00D8702A"/>
    <w:rsid w:val="00D87546"/>
    <w:rsid w:val="00D878C0"/>
    <w:rsid w:val="00D90154"/>
    <w:rsid w:val="00D907AD"/>
    <w:rsid w:val="00D90FCA"/>
    <w:rsid w:val="00D92CB5"/>
    <w:rsid w:val="00D9376C"/>
    <w:rsid w:val="00D94589"/>
    <w:rsid w:val="00D96849"/>
    <w:rsid w:val="00DA34BC"/>
    <w:rsid w:val="00DA48F4"/>
    <w:rsid w:val="00DA7DEB"/>
    <w:rsid w:val="00DB2D0D"/>
    <w:rsid w:val="00DB32B2"/>
    <w:rsid w:val="00DB524C"/>
    <w:rsid w:val="00DC126F"/>
    <w:rsid w:val="00DC2555"/>
    <w:rsid w:val="00DC35DD"/>
    <w:rsid w:val="00DC4477"/>
    <w:rsid w:val="00DD081F"/>
    <w:rsid w:val="00DD4E6C"/>
    <w:rsid w:val="00DD6F08"/>
    <w:rsid w:val="00DD7F4E"/>
    <w:rsid w:val="00DE12CC"/>
    <w:rsid w:val="00DE355D"/>
    <w:rsid w:val="00DE3F35"/>
    <w:rsid w:val="00DE42BA"/>
    <w:rsid w:val="00DE762E"/>
    <w:rsid w:val="00DE7A6B"/>
    <w:rsid w:val="00DE7EDE"/>
    <w:rsid w:val="00DF073A"/>
    <w:rsid w:val="00DF1CEC"/>
    <w:rsid w:val="00DF343A"/>
    <w:rsid w:val="00DF4374"/>
    <w:rsid w:val="00DF5F6D"/>
    <w:rsid w:val="00E02254"/>
    <w:rsid w:val="00E04AD8"/>
    <w:rsid w:val="00E057AC"/>
    <w:rsid w:val="00E06AC0"/>
    <w:rsid w:val="00E07CDB"/>
    <w:rsid w:val="00E11AF4"/>
    <w:rsid w:val="00E11BC8"/>
    <w:rsid w:val="00E1351F"/>
    <w:rsid w:val="00E140AE"/>
    <w:rsid w:val="00E1433F"/>
    <w:rsid w:val="00E1765C"/>
    <w:rsid w:val="00E20C08"/>
    <w:rsid w:val="00E21274"/>
    <w:rsid w:val="00E2137C"/>
    <w:rsid w:val="00E2242B"/>
    <w:rsid w:val="00E23FEE"/>
    <w:rsid w:val="00E24370"/>
    <w:rsid w:val="00E26269"/>
    <w:rsid w:val="00E26B8D"/>
    <w:rsid w:val="00E321A8"/>
    <w:rsid w:val="00E3281C"/>
    <w:rsid w:val="00E352BD"/>
    <w:rsid w:val="00E35305"/>
    <w:rsid w:val="00E4115E"/>
    <w:rsid w:val="00E43AF3"/>
    <w:rsid w:val="00E43B2F"/>
    <w:rsid w:val="00E43E7E"/>
    <w:rsid w:val="00E44FCC"/>
    <w:rsid w:val="00E455BC"/>
    <w:rsid w:val="00E45AC0"/>
    <w:rsid w:val="00E467BE"/>
    <w:rsid w:val="00E536FF"/>
    <w:rsid w:val="00E55852"/>
    <w:rsid w:val="00E558CD"/>
    <w:rsid w:val="00E56387"/>
    <w:rsid w:val="00E56961"/>
    <w:rsid w:val="00E57618"/>
    <w:rsid w:val="00E578AC"/>
    <w:rsid w:val="00E57C20"/>
    <w:rsid w:val="00E60909"/>
    <w:rsid w:val="00E62209"/>
    <w:rsid w:val="00E65712"/>
    <w:rsid w:val="00E66582"/>
    <w:rsid w:val="00E6659A"/>
    <w:rsid w:val="00E677E3"/>
    <w:rsid w:val="00E71356"/>
    <w:rsid w:val="00E72804"/>
    <w:rsid w:val="00E746CC"/>
    <w:rsid w:val="00E7527E"/>
    <w:rsid w:val="00E768C6"/>
    <w:rsid w:val="00E77F02"/>
    <w:rsid w:val="00E8046C"/>
    <w:rsid w:val="00E81A8B"/>
    <w:rsid w:val="00E85027"/>
    <w:rsid w:val="00E873DB"/>
    <w:rsid w:val="00E87DDD"/>
    <w:rsid w:val="00E92242"/>
    <w:rsid w:val="00E936B9"/>
    <w:rsid w:val="00E970FE"/>
    <w:rsid w:val="00EA11A0"/>
    <w:rsid w:val="00EA1616"/>
    <w:rsid w:val="00EA35E3"/>
    <w:rsid w:val="00EA52B8"/>
    <w:rsid w:val="00EA5A0A"/>
    <w:rsid w:val="00EA66ED"/>
    <w:rsid w:val="00EA6730"/>
    <w:rsid w:val="00EA7211"/>
    <w:rsid w:val="00EB02D3"/>
    <w:rsid w:val="00EB0B63"/>
    <w:rsid w:val="00EB199F"/>
    <w:rsid w:val="00EB3738"/>
    <w:rsid w:val="00EB6F00"/>
    <w:rsid w:val="00EB74B2"/>
    <w:rsid w:val="00EC2E01"/>
    <w:rsid w:val="00EC34DA"/>
    <w:rsid w:val="00EC3C4A"/>
    <w:rsid w:val="00EC7C2C"/>
    <w:rsid w:val="00EC7D0F"/>
    <w:rsid w:val="00ED17F3"/>
    <w:rsid w:val="00ED2165"/>
    <w:rsid w:val="00ED230A"/>
    <w:rsid w:val="00ED2359"/>
    <w:rsid w:val="00ED26AA"/>
    <w:rsid w:val="00ED38FB"/>
    <w:rsid w:val="00ED52C0"/>
    <w:rsid w:val="00ED560F"/>
    <w:rsid w:val="00ED56C5"/>
    <w:rsid w:val="00ED6D83"/>
    <w:rsid w:val="00EE0BEA"/>
    <w:rsid w:val="00EE0F55"/>
    <w:rsid w:val="00EE4A06"/>
    <w:rsid w:val="00EF161E"/>
    <w:rsid w:val="00EF57B5"/>
    <w:rsid w:val="00EF6624"/>
    <w:rsid w:val="00F066A2"/>
    <w:rsid w:val="00F06C1C"/>
    <w:rsid w:val="00F0700E"/>
    <w:rsid w:val="00F073E2"/>
    <w:rsid w:val="00F0741B"/>
    <w:rsid w:val="00F07D02"/>
    <w:rsid w:val="00F07D21"/>
    <w:rsid w:val="00F12331"/>
    <w:rsid w:val="00F12641"/>
    <w:rsid w:val="00F173F3"/>
    <w:rsid w:val="00F22FA8"/>
    <w:rsid w:val="00F27BC8"/>
    <w:rsid w:val="00F31629"/>
    <w:rsid w:val="00F31B32"/>
    <w:rsid w:val="00F32529"/>
    <w:rsid w:val="00F32D1E"/>
    <w:rsid w:val="00F33CF6"/>
    <w:rsid w:val="00F34683"/>
    <w:rsid w:val="00F34C88"/>
    <w:rsid w:val="00F3554A"/>
    <w:rsid w:val="00F358A6"/>
    <w:rsid w:val="00F36891"/>
    <w:rsid w:val="00F40089"/>
    <w:rsid w:val="00F415E6"/>
    <w:rsid w:val="00F4237F"/>
    <w:rsid w:val="00F43461"/>
    <w:rsid w:val="00F43E16"/>
    <w:rsid w:val="00F44D67"/>
    <w:rsid w:val="00F45078"/>
    <w:rsid w:val="00F46BB5"/>
    <w:rsid w:val="00F50C84"/>
    <w:rsid w:val="00F514FF"/>
    <w:rsid w:val="00F51838"/>
    <w:rsid w:val="00F53F9B"/>
    <w:rsid w:val="00F56F9F"/>
    <w:rsid w:val="00F571DD"/>
    <w:rsid w:val="00F638A2"/>
    <w:rsid w:val="00F638DE"/>
    <w:rsid w:val="00F67378"/>
    <w:rsid w:val="00F738C3"/>
    <w:rsid w:val="00F74F55"/>
    <w:rsid w:val="00F777E7"/>
    <w:rsid w:val="00F804DA"/>
    <w:rsid w:val="00F8200E"/>
    <w:rsid w:val="00F83245"/>
    <w:rsid w:val="00F84D1C"/>
    <w:rsid w:val="00F85E3E"/>
    <w:rsid w:val="00F91C68"/>
    <w:rsid w:val="00F92050"/>
    <w:rsid w:val="00F92FF0"/>
    <w:rsid w:val="00F93684"/>
    <w:rsid w:val="00F939F6"/>
    <w:rsid w:val="00F94303"/>
    <w:rsid w:val="00F96A3B"/>
    <w:rsid w:val="00F96B10"/>
    <w:rsid w:val="00F97530"/>
    <w:rsid w:val="00FA2088"/>
    <w:rsid w:val="00FA2CF6"/>
    <w:rsid w:val="00FA319B"/>
    <w:rsid w:val="00FA4B13"/>
    <w:rsid w:val="00FA5724"/>
    <w:rsid w:val="00FA7D6B"/>
    <w:rsid w:val="00FB09D1"/>
    <w:rsid w:val="00FB3D44"/>
    <w:rsid w:val="00FB3E3E"/>
    <w:rsid w:val="00FB49AD"/>
    <w:rsid w:val="00FB6314"/>
    <w:rsid w:val="00FB65CB"/>
    <w:rsid w:val="00FB683F"/>
    <w:rsid w:val="00FC2B0B"/>
    <w:rsid w:val="00FC39E7"/>
    <w:rsid w:val="00FC5A30"/>
    <w:rsid w:val="00FC6704"/>
    <w:rsid w:val="00FC6F0B"/>
    <w:rsid w:val="00FD595D"/>
    <w:rsid w:val="00FD59B1"/>
    <w:rsid w:val="00FD5DA5"/>
    <w:rsid w:val="00FD5F2F"/>
    <w:rsid w:val="00FD685F"/>
    <w:rsid w:val="00FE3001"/>
    <w:rsid w:val="00FE3AE1"/>
    <w:rsid w:val="00FE3CF7"/>
    <w:rsid w:val="00FE549F"/>
    <w:rsid w:val="00FE59A9"/>
    <w:rsid w:val="00FE5C63"/>
    <w:rsid w:val="00FE5F90"/>
    <w:rsid w:val="00FE67D5"/>
    <w:rsid w:val="00FF18EA"/>
    <w:rsid w:val="00FF2D99"/>
    <w:rsid w:val="00FF600B"/>
    <w:rsid w:val="00FF7568"/>
    <w:rsid w:val="012E3309"/>
    <w:rsid w:val="017B2D69"/>
    <w:rsid w:val="060A6758"/>
    <w:rsid w:val="063C2701"/>
    <w:rsid w:val="068D1703"/>
    <w:rsid w:val="070F0509"/>
    <w:rsid w:val="07980C16"/>
    <w:rsid w:val="07EB0B8D"/>
    <w:rsid w:val="09151419"/>
    <w:rsid w:val="09812CE0"/>
    <w:rsid w:val="098A72E3"/>
    <w:rsid w:val="0A4D205D"/>
    <w:rsid w:val="0AB01583"/>
    <w:rsid w:val="0B0F486F"/>
    <w:rsid w:val="0B60615F"/>
    <w:rsid w:val="0BEA4171"/>
    <w:rsid w:val="0CC45712"/>
    <w:rsid w:val="0CEF4E8D"/>
    <w:rsid w:val="0E1B02D4"/>
    <w:rsid w:val="0EB11F99"/>
    <w:rsid w:val="0FA70733"/>
    <w:rsid w:val="0FB96A45"/>
    <w:rsid w:val="1074632C"/>
    <w:rsid w:val="11023C2D"/>
    <w:rsid w:val="119D7CCC"/>
    <w:rsid w:val="12081A72"/>
    <w:rsid w:val="12086AC4"/>
    <w:rsid w:val="13E64481"/>
    <w:rsid w:val="14092304"/>
    <w:rsid w:val="142C636E"/>
    <w:rsid w:val="14740383"/>
    <w:rsid w:val="14E87B4C"/>
    <w:rsid w:val="15233C15"/>
    <w:rsid w:val="15A73C37"/>
    <w:rsid w:val="15BF2EFE"/>
    <w:rsid w:val="16C55FB6"/>
    <w:rsid w:val="17297B65"/>
    <w:rsid w:val="182E0173"/>
    <w:rsid w:val="185F55F5"/>
    <w:rsid w:val="1913606C"/>
    <w:rsid w:val="192400FF"/>
    <w:rsid w:val="19DE010A"/>
    <w:rsid w:val="1A9F7949"/>
    <w:rsid w:val="1AB95D72"/>
    <w:rsid w:val="1B4B17D0"/>
    <w:rsid w:val="1C4D1A75"/>
    <w:rsid w:val="1C5A21E7"/>
    <w:rsid w:val="1C74587A"/>
    <w:rsid w:val="1CD46712"/>
    <w:rsid w:val="1CF21724"/>
    <w:rsid w:val="1D422FCE"/>
    <w:rsid w:val="1DE900C7"/>
    <w:rsid w:val="1E5B7F7C"/>
    <w:rsid w:val="1F9936BA"/>
    <w:rsid w:val="1FE324F0"/>
    <w:rsid w:val="211D32FD"/>
    <w:rsid w:val="224E0395"/>
    <w:rsid w:val="2264148F"/>
    <w:rsid w:val="22E80703"/>
    <w:rsid w:val="231024BC"/>
    <w:rsid w:val="23A06591"/>
    <w:rsid w:val="23C84167"/>
    <w:rsid w:val="2480271A"/>
    <w:rsid w:val="251B5C87"/>
    <w:rsid w:val="25DC7C5D"/>
    <w:rsid w:val="25E1234A"/>
    <w:rsid w:val="25E71C16"/>
    <w:rsid w:val="266A1B61"/>
    <w:rsid w:val="26B17747"/>
    <w:rsid w:val="28085519"/>
    <w:rsid w:val="28B233F9"/>
    <w:rsid w:val="2B472170"/>
    <w:rsid w:val="2BB52F16"/>
    <w:rsid w:val="2CC83DD0"/>
    <w:rsid w:val="2CCA72DE"/>
    <w:rsid w:val="2DB96E88"/>
    <w:rsid w:val="2DBA0397"/>
    <w:rsid w:val="2EFE73FB"/>
    <w:rsid w:val="2F706A2D"/>
    <w:rsid w:val="302963D4"/>
    <w:rsid w:val="30302C0E"/>
    <w:rsid w:val="30CE5E9D"/>
    <w:rsid w:val="31605B7D"/>
    <w:rsid w:val="32A01FA9"/>
    <w:rsid w:val="333C3C2A"/>
    <w:rsid w:val="346E6C64"/>
    <w:rsid w:val="34E9418C"/>
    <w:rsid w:val="35436864"/>
    <w:rsid w:val="356E1F34"/>
    <w:rsid w:val="36010FB1"/>
    <w:rsid w:val="365C6E9B"/>
    <w:rsid w:val="36D83E00"/>
    <w:rsid w:val="373979C7"/>
    <w:rsid w:val="37556868"/>
    <w:rsid w:val="385C6972"/>
    <w:rsid w:val="38FD3937"/>
    <w:rsid w:val="393A729D"/>
    <w:rsid w:val="3A182BA7"/>
    <w:rsid w:val="3B981668"/>
    <w:rsid w:val="3BA0301A"/>
    <w:rsid w:val="3BDC7444"/>
    <w:rsid w:val="3C7E15AD"/>
    <w:rsid w:val="3D8258C9"/>
    <w:rsid w:val="3F7D1E45"/>
    <w:rsid w:val="3FA657D8"/>
    <w:rsid w:val="3FE905B6"/>
    <w:rsid w:val="400902CE"/>
    <w:rsid w:val="41437475"/>
    <w:rsid w:val="42B831AD"/>
    <w:rsid w:val="43D768AF"/>
    <w:rsid w:val="443417CC"/>
    <w:rsid w:val="44E73581"/>
    <w:rsid w:val="45DA2D01"/>
    <w:rsid w:val="460875DB"/>
    <w:rsid w:val="48BC2F1C"/>
    <w:rsid w:val="49365F43"/>
    <w:rsid w:val="4A4F6337"/>
    <w:rsid w:val="4BAF6429"/>
    <w:rsid w:val="4C012E4E"/>
    <w:rsid w:val="4C490BA2"/>
    <w:rsid w:val="4D362EE1"/>
    <w:rsid w:val="4DE45FE7"/>
    <w:rsid w:val="4E545742"/>
    <w:rsid w:val="4E624981"/>
    <w:rsid w:val="4F98203F"/>
    <w:rsid w:val="4FCE7959"/>
    <w:rsid w:val="511657D8"/>
    <w:rsid w:val="514B3CFC"/>
    <w:rsid w:val="51870AAC"/>
    <w:rsid w:val="51B36CFC"/>
    <w:rsid w:val="51C35D6F"/>
    <w:rsid w:val="52936A52"/>
    <w:rsid w:val="52945588"/>
    <w:rsid w:val="52DC7024"/>
    <w:rsid w:val="54B205FE"/>
    <w:rsid w:val="54DC7A5B"/>
    <w:rsid w:val="56744020"/>
    <w:rsid w:val="56F30003"/>
    <w:rsid w:val="57831D16"/>
    <w:rsid w:val="58FE583A"/>
    <w:rsid w:val="593C307C"/>
    <w:rsid w:val="59975510"/>
    <w:rsid w:val="5A432F8D"/>
    <w:rsid w:val="5B2F793C"/>
    <w:rsid w:val="5C321E9B"/>
    <w:rsid w:val="5C361458"/>
    <w:rsid w:val="5C610041"/>
    <w:rsid w:val="5D714235"/>
    <w:rsid w:val="5DD54F55"/>
    <w:rsid w:val="5E7F3D91"/>
    <w:rsid w:val="5EA4058F"/>
    <w:rsid w:val="5EDE7F25"/>
    <w:rsid w:val="5F025C16"/>
    <w:rsid w:val="602A7A87"/>
    <w:rsid w:val="60E02B20"/>
    <w:rsid w:val="614D4D08"/>
    <w:rsid w:val="6158374E"/>
    <w:rsid w:val="627F3A39"/>
    <w:rsid w:val="645E4E80"/>
    <w:rsid w:val="64944811"/>
    <w:rsid w:val="64AC6924"/>
    <w:rsid w:val="64BE377D"/>
    <w:rsid w:val="64F355D6"/>
    <w:rsid w:val="654B31E9"/>
    <w:rsid w:val="65980578"/>
    <w:rsid w:val="67413ADD"/>
    <w:rsid w:val="67973093"/>
    <w:rsid w:val="68773FDE"/>
    <w:rsid w:val="689F4691"/>
    <w:rsid w:val="696F20FA"/>
    <w:rsid w:val="698C2CAC"/>
    <w:rsid w:val="698E0394"/>
    <w:rsid w:val="69A02843"/>
    <w:rsid w:val="6A8B493B"/>
    <w:rsid w:val="6AEB7F64"/>
    <w:rsid w:val="6B064398"/>
    <w:rsid w:val="6B410D73"/>
    <w:rsid w:val="6B416772"/>
    <w:rsid w:val="6BC856C2"/>
    <w:rsid w:val="6D0D5BA4"/>
    <w:rsid w:val="6D6100A7"/>
    <w:rsid w:val="6DB93CC7"/>
    <w:rsid w:val="6E1D2124"/>
    <w:rsid w:val="6F1807A7"/>
    <w:rsid w:val="6F926156"/>
    <w:rsid w:val="6FA05E13"/>
    <w:rsid w:val="745A6501"/>
    <w:rsid w:val="748374B4"/>
    <w:rsid w:val="7523019F"/>
    <w:rsid w:val="75A5421E"/>
    <w:rsid w:val="76002075"/>
    <w:rsid w:val="77DD34A7"/>
    <w:rsid w:val="781F69DF"/>
    <w:rsid w:val="78743F0C"/>
    <w:rsid w:val="7A041E8F"/>
    <w:rsid w:val="7ABD0F17"/>
    <w:rsid w:val="7BC167E5"/>
    <w:rsid w:val="7BD87918"/>
    <w:rsid w:val="7C07752F"/>
    <w:rsid w:val="7C751669"/>
    <w:rsid w:val="7DC93F96"/>
    <w:rsid w:val="7DCE6C76"/>
    <w:rsid w:val="7F4D294D"/>
    <w:rsid w:val="7F73429A"/>
    <w:rsid w:val="7F9A26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qFormat="1" w:uiPriority="99" w:semiHidden="0"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iPriority="99" w:semiHidden="0"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iPriority="99"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1"/>
    <w:basedOn w:val="1"/>
    <w:next w:val="1"/>
    <w:link w:val="36"/>
    <w:qFormat/>
    <w:uiPriority w:val="9"/>
    <w:pPr>
      <w:keepNext/>
      <w:keepLines/>
      <w:spacing w:before="340" w:after="330" w:line="578" w:lineRule="auto"/>
      <w:outlineLvl w:val="0"/>
    </w:pPr>
    <w:rPr>
      <w:b/>
      <w:bCs/>
      <w:kern w:val="44"/>
      <w:sz w:val="44"/>
      <w:szCs w:val="44"/>
    </w:rPr>
  </w:style>
  <w:style w:type="paragraph" w:styleId="6">
    <w:name w:val="heading 2"/>
    <w:basedOn w:val="1"/>
    <w:next w:val="7"/>
    <w:link w:val="53"/>
    <w:qFormat/>
    <w:uiPriority w:val="9"/>
    <w:pPr>
      <w:keepNext/>
      <w:keepLines/>
      <w:spacing w:before="260" w:after="260" w:line="416" w:lineRule="auto"/>
      <w:jc w:val="center"/>
      <w:outlineLvl w:val="1"/>
    </w:pPr>
    <w:rPr>
      <w:rFonts w:ascii="Arial" w:hAnsi="Arial" w:eastAsia="幼圆" w:cs="Arial"/>
      <w:b/>
      <w:bCs/>
      <w:sz w:val="44"/>
      <w:szCs w:val="44"/>
    </w:rPr>
  </w:style>
  <w:style w:type="paragraph" w:styleId="8">
    <w:name w:val="heading 3"/>
    <w:basedOn w:val="1"/>
    <w:next w:val="1"/>
    <w:qFormat/>
    <w:uiPriority w:val="0"/>
    <w:pPr>
      <w:keepNext/>
      <w:keepLines/>
      <w:spacing w:before="260" w:after="260" w:line="416" w:lineRule="auto"/>
      <w:outlineLvl w:val="2"/>
    </w:pPr>
    <w:rPr>
      <w:b/>
      <w:bCs/>
      <w:sz w:val="32"/>
      <w:szCs w:val="32"/>
    </w:rPr>
  </w:style>
  <w:style w:type="paragraph" w:styleId="9">
    <w:name w:val="heading 4"/>
    <w:basedOn w:val="1"/>
    <w:next w:val="1"/>
    <w:link w:val="57"/>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firstLine="420"/>
    </w:pPr>
    <w:rPr>
      <w:kern w:val="0"/>
      <w:sz w:val="20"/>
    </w:rPr>
  </w:style>
  <w:style w:type="paragraph" w:styleId="3">
    <w:name w:val="Body Text Indent"/>
    <w:basedOn w:val="1"/>
    <w:next w:val="4"/>
    <w:link w:val="38"/>
    <w:qFormat/>
    <w:uiPriority w:val="0"/>
    <w:pPr>
      <w:autoSpaceDE w:val="0"/>
      <w:autoSpaceDN w:val="0"/>
      <w:adjustRightInd w:val="0"/>
      <w:spacing w:after="120" w:line="360" w:lineRule="atLeast"/>
      <w:ind w:left="900"/>
    </w:pPr>
    <w:rPr>
      <w:rFonts w:ascii="楷体_GB2312" w:hAnsi="Times New Roman" w:eastAsia="楷体_GB2312" w:cs="Times New Roman"/>
      <w:kern w:val="0"/>
      <w:sz w:val="28"/>
      <w:szCs w:val="20"/>
    </w:rPr>
  </w:style>
  <w:style w:type="paragraph" w:styleId="4">
    <w:name w:val="envelope return"/>
    <w:basedOn w:val="1"/>
    <w:unhideWhenUsed/>
    <w:qFormat/>
    <w:uiPriority w:val="99"/>
    <w:pPr>
      <w:snapToGrid w:val="0"/>
    </w:pPr>
    <w:rPr>
      <w:rFonts w:ascii="Arial" w:hAnsi="Arial"/>
    </w:rPr>
  </w:style>
  <w:style w:type="paragraph" w:styleId="7">
    <w:name w:val="Normal Indent"/>
    <w:basedOn w:val="1"/>
    <w:link w:val="58"/>
    <w:qFormat/>
    <w:uiPriority w:val="0"/>
    <w:pPr>
      <w:ind w:firstLine="420"/>
    </w:pPr>
    <w:rPr>
      <w:rFonts w:ascii="Times New Roman" w:hAnsi="Times New Roman" w:eastAsia="宋体" w:cs="Times New Roman"/>
      <w:szCs w:val="20"/>
    </w:rPr>
  </w:style>
  <w:style w:type="paragraph" w:styleId="10">
    <w:name w:val="annotation text"/>
    <w:basedOn w:val="1"/>
    <w:link w:val="44"/>
    <w:qFormat/>
    <w:uiPriority w:val="0"/>
    <w:pPr>
      <w:jc w:val="left"/>
    </w:pPr>
    <w:rPr>
      <w:rFonts w:ascii="Times New Roman" w:hAnsi="Times New Roman" w:eastAsia="宋体" w:cs="Times New Roman"/>
      <w:szCs w:val="20"/>
    </w:rPr>
  </w:style>
  <w:style w:type="paragraph" w:styleId="11">
    <w:name w:val="Body Text 3"/>
    <w:basedOn w:val="1"/>
    <w:link w:val="45"/>
    <w:qFormat/>
    <w:uiPriority w:val="0"/>
    <w:pPr>
      <w:spacing w:after="120"/>
    </w:pPr>
    <w:rPr>
      <w:rFonts w:ascii="Times New Roman" w:hAnsi="Times New Roman" w:eastAsia="宋体" w:cs="Times New Roman"/>
      <w:sz w:val="16"/>
      <w:szCs w:val="16"/>
    </w:rPr>
  </w:style>
  <w:style w:type="paragraph" w:styleId="12">
    <w:name w:val="Body Text"/>
    <w:basedOn w:val="1"/>
    <w:next w:val="13"/>
    <w:link w:val="48"/>
    <w:unhideWhenUsed/>
    <w:qFormat/>
    <w:uiPriority w:val="99"/>
    <w:pPr>
      <w:spacing w:after="120"/>
    </w:pPr>
  </w:style>
  <w:style w:type="paragraph" w:styleId="13">
    <w:name w:val="Body Text 2"/>
    <w:basedOn w:val="1"/>
    <w:qFormat/>
    <w:uiPriority w:val="0"/>
    <w:pPr>
      <w:spacing w:after="120" w:line="480" w:lineRule="auto"/>
    </w:pPr>
  </w:style>
  <w:style w:type="paragraph" w:styleId="14">
    <w:name w:val="toc 3"/>
    <w:basedOn w:val="1"/>
    <w:next w:val="1"/>
    <w:unhideWhenUsed/>
    <w:qFormat/>
    <w:uiPriority w:val="39"/>
    <w:pPr>
      <w:widowControl/>
      <w:spacing w:after="100" w:line="259" w:lineRule="auto"/>
      <w:ind w:left="440"/>
      <w:jc w:val="left"/>
    </w:pPr>
    <w:rPr>
      <w:rFonts w:ascii="Times New Roman" w:hAnsi="Times New Roman" w:eastAsia="宋体" w:cs="Times New Roman"/>
      <w:kern w:val="0"/>
      <w:sz w:val="22"/>
    </w:rPr>
  </w:style>
  <w:style w:type="paragraph" w:styleId="15">
    <w:name w:val="Plain Text"/>
    <w:basedOn w:val="1"/>
    <w:link w:val="41"/>
    <w:qFormat/>
    <w:uiPriority w:val="0"/>
    <w:rPr>
      <w:rFonts w:ascii="宋体" w:hAnsi="Courier New" w:eastAsia="宋体" w:cs="Times New Roman"/>
      <w:szCs w:val="20"/>
    </w:rPr>
  </w:style>
  <w:style w:type="paragraph" w:styleId="16">
    <w:name w:val="Date"/>
    <w:basedOn w:val="1"/>
    <w:next w:val="1"/>
    <w:link w:val="43"/>
    <w:semiHidden/>
    <w:unhideWhenUsed/>
    <w:qFormat/>
    <w:uiPriority w:val="99"/>
    <w:pPr>
      <w:ind w:left="100" w:leftChars="2500"/>
    </w:pPr>
  </w:style>
  <w:style w:type="paragraph" w:styleId="17">
    <w:name w:val="Balloon Text"/>
    <w:basedOn w:val="1"/>
    <w:link w:val="42"/>
    <w:semiHidden/>
    <w:unhideWhenUsed/>
    <w:qFormat/>
    <w:uiPriority w:val="99"/>
    <w:rPr>
      <w:sz w:val="18"/>
      <w:szCs w:val="18"/>
    </w:rPr>
  </w:style>
  <w:style w:type="paragraph" w:styleId="18">
    <w:name w:val="footer"/>
    <w:basedOn w:val="1"/>
    <w:link w:val="35"/>
    <w:unhideWhenUsed/>
    <w:qFormat/>
    <w:uiPriority w:val="99"/>
    <w:pPr>
      <w:tabs>
        <w:tab w:val="center" w:pos="4153"/>
        <w:tab w:val="right" w:pos="8306"/>
      </w:tabs>
      <w:snapToGrid w:val="0"/>
      <w:jc w:val="left"/>
    </w:pPr>
    <w:rPr>
      <w:sz w:val="18"/>
      <w:szCs w:val="18"/>
    </w:rPr>
  </w:style>
  <w:style w:type="paragraph" w:styleId="19">
    <w:name w:val="header"/>
    <w:basedOn w:val="1"/>
    <w:link w:val="34"/>
    <w:unhideWhenUsed/>
    <w:qFormat/>
    <w:uiPriority w:val="99"/>
    <w:pPr>
      <w:pBdr>
        <w:bottom w:val="single" w:color="auto" w:sz="6" w:space="1"/>
      </w:pBdr>
      <w:tabs>
        <w:tab w:val="center" w:pos="4153"/>
        <w:tab w:val="right" w:pos="8306"/>
      </w:tabs>
      <w:snapToGrid w:val="0"/>
      <w:jc w:val="center"/>
    </w:pPr>
    <w:rPr>
      <w:sz w:val="18"/>
      <w:szCs w:val="18"/>
    </w:rPr>
  </w:style>
  <w:style w:type="paragraph" w:styleId="20">
    <w:name w:val="toc 1"/>
    <w:basedOn w:val="1"/>
    <w:next w:val="1"/>
    <w:unhideWhenUsed/>
    <w:qFormat/>
    <w:uiPriority w:val="39"/>
    <w:pPr>
      <w:widowControl/>
      <w:tabs>
        <w:tab w:val="right" w:leader="dot" w:pos="8777"/>
      </w:tabs>
      <w:spacing w:line="360" w:lineRule="auto"/>
      <w:jc w:val="left"/>
    </w:pPr>
    <w:rPr>
      <w:rFonts w:ascii="Times New Roman" w:hAnsi="Times New Roman" w:eastAsia="黑体" w:cs="Times New Roman"/>
      <w:kern w:val="0"/>
      <w:sz w:val="24"/>
    </w:rPr>
  </w:style>
  <w:style w:type="paragraph" w:styleId="21">
    <w:name w:val="toc 2"/>
    <w:basedOn w:val="1"/>
    <w:next w:val="1"/>
    <w:unhideWhenUsed/>
    <w:qFormat/>
    <w:uiPriority w:val="39"/>
    <w:pPr>
      <w:widowControl/>
      <w:spacing w:line="360" w:lineRule="auto"/>
      <w:ind w:left="221"/>
      <w:jc w:val="left"/>
    </w:pPr>
    <w:rPr>
      <w:rFonts w:ascii="Times New Roman" w:hAnsi="Times New Roman" w:eastAsia="宋体" w:cs="Times New Roman"/>
      <w:kern w:val="0"/>
      <w:sz w:val="22"/>
    </w:rPr>
  </w:style>
  <w:style w:type="paragraph" w:styleId="2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23">
    <w:name w:val="annotation subject"/>
    <w:basedOn w:val="10"/>
    <w:next w:val="10"/>
    <w:link w:val="56"/>
    <w:semiHidden/>
    <w:unhideWhenUsed/>
    <w:qFormat/>
    <w:uiPriority w:val="99"/>
    <w:rPr>
      <w:rFonts w:asciiTheme="minorHAnsi" w:hAnsiTheme="minorHAnsi" w:eastAsiaTheme="minorEastAsia" w:cstheme="minorBidi"/>
      <w:b/>
      <w:bCs/>
      <w:szCs w:val="22"/>
    </w:rPr>
  </w:style>
  <w:style w:type="paragraph" w:styleId="24">
    <w:name w:val="Body Text First Indent"/>
    <w:basedOn w:val="12"/>
    <w:link w:val="60"/>
    <w:semiHidden/>
    <w:unhideWhenUsed/>
    <w:qFormat/>
    <w:uiPriority w:val="99"/>
    <w:pPr>
      <w:ind w:firstLine="420" w:firstLineChars="100"/>
    </w:pPr>
  </w:style>
  <w:style w:type="table" w:styleId="26">
    <w:name w:val="Table Grid"/>
    <w:basedOn w:val="2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Strong"/>
    <w:qFormat/>
    <w:uiPriority w:val="22"/>
    <w:rPr>
      <w:b/>
      <w:bCs/>
    </w:rPr>
  </w:style>
  <w:style w:type="character" w:styleId="29">
    <w:name w:val="Emphasis"/>
    <w:basedOn w:val="27"/>
    <w:qFormat/>
    <w:uiPriority w:val="20"/>
    <w:rPr>
      <w:i/>
    </w:rPr>
  </w:style>
  <w:style w:type="character" w:styleId="30">
    <w:name w:val="Hyperlink"/>
    <w:basedOn w:val="27"/>
    <w:unhideWhenUsed/>
    <w:qFormat/>
    <w:uiPriority w:val="99"/>
    <w:rPr>
      <w:color w:val="0563C1" w:themeColor="hyperlink"/>
      <w:u w:val="single"/>
      <w14:textFill>
        <w14:solidFill>
          <w14:schemeClr w14:val="hlink"/>
        </w14:solidFill>
      </w14:textFill>
    </w:rPr>
  </w:style>
  <w:style w:type="character" w:styleId="31">
    <w:name w:val="annotation reference"/>
    <w:qFormat/>
    <w:uiPriority w:val="0"/>
    <w:rPr>
      <w:sz w:val="21"/>
      <w:szCs w:val="21"/>
    </w:rPr>
  </w:style>
  <w:style w:type="paragraph" w:styleId="32">
    <w:name w:val="List Paragraph"/>
    <w:basedOn w:val="1"/>
    <w:link w:val="59"/>
    <w:unhideWhenUsed/>
    <w:qFormat/>
    <w:uiPriority w:val="34"/>
    <w:pPr>
      <w:widowControl/>
      <w:spacing w:before="60" w:after="60"/>
      <w:ind w:firstLine="420" w:firstLineChars="200"/>
      <w:jc w:val="left"/>
    </w:pPr>
    <w:rPr>
      <w:rFonts w:hint="eastAsia" w:ascii="Arial Unicode MS" w:hAnsi="Arial Unicode MS" w:eastAsia="Times New Roman" w:cs="Arial Unicode MS"/>
      <w:color w:val="000000"/>
      <w:kern w:val="0"/>
      <w:sz w:val="20"/>
      <w:szCs w:val="20"/>
      <w:u w:color="000000"/>
      <w:lang w:eastAsia="en-US"/>
    </w:rPr>
  </w:style>
  <w:style w:type="paragraph" w:customStyle="1" w:styleId="33">
    <w:name w:val="Default"/>
    <w:qFormat/>
    <w:uiPriority w:val="0"/>
    <w:pPr>
      <w:autoSpaceDE w:val="0"/>
      <w:autoSpaceDN w:val="0"/>
      <w:adjustRightInd w:val="0"/>
    </w:pPr>
    <w:rPr>
      <w:rFonts w:ascii="宋体" w:hAnsi="Times New Roman" w:eastAsia="宋体" w:cs="宋体"/>
      <w:color w:val="000000"/>
      <w:sz w:val="24"/>
      <w:szCs w:val="24"/>
      <w:lang w:val="en-US" w:eastAsia="zh-CN" w:bidi="ar-SA"/>
    </w:rPr>
  </w:style>
  <w:style w:type="character" w:customStyle="1" w:styleId="34">
    <w:name w:val="页眉 Char"/>
    <w:basedOn w:val="27"/>
    <w:link w:val="19"/>
    <w:qFormat/>
    <w:uiPriority w:val="99"/>
    <w:rPr>
      <w:sz w:val="18"/>
      <w:szCs w:val="18"/>
    </w:rPr>
  </w:style>
  <w:style w:type="character" w:customStyle="1" w:styleId="35">
    <w:name w:val="页脚 Char"/>
    <w:basedOn w:val="27"/>
    <w:link w:val="18"/>
    <w:qFormat/>
    <w:uiPriority w:val="99"/>
    <w:rPr>
      <w:sz w:val="18"/>
      <w:szCs w:val="18"/>
    </w:rPr>
  </w:style>
  <w:style w:type="character" w:customStyle="1" w:styleId="36">
    <w:name w:val="标题 1 Char"/>
    <w:basedOn w:val="27"/>
    <w:link w:val="5"/>
    <w:qFormat/>
    <w:uiPriority w:val="9"/>
    <w:rPr>
      <w:b/>
      <w:bCs/>
      <w:kern w:val="44"/>
      <w:sz w:val="44"/>
      <w:szCs w:val="44"/>
    </w:rPr>
  </w:style>
  <w:style w:type="paragraph" w:customStyle="1" w:styleId="37">
    <w:name w:val="TOC 标题1"/>
    <w:basedOn w:val="5"/>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38">
    <w:name w:val="正文文本缩进 Char"/>
    <w:basedOn w:val="27"/>
    <w:link w:val="3"/>
    <w:qFormat/>
    <w:uiPriority w:val="0"/>
    <w:rPr>
      <w:rFonts w:ascii="楷体_GB2312" w:hAnsi="Times New Roman" w:eastAsia="楷体_GB2312" w:cs="Times New Roman"/>
      <w:kern w:val="0"/>
      <w:sz w:val="28"/>
      <w:szCs w:val="20"/>
    </w:rPr>
  </w:style>
  <w:style w:type="paragraph" w:customStyle="1" w:styleId="39">
    <w:name w:val="蓝色显示"/>
    <w:basedOn w:val="1"/>
    <w:link w:val="40"/>
    <w:qFormat/>
    <w:uiPriority w:val="0"/>
    <w:pPr>
      <w:spacing w:before="340" w:after="330" w:line="400" w:lineRule="exact"/>
    </w:pPr>
    <w:rPr>
      <w:rFonts w:ascii="Times New Roman" w:hAnsi="Times New Roman" w:eastAsia="宋体" w:cs="Times New Roman"/>
      <w:b/>
      <w:color w:val="0070C0"/>
      <w:szCs w:val="24"/>
    </w:rPr>
  </w:style>
  <w:style w:type="character" w:customStyle="1" w:styleId="40">
    <w:name w:val="蓝色显示 Char"/>
    <w:link w:val="39"/>
    <w:qFormat/>
    <w:uiPriority w:val="0"/>
    <w:rPr>
      <w:rFonts w:ascii="Times New Roman" w:hAnsi="Times New Roman" w:eastAsia="宋体" w:cs="Times New Roman"/>
      <w:b/>
      <w:color w:val="0070C0"/>
      <w:szCs w:val="24"/>
    </w:rPr>
  </w:style>
  <w:style w:type="character" w:customStyle="1" w:styleId="41">
    <w:name w:val="纯文本 Char"/>
    <w:basedOn w:val="27"/>
    <w:link w:val="15"/>
    <w:qFormat/>
    <w:uiPriority w:val="0"/>
    <w:rPr>
      <w:rFonts w:ascii="宋体" w:hAnsi="Courier New" w:eastAsia="宋体" w:cs="Times New Roman"/>
      <w:szCs w:val="20"/>
    </w:rPr>
  </w:style>
  <w:style w:type="character" w:customStyle="1" w:styleId="42">
    <w:name w:val="批注框文本 Char"/>
    <w:basedOn w:val="27"/>
    <w:link w:val="17"/>
    <w:semiHidden/>
    <w:qFormat/>
    <w:uiPriority w:val="99"/>
    <w:rPr>
      <w:sz w:val="18"/>
      <w:szCs w:val="18"/>
    </w:rPr>
  </w:style>
  <w:style w:type="character" w:customStyle="1" w:styleId="43">
    <w:name w:val="日期 Char"/>
    <w:basedOn w:val="27"/>
    <w:link w:val="16"/>
    <w:semiHidden/>
    <w:qFormat/>
    <w:uiPriority w:val="99"/>
  </w:style>
  <w:style w:type="character" w:customStyle="1" w:styleId="44">
    <w:name w:val="批注文字 Char"/>
    <w:basedOn w:val="27"/>
    <w:link w:val="10"/>
    <w:qFormat/>
    <w:uiPriority w:val="99"/>
    <w:rPr>
      <w:rFonts w:ascii="Times New Roman" w:hAnsi="Times New Roman" w:eastAsia="宋体" w:cs="Times New Roman"/>
      <w:szCs w:val="20"/>
    </w:rPr>
  </w:style>
  <w:style w:type="character" w:customStyle="1" w:styleId="45">
    <w:name w:val="正文文本 3 Char"/>
    <w:basedOn w:val="27"/>
    <w:link w:val="11"/>
    <w:qFormat/>
    <w:uiPriority w:val="0"/>
    <w:rPr>
      <w:rFonts w:ascii="Times New Roman" w:hAnsi="Times New Roman" w:eastAsia="宋体" w:cs="Times New Roman"/>
      <w:sz w:val="16"/>
      <w:szCs w:val="16"/>
    </w:rPr>
  </w:style>
  <w:style w:type="paragraph" w:customStyle="1" w:styleId="46">
    <w:name w:val="正文00"/>
    <w:basedOn w:val="1"/>
    <w:qFormat/>
    <w:uiPriority w:val="0"/>
    <w:pPr>
      <w:topLinePunct/>
      <w:spacing w:line="360" w:lineRule="auto"/>
      <w:ind w:firstLine="200" w:firstLineChars="200"/>
    </w:pPr>
    <w:rPr>
      <w:rFonts w:ascii="Times New Roman" w:hAnsi="Times New Roman" w:eastAsia="宋体" w:cs="Times New Roman"/>
      <w:sz w:val="24"/>
      <w:szCs w:val="21"/>
    </w:rPr>
  </w:style>
  <w:style w:type="paragraph" w:customStyle="1" w:styleId="47">
    <w:name w:val="普通正文"/>
    <w:basedOn w:val="1"/>
    <w:qFormat/>
    <w:uiPriority w:val="0"/>
    <w:pPr>
      <w:adjustRightInd w:val="0"/>
      <w:spacing w:before="120" w:after="120" w:line="360" w:lineRule="auto"/>
      <w:ind w:firstLine="480"/>
      <w:jc w:val="left"/>
      <w:textAlignment w:val="baseline"/>
    </w:pPr>
    <w:rPr>
      <w:rFonts w:ascii="Arial" w:hAnsi="Arial" w:eastAsia="宋体" w:cs="Times New Roman"/>
      <w:kern w:val="0"/>
      <w:sz w:val="24"/>
      <w:szCs w:val="24"/>
    </w:rPr>
  </w:style>
  <w:style w:type="character" w:customStyle="1" w:styleId="48">
    <w:name w:val="正文文本 Char"/>
    <w:basedOn w:val="27"/>
    <w:link w:val="12"/>
    <w:qFormat/>
    <w:uiPriority w:val="99"/>
  </w:style>
  <w:style w:type="paragraph" w:customStyle="1" w:styleId="49">
    <w:name w:val="Table Paragraph"/>
    <w:basedOn w:val="1"/>
    <w:qFormat/>
    <w:uiPriority w:val="1"/>
    <w:pPr>
      <w:autoSpaceDE w:val="0"/>
      <w:autoSpaceDN w:val="0"/>
      <w:adjustRightInd w:val="0"/>
      <w:jc w:val="left"/>
    </w:pPr>
    <w:rPr>
      <w:rFonts w:ascii="Times New Roman" w:hAnsi="Times New Roman" w:eastAsia="宋体" w:cs="Times New Roman"/>
      <w:kern w:val="0"/>
      <w:sz w:val="24"/>
      <w:szCs w:val="24"/>
    </w:rPr>
  </w:style>
  <w:style w:type="character" w:customStyle="1" w:styleId="50">
    <w:name w:val="*正文 Char"/>
    <w:link w:val="51"/>
    <w:qFormat/>
    <w:uiPriority w:val="0"/>
    <w:rPr>
      <w:kern w:val="2"/>
      <w:sz w:val="24"/>
      <w:szCs w:val="24"/>
    </w:rPr>
  </w:style>
  <w:style w:type="paragraph" w:customStyle="1" w:styleId="51">
    <w:name w:val="*正文"/>
    <w:basedOn w:val="1"/>
    <w:link w:val="50"/>
    <w:qFormat/>
    <w:uiPriority w:val="0"/>
    <w:pPr>
      <w:adjustRightInd w:val="0"/>
      <w:snapToGrid w:val="0"/>
      <w:spacing w:line="340" w:lineRule="exact"/>
      <w:ind w:firstLine="480" w:firstLineChars="200"/>
    </w:pPr>
    <w:rPr>
      <w:sz w:val="24"/>
      <w:szCs w:val="24"/>
    </w:rPr>
  </w:style>
  <w:style w:type="table" w:customStyle="1" w:styleId="52">
    <w:name w:val="网格型3"/>
    <w:basedOn w:val="25"/>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3">
    <w:name w:val="标题 2 Char"/>
    <w:basedOn w:val="27"/>
    <w:link w:val="6"/>
    <w:qFormat/>
    <w:uiPriority w:val="9"/>
    <w:rPr>
      <w:rFonts w:ascii="Arial" w:hAnsi="Arial" w:eastAsia="幼圆" w:cs="Arial"/>
      <w:b/>
      <w:bCs/>
      <w:kern w:val="2"/>
      <w:sz w:val="44"/>
      <w:szCs w:val="44"/>
    </w:rPr>
  </w:style>
  <w:style w:type="paragraph" w:customStyle="1" w:styleId="54">
    <w:name w:val="招标文件_标题3"/>
    <w:basedOn w:val="32"/>
    <w:next w:val="1"/>
    <w:link w:val="55"/>
    <w:qFormat/>
    <w:uiPriority w:val="0"/>
    <w:pPr>
      <w:widowControl w:val="0"/>
      <w:spacing w:before="0" w:after="0"/>
      <w:ind w:firstLine="0" w:firstLineChars="0"/>
      <w:jc w:val="both"/>
      <w:outlineLvl w:val="2"/>
    </w:pPr>
    <w:rPr>
      <w:rFonts w:hint="default" w:ascii="Calibri" w:hAnsi="Calibri" w:eastAsia="宋体" w:cs="Times New Roman"/>
      <w:b/>
      <w:color w:val="auto"/>
      <w:sz w:val="28"/>
      <w:szCs w:val="30"/>
      <w:lang w:val="zh-CN" w:bidi="en-US"/>
    </w:rPr>
  </w:style>
  <w:style w:type="character" w:customStyle="1" w:styleId="55">
    <w:name w:val="招标文件_标题3 字符"/>
    <w:basedOn w:val="27"/>
    <w:link w:val="54"/>
    <w:qFormat/>
    <w:uiPriority w:val="0"/>
    <w:rPr>
      <w:rFonts w:ascii="Calibri" w:hAnsi="Calibri" w:eastAsia="宋体" w:cs="Times New Roman"/>
      <w:b/>
      <w:sz w:val="28"/>
      <w:szCs w:val="30"/>
      <w:lang w:val="zh-CN" w:eastAsia="en-US" w:bidi="en-US"/>
    </w:rPr>
  </w:style>
  <w:style w:type="character" w:customStyle="1" w:styleId="56">
    <w:name w:val="批注主题 Char"/>
    <w:basedOn w:val="44"/>
    <w:link w:val="23"/>
    <w:semiHidden/>
    <w:qFormat/>
    <w:uiPriority w:val="99"/>
    <w:rPr>
      <w:rFonts w:ascii="Times New Roman" w:hAnsi="Times New Roman" w:eastAsia="宋体" w:cs="Times New Roman"/>
      <w:b/>
      <w:bCs/>
      <w:kern w:val="2"/>
      <w:sz w:val="21"/>
      <w:szCs w:val="22"/>
    </w:rPr>
  </w:style>
  <w:style w:type="character" w:customStyle="1" w:styleId="57">
    <w:name w:val="标题 4 Char"/>
    <w:basedOn w:val="27"/>
    <w:link w:val="9"/>
    <w:semiHidden/>
    <w:qFormat/>
    <w:uiPriority w:val="9"/>
    <w:rPr>
      <w:rFonts w:asciiTheme="majorHAnsi" w:hAnsiTheme="majorHAnsi" w:eastAsiaTheme="majorEastAsia" w:cstheme="majorBidi"/>
      <w:b/>
      <w:bCs/>
      <w:kern w:val="2"/>
      <w:sz w:val="28"/>
      <w:szCs w:val="28"/>
    </w:rPr>
  </w:style>
  <w:style w:type="character" w:customStyle="1" w:styleId="58">
    <w:name w:val="正文缩进 Char"/>
    <w:link w:val="7"/>
    <w:qFormat/>
    <w:uiPriority w:val="0"/>
    <w:rPr>
      <w:rFonts w:ascii="Times New Roman" w:hAnsi="Times New Roman" w:eastAsia="宋体" w:cs="Times New Roman"/>
      <w:kern w:val="2"/>
      <w:sz w:val="21"/>
    </w:rPr>
  </w:style>
  <w:style w:type="character" w:customStyle="1" w:styleId="59">
    <w:name w:val="列出段落 Char"/>
    <w:link w:val="32"/>
    <w:qFormat/>
    <w:locked/>
    <w:uiPriority w:val="34"/>
    <w:rPr>
      <w:rFonts w:ascii="Arial Unicode MS" w:hAnsi="Arial Unicode MS" w:eastAsia="Times New Roman" w:cs="Arial Unicode MS"/>
      <w:color w:val="000000"/>
      <w:u w:color="000000"/>
      <w:lang w:eastAsia="en-US"/>
    </w:rPr>
  </w:style>
  <w:style w:type="character" w:customStyle="1" w:styleId="60">
    <w:name w:val="正文首行缩进 Char"/>
    <w:basedOn w:val="48"/>
    <w:link w:val="24"/>
    <w:semiHidden/>
    <w:qFormat/>
    <w:uiPriority w:val="99"/>
    <w:rPr>
      <w:kern w:val="2"/>
      <w:sz w:val="21"/>
      <w:szCs w:val="22"/>
    </w:rPr>
  </w:style>
  <w:style w:type="character" w:customStyle="1" w:styleId="61">
    <w:name w:val="sh141"/>
    <w:qFormat/>
    <w:uiPriority w:val="0"/>
    <w:rPr>
      <w:color w:val="2B2B2B"/>
      <w:sz w:val="21"/>
      <w:szCs w:val="21"/>
    </w:rPr>
  </w:style>
  <w:style w:type="paragraph" w:customStyle="1" w:styleId="62">
    <w:name w:val="标准文本"/>
    <w:basedOn w:val="1"/>
    <w:link w:val="63"/>
    <w:qFormat/>
    <w:uiPriority w:val="0"/>
    <w:pPr>
      <w:adjustRightInd w:val="0"/>
      <w:snapToGrid w:val="0"/>
      <w:spacing w:line="360" w:lineRule="auto"/>
      <w:ind w:firstLine="480" w:firstLineChars="200"/>
    </w:pPr>
    <w:rPr>
      <w:rFonts w:ascii="Times New Roman" w:hAnsi="Times New Roman" w:eastAsia="宋体" w:cs="宋体"/>
      <w:sz w:val="24"/>
      <w:szCs w:val="24"/>
    </w:rPr>
  </w:style>
  <w:style w:type="character" w:customStyle="1" w:styleId="63">
    <w:name w:val="标准文本 Char"/>
    <w:link w:val="62"/>
    <w:qFormat/>
    <w:uiPriority w:val="0"/>
    <w:rPr>
      <w:rFonts w:ascii="Times New Roman" w:hAnsi="Times New Roman" w:eastAsia="宋体" w:cs="宋体"/>
      <w:kern w:val="2"/>
      <w:sz w:val="24"/>
      <w:szCs w:val="24"/>
    </w:rPr>
  </w:style>
  <w:style w:type="paragraph" w:customStyle="1" w:styleId="64">
    <w:name w:val="列出段落1"/>
    <w:basedOn w:val="1"/>
    <w:qFormat/>
    <w:uiPriority w:val="0"/>
    <w:pPr>
      <w:ind w:left="200" w:leftChars="200"/>
      <w:jc w:val="left"/>
    </w:pPr>
    <w:rPr>
      <w:rFonts w:ascii="Calibri" w:hAnsi="Calibri" w:eastAsia="PMingLiU" w:cs="宋体"/>
      <w:sz w:val="24"/>
      <w:lang w:eastAsia="zh-TW"/>
    </w:rPr>
  </w:style>
  <w:style w:type="paragraph" w:customStyle="1" w:styleId="65">
    <w:name w:val="正文1"/>
    <w:basedOn w:val="1"/>
    <w:qFormat/>
    <w:uiPriority w:val="0"/>
    <w:pPr>
      <w:tabs>
        <w:tab w:val="left" w:pos="1290"/>
      </w:tabs>
      <w:ind w:left="1290" w:hanging="420"/>
      <w:jc w:val="left"/>
    </w:pPr>
    <w:rPr>
      <w:rFonts w:ascii="Times New Roman" w:hAnsi="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F6C945-9E37-427A-A7FB-6D1E1041CAB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47</Pages>
  <Words>22732</Words>
  <Characters>23878</Characters>
  <Lines>139</Lines>
  <Paragraphs>39</Paragraphs>
  <TotalTime>0</TotalTime>
  <ScaleCrop>false</ScaleCrop>
  <LinksUpToDate>false</LinksUpToDate>
  <CharactersWithSpaces>25085</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2020-11-30T05:46:00Z</dcterms:created>
  <dc:creator>ibm</dc:creator>
  <cp:lastModifiedBy>Queen</cp:lastModifiedBy>
  <cp:lastPrinted>2016-04-14T05:56:00Z</cp:lastPrinted>
  <dcterms:modified xsi:type="dcterms:W3CDTF">2023-08-04T01:23:11Z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CD2D86ADA3B847ACAF7F35EE022915CE_13</vt:lpwstr>
  </property>
</Properties>
</file>