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南京邮电大学通达学院学生公寓5、6、7#楼空调采购项目</w:t>
      </w: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ind w:firstLine="0"/>
        <w:jc w:val="center"/>
        <w:rPr>
          <w:rFonts w:ascii="宋体" w:hAnsi="宋体" w:cs="宋体"/>
          <w:b/>
          <w:bCs/>
          <w:sz w:val="84"/>
        </w:rPr>
      </w:pPr>
    </w:p>
    <w:p>
      <w:pPr>
        <w:pStyle w:val="24"/>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项目编号：TDHQ2018042</w:t>
      </w: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rPr>
          <w:rFonts w:ascii="宋体" w:hAnsi="宋体" w:cs="宋体"/>
        </w:rPr>
      </w:pPr>
    </w:p>
    <w:p>
      <w:pPr>
        <w:pStyle w:val="24"/>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4"/>
        <w:spacing w:before="0" w:after="0"/>
        <w:ind w:firstLine="0"/>
        <w:jc w:val="center"/>
        <w:rPr>
          <w:rFonts w:ascii="宋体" w:hAnsi="宋体" w:cs="宋体"/>
          <w:b/>
          <w:sz w:val="30"/>
          <w:szCs w:val="30"/>
        </w:rPr>
      </w:pPr>
      <w:r>
        <w:rPr>
          <w:rFonts w:hint="eastAsia" w:ascii="宋体" w:hAnsi="宋体" w:cs="宋体"/>
          <w:b/>
          <w:sz w:val="30"/>
          <w:szCs w:val="30"/>
        </w:rPr>
        <w:t>2018年6月</w:t>
      </w:r>
    </w:p>
    <w:p>
      <w:pPr>
        <w:pStyle w:val="24"/>
        <w:ind w:firstLine="0"/>
        <w:jc w:val="center"/>
        <w:rPr>
          <w:rFonts w:ascii="宋体" w:hAnsi="宋体" w:cs="宋体"/>
          <w:b/>
          <w:bCs/>
          <w:sz w:val="32"/>
        </w:rPr>
      </w:pP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479757206"/>
      <w:bookmarkStart w:id="2" w:name="_Toc523127445"/>
      <w:bookmarkStart w:id="3" w:name="_Toc16938516"/>
      <w:bookmarkStart w:id="4" w:name="_Toc513029200"/>
      <w:bookmarkStart w:id="5" w:name="_Toc20823272"/>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5"/>
        <w:jc w:val="center"/>
        <w:rPr>
          <w:b/>
          <w:sz w:val="44"/>
          <w:szCs w:val="44"/>
        </w:rPr>
      </w:pPr>
      <w:r>
        <w:rPr>
          <w:rFonts w:hint="eastAsia"/>
          <w:b/>
          <w:sz w:val="44"/>
          <w:szCs w:val="44"/>
        </w:rPr>
        <w:t xml:space="preserve">第一章  </w:t>
      </w:r>
      <w:bookmarkEnd w:id="0"/>
      <w:r>
        <w:rPr>
          <w:rFonts w:hint="eastAsia"/>
          <w:b/>
          <w:sz w:val="44"/>
          <w:szCs w:val="44"/>
        </w:rPr>
        <w:t>采购公告</w:t>
      </w:r>
    </w:p>
    <w:p>
      <w:pPr>
        <w:pStyle w:val="9"/>
        <w:shd w:val="clear" w:color="auto" w:fill="FFFFFF"/>
        <w:spacing w:before="0" w:beforeAutospacing="0" w:after="0" w:afterAutospacing="0" w:line="380" w:lineRule="exact"/>
        <w:ind w:firstLine="480"/>
        <w:rPr>
          <w:sz w:val="21"/>
          <w:szCs w:val="21"/>
        </w:rPr>
      </w:pPr>
      <w:r>
        <w:rPr>
          <w:rFonts w:hint="eastAsia"/>
          <w:sz w:val="21"/>
          <w:szCs w:val="21"/>
        </w:rPr>
        <w:t>根据国家招投标的法律法规和南京邮电大学的相关规定，现对南京邮电大学通达学院学生公寓5、6、7#楼空调采购项目进行公开招标采购，欢迎符合本次招标采购要求的企业参加投标。</w:t>
      </w:r>
    </w:p>
    <w:p>
      <w:pPr>
        <w:pStyle w:val="9"/>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采购项目名称编号及预算：南京邮电大学通达学院学生公寓5、6、7#楼空调采购（项目编号TDHQ2018042），预算为6万。</w:t>
      </w:r>
    </w:p>
    <w:p>
      <w:pPr>
        <w:pStyle w:val="9"/>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采购项目简要说明：1.南京邮电大学通达学院拟采购空调一批（具体数量及要求参见甲方采购文件）。2.项目地点：扬州市润扬南路33号。3.技术条款咨询联系人：周老师 ，联系电话：0514-89716085。（注：如不咨询，视为已理解该技术指标。）</w:t>
      </w:r>
    </w:p>
    <w:p>
      <w:pPr>
        <w:pStyle w:val="9"/>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投标人资质要求:</w:t>
      </w:r>
    </w:p>
    <w:p>
      <w:pPr>
        <w:pStyle w:val="9"/>
        <w:numPr>
          <w:ilvl w:val="0"/>
          <w:numId w:val="3"/>
        </w:numPr>
        <w:shd w:val="clear" w:color="auto" w:fill="FFFFFF"/>
        <w:spacing w:before="0" w:beforeAutospacing="0" w:after="0" w:afterAutospacing="0" w:line="380" w:lineRule="exact"/>
        <w:rPr>
          <w:sz w:val="21"/>
          <w:szCs w:val="21"/>
        </w:rPr>
      </w:pPr>
      <w:r>
        <w:rPr>
          <w:rFonts w:hint="eastAsia"/>
          <w:sz w:val="21"/>
          <w:szCs w:val="21"/>
        </w:rPr>
        <w:t>投标人必须是经国家有关部门批准，具有合法经营资质、符合《中华人民共和国政府采购法》第二十二条规定的独立法人；</w:t>
      </w:r>
    </w:p>
    <w:p>
      <w:pPr>
        <w:pStyle w:val="9"/>
        <w:numPr>
          <w:ilvl w:val="0"/>
          <w:numId w:val="3"/>
        </w:numPr>
        <w:shd w:val="clear" w:color="auto" w:fill="FFFFFF"/>
        <w:spacing w:before="0" w:beforeAutospacing="0" w:after="0" w:afterAutospacing="0" w:line="480" w:lineRule="atLeast"/>
        <w:rPr>
          <w:sz w:val="21"/>
          <w:szCs w:val="21"/>
        </w:rPr>
      </w:pP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9"/>
        <w:numPr>
          <w:ilvl w:val="0"/>
          <w:numId w:val="3"/>
        </w:numPr>
        <w:shd w:val="clear" w:color="auto" w:fill="FFFFFF"/>
        <w:spacing w:before="0" w:beforeAutospacing="0" w:after="0" w:afterAutospacing="0" w:line="380" w:lineRule="exact"/>
        <w:rPr>
          <w:sz w:val="21"/>
          <w:szCs w:val="21"/>
        </w:rPr>
      </w:pP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shd w:val="clear" w:color="auto" w:fill="FFFFFF"/>
        <w:spacing w:line="380" w:lineRule="exact"/>
        <w:ind w:firstLine="420" w:firstLineChars="200"/>
        <w:rPr>
          <w:rFonts w:ascii="宋体" w:hAnsi="宋体"/>
        </w:rPr>
      </w:pPr>
      <w:r>
        <w:rPr>
          <w:rFonts w:hint="eastAsia"/>
        </w:rPr>
        <w:t>4、</w:t>
      </w:r>
      <w:r>
        <w:rPr>
          <w:rFonts w:hint="eastAsia" w:ascii="宋体" w:hAnsi="宋体"/>
        </w:rPr>
        <w:t>投标人现场踏勘： 6月</w:t>
      </w:r>
      <w:r>
        <w:rPr>
          <w:rFonts w:hint="eastAsia" w:ascii="宋体" w:hAnsi="宋体"/>
          <w:highlight w:val="yellow"/>
        </w:rPr>
        <w:t>25</w:t>
      </w:r>
      <w:r>
        <w:rPr>
          <w:rFonts w:hint="eastAsia" w:ascii="宋体" w:hAnsi="宋体"/>
        </w:rPr>
        <w:t>日上午10:00。地点：南京邮电大学通达学院行政楼911（扬州市邗江区润扬南路33号），联系电话：0514-89716083。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pPr>
        <w:pStyle w:val="9"/>
        <w:shd w:val="clear" w:color="auto" w:fill="FFFFFF"/>
        <w:spacing w:before="0" w:beforeAutospacing="0" w:after="0" w:afterAutospacing="0" w:line="380" w:lineRule="exact"/>
        <w:ind w:firstLine="105" w:firstLineChars="50"/>
        <w:rPr>
          <w:sz w:val="21"/>
          <w:szCs w:val="21"/>
        </w:rPr>
      </w:pPr>
      <w:r>
        <w:rPr>
          <w:rFonts w:hint="eastAsia"/>
          <w:sz w:val="21"/>
          <w:szCs w:val="21"/>
        </w:rPr>
        <w:t xml:space="preserve">  5、本项目不接受联合体投标。</w:t>
      </w:r>
    </w:p>
    <w:p>
      <w:pPr>
        <w:pStyle w:val="9"/>
        <w:shd w:val="clear" w:color="auto" w:fill="FFFFFF"/>
        <w:spacing w:before="0" w:beforeAutospacing="0" w:after="0" w:afterAutospacing="0" w:line="38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pPr>
        <w:pStyle w:val="9"/>
        <w:shd w:val="clear" w:color="auto" w:fill="FFFFFF"/>
        <w:spacing w:before="0" w:beforeAutospacing="0" w:after="0" w:afterAutospacing="0" w:line="380" w:lineRule="exact"/>
        <w:ind w:firstLine="480"/>
        <w:rPr>
          <w:sz w:val="21"/>
          <w:szCs w:val="21"/>
        </w:rPr>
      </w:pPr>
      <w:r>
        <w:rPr>
          <w:rFonts w:hint="eastAsia"/>
          <w:sz w:val="21"/>
          <w:szCs w:val="21"/>
        </w:rPr>
        <w:t>五、投标文件接收信息:投标文件接收截止时间：2018年6月28日 上午 9时至11时。地点：南京邮电大学通达学院行政中心9楼911办公室。 联系人：李老师， 联系电话：0514-89716083。 采购单位不接受邮寄、快递等投标，投标文件在投标截止时间后，一律不予退回。</w:t>
      </w:r>
    </w:p>
    <w:p>
      <w:pPr>
        <w:pStyle w:val="9"/>
        <w:shd w:val="clear" w:color="auto" w:fill="FFFFFF"/>
        <w:spacing w:before="0" w:beforeAutospacing="0" w:after="0" w:afterAutospacing="0" w:line="380" w:lineRule="exact"/>
        <w:ind w:firstLine="480"/>
        <w:rPr>
          <w:sz w:val="21"/>
          <w:szCs w:val="21"/>
        </w:rPr>
      </w:pPr>
      <w:r>
        <w:rPr>
          <w:rFonts w:hint="eastAsia"/>
          <w:sz w:val="21"/>
          <w:szCs w:val="21"/>
        </w:rPr>
        <w:t>六、开标有关信息 :  具体开标时间、地点，递交标书时另行通知。</w:t>
      </w:r>
    </w:p>
    <w:p>
      <w:pPr>
        <w:pStyle w:val="9"/>
        <w:shd w:val="clear" w:color="auto" w:fill="FFFFFF"/>
        <w:spacing w:before="0" w:beforeAutospacing="0" w:after="0" w:afterAutospacing="0" w:line="380" w:lineRule="exact"/>
        <w:ind w:firstLine="480"/>
        <w:rPr>
          <w:sz w:val="21"/>
          <w:szCs w:val="21"/>
        </w:rPr>
      </w:pPr>
      <w:r>
        <w:rPr>
          <w:rFonts w:hint="eastAsia"/>
          <w:sz w:val="21"/>
          <w:szCs w:val="21"/>
        </w:rPr>
        <w:t>七、缴纳费用：投标单位须在投标时缴纳100元标书费，500元项目投标保证金。</w:t>
      </w:r>
    </w:p>
    <w:p>
      <w:pPr>
        <w:pStyle w:val="9"/>
        <w:shd w:val="clear" w:color="auto" w:fill="FFFFFF"/>
        <w:spacing w:before="0" w:beforeAutospacing="0" w:after="0" w:afterAutospacing="0" w:line="380" w:lineRule="exact"/>
        <w:ind w:firstLine="480"/>
        <w:rPr>
          <w:sz w:val="21"/>
          <w:szCs w:val="21"/>
        </w:rPr>
      </w:pPr>
      <w:r>
        <w:rPr>
          <w:rFonts w:hint="eastAsia"/>
          <w:sz w:val="21"/>
          <w:szCs w:val="21"/>
        </w:rPr>
        <w:t xml:space="preserve">八、本次招标联系事项: 联系人：李老师， 联系电话：0514-89716083。   </w:t>
      </w:r>
    </w:p>
    <w:p>
      <w:pPr>
        <w:pStyle w:val="9"/>
        <w:shd w:val="clear" w:color="auto" w:fill="FFFFFF"/>
        <w:spacing w:before="0" w:beforeAutospacing="0" w:after="0" w:afterAutospacing="0" w:line="380" w:lineRule="exact"/>
        <w:ind w:firstLine="480"/>
        <w:jc w:val="right"/>
        <w:rPr>
          <w:sz w:val="21"/>
          <w:szCs w:val="21"/>
        </w:rPr>
      </w:pPr>
    </w:p>
    <w:p>
      <w:pPr>
        <w:pStyle w:val="9"/>
        <w:shd w:val="clear" w:color="auto" w:fill="FFFFFF"/>
        <w:spacing w:before="0" w:beforeAutospacing="0" w:after="0" w:afterAutospacing="0" w:line="380" w:lineRule="exact"/>
        <w:ind w:firstLine="480"/>
        <w:jc w:val="right"/>
        <w:rPr>
          <w:sz w:val="21"/>
          <w:szCs w:val="21"/>
        </w:rPr>
      </w:pPr>
      <w:r>
        <w:rPr>
          <w:rFonts w:hint="eastAsia"/>
          <w:sz w:val="21"/>
          <w:szCs w:val="21"/>
        </w:rPr>
        <w:t xml:space="preserve">南京邮电大学通达学院后勤管理处　　                                                  </w:t>
      </w:r>
    </w:p>
    <w:p>
      <w:pPr>
        <w:pStyle w:val="9"/>
        <w:shd w:val="clear" w:color="auto" w:fill="FFFFFF"/>
        <w:spacing w:before="0" w:beforeAutospacing="0" w:after="0" w:afterAutospacing="0" w:line="380" w:lineRule="exact"/>
        <w:jc w:val="right"/>
        <w:rPr>
          <w:sz w:val="21"/>
          <w:szCs w:val="21"/>
        </w:rPr>
      </w:pPr>
      <w:r>
        <w:rPr>
          <w:rFonts w:hint="eastAsia"/>
          <w:sz w:val="21"/>
          <w:szCs w:val="21"/>
        </w:rPr>
        <w:t xml:space="preserve">                                                           二〇一八年六月二十二日</w:t>
      </w:r>
    </w:p>
    <w:p>
      <w:pPr>
        <w:pStyle w:val="5"/>
        <w:jc w:val="center"/>
        <w:rPr>
          <w:b/>
          <w:sz w:val="44"/>
          <w:szCs w:val="44"/>
        </w:rPr>
      </w:pPr>
      <w:r>
        <w:rPr>
          <w:rFonts w:hint="eastAsia"/>
          <w:sz w:val="24"/>
          <w:szCs w:val="24"/>
        </w:rPr>
        <w:br w:type="page"/>
      </w: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120614213"/>
      <w:bookmarkStart w:id="9" w:name="_Toc513029202"/>
      <w:bookmarkStart w:id="10" w:name="_Toc16938518"/>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120614214"/>
      <w:bookmarkStart w:id="12" w:name="_Toc513029203"/>
      <w:bookmarkStart w:id="13" w:name="_Toc16938519"/>
      <w:bookmarkStart w:id="14"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伍佰元（500元）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 xml:space="preserve">19、开标    </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伍佰元（500元）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5"/>
        <w:spacing w:line="340" w:lineRule="atLeast"/>
        <w:jc w:val="center"/>
        <w:rPr>
          <w:b/>
          <w:sz w:val="44"/>
          <w:szCs w:val="44"/>
        </w:rPr>
      </w:pPr>
      <w:r>
        <w:rPr>
          <w:rFonts w:hint="eastAsia"/>
          <w:sz w:val="24"/>
          <w:szCs w:val="24"/>
        </w:rPr>
        <w:br w:type="page"/>
      </w:r>
      <w:bookmarkEnd w:id="11"/>
      <w:bookmarkEnd w:id="12"/>
      <w:bookmarkEnd w:id="13"/>
      <w:bookmarkEnd w:id="14"/>
      <w:bookmarkStart w:id="15" w:name="_Toc513029242"/>
      <w:bookmarkStart w:id="16" w:name="_Toc479757207"/>
      <w:bookmarkStart w:id="17" w:name="_Toc120614221"/>
      <w:bookmarkStart w:id="18" w:name="_Toc16938558"/>
      <w:bookmarkStart w:id="19" w:name="_Toc20823314"/>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20823315"/>
      <w:bookmarkStart w:id="21" w:name="_Toc513029243"/>
      <w:bookmarkStart w:id="22" w:name="_Toc16938559"/>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2"/>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bookmarkEnd w:id="20"/>
      <w:bookmarkEnd w:id="21"/>
      <w:bookmarkEnd w:id="22"/>
    </w:tbl>
    <w:p>
      <w:pPr>
        <w:widowControl/>
        <w:snapToGrid w:val="0"/>
        <w:spacing w:line="340" w:lineRule="atLeast"/>
        <w:rPr>
          <w:rFonts w:ascii="宋体" w:hAnsi="宋体" w:cs="宋体"/>
          <w:sz w:val="24"/>
          <w:szCs w:val="24"/>
        </w:rPr>
      </w:pPr>
      <w:bookmarkStart w:id="23" w:name="_Hlt16619369"/>
      <w:bookmarkEnd w:id="23"/>
      <w:bookmarkStart w:id="24" w:name="_Hlt16619350"/>
      <w:bookmarkStart w:id="25" w:name="_Toc16938590"/>
      <w:bookmarkStart w:id="26" w:name="_Toc120614244"/>
      <w:bookmarkStart w:id="27" w:name="_Toc20823346"/>
      <w:bookmarkStart w:id="28" w:name="_Toc479757211"/>
      <w:bookmarkStart w:id="29" w:name="_Toc462564139"/>
      <w:r>
        <w:rPr>
          <w:rFonts w:hint="eastAsia" w:ascii="宋体" w:hAnsi="宋体" w:cs="宋体"/>
          <w:sz w:val="24"/>
          <w:szCs w:val="24"/>
        </w:rPr>
        <w:t>二、交货时间：在规定时间按照甲方要求安装完成摆放到位。验收合格后视为交付，即交付时间为甲方要求时间加10日以内的验收时间。</w:t>
      </w:r>
    </w:p>
    <w:p>
      <w:pPr>
        <w:widowControl/>
        <w:snapToGrid w:val="0"/>
        <w:spacing w:line="340" w:lineRule="atLeas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atLeas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atLeast"/>
        <w:rPr>
          <w:rFonts w:ascii="宋体" w:hAnsi="宋体" w:cs="宋体"/>
          <w:sz w:val="24"/>
          <w:szCs w:val="24"/>
        </w:rPr>
      </w:pPr>
      <w:r>
        <w:rPr>
          <w:rFonts w:hint="eastAsia" w:ascii="宋体" w:hAnsi="宋体" w:cs="宋体"/>
          <w:sz w:val="24"/>
          <w:szCs w:val="24"/>
        </w:rPr>
        <w:t>五、质保期：提供原厂质保_______(自验收合格之日起计。所有货物保修服务方式均为乙方派员到货物使用现场维修，由此产生的一切费用均由乙方承担。)</w:t>
      </w:r>
    </w:p>
    <w:p>
      <w:pPr>
        <w:widowControl/>
        <w:snapToGrid w:val="0"/>
        <w:spacing w:line="340" w:lineRule="atLeast"/>
        <w:rPr>
          <w:rFonts w:ascii="宋体" w:hAnsi="宋体" w:cs="宋体"/>
          <w:sz w:val="24"/>
          <w:szCs w:val="24"/>
        </w:rPr>
      </w:pPr>
      <w:r>
        <w:rPr>
          <w:rFonts w:hint="eastAsia" w:ascii="宋体" w:hAnsi="宋体" w:cs="宋体"/>
          <w:sz w:val="24"/>
          <w:szCs w:val="24"/>
        </w:rPr>
        <w:t>六、质量要求、技术标准、乙方对质量负责的条件和期限：</w:t>
      </w:r>
    </w:p>
    <w:p>
      <w:pPr>
        <w:widowControl/>
        <w:snapToGrid w:val="0"/>
        <w:spacing w:line="340" w:lineRule="atLeast"/>
        <w:rPr>
          <w:rFonts w:ascii="宋体" w:hAnsi="宋体" w:cs="宋体"/>
          <w:sz w:val="24"/>
          <w:szCs w:val="24"/>
        </w:rPr>
      </w:pPr>
      <w:r>
        <w:rPr>
          <w:rFonts w:hint="eastAsia" w:ascii="宋体" w:hAnsi="宋体" w:cs="宋体"/>
          <w:sz w:val="24"/>
          <w:szCs w:val="24"/>
        </w:rPr>
        <w:t>1、乙方所提供的货物，若技术性能无特殊说明，则按生产企业或国家有关部门最新颁布的标准及规范为准。</w:t>
      </w:r>
    </w:p>
    <w:p>
      <w:pPr>
        <w:widowControl/>
        <w:snapToGrid w:val="0"/>
        <w:spacing w:line="340" w:lineRule="atLeast"/>
        <w:rPr>
          <w:rFonts w:ascii="宋体" w:hAnsi="宋体" w:cs="宋体"/>
          <w:sz w:val="24"/>
          <w:szCs w:val="24"/>
        </w:rPr>
      </w:pPr>
      <w:r>
        <w:rPr>
          <w:rFonts w:hint="eastAsia" w:ascii="宋体" w:hAnsi="宋体" w:cs="宋体"/>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atLeast"/>
        <w:rPr>
          <w:rFonts w:ascii="宋体" w:hAnsi="宋体" w:cs="宋体"/>
          <w:sz w:val="24"/>
          <w:szCs w:val="24"/>
        </w:rPr>
      </w:pPr>
      <w:r>
        <w:rPr>
          <w:rFonts w:hint="eastAsia" w:ascii="宋体" w:hAnsi="宋体" w:cs="宋体"/>
          <w:sz w:val="24"/>
          <w:szCs w:val="24"/>
        </w:rPr>
        <w:t>七、验收标准：甲方应当在到货且安装调试完成后_</w:t>
      </w:r>
      <w:r>
        <w:rPr>
          <w:rFonts w:hint="eastAsia" w:ascii="宋体" w:hAnsi="宋体" w:cs="宋体"/>
          <w:sz w:val="24"/>
          <w:szCs w:val="24"/>
          <w:u w:val="single"/>
        </w:rPr>
        <w:t>10</w:t>
      </w:r>
      <w:r>
        <w:rPr>
          <w:rFonts w:hint="eastAsia" w:ascii="宋体" w:hAnsi="宋体" w:cs="宋体"/>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atLeast"/>
        <w:rPr>
          <w:rFonts w:ascii="宋体" w:hAnsi="宋体" w:cs="宋体"/>
          <w:sz w:val="24"/>
          <w:szCs w:val="24"/>
        </w:rPr>
      </w:pPr>
      <w:r>
        <w:rPr>
          <w:rFonts w:hint="eastAsia" w:ascii="宋体" w:hAnsi="宋体" w:cs="宋体"/>
          <w:sz w:val="24"/>
          <w:szCs w:val="24"/>
        </w:rPr>
        <w:t>八、 工程部分（两万元以上）需按南京邮电大学审计相关规定执行。</w:t>
      </w:r>
    </w:p>
    <w:p>
      <w:pPr>
        <w:widowControl/>
        <w:snapToGrid w:val="0"/>
        <w:spacing w:line="340" w:lineRule="atLeast"/>
        <w:rPr>
          <w:rFonts w:ascii="宋体" w:hAnsi="宋体" w:cs="宋体"/>
          <w:sz w:val="24"/>
          <w:szCs w:val="24"/>
        </w:rPr>
      </w:pPr>
      <w:r>
        <w:rPr>
          <w:rFonts w:hint="eastAsia" w:ascii="宋体" w:hAnsi="宋体" w:cs="宋体"/>
          <w:sz w:val="24"/>
          <w:szCs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atLeast"/>
        <w:rPr>
          <w:rFonts w:ascii="宋体" w:hAnsi="宋体" w:cs="宋体"/>
          <w:sz w:val="24"/>
          <w:szCs w:val="24"/>
        </w:rPr>
      </w:pPr>
      <w:r>
        <w:rPr>
          <w:rFonts w:hint="eastAsia" w:ascii="宋体" w:hAnsi="宋体" w:cs="宋体"/>
          <w:sz w:val="24"/>
          <w:szCs w:val="24"/>
        </w:rPr>
        <w:t>十、违约责任</w:t>
      </w:r>
    </w:p>
    <w:p>
      <w:pPr>
        <w:widowControl/>
        <w:snapToGrid w:val="0"/>
        <w:spacing w:line="340" w:lineRule="atLeast"/>
        <w:rPr>
          <w:rFonts w:ascii="宋体" w:hAnsi="宋体" w:cs="宋体"/>
          <w:sz w:val="24"/>
          <w:szCs w:val="24"/>
        </w:rPr>
      </w:pPr>
      <w:r>
        <w:rPr>
          <w:rFonts w:hint="eastAsia" w:ascii="宋体" w:hAnsi="宋体" w:cs="宋体"/>
          <w:sz w:val="24"/>
          <w:szCs w:val="24"/>
        </w:rPr>
        <w:t>1、甲方无正当理由拒收货物、拒付货物款的，由甲方向乙方偿付合同总价的5%违约金。如乙方不能交付货物，乙方应向甲方支付合同总价5%的违约金。</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atLeast"/>
        <w:rPr>
          <w:rFonts w:ascii="宋体" w:hAnsi="宋体" w:cs="宋体"/>
          <w:sz w:val="24"/>
          <w:szCs w:val="24"/>
        </w:rPr>
      </w:pPr>
      <w:r>
        <w:rPr>
          <w:rFonts w:hint="eastAsia" w:ascii="宋体" w:hAnsi="宋体" w:cs="宋体"/>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atLeast"/>
        <w:rPr>
          <w:rFonts w:ascii="宋体" w:hAnsi="宋体" w:cs="宋体"/>
          <w:sz w:val="24"/>
          <w:szCs w:val="24"/>
        </w:rPr>
      </w:pPr>
      <w:r>
        <w:rPr>
          <w:rFonts w:hint="eastAsia" w:ascii="宋体" w:hAnsi="宋体" w:cs="宋体"/>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atLeast"/>
        <w:rPr>
          <w:rFonts w:ascii="宋体" w:hAnsi="宋体" w:cs="宋体"/>
          <w:sz w:val="24"/>
          <w:szCs w:val="24"/>
        </w:rPr>
      </w:pPr>
      <w:r>
        <w:rPr>
          <w:rFonts w:hint="eastAsia" w:ascii="宋体" w:hAnsi="宋体" w:cs="宋体"/>
          <w:sz w:val="24"/>
          <w:szCs w:val="24"/>
        </w:rPr>
        <w:t>十一、 合同的变更和终止</w:t>
      </w:r>
    </w:p>
    <w:p>
      <w:pPr>
        <w:widowControl/>
        <w:snapToGrid w:val="0"/>
        <w:spacing w:line="340" w:lineRule="atLeast"/>
        <w:rPr>
          <w:rFonts w:ascii="宋体" w:hAnsi="宋体" w:cs="宋体"/>
          <w:sz w:val="24"/>
          <w:szCs w:val="24"/>
        </w:rPr>
      </w:pPr>
      <w:r>
        <w:rPr>
          <w:rFonts w:hint="eastAsia" w:ascii="宋体" w:hAnsi="宋体" w:cs="宋体"/>
          <w:sz w:val="24"/>
          <w:szCs w:val="24"/>
        </w:rPr>
        <w:t>除《政府采购法》第49条、第50条第二款规定的情形外，本合同一经签订，甲乙双方不得擅自变更、中止或终止合同。</w:t>
      </w:r>
    </w:p>
    <w:p>
      <w:pPr>
        <w:widowControl/>
        <w:snapToGrid w:val="0"/>
        <w:spacing w:line="340" w:lineRule="atLeast"/>
        <w:rPr>
          <w:rFonts w:ascii="宋体" w:hAnsi="宋体" w:cs="宋体"/>
          <w:sz w:val="24"/>
          <w:szCs w:val="24"/>
        </w:rPr>
      </w:pPr>
      <w:r>
        <w:rPr>
          <w:rFonts w:hint="eastAsia" w:ascii="宋体" w:hAnsi="宋体" w:cs="宋体"/>
          <w:sz w:val="24"/>
          <w:szCs w:val="24"/>
        </w:rPr>
        <w:t>十二、合同的转让</w:t>
      </w:r>
    </w:p>
    <w:p>
      <w:pPr>
        <w:widowControl/>
        <w:snapToGrid w:val="0"/>
        <w:spacing w:line="340" w:lineRule="atLeast"/>
        <w:rPr>
          <w:rFonts w:ascii="宋体" w:hAnsi="宋体" w:cs="宋体"/>
          <w:sz w:val="24"/>
          <w:szCs w:val="24"/>
        </w:rPr>
      </w:pPr>
      <w:r>
        <w:rPr>
          <w:rFonts w:hint="eastAsia" w:ascii="宋体" w:hAnsi="宋体" w:cs="宋体"/>
          <w:sz w:val="24"/>
          <w:szCs w:val="24"/>
        </w:rPr>
        <w:t>乙方不得擅自部分或全部转让其应履行的合同义务。</w:t>
      </w:r>
    </w:p>
    <w:p>
      <w:pPr>
        <w:widowControl/>
        <w:snapToGrid w:val="0"/>
        <w:spacing w:line="340" w:lineRule="atLeast"/>
        <w:rPr>
          <w:rFonts w:ascii="宋体" w:hAnsi="宋体" w:cs="宋体"/>
          <w:sz w:val="24"/>
          <w:szCs w:val="24"/>
        </w:rPr>
      </w:pPr>
      <w:r>
        <w:rPr>
          <w:rFonts w:hint="eastAsia" w:ascii="宋体" w:hAnsi="宋体" w:cs="宋体"/>
          <w:sz w:val="24"/>
          <w:szCs w:val="24"/>
        </w:rPr>
        <w:t>十三、 争议的解决</w:t>
      </w:r>
    </w:p>
    <w:p>
      <w:pPr>
        <w:widowControl/>
        <w:snapToGrid w:val="0"/>
        <w:spacing w:line="340" w:lineRule="atLeast"/>
        <w:rPr>
          <w:rFonts w:ascii="宋体" w:hAnsi="宋体" w:cs="宋体"/>
          <w:sz w:val="24"/>
          <w:szCs w:val="24"/>
        </w:rPr>
      </w:pPr>
      <w:r>
        <w:rPr>
          <w:rFonts w:hint="eastAsia" w:ascii="宋体" w:hAnsi="宋体" w:cs="宋体"/>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atLeast"/>
        <w:rPr>
          <w:rFonts w:ascii="宋体" w:hAnsi="宋体" w:cs="宋体"/>
          <w:sz w:val="24"/>
          <w:szCs w:val="24"/>
        </w:rPr>
      </w:pPr>
      <w:r>
        <w:rPr>
          <w:rFonts w:hint="eastAsia" w:ascii="宋体" w:hAnsi="宋体" w:cs="宋体"/>
          <w:sz w:val="24"/>
          <w:szCs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atLeast"/>
        <w:rPr>
          <w:rFonts w:ascii="宋体" w:hAnsi="宋体" w:cs="宋体"/>
          <w:sz w:val="24"/>
          <w:szCs w:val="24"/>
        </w:rPr>
      </w:pPr>
      <w:r>
        <w:rPr>
          <w:rFonts w:hint="eastAsia" w:ascii="宋体" w:hAnsi="宋体" w:cs="宋体"/>
          <w:sz w:val="24"/>
          <w:szCs w:val="24"/>
        </w:rPr>
        <w:t>十四、本合同由甲、乙双方共同签订，合同一式陆份，甲方伍份、乙方壹份。自双方签字、盖章之日起生效。</w:t>
      </w:r>
    </w:p>
    <w:p>
      <w:pPr>
        <w:widowControl/>
        <w:snapToGrid w:val="0"/>
        <w:spacing w:line="340" w:lineRule="atLeast"/>
        <w:rPr>
          <w:rFonts w:ascii="宋体" w:hAnsi="宋体" w:cs="宋体"/>
        </w:rPr>
      </w:pPr>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5"/>
        <w:jc w:val="center"/>
        <w:rPr>
          <w:b/>
          <w:sz w:val="44"/>
          <w:szCs w:val="44"/>
        </w:rPr>
      </w:pPr>
      <w:r>
        <w:rPr>
          <w:rFonts w:hint="eastAsia"/>
        </w:rPr>
        <w:br w:type="page"/>
      </w:r>
      <w:r>
        <w:rPr>
          <w:rFonts w:hint="eastAsia"/>
          <w:b/>
          <w:sz w:val="44"/>
          <w:szCs w:val="44"/>
        </w:rPr>
        <w:t>第四章 项目需求</w:t>
      </w:r>
    </w:p>
    <w:p>
      <w:pPr>
        <w:pStyle w:val="22"/>
        <w:shd w:val="clear" w:color="auto" w:fill="FFFFFF"/>
        <w:spacing w:line="360" w:lineRule="auto"/>
        <w:ind w:left="720"/>
        <w:rPr>
          <w:b/>
        </w:rPr>
      </w:pPr>
      <w:r>
        <w:rPr>
          <w:rFonts w:hint="eastAsia"/>
          <w:b/>
        </w:rPr>
        <w:t>一、总体要求：</w:t>
      </w:r>
    </w:p>
    <w:p>
      <w:pPr>
        <w:shd w:val="clear" w:color="auto" w:fill="FFFFFF"/>
        <w:spacing w:line="360" w:lineRule="auto"/>
        <w:ind w:firstLine="480" w:firstLineChars="200"/>
        <w:rPr>
          <w:rFonts w:ascii="宋体" w:hAnsi="宋体"/>
          <w:sz w:val="24"/>
          <w:szCs w:val="24"/>
        </w:rPr>
      </w:pPr>
      <w:r>
        <w:rPr>
          <w:rFonts w:ascii="宋体" w:hAnsi="宋体"/>
          <w:sz w:val="24"/>
          <w:szCs w:val="24"/>
        </w:rPr>
        <w:t>投标人踏勘现场后测算所需铜管等各种管材尺寸、数量，报价含</w:t>
      </w:r>
      <w:r>
        <w:rPr>
          <w:rFonts w:hint="eastAsia" w:ascii="宋体" w:hAnsi="宋体"/>
          <w:sz w:val="24"/>
          <w:szCs w:val="24"/>
        </w:rPr>
        <w:t>打孔、</w:t>
      </w:r>
      <w:r>
        <w:rPr>
          <w:rFonts w:ascii="宋体" w:hAnsi="宋体"/>
          <w:sz w:val="24"/>
          <w:szCs w:val="24"/>
        </w:rPr>
        <w:t>安装所有一切辅件。</w:t>
      </w:r>
      <w:r>
        <w:rPr>
          <w:rFonts w:hint="eastAsia" w:ascii="宋体" w:hAnsi="宋体"/>
          <w:sz w:val="24"/>
          <w:szCs w:val="24"/>
        </w:rPr>
        <w:t>空调在安装时如需要加长管线，根据</w:t>
      </w:r>
      <w:r>
        <w:rPr>
          <w:rFonts w:ascii="宋体" w:hAnsi="宋体"/>
          <w:sz w:val="24"/>
          <w:szCs w:val="24"/>
        </w:rPr>
        <w:t>实际安装数量按</w:t>
      </w:r>
      <w:r>
        <w:rPr>
          <w:rFonts w:hint="eastAsia" w:ascii="宋体" w:hAnsi="宋体"/>
          <w:sz w:val="24"/>
          <w:szCs w:val="24"/>
        </w:rPr>
        <w:t>实</w:t>
      </w:r>
      <w:r>
        <w:rPr>
          <w:rFonts w:ascii="宋体" w:hAnsi="宋体"/>
          <w:sz w:val="24"/>
          <w:szCs w:val="24"/>
        </w:rPr>
        <w:t>结算。</w:t>
      </w:r>
    </w:p>
    <w:p>
      <w:pPr>
        <w:snapToGrid w:val="0"/>
        <w:spacing w:line="360" w:lineRule="auto"/>
        <w:ind w:firstLine="583" w:firstLineChars="242"/>
        <w:rPr>
          <w:rFonts w:ascii="宋体" w:hAnsi="宋体"/>
          <w:b/>
          <w:bCs/>
          <w:sz w:val="24"/>
          <w:szCs w:val="24"/>
        </w:rPr>
      </w:pPr>
      <w:r>
        <w:rPr>
          <w:rFonts w:hint="eastAsia" w:ascii="宋体" w:hAnsi="宋体"/>
          <w:b/>
          <w:bCs/>
          <w:sz w:val="24"/>
          <w:szCs w:val="24"/>
        </w:rPr>
        <w:t>二、项目主要技术要求</w:t>
      </w:r>
    </w:p>
    <w:tbl>
      <w:tblPr>
        <w:tblStyle w:val="12"/>
        <w:tblW w:w="8897" w:type="dxa"/>
        <w:tblInd w:w="0" w:type="dxa"/>
        <w:tblLayout w:type="fixed"/>
        <w:tblCellMar>
          <w:top w:w="0" w:type="dxa"/>
          <w:left w:w="108" w:type="dxa"/>
          <w:bottom w:w="0" w:type="dxa"/>
          <w:right w:w="108" w:type="dxa"/>
        </w:tblCellMar>
      </w:tblPr>
      <w:tblGrid>
        <w:gridCol w:w="4361"/>
        <w:gridCol w:w="4536"/>
      </w:tblGrid>
      <w:tr>
        <w:tblPrEx>
          <w:tblLayout w:type="fixed"/>
          <w:tblCellMar>
            <w:top w:w="0" w:type="dxa"/>
            <w:left w:w="108" w:type="dxa"/>
            <w:bottom w:w="0" w:type="dxa"/>
            <w:right w:w="108" w:type="dxa"/>
          </w:tblCellMar>
        </w:tblPrEx>
        <w:trPr>
          <w:trHeight w:val="712" w:hRule="atLeast"/>
        </w:trPr>
        <w:tc>
          <w:tcPr>
            <w:tcW w:w="4361" w:type="dxa"/>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指标</w:t>
            </w:r>
          </w:p>
        </w:tc>
        <w:tc>
          <w:tcPr>
            <w:tcW w:w="4536" w:type="dxa"/>
            <w:tcBorders>
              <w:top w:val="single" w:color="auto" w:sz="4" w:space="0"/>
              <w:left w:val="nil"/>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配置</w:t>
            </w:r>
          </w:p>
        </w:tc>
      </w:tr>
      <w:tr>
        <w:tblPrEx>
          <w:tblLayout w:type="fixed"/>
          <w:tblCellMar>
            <w:top w:w="0" w:type="dxa"/>
            <w:left w:w="108" w:type="dxa"/>
            <w:bottom w:w="0" w:type="dxa"/>
            <w:right w:w="108" w:type="dxa"/>
          </w:tblCellMar>
        </w:tblPrEx>
        <w:trPr>
          <w:trHeight w:val="780"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规格类型</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Ansi="宋体" w:cs="宋体"/>
                <w:color w:val="000000"/>
              </w:rPr>
              <w:t>1.5P</w:t>
            </w:r>
            <w:r>
              <w:rPr>
                <w:rFonts w:hint="eastAsia" w:ascii="宋体" w:hAnsi="宋体"/>
                <w:color w:val="000000"/>
              </w:rPr>
              <w:t>冷暖定速分体式壁挂机</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预算</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Ansi="宋体" w:cs="宋体"/>
                <w:color w:val="000000"/>
              </w:rPr>
              <w:t>2</w:t>
            </w:r>
            <w:r>
              <w:rPr>
                <w:rFonts w:hint="eastAsia" w:hAnsi="宋体"/>
                <w:color w:val="000000"/>
              </w:rPr>
              <w:t>500</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rPr>
            </w:pPr>
            <w:r>
              <w:rPr>
                <w:rFonts w:hint="eastAsia" w:ascii="宋体" w:hAnsi="宋体"/>
              </w:rPr>
              <w:t>能效等级</w:t>
            </w:r>
          </w:p>
        </w:tc>
        <w:tc>
          <w:tcPr>
            <w:tcW w:w="4536" w:type="dxa"/>
            <w:tcBorders>
              <w:top w:val="nil"/>
              <w:left w:val="nil"/>
              <w:bottom w:val="single" w:color="auto" w:sz="4" w:space="0"/>
              <w:right w:val="single" w:color="auto" w:sz="4" w:space="0"/>
            </w:tcBorders>
            <w:vAlign w:val="center"/>
          </w:tcPr>
          <w:p>
            <w:pPr>
              <w:widowControl/>
              <w:jc w:val="center"/>
              <w:rPr>
                <w:rFonts w:hAnsi="宋体" w:cs="宋体"/>
              </w:rPr>
            </w:pPr>
            <w:r>
              <w:rPr>
                <w:rFonts w:hint="eastAsia"/>
                <w:bCs/>
                <w:sz w:val="24"/>
                <w:szCs w:val="24"/>
              </w:rPr>
              <w:t>能效等级≤3</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制冷量</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w:t>
            </w:r>
            <w:r>
              <w:rPr>
                <w:rFonts w:hAnsi="宋体" w:cs="宋体"/>
                <w:color w:val="000000"/>
              </w:rPr>
              <w:t>3500W</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制热量</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w:t>
            </w:r>
            <w:r>
              <w:rPr>
                <w:rFonts w:hAnsi="宋体" w:cs="宋体"/>
                <w:color w:val="000000"/>
              </w:rPr>
              <w:t>3850W</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噪音水平</w:t>
            </w:r>
            <w:r>
              <w:rPr>
                <w:rFonts w:hAnsi="宋体" w:cs="宋体"/>
                <w:color w:val="000000"/>
              </w:rPr>
              <w:t>(</w:t>
            </w:r>
            <w:r>
              <w:rPr>
                <w:rFonts w:hint="eastAsia" w:ascii="宋体" w:hAnsi="宋体"/>
                <w:color w:val="000000"/>
              </w:rPr>
              <w:t>室内、外）</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符合标准</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其它功能</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电辅加热</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冷媒管</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纯铜质，标配</w:t>
            </w:r>
            <w:r>
              <w:rPr>
                <w:rFonts w:hAnsi="宋体" w:cs="宋体"/>
                <w:color w:val="000000"/>
              </w:rPr>
              <w:t>3</w:t>
            </w:r>
            <w:r>
              <w:rPr>
                <w:rFonts w:hint="eastAsia" w:ascii="宋体" w:hAnsi="宋体"/>
                <w:color w:val="000000"/>
              </w:rPr>
              <w:t>米</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楷体_GB2312" w:hAnsi="楷体_GB2312"/>
                <w:color w:val="FF0000"/>
                <w:sz w:val="24"/>
                <w:szCs w:val="24"/>
              </w:rPr>
              <w:t>墙壁开孔</w:t>
            </w:r>
          </w:p>
        </w:tc>
        <w:tc>
          <w:tcPr>
            <w:tcW w:w="4536" w:type="dxa"/>
            <w:tcBorders>
              <w:top w:val="nil"/>
              <w:left w:val="nil"/>
              <w:bottom w:val="single" w:color="auto" w:sz="4" w:space="0"/>
              <w:right w:val="single" w:color="auto" w:sz="4" w:space="0"/>
            </w:tcBorders>
            <w:vAlign w:val="center"/>
          </w:tcPr>
          <w:p>
            <w:pPr>
              <w:widowControl/>
              <w:jc w:val="center"/>
              <w:rPr>
                <w:rFonts w:ascii="宋体" w:hAnsi="宋体"/>
                <w:color w:val="000000"/>
              </w:rPr>
            </w:pPr>
            <w:r>
              <w:rPr>
                <w:rFonts w:ascii="楷体_GB2312" w:hAnsi="楷体_GB2312"/>
                <w:color w:val="FF0000"/>
                <w:sz w:val="24"/>
                <w:szCs w:val="24"/>
              </w:rPr>
              <w:t>每间需开</w:t>
            </w:r>
            <w:r>
              <w:rPr>
                <w:rFonts w:eastAsia="楷体_GB2312"/>
                <w:color w:val="FF0000"/>
                <w:sz w:val="24"/>
                <w:szCs w:val="24"/>
              </w:rPr>
              <w:t>2</w:t>
            </w:r>
            <w:r>
              <w:rPr>
                <w:rFonts w:ascii="楷体_GB2312" w:hAnsi="楷体_GB2312"/>
                <w:color w:val="FF0000"/>
                <w:sz w:val="24"/>
                <w:szCs w:val="24"/>
              </w:rPr>
              <w:t>个孔</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FF0000"/>
              </w:rPr>
            </w:pPr>
            <w:r>
              <w:rPr>
                <w:rFonts w:hint="eastAsia" w:ascii="宋体" w:hAnsi="宋体"/>
                <w:color w:val="FF0000"/>
              </w:rPr>
              <w:t>室内机电源线</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FF0000"/>
              </w:rPr>
            </w:pPr>
            <w:r>
              <w:rPr>
                <w:rFonts w:hAnsi="宋体" w:cs="宋体"/>
                <w:color w:val="FF0000"/>
              </w:rPr>
              <w:t>1</w:t>
            </w:r>
            <w:r>
              <w:rPr>
                <w:rFonts w:hint="eastAsia" w:ascii="宋体" w:hAnsi="宋体"/>
                <w:color w:val="FF0000"/>
              </w:rPr>
              <w:t>（</w:t>
            </w:r>
            <w:r>
              <w:rPr>
                <w:rFonts w:hAnsi="宋体" w:cs="宋体"/>
                <w:color w:val="FF0000"/>
              </w:rPr>
              <w:t>1.5</w:t>
            </w:r>
            <w:r>
              <w:rPr>
                <w:rFonts w:hint="eastAsia" w:ascii="宋体" w:hAnsi="宋体"/>
                <w:color w:val="FF0000"/>
              </w:rPr>
              <w:t>米）</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遥控器</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Ansi="宋体" w:cs="宋体"/>
                <w:color w:val="000000"/>
              </w:rPr>
              <w:t>1</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sz w:val="18"/>
                <w:szCs w:val="18"/>
              </w:rPr>
            </w:pPr>
            <w:r>
              <w:rPr>
                <w:rFonts w:hint="eastAsia" w:ascii="宋体" w:hAnsi="宋体"/>
                <w:color w:val="000000"/>
                <w:sz w:val="18"/>
                <w:szCs w:val="18"/>
              </w:rPr>
              <w:t>室外机支架</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sz w:val="18"/>
                <w:szCs w:val="18"/>
              </w:rPr>
            </w:pPr>
            <w:r>
              <w:rPr>
                <w:rFonts w:hint="eastAsia" w:ascii="宋体" w:hAnsi="宋体"/>
                <w:color w:val="000000"/>
                <w:sz w:val="18"/>
                <w:szCs w:val="18"/>
              </w:rPr>
              <w:t>1(支架材料必须为不锈钢</w:t>
            </w:r>
            <w:r>
              <w:rPr>
                <w:rFonts w:hint="eastAsia"/>
                <w:color w:val="000000"/>
                <w:sz w:val="18"/>
                <w:szCs w:val="18"/>
              </w:rPr>
              <w:t>)</w:t>
            </w:r>
          </w:p>
        </w:tc>
      </w:tr>
      <w:tr>
        <w:tblPrEx>
          <w:tblLayout w:type="fixed"/>
          <w:tblCellMar>
            <w:top w:w="0" w:type="dxa"/>
            <w:left w:w="108" w:type="dxa"/>
            <w:bottom w:w="0" w:type="dxa"/>
            <w:right w:w="108" w:type="dxa"/>
          </w:tblCellMar>
        </w:tblPrEx>
        <w:trPr>
          <w:trHeight w:val="465" w:hRule="atLeast"/>
        </w:trPr>
        <w:tc>
          <w:tcPr>
            <w:tcW w:w="4361" w:type="dxa"/>
            <w:tcBorders>
              <w:top w:val="nil"/>
              <w:left w:val="single" w:color="auto" w:sz="4" w:space="0"/>
              <w:bottom w:val="single" w:color="auto" w:sz="4" w:space="0"/>
              <w:right w:val="single" w:color="auto" w:sz="4" w:space="0"/>
            </w:tcBorders>
            <w:vAlign w:val="center"/>
          </w:tcPr>
          <w:p>
            <w:pPr>
              <w:widowControl/>
              <w:jc w:val="center"/>
              <w:rPr>
                <w:rFonts w:hAnsi="宋体" w:cs="宋体"/>
                <w:color w:val="000000"/>
              </w:rPr>
            </w:pPr>
            <w:r>
              <w:rPr>
                <w:rFonts w:hint="eastAsia" w:ascii="宋体" w:hAnsi="宋体"/>
                <w:color w:val="000000"/>
              </w:rPr>
              <w:t>免费质保期限</w:t>
            </w:r>
          </w:p>
        </w:tc>
        <w:tc>
          <w:tcPr>
            <w:tcW w:w="4536" w:type="dxa"/>
            <w:tcBorders>
              <w:top w:val="nil"/>
              <w:left w:val="nil"/>
              <w:bottom w:val="single" w:color="auto" w:sz="4" w:space="0"/>
              <w:right w:val="single" w:color="auto" w:sz="4" w:space="0"/>
            </w:tcBorders>
            <w:vAlign w:val="center"/>
          </w:tcPr>
          <w:p>
            <w:pPr>
              <w:widowControl/>
              <w:jc w:val="center"/>
              <w:rPr>
                <w:rFonts w:hAnsi="宋体" w:cs="宋体"/>
                <w:color w:val="000000"/>
              </w:rPr>
            </w:pPr>
            <w:r>
              <w:rPr>
                <w:rFonts w:hAnsi="宋体" w:cs="宋体"/>
                <w:color w:val="000000"/>
              </w:rPr>
              <w:t>6(</w:t>
            </w:r>
            <w:r>
              <w:rPr>
                <w:rFonts w:hint="eastAsia" w:ascii="宋体" w:hAnsi="宋体"/>
                <w:color w:val="000000"/>
              </w:rPr>
              <w:t>年）</w:t>
            </w:r>
          </w:p>
        </w:tc>
      </w:tr>
    </w:tbl>
    <w:p>
      <w:pPr>
        <w:spacing w:line="400" w:lineRule="exact"/>
        <w:rPr>
          <w:rFonts w:hint="eastAsia" w:ascii="楷体_GB2312" w:hAnsi="楷体_GB2312"/>
          <w:b/>
          <w:bCs/>
          <w:sz w:val="24"/>
          <w:szCs w:val="24"/>
        </w:rPr>
      </w:pPr>
      <w:r>
        <w:rPr>
          <w:rFonts w:ascii="楷体_GB2312" w:hAnsi="楷体_GB2312"/>
          <w:b/>
          <w:bCs/>
          <w:sz w:val="24"/>
          <w:szCs w:val="24"/>
        </w:rPr>
        <w:t>投标样品：</w:t>
      </w:r>
    </w:p>
    <w:p>
      <w:pPr>
        <w:spacing w:line="400" w:lineRule="exact"/>
        <w:ind w:firstLine="480" w:firstLineChars="200"/>
        <w:rPr>
          <w:rFonts w:hint="eastAsia" w:ascii="楷体_GB2312" w:hAnsi="楷体_GB2312"/>
          <w:color w:val="FF0000"/>
          <w:sz w:val="24"/>
          <w:szCs w:val="24"/>
        </w:rPr>
      </w:pPr>
      <w:r>
        <w:rPr>
          <w:rFonts w:ascii="楷体_GB2312" w:hAnsi="楷体_GB2312"/>
          <w:color w:val="FF0000"/>
          <w:sz w:val="24"/>
          <w:szCs w:val="24"/>
        </w:rPr>
        <w:t>（1）每个投标人均须提供管材样品，每家只许投报一种方案。</w:t>
      </w:r>
    </w:p>
    <w:p>
      <w:pPr>
        <w:spacing w:line="400" w:lineRule="exact"/>
        <w:ind w:firstLine="480" w:firstLineChars="200"/>
        <w:rPr>
          <w:rFonts w:hint="eastAsia" w:ascii="楷体_GB2312" w:hAnsi="楷体_GB2312"/>
          <w:color w:val="FF0000"/>
          <w:sz w:val="24"/>
          <w:szCs w:val="24"/>
        </w:rPr>
      </w:pPr>
      <w:r>
        <w:rPr>
          <w:rFonts w:ascii="楷体_GB2312" w:hAnsi="楷体_GB2312"/>
          <w:color w:val="FF0000"/>
          <w:sz w:val="24"/>
          <w:szCs w:val="24"/>
        </w:rPr>
        <w:t>（2）样品种类：本型号空调画册一套，连接铜管（壁厚</w:t>
      </w:r>
      <w:r>
        <w:rPr>
          <w:color w:val="FF0000"/>
          <w:sz w:val="24"/>
          <w:szCs w:val="24"/>
        </w:rPr>
        <w:t>0.7</w:t>
      </w:r>
      <w:r>
        <w:rPr>
          <w:rFonts w:ascii="楷体_GB2312" w:hAnsi="楷体_GB2312"/>
          <w:color w:val="FF0000"/>
          <w:sz w:val="24"/>
          <w:szCs w:val="24"/>
        </w:rPr>
        <w:t>以上），</w:t>
      </w:r>
      <w:r>
        <w:rPr>
          <w:color w:val="FF0000"/>
          <w:sz w:val="24"/>
          <w:szCs w:val="24"/>
        </w:rPr>
        <w:t>PVC</w:t>
      </w:r>
      <w:r>
        <w:rPr>
          <w:rFonts w:ascii="楷体_GB2312" w:hAnsi="楷体_GB2312"/>
          <w:color w:val="FF0000"/>
          <w:sz w:val="24"/>
          <w:szCs w:val="24"/>
        </w:rPr>
        <w:t>排水管，单元集水管（不锈钢镙丝固定）、不锈钢支架，不锈钢镙丝固定）</w:t>
      </w:r>
      <w:r>
        <w:rPr>
          <w:color w:val="FF0000"/>
          <w:sz w:val="24"/>
          <w:szCs w:val="24"/>
        </w:rPr>
        <w:t>,</w:t>
      </w:r>
      <w:r>
        <w:rPr>
          <w:rFonts w:ascii="楷体_GB2312" w:hAnsi="楷体_GB2312"/>
          <w:color w:val="FF0000"/>
          <w:sz w:val="24"/>
          <w:szCs w:val="24"/>
        </w:rPr>
        <w:t>卫生间空调钢管镀锌吊筋</w:t>
      </w:r>
      <w:r>
        <w:rPr>
          <w:color w:val="FF0000"/>
          <w:sz w:val="24"/>
          <w:szCs w:val="24"/>
        </w:rPr>
        <w:t>,</w:t>
      </w:r>
      <w:r>
        <w:rPr>
          <w:rFonts w:ascii="楷体_GB2312" w:hAnsi="楷体_GB2312"/>
          <w:color w:val="FF0000"/>
          <w:sz w:val="24"/>
          <w:szCs w:val="24"/>
        </w:rPr>
        <w:t>等附品附件，样品中标后留存。</w:t>
      </w:r>
    </w:p>
    <w:p>
      <w:pPr>
        <w:spacing w:line="400" w:lineRule="exact"/>
        <w:ind w:firstLine="480" w:firstLineChars="200"/>
        <w:rPr>
          <w:rFonts w:hint="eastAsia" w:ascii="楷体_GB2312" w:hAnsi="楷体_GB2312"/>
          <w:sz w:val="24"/>
          <w:szCs w:val="24"/>
        </w:rPr>
      </w:pPr>
      <w:r>
        <w:rPr>
          <w:rFonts w:ascii="楷体_GB2312" w:hAnsi="楷体_GB2312"/>
          <w:sz w:val="24"/>
          <w:szCs w:val="24"/>
        </w:rPr>
        <w:t>（3）送达时间：与投标文件一同送达。</w:t>
      </w:r>
    </w:p>
    <w:p>
      <w:pPr>
        <w:snapToGrid w:val="0"/>
        <w:spacing w:line="360" w:lineRule="auto"/>
        <w:ind w:firstLine="583" w:firstLineChars="242"/>
        <w:rPr>
          <w:rFonts w:ascii="宋体" w:hAnsi="宋体"/>
          <w:b/>
          <w:bCs/>
          <w:sz w:val="24"/>
          <w:szCs w:val="24"/>
        </w:rPr>
      </w:pPr>
      <w:r>
        <w:rPr>
          <w:rFonts w:hint="eastAsia" w:ascii="宋体" w:hAnsi="宋体"/>
          <w:b/>
          <w:bCs/>
          <w:sz w:val="24"/>
          <w:szCs w:val="24"/>
        </w:rPr>
        <w:t>三、项目施工相关要求</w:t>
      </w:r>
    </w:p>
    <w:p>
      <w:pPr>
        <w:pStyle w:val="32"/>
        <w:snapToGrid w:val="0"/>
        <w:spacing w:line="480" w:lineRule="exact"/>
        <w:ind w:firstLine="480" w:firstLineChars="200"/>
        <w:rPr>
          <w:rFonts w:ascii="宋体" w:hAnsi="宋体"/>
          <w:sz w:val="24"/>
          <w:szCs w:val="24"/>
        </w:rPr>
      </w:pPr>
      <w:r>
        <w:rPr>
          <w:rFonts w:hint="eastAsia" w:ascii="宋体" w:hAnsi="宋体"/>
          <w:sz w:val="24"/>
          <w:szCs w:val="24"/>
        </w:rPr>
        <w:t>1、施工时间要求：</w:t>
      </w:r>
      <w:r>
        <w:rPr>
          <w:rFonts w:hint="eastAsia" w:hAnsi="宋体"/>
          <w:sz w:val="24"/>
          <w:szCs w:val="24"/>
        </w:rPr>
        <w:t>要求合同签订后15天完成</w:t>
      </w:r>
      <w:r>
        <w:rPr>
          <w:rFonts w:hint="eastAsia" w:ascii="宋体" w:hAnsi="宋体"/>
          <w:sz w:val="24"/>
          <w:szCs w:val="24"/>
        </w:rPr>
        <w:t>施工</w:t>
      </w:r>
      <w:r>
        <w:rPr>
          <w:rFonts w:hint="eastAsia" w:hAnsi="宋体"/>
          <w:sz w:val="24"/>
          <w:szCs w:val="24"/>
        </w:rPr>
        <w:t>。</w:t>
      </w:r>
    </w:p>
    <w:p>
      <w:pPr>
        <w:snapToGrid w:val="0"/>
        <w:spacing w:line="480" w:lineRule="exact"/>
        <w:ind w:firstLine="420"/>
        <w:rPr>
          <w:rFonts w:ascii="宋体" w:hAnsi="宋体"/>
          <w:sz w:val="24"/>
          <w:szCs w:val="24"/>
        </w:rPr>
      </w:pPr>
      <w:r>
        <w:rPr>
          <w:rFonts w:hint="eastAsia" w:ascii="宋体" w:hAnsi="宋体"/>
          <w:sz w:val="24"/>
          <w:szCs w:val="24"/>
        </w:rPr>
        <w:t>2、工程施工人员：必须严格遵守采购人校园管理规章制度，文明施工，礼貌待人，保护施工场所内的物品。项目经理或主管或专门工程师自进场后必须每天在现场8小时。</w:t>
      </w:r>
    </w:p>
    <w:p>
      <w:pPr>
        <w:snapToGrid w:val="0"/>
        <w:spacing w:line="480" w:lineRule="exact"/>
        <w:ind w:firstLine="420"/>
        <w:rPr>
          <w:rFonts w:ascii="宋体" w:hAnsi="宋体"/>
          <w:sz w:val="24"/>
          <w:szCs w:val="24"/>
        </w:rPr>
      </w:pPr>
      <w:r>
        <w:rPr>
          <w:rFonts w:hint="eastAsia" w:ascii="宋体" w:hAnsi="宋体"/>
          <w:sz w:val="24"/>
          <w:szCs w:val="24"/>
        </w:rPr>
        <w:t>3、安全要求：施工人员施工期间应服从采购人的安全保卫规章制度和相应部门的管理。中标供应商施工人员的安全、施工中所造成的一切安全事故及施工中涉及的物品安全等均由中标供应商全部负责，采购人不承担项目实施过程中所产生的任何安全责任。</w:t>
      </w:r>
    </w:p>
    <w:p>
      <w:pPr>
        <w:spacing w:line="400" w:lineRule="exact"/>
        <w:ind w:firstLine="472" w:firstLineChars="196"/>
        <w:rPr>
          <w:rFonts w:ascii="宋体" w:hAnsi="宋体"/>
          <w:b/>
          <w:bCs/>
          <w:sz w:val="24"/>
          <w:szCs w:val="24"/>
        </w:rPr>
      </w:pPr>
      <w:r>
        <w:rPr>
          <w:rFonts w:hint="eastAsia" w:ascii="宋体" w:hAnsi="宋体"/>
          <w:b/>
          <w:bCs/>
          <w:sz w:val="24"/>
          <w:szCs w:val="24"/>
        </w:rPr>
        <w:t>四、其他：</w:t>
      </w:r>
    </w:p>
    <w:p>
      <w:pPr>
        <w:spacing w:line="400" w:lineRule="exact"/>
        <w:ind w:firstLine="480" w:firstLineChars="200"/>
        <w:rPr>
          <w:rFonts w:ascii="宋体" w:hAnsi="宋体"/>
          <w:b/>
          <w:bCs/>
          <w:sz w:val="28"/>
          <w:szCs w:val="28"/>
        </w:rPr>
      </w:pPr>
      <w:r>
        <w:rPr>
          <w:rFonts w:hint="eastAsia" w:eastAsia="楷体_GB2312"/>
          <w:color w:val="FF0000"/>
          <w:sz w:val="24"/>
          <w:szCs w:val="24"/>
        </w:rPr>
        <w:t>1</w:t>
      </w:r>
      <w:r>
        <w:rPr>
          <w:rFonts w:eastAsia="楷体_GB2312"/>
          <w:color w:val="FF0000"/>
          <w:sz w:val="24"/>
          <w:szCs w:val="24"/>
        </w:rPr>
        <w:t xml:space="preserve">. </w:t>
      </w:r>
      <w:r>
        <w:rPr>
          <w:rFonts w:ascii="楷体_GB2312" w:hAnsi="楷体_GB2312"/>
          <w:color w:val="FF0000"/>
          <w:sz w:val="24"/>
          <w:szCs w:val="24"/>
        </w:rPr>
        <w:t>空调采用优质</w:t>
      </w:r>
      <w:r>
        <w:rPr>
          <w:rFonts w:eastAsia="楷体_GB2312"/>
          <w:color w:val="FF0000"/>
          <w:sz w:val="24"/>
          <w:szCs w:val="24"/>
        </w:rPr>
        <w:t>PVC</w:t>
      </w:r>
      <w:r>
        <w:rPr>
          <w:rFonts w:ascii="楷体_GB2312" w:hAnsi="楷体_GB2312"/>
          <w:color w:val="FF0000"/>
          <w:sz w:val="24"/>
          <w:szCs w:val="24"/>
        </w:rPr>
        <w:t>管按单元集中排水。</w:t>
      </w:r>
    </w:p>
    <w:p>
      <w:pPr>
        <w:spacing w:line="400" w:lineRule="exact"/>
        <w:ind w:firstLine="480" w:firstLineChars="200"/>
        <w:rPr>
          <w:rFonts w:eastAsia="楷体_GB2312"/>
          <w:color w:val="FF0000"/>
          <w:sz w:val="24"/>
          <w:szCs w:val="24"/>
        </w:rPr>
      </w:pPr>
      <w:r>
        <w:rPr>
          <w:rFonts w:hint="eastAsia" w:ascii="楷体_GB2312" w:hAnsi="楷体_GB2312"/>
          <w:color w:val="FF0000"/>
          <w:sz w:val="24"/>
          <w:szCs w:val="24"/>
        </w:rPr>
        <w:t>2</w:t>
      </w:r>
      <w:r>
        <w:rPr>
          <w:rFonts w:ascii="楷体_GB2312" w:hAnsi="楷体_GB2312"/>
          <w:color w:val="FF0000"/>
          <w:sz w:val="24"/>
          <w:szCs w:val="24"/>
        </w:rPr>
        <w:t>、卫生保洁费</w:t>
      </w:r>
      <w:r>
        <w:rPr>
          <w:rFonts w:eastAsia="楷体_GB2312"/>
          <w:color w:val="FF0000"/>
          <w:sz w:val="24"/>
          <w:szCs w:val="24"/>
        </w:rPr>
        <w:t>1</w:t>
      </w:r>
      <w:r>
        <w:rPr>
          <w:rFonts w:hint="eastAsia" w:eastAsia="楷体_GB2312"/>
          <w:color w:val="FF0000"/>
          <w:sz w:val="24"/>
          <w:szCs w:val="24"/>
        </w:rPr>
        <w:t>5</w:t>
      </w:r>
      <w:r>
        <w:rPr>
          <w:rFonts w:ascii="楷体_GB2312" w:hAnsi="楷体_GB2312"/>
          <w:color w:val="FF0000"/>
          <w:sz w:val="24"/>
          <w:szCs w:val="24"/>
        </w:rPr>
        <w:t>元</w:t>
      </w:r>
      <w:r>
        <w:rPr>
          <w:rFonts w:eastAsia="楷体_GB2312"/>
          <w:color w:val="FF0000"/>
          <w:sz w:val="24"/>
          <w:szCs w:val="24"/>
        </w:rPr>
        <w:t>/</w:t>
      </w:r>
      <w:r>
        <w:rPr>
          <w:rFonts w:ascii="楷体_GB2312" w:hAnsi="楷体_GB2312"/>
          <w:color w:val="FF0000"/>
          <w:sz w:val="24"/>
          <w:szCs w:val="24"/>
        </w:rPr>
        <w:t>间。工程完工后由施工单位直接一次支付给相关公寓物业管理公司。通达学院后勤不经手相关卫生保洁费。</w:t>
      </w:r>
    </w:p>
    <w:p>
      <w:pPr>
        <w:spacing w:line="400" w:lineRule="exact"/>
        <w:ind w:firstLine="480" w:firstLineChars="200"/>
        <w:rPr>
          <w:rFonts w:eastAsia="楷体_GB2312"/>
          <w:color w:val="FF0000"/>
          <w:sz w:val="24"/>
          <w:szCs w:val="24"/>
        </w:rPr>
      </w:pPr>
      <w:r>
        <w:rPr>
          <w:rFonts w:hint="eastAsia" w:ascii="楷体_GB2312" w:hAnsi="楷体_GB2312"/>
          <w:color w:val="FF0000"/>
          <w:sz w:val="24"/>
          <w:szCs w:val="24"/>
        </w:rPr>
        <w:t>3</w:t>
      </w:r>
      <w:r>
        <w:rPr>
          <w:rFonts w:ascii="楷体_GB2312" w:hAnsi="楷体_GB2312"/>
          <w:color w:val="FF0000"/>
          <w:sz w:val="24"/>
          <w:szCs w:val="24"/>
        </w:rPr>
        <w:t>、报价含墙壁开孔相关费用，每间学生公寓需开</w:t>
      </w:r>
      <w:r>
        <w:rPr>
          <w:rFonts w:eastAsia="楷体_GB2312"/>
          <w:color w:val="FF0000"/>
          <w:sz w:val="24"/>
          <w:szCs w:val="24"/>
        </w:rPr>
        <w:t>2</w:t>
      </w:r>
      <w:r>
        <w:rPr>
          <w:rFonts w:ascii="楷体_GB2312" w:hAnsi="楷体_GB2312"/>
          <w:color w:val="FF0000"/>
          <w:sz w:val="24"/>
          <w:szCs w:val="24"/>
        </w:rPr>
        <w:t>个孔。（室内机的出水管从新购买，不许用原来接长的方法）。</w:t>
      </w:r>
    </w:p>
    <w:p>
      <w:pPr>
        <w:spacing w:line="400" w:lineRule="exact"/>
        <w:ind w:firstLine="480" w:firstLineChars="200"/>
        <w:rPr>
          <w:rFonts w:eastAsia="楷体_GB2312"/>
          <w:color w:val="FF0000"/>
          <w:sz w:val="24"/>
          <w:szCs w:val="24"/>
        </w:rPr>
      </w:pPr>
      <w:r>
        <w:rPr>
          <w:rFonts w:eastAsia="楷体_GB2312"/>
          <w:color w:val="FF0000"/>
          <w:sz w:val="24"/>
          <w:szCs w:val="24"/>
        </w:rPr>
        <w:t>4</w:t>
      </w:r>
      <w:r>
        <w:rPr>
          <w:rFonts w:ascii="楷体_GB2312" w:hAnsi="楷体_GB2312"/>
          <w:color w:val="FF0000"/>
          <w:sz w:val="24"/>
          <w:szCs w:val="24"/>
        </w:rPr>
        <w:t>、卫生间内空调管需用镀锌吊筋固定。</w:t>
      </w:r>
    </w:p>
    <w:p>
      <w:pPr>
        <w:spacing w:line="400" w:lineRule="exact"/>
        <w:ind w:firstLine="480" w:firstLineChars="200"/>
        <w:rPr>
          <w:rFonts w:eastAsia="楷体_GB2312"/>
          <w:color w:val="FF0000"/>
          <w:sz w:val="24"/>
          <w:szCs w:val="24"/>
        </w:rPr>
      </w:pPr>
      <w:r>
        <w:rPr>
          <w:rFonts w:ascii="楷体_GB2312" w:hAnsi="楷体_GB2312"/>
          <w:color w:val="FF0000"/>
          <w:sz w:val="24"/>
          <w:szCs w:val="24"/>
        </w:rPr>
        <w:t>5．安装时空调所有附件（除铜管加长）均无偿提供（请投标人自行考察现场，测算附件及材料成本），投标报价应考虑此因素。</w:t>
      </w:r>
    </w:p>
    <w:p>
      <w:pPr>
        <w:spacing w:line="400" w:lineRule="exact"/>
        <w:ind w:firstLine="480" w:firstLineChars="200"/>
        <w:rPr>
          <w:rFonts w:eastAsia="楷体_GB2312"/>
          <w:color w:val="FF0000"/>
          <w:sz w:val="24"/>
          <w:szCs w:val="24"/>
        </w:rPr>
      </w:pPr>
      <w:r>
        <w:rPr>
          <w:rFonts w:ascii="楷体_GB2312" w:hAnsi="楷体_GB2312"/>
          <w:color w:val="FF0000"/>
          <w:sz w:val="24"/>
          <w:szCs w:val="24"/>
        </w:rPr>
        <w:t>6．室内机至室外机电源线、连接铜管须为原厂配置且不允许驳接。制冷管道包扎两层扎带。外露制冷管道应使用一个不锈钢管码固定，并且应紧贴墙壁、美观。开凿墙孔应圆滑、不破坏墙外观，室内套开孔管套、并用橡胶泥填封。</w:t>
      </w:r>
    </w:p>
    <w:p>
      <w:pPr>
        <w:spacing w:line="400" w:lineRule="exact"/>
        <w:ind w:firstLine="480" w:firstLineChars="200"/>
        <w:rPr>
          <w:rFonts w:eastAsia="楷体_GB2312"/>
          <w:color w:val="FF0000"/>
          <w:sz w:val="24"/>
          <w:szCs w:val="24"/>
        </w:rPr>
      </w:pPr>
      <w:r>
        <w:rPr>
          <w:rFonts w:hint="eastAsia" w:ascii="楷体_GB2312" w:hAnsi="楷体_GB2312"/>
          <w:color w:val="FF0000"/>
          <w:sz w:val="24"/>
          <w:szCs w:val="24"/>
        </w:rPr>
        <w:t>7</w:t>
      </w:r>
      <w:r>
        <w:rPr>
          <w:rFonts w:ascii="楷体_GB2312" w:hAnsi="楷体_GB2312"/>
          <w:color w:val="FF0000"/>
          <w:sz w:val="24"/>
          <w:szCs w:val="24"/>
        </w:rPr>
        <w:t>．安装时间应考虑我校学生宿舍的特殊性，投标人自行承担安装期间的安全责任。</w:t>
      </w:r>
    </w:p>
    <w:p>
      <w:pPr>
        <w:spacing w:line="400" w:lineRule="exact"/>
        <w:ind w:firstLine="480" w:firstLineChars="200"/>
        <w:rPr>
          <w:rFonts w:eastAsia="楷体_GB2312"/>
          <w:color w:val="FF0000"/>
          <w:sz w:val="24"/>
          <w:szCs w:val="24"/>
        </w:rPr>
      </w:pPr>
      <w:r>
        <w:rPr>
          <w:rFonts w:hint="eastAsia" w:ascii="楷体_GB2312" w:hAnsi="楷体_GB2312"/>
          <w:color w:val="FF0000"/>
          <w:sz w:val="24"/>
          <w:szCs w:val="24"/>
        </w:rPr>
        <w:t>8</w:t>
      </w:r>
      <w:r>
        <w:rPr>
          <w:rFonts w:ascii="楷体_GB2312" w:hAnsi="楷体_GB2312"/>
          <w:color w:val="FF0000"/>
          <w:sz w:val="24"/>
          <w:szCs w:val="24"/>
        </w:rPr>
        <w:t>．中标人必须遵守我校的校园管理规定，文明施工，按计划施工。</w:t>
      </w:r>
    </w:p>
    <w:p>
      <w:pPr>
        <w:pStyle w:val="28"/>
        <w:numPr>
          <w:ilvl w:val="0"/>
          <w:numId w:val="4"/>
        </w:numPr>
        <w:spacing w:line="400" w:lineRule="exact"/>
        <w:ind w:firstLineChars="0"/>
        <w:rPr>
          <w:rFonts w:eastAsia="楷体_GB2312"/>
          <w:color w:val="FF0000"/>
          <w:sz w:val="24"/>
          <w:szCs w:val="24"/>
        </w:rPr>
      </w:pPr>
      <w:r>
        <w:rPr>
          <w:rFonts w:ascii="楷体_GB2312" w:hAnsi="楷体_GB2312"/>
          <w:color w:val="FF0000"/>
          <w:sz w:val="24"/>
          <w:szCs w:val="24"/>
        </w:rPr>
        <w:t>未列明事项，按空调安装规范执行。</w:t>
      </w:r>
    </w:p>
    <w:p>
      <w:pPr>
        <w:spacing w:line="300" w:lineRule="auto"/>
        <w:ind w:firstLine="472" w:firstLineChars="196"/>
        <w:rPr>
          <w:rFonts w:ascii="宋体" w:hAnsi="宋体"/>
          <w:b/>
          <w:sz w:val="24"/>
          <w:szCs w:val="24"/>
        </w:rPr>
      </w:pPr>
      <w:r>
        <w:rPr>
          <w:rFonts w:hint="eastAsia" w:ascii="宋体" w:hAnsi="宋体"/>
          <w:b/>
          <w:sz w:val="24"/>
          <w:szCs w:val="24"/>
        </w:rPr>
        <w:t>五、学生公寓5、6、7#楼空调采购清单</w:t>
      </w:r>
    </w:p>
    <w:tbl>
      <w:tblPr>
        <w:tblStyle w:val="12"/>
        <w:tblW w:w="7981" w:type="dxa"/>
        <w:jc w:val="center"/>
        <w:tblInd w:w="-1614" w:type="dxa"/>
        <w:tblLayout w:type="fixed"/>
        <w:tblCellMar>
          <w:top w:w="0" w:type="dxa"/>
          <w:left w:w="108" w:type="dxa"/>
          <w:bottom w:w="0" w:type="dxa"/>
          <w:right w:w="108" w:type="dxa"/>
        </w:tblCellMar>
      </w:tblPr>
      <w:tblGrid>
        <w:gridCol w:w="1701"/>
        <w:gridCol w:w="2835"/>
        <w:gridCol w:w="1603"/>
        <w:gridCol w:w="1842"/>
      </w:tblGrid>
      <w:tr>
        <w:tblPrEx>
          <w:tblLayout w:type="fixed"/>
          <w:tblCellMar>
            <w:top w:w="0" w:type="dxa"/>
            <w:left w:w="108" w:type="dxa"/>
            <w:bottom w:w="0" w:type="dxa"/>
            <w:right w:w="108" w:type="dxa"/>
          </w:tblCellMar>
        </w:tblPrEx>
        <w:trPr>
          <w:cantSplit/>
          <w:trHeight w:val="514" w:hRule="atLeast"/>
          <w:jc w:val="center"/>
        </w:trPr>
        <w:tc>
          <w:tcPr>
            <w:tcW w:w="1701"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序号</w:t>
            </w:r>
          </w:p>
        </w:tc>
        <w:tc>
          <w:tcPr>
            <w:tcW w:w="2835" w:type="dxa"/>
            <w:tcBorders>
              <w:top w:val="single" w:color="auto" w:sz="6" w:space="0"/>
              <w:left w:val="nil"/>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货物名称</w:t>
            </w:r>
          </w:p>
        </w:tc>
        <w:tc>
          <w:tcPr>
            <w:tcW w:w="1603" w:type="dxa"/>
            <w:tcBorders>
              <w:top w:val="single" w:color="auto" w:sz="6" w:space="0"/>
              <w:left w:val="nil"/>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规格</w:t>
            </w:r>
          </w:p>
        </w:tc>
        <w:tc>
          <w:tcPr>
            <w:tcW w:w="1842" w:type="dxa"/>
            <w:tcBorders>
              <w:top w:val="single" w:color="auto" w:sz="6" w:space="0"/>
              <w:left w:val="nil"/>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数量</w:t>
            </w:r>
          </w:p>
        </w:tc>
      </w:tr>
      <w:tr>
        <w:tblPrEx>
          <w:tblLayout w:type="fixed"/>
          <w:tblCellMar>
            <w:top w:w="0" w:type="dxa"/>
            <w:left w:w="108" w:type="dxa"/>
            <w:bottom w:w="0" w:type="dxa"/>
            <w:right w:w="108" w:type="dxa"/>
          </w:tblCellMar>
        </w:tblPrEx>
        <w:trPr>
          <w:cantSplit/>
          <w:trHeight w:val="495" w:hRule="atLeast"/>
          <w:jc w:val="center"/>
        </w:trPr>
        <w:tc>
          <w:tcPr>
            <w:tcW w:w="1701"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1</w:t>
            </w:r>
          </w:p>
        </w:tc>
        <w:tc>
          <w:tcPr>
            <w:tcW w:w="2835" w:type="dxa"/>
            <w:tcBorders>
              <w:top w:val="single" w:color="auto" w:sz="6" w:space="0"/>
              <w:left w:val="nil"/>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color w:val="FF0000"/>
                <w:sz w:val="24"/>
                <w:szCs w:val="24"/>
              </w:rPr>
              <w:t>空调（</w:t>
            </w:r>
            <w:r>
              <w:rPr>
                <w:rFonts w:ascii="宋体" w:hAnsi="宋体"/>
                <w:color w:val="FF0000"/>
                <w:sz w:val="24"/>
                <w:szCs w:val="24"/>
              </w:rPr>
              <w:t>报价含</w:t>
            </w:r>
            <w:r>
              <w:rPr>
                <w:rFonts w:hint="eastAsia" w:ascii="宋体" w:hAnsi="宋体"/>
                <w:color w:val="FF0000"/>
                <w:sz w:val="24"/>
                <w:szCs w:val="24"/>
              </w:rPr>
              <w:t>支架、</w:t>
            </w:r>
            <w:r>
              <w:rPr>
                <w:rFonts w:ascii="楷体_GB2312" w:hAnsi="楷体_GB2312"/>
                <w:color w:val="FF0000"/>
                <w:sz w:val="24"/>
                <w:szCs w:val="24"/>
              </w:rPr>
              <w:t>墙壁开孔</w:t>
            </w:r>
            <w:r>
              <w:rPr>
                <w:rFonts w:hint="eastAsia" w:ascii="宋体" w:hAnsi="宋体"/>
                <w:color w:val="FF0000"/>
                <w:sz w:val="24"/>
                <w:szCs w:val="24"/>
              </w:rPr>
              <w:t>等</w:t>
            </w:r>
            <w:r>
              <w:rPr>
                <w:rFonts w:ascii="宋体" w:hAnsi="宋体"/>
                <w:color w:val="FF0000"/>
                <w:sz w:val="24"/>
                <w:szCs w:val="24"/>
              </w:rPr>
              <w:t>一切安装辅件</w:t>
            </w:r>
            <w:r>
              <w:rPr>
                <w:rFonts w:hint="eastAsia" w:ascii="宋体" w:hAnsi="宋体"/>
                <w:color w:val="FF0000"/>
                <w:sz w:val="24"/>
                <w:szCs w:val="24"/>
              </w:rPr>
              <w:t>）</w:t>
            </w:r>
          </w:p>
        </w:tc>
        <w:tc>
          <w:tcPr>
            <w:tcW w:w="1603" w:type="dxa"/>
            <w:tcBorders>
              <w:top w:val="single" w:color="auto" w:sz="6" w:space="0"/>
              <w:left w:val="nil"/>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1.5P</w:t>
            </w:r>
          </w:p>
        </w:tc>
        <w:tc>
          <w:tcPr>
            <w:tcW w:w="1842" w:type="dxa"/>
            <w:tcBorders>
              <w:top w:val="single" w:color="auto" w:sz="6" w:space="0"/>
              <w:left w:val="nil"/>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24台</w:t>
            </w:r>
          </w:p>
        </w:tc>
      </w:tr>
      <w:tr>
        <w:tblPrEx>
          <w:tblLayout w:type="fixed"/>
          <w:tblCellMar>
            <w:top w:w="0" w:type="dxa"/>
            <w:left w:w="108" w:type="dxa"/>
            <w:bottom w:w="0" w:type="dxa"/>
            <w:right w:w="108" w:type="dxa"/>
          </w:tblCellMar>
        </w:tblPrEx>
        <w:trPr>
          <w:cantSplit/>
          <w:trHeight w:val="495" w:hRule="atLeast"/>
          <w:jc w:val="center"/>
        </w:trPr>
        <w:tc>
          <w:tcPr>
            <w:tcW w:w="1701"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2</w:t>
            </w:r>
          </w:p>
        </w:tc>
        <w:tc>
          <w:tcPr>
            <w:tcW w:w="2835" w:type="dxa"/>
            <w:tcBorders>
              <w:top w:val="single" w:color="auto" w:sz="6" w:space="0"/>
              <w:left w:val="nil"/>
              <w:bottom w:val="single" w:color="auto" w:sz="6" w:space="0"/>
              <w:right w:val="single" w:color="auto" w:sz="4" w:space="0"/>
            </w:tcBorders>
            <w:vAlign w:val="center"/>
          </w:tcPr>
          <w:p>
            <w:pPr>
              <w:spacing w:line="360" w:lineRule="auto"/>
              <w:jc w:val="center"/>
              <w:rPr>
                <w:rFonts w:ascii="宋体" w:hAnsi="宋体"/>
              </w:rPr>
            </w:pPr>
            <w:r>
              <w:rPr>
                <w:rFonts w:ascii="宋体" w:hAnsi="宋体"/>
              </w:rPr>
              <w:t>加长铜管</w:t>
            </w:r>
          </w:p>
        </w:tc>
        <w:tc>
          <w:tcPr>
            <w:tcW w:w="1603" w:type="dxa"/>
            <w:tcBorders>
              <w:top w:val="single" w:color="auto" w:sz="6" w:space="0"/>
              <w:left w:val="nil"/>
              <w:bottom w:val="single" w:color="auto" w:sz="6" w:space="0"/>
              <w:right w:val="single" w:color="auto" w:sz="4" w:space="0"/>
            </w:tcBorders>
            <w:vAlign w:val="center"/>
          </w:tcPr>
          <w:p>
            <w:pPr>
              <w:spacing w:line="360" w:lineRule="auto"/>
              <w:jc w:val="center"/>
              <w:rPr>
                <w:rFonts w:ascii="宋体" w:hAnsi="宋体"/>
              </w:rPr>
            </w:pPr>
          </w:p>
        </w:tc>
        <w:tc>
          <w:tcPr>
            <w:tcW w:w="1842" w:type="dxa"/>
            <w:tcBorders>
              <w:top w:val="single" w:color="auto" w:sz="6" w:space="0"/>
              <w:left w:val="nil"/>
              <w:bottom w:val="single" w:color="auto" w:sz="6" w:space="0"/>
              <w:right w:val="single" w:color="auto" w:sz="4" w:space="0"/>
            </w:tcBorders>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72m</w:t>
            </w:r>
          </w:p>
        </w:tc>
      </w:tr>
    </w:tbl>
    <w:p>
      <w:pPr>
        <w:pStyle w:val="22"/>
        <w:adjustRightInd w:val="0"/>
        <w:snapToGrid w:val="0"/>
        <w:spacing w:line="440" w:lineRule="exact"/>
        <w:ind w:firstLine="472" w:firstLineChars="196"/>
        <w:rPr>
          <w:b/>
        </w:rPr>
      </w:pPr>
      <w:r>
        <w:rPr>
          <w:rFonts w:hint="eastAsia"/>
          <w:b/>
        </w:rPr>
        <w:t>六、商务条款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1、本项目所采购设备，中标方必须承诺免费运送至南邮通达学院扬州校区(扬州市邗江区润扬南路33号)指定地点；按要求安装到位。</w:t>
      </w:r>
    </w:p>
    <w:p>
      <w:pPr>
        <w:snapToGrid w:val="0"/>
        <w:spacing w:line="480" w:lineRule="exact"/>
        <w:ind w:firstLine="480" w:firstLineChars="200"/>
        <w:rPr>
          <w:rFonts w:ascii="宋体" w:hAnsi="宋体"/>
          <w:color w:val="0070C0"/>
          <w:sz w:val="24"/>
          <w:szCs w:val="24"/>
        </w:rPr>
      </w:pPr>
      <w:r>
        <w:rPr>
          <w:rFonts w:hint="eastAsia" w:ascii="宋体" w:hAnsi="宋体" w:cs="宋体"/>
          <w:sz w:val="24"/>
          <w:szCs w:val="24"/>
        </w:rPr>
        <w:t>2、质保期及售后服务要求:质保6年。</w:t>
      </w:r>
      <w:r>
        <w:rPr>
          <w:rFonts w:hint="eastAsia" w:ascii="宋体" w:hAnsi="宋体"/>
          <w:color w:val="000000"/>
          <w:sz w:val="24"/>
          <w:szCs w:val="24"/>
        </w:rPr>
        <w:t>质保期</w:t>
      </w:r>
      <w:r>
        <w:rPr>
          <w:rFonts w:ascii="宋体" w:hAnsi="宋体"/>
          <w:color w:val="000000"/>
          <w:sz w:val="24"/>
          <w:szCs w:val="24"/>
        </w:rPr>
        <w:t>内因维修产生的一切费用均由中标人承担。</w:t>
      </w:r>
      <w:r>
        <w:rPr>
          <w:rFonts w:hint="eastAsia" w:ascii="宋体" w:hAnsi="宋体"/>
          <w:sz w:val="24"/>
          <w:szCs w:val="24"/>
        </w:rPr>
        <w:t>维保响应时间：在接到项目采购人报修电话后12小时内投标方必须响应，24小时内维修人员必须到达现场并维修，非不可抗力情况下48小时内必须维保好，或用临时替代机替代，48小时内必须保证用户正常使用。每年定期做两次整机检查，时间在5月和11月，并提供检查明细报告。</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3、供货时限及方式：合同签订后15日内送至项目指定地点并免费完成安装。</w:t>
      </w:r>
      <w:r>
        <w:rPr>
          <w:rFonts w:hint="eastAsia" w:ascii="宋体" w:hAnsi="宋体"/>
          <w:sz w:val="24"/>
          <w:szCs w:val="24"/>
        </w:rPr>
        <w:t>其中包括空调整机设备费、到场运输费、安装费（部分室内和所有室外机架安装）、辅助材料（含加长水管、室内外机钢托架等）、免费质保期内的全部维修费用（含整机、压缩机、主板、冷媒费等一切配件的更换及维修费用）。</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4、付款方式：本采购项目无预付款，安装结束，经甲乙双方共同验收合格后，付至合同总额的90%；壹年后无质量问</w:t>
      </w:r>
      <w:r>
        <w:rPr>
          <w:rFonts w:hint="eastAsia" w:ascii="宋体" w:hAnsi="宋体" w:cs="宋体"/>
          <w:sz w:val="24"/>
        </w:rPr>
        <w:t>题，余款无息结清。甲方付款前乙方需提供合法、有效、等额的增值税专用发票，并在发票备注栏注明“教学用”字样，否则，甲方有权拒付相应款项。</w:t>
      </w:r>
    </w:p>
    <w:p>
      <w:pPr>
        <w:adjustRightInd w:val="0"/>
        <w:snapToGrid w:val="0"/>
        <w:spacing w:line="440" w:lineRule="exact"/>
        <w:ind w:firstLine="472" w:firstLineChars="196"/>
        <w:rPr>
          <w:b/>
          <w:sz w:val="24"/>
          <w:szCs w:val="24"/>
        </w:rPr>
      </w:pPr>
      <w:r>
        <w:rPr>
          <w:rFonts w:hint="eastAsia"/>
          <w:b/>
          <w:sz w:val="24"/>
          <w:szCs w:val="24"/>
        </w:rPr>
        <w:t>七、综合说明及其它要求：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p>
    <w:p>
      <w:pPr>
        <w:pStyle w:val="5"/>
        <w:spacing w:line="420" w:lineRule="exact"/>
        <w:jc w:val="center"/>
        <w:rPr>
          <w:b/>
          <w:sz w:val="44"/>
          <w:szCs w:val="44"/>
        </w:rPr>
      </w:pPr>
    </w:p>
    <w:p>
      <w:pPr>
        <w:pStyle w:val="5"/>
        <w:spacing w:line="420" w:lineRule="exact"/>
        <w:jc w:val="center"/>
        <w:rPr>
          <w:b/>
          <w:sz w:val="44"/>
          <w:szCs w:val="44"/>
        </w:rPr>
      </w:pPr>
    </w:p>
    <w:p>
      <w:pPr>
        <w:pStyle w:val="5"/>
        <w:spacing w:line="420" w:lineRule="exact"/>
        <w:jc w:val="center"/>
        <w:rPr>
          <w:b/>
          <w:sz w:val="44"/>
          <w:szCs w:val="44"/>
        </w:rPr>
      </w:pPr>
    </w:p>
    <w:p>
      <w:pPr>
        <w:pStyle w:val="5"/>
        <w:spacing w:line="420" w:lineRule="exact"/>
        <w:jc w:val="center"/>
        <w:rPr>
          <w:b/>
          <w:sz w:val="44"/>
          <w:szCs w:val="44"/>
        </w:rPr>
      </w:pPr>
    </w:p>
    <w:p>
      <w:pPr>
        <w:pStyle w:val="5"/>
        <w:spacing w:line="420" w:lineRule="exact"/>
        <w:jc w:val="center"/>
        <w:rPr>
          <w:b/>
          <w:sz w:val="44"/>
          <w:szCs w:val="44"/>
        </w:rPr>
      </w:pPr>
    </w:p>
    <w:p>
      <w:pPr>
        <w:pStyle w:val="5"/>
        <w:spacing w:line="420" w:lineRule="exact"/>
        <w:jc w:val="center"/>
        <w:rPr>
          <w:b/>
          <w:sz w:val="44"/>
          <w:szCs w:val="44"/>
        </w:rPr>
      </w:pPr>
    </w:p>
    <w:p>
      <w:pPr>
        <w:pStyle w:val="5"/>
        <w:spacing w:line="420" w:lineRule="exact"/>
        <w:jc w:val="center"/>
        <w:rPr>
          <w:b/>
          <w:sz w:val="44"/>
          <w:szCs w:val="44"/>
        </w:rPr>
      </w:pPr>
    </w:p>
    <w:p>
      <w:pPr>
        <w:pStyle w:val="5"/>
        <w:spacing w:line="420" w:lineRule="exact"/>
        <w:rPr>
          <w:b/>
          <w:sz w:val="44"/>
          <w:szCs w:val="44"/>
        </w:rPr>
      </w:pPr>
    </w:p>
    <w:p>
      <w:pPr>
        <w:pStyle w:val="5"/>
        <w:spacing w:line="420" w:lineRule="exact"/>
        <w:jc w:val="center"/>
        <w:rPr>
          <w:b/>
          <w:sz w:val="44"/>
          <w:szCs w:val="44"/>
        </w:rPr>
      </w:pPr>
    </w:p>
    <w:p>
      <w:pPr>
        <w:pStyle w:val="5"/>
        <w:spacing w:line="420" w:lineRule="exact"/>
        <w:jc w:val="center"/>
        <w:rPr>
          <w:b/>
          <w:sz w:val="44"/>
          <w:szCs w:val="44"/>
        </w:rPr>
      </w:pPr>
      <w:r>
        <w:rPr>
          <w:rFonts w:hint="eastAsia"/>
          <w:b/>
          <w:sz w:val="44"/>
          <w:szCs w:val="44"/>
        </w:rPr>
        <w:t>第五章  评标方法与评标标准</w:t>
      </w:r>
    </w:p>
    <w:bookmarkEnd w:id="24"/>
    <w:bookmarkEnd w:id="25"/>
    <w:bookmarkEnd w:id="26"/>
    <w:bookmarkEnd w:id="27"/>
    <w:p>
      <w:pPr>
        <w:tabs>
          <w:tab w:val="left" w:pos="0"/>
          <w:tab w:val="left" w:pos="600"/>
          <w:tab w:val="left" w:pos="1134"/>
        </w:tabs>
        <w:adjustRightInd w:val="0"/>
        <w:snapToGrid w:val="0"/>
        <w:spacing w:line="420" w:lineRule="exact"/>
        <w:ind w:firstLine="236" w:firstLineChars="98"/>
        <w:rPr>
          <w:rFonts w:ascii="宋体" w:hAnsi="宋体"/>
          <w:b/>
          <w:bCs/>
          <w:sz w:val="24"/>
        </w:rPr>
      </w:pPr>
      <w:bookmarkStart w:id="30" w:name="_Toc26554093"/>
      <w:bookmarkStart w:id="31" w:name="_Toc120614281"/>
      <w:bookmarkStart w:id="32" w:name="_Toc49090575"/>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42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42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40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bookmarkEnd w:id="28"/>
    <w:bookmarkEnd w:id="29"/>
    <w:bookmarkEnd w:id="30"/>
    <w:bookmarkEnd w:id="31"/>
    <w:bookmarkEnd w:id="32"/>
    <w:p>
      <w:pPr>
        <w:spacing w:line="480" w:lineRule="exact"/>
        <w:ind w:firstLine="482" w:firstLineChars="200"/>
        <w:rPr>
          <w:rFonts w:ascii="宋体" w:hAnsi="宋体"/>
          <w:b/>
          <w:sz w:val="24"/>
          <w:szCs w:val="24"/>
        </w:rPr>
      </w:pPr>
      <w:r>
        <w:rPr>
          <w:rFonts w:hint="eastAsia" w:ascii="宋体" w:hAnsi="宋体"/>
          <w:b/>
          <w:sz w:val="24"/>
          <w:szCs w:val="24"/>
        </w:rPr>
        <w:t>1、投标报价（</w:t>
      </w:r>
      <w:r>
        <w:rPr>
          <w:rFonts w:hint="eastAsia" w:ascii="宋体" w:hAnsi="宋体"/>
          <w:b/>
          <w:sz w:val="24"/>
          <w:szCs w:val="24"/>
          <w:lang w:val="en-US" w:eastAsia="zh-CN"/>
        </w:rPr>
        <w:t>40</w:t>
      </w:r>
      <w:r>
        <w:rPr>
          <w:rFonts w:hint="eastAsia" w:ascii="宋体" w:hAnsi="宋体"/>
          <w:b/>
          <w:sz w:val="24"/>
          <w:szCs w:val="24"/>
        </w:rPr>
        <w:t>分）：</w:t>
      </w:r>
    </w:p>
    <w:p>
      <w:pPr>
        <w:spacing w:line="480" w:lineRule="exact"/>
        <w:ind w:firstLine="480" w:firstLineChars="200"/>
        <w:rPr>
          <w:rFonts w:ascii="宋体" w:hAnsi="宋体"/>
          <w:bCs/>
          <w:sz w:val="24"/>
          <w:szCs w:val="24"/>
        </w:rPr>
      </w:pPr>
      <w:r>
        <w:rPr>
          <w:rFonts w:hint="eastAsia" w:ascii="宋体" w:hAnsi="宋体"/>
          <w:bCs/>
          <w:sz w:val="24"/>
          <w:szCs w:val="24"/>
        </w:rPr>
        <w:t>满足采购文件要求且投标价格最低的投标报价为评标基准价，其价格分为满分。其他投标人的价格分统一按下列公式计算：</w:t>
      </w:r>
    </w:p>
    <w:p>
      <w:pPr>
        <w:spacing w:line="480" w:lineRule="exact"/>
        <w:ind w:firstLine="480" w:firstLineChars="200"/>
        <w:rPr>
          <w:rFonts w:hint="eastAsia" w:ascii="宋体" w:hAnsi="宋体" w:eastAsia="宋体"/>
          <w:bCs/>
          <w:sz w:val="24"/>
          <w:szCs w:val="24"/>
          <w:lang w:val="en-US" w:eastAsia="zh-CN"/>
        </w:rPr>
      </w:pPr>
      <w:r>
        <w:rPr>
          <w:rFonts w:hint="eastAsia" w:ascii="宋体" w:hAnsi="宋体"/>
          <w:bCs/>
          <w:sz w:val="24"/>
          <w:szCs w:val="24"/>
        </w:rPr>
        <w:t>投标报价得分=（评标基准价/投标报价）×</w:t>
      </w:r>
      <w:r>
        <w:rPr>
          <w:rFonts w:hint="eastAsia" w:ascii="宋体" w:hAnsi="宋体"/>
          <w:bCs/>
          <w:sz w:val="24"/>
          <w:szCs w:val="24"/>
          <w:lang w:val="en-US" w:eastAsia="zh-CN"/>
        </w:rPr>
        <w:t>40</w:t>
      </w:r>
    </w:p>
    <w:p>
      <w:pPr>
        <w:spacing w:line="360" w:lineRule="auto"/>
        <w:rPr>
          <w:rFonts w:ascii="宋体" w:hAnsi="宋体" w:cs="宋体"/>
          <w:sz w:val="24"/>
        </w:rPr>
      </w:pPr>
      <w:r>
        <w:rPr>
          <w:rFonts w:hint="eastAsia" w:ascii="宋体" w:hAnsi="宋体" w:cs="宋体"/>
          <w:b/>
          <w:bCs/>
          <w:sz w:val="24"/>
        </w:rPr>
        <w:t xml:space="preserve">     2.主要配置及合标程度</w:t>
      </w:r>
      <w:r>
        <w:rPr>
          <w:rFonts w:hint="eastAsia" w:ascii="宋体" w:hAnsi="宋体"/>
          <w:b/>
          <w:bCs/>
          <w:sz w:val="24"/>
        </w:rPr>
        <w:t>（</w:t>
      </w:r>
      <w:r>
        <w:rPr>
          <w:rFonts w:hint="eastAsia" w:ascii="宋体" w:hAnsi="宋体"/>
          <w:b/>
          <w:bCs/>
          <w:sz w:val="24"/>
          <w:lang w:val="en-US" w:eastAsia="zh-CN"/>
        </w:rPr>
        <w:t>26</w:t>
      </w:r>
      <w:r>
        <w:rPr>
          <w:rFonts w:hint="eastAsia" w:ascii="宋体" w:hAnsi="宋体" w:cs="宋体"/>
          <w:b/>
          <w:bCs/>
          <w:sz w:val="24"/>
        </w:rPr>
        <w:t>分）</w:t>
      </w:r>
    </w:p>
    <w:p>
      <w:pPr>
        <w:tabs>
          <w:tab w:val="left" w:pos="7380"/>
        </w:tabs>
        <w:spacing w:line="400" w:lineRule="exact"/>
        <w:ind w:firstLine="240" w:firstLineChars="100"/>
        <w:rPr>
          <w:rFonts w:ascii="宋体" w:hAnsi="宋体"/>
          <w:sz w:val="24"/>
        </w:rPr>
      </w:pPr>
      <w:r>
        <w:rPr>
          <w:rFonts w:hint="eastAsia" w:ascii="宋体" w:hAnsi="宋体"/>
          <w:sz w:val="24"/>
        </w:rPr>
        <w:t xml:space="preserve">  （1）投标方案或投标产品性能、质量指标符合或优于</w:t>
      </w:r>
      <w:r>
        <w:rPr>
          <w:rFonts w:hint="eastAsia" w:ascii="宋体" w:hAnsi="宋体"/>
          <w:sz w:val="24"/>
          <w:lang w:val="en-US" w:eastAsia="zh-CN"/>
        </w:rPr>
        <w:t>采购</w:t>
      </w:r>
      <w:r>
        <w:rPr>
          <w:rFonts w:hint="eastAsia" w:ascii="宋体" w:hAnsi="宋体"/>
          <w:sz w:val="24"/>
        </w:rPr>
        <w:t>文件要求；</w:t>
      </w:r>
      <w:r>
        <w:rPr>
          <w:rFonts w:hint="eastAsia" w:ascii="宋体" w:hAnsi="宋体" w:cs="宋体"/>
          <w:sz w:val="24"/>
        </w:rPr>
        <w:t>（10分）</w:t>
      </w:r>
    </w:p>
    <w:p>
      <w:pPr>
        <w:tabs>
          <w:tab w:val="left" w:pos="7380"/>
        </w:tabs>
        <w:spacing w:line="400" w:lineRule="exact"/>
        <w:ind w:firstLine="480" w:firstLineChars="200"/>
        <w:rPr>
          <w:rFonts w:ascii="宋体" w:hAnsi="宋体" w:cs="宋体"/>
          <w:sz w:val="24"/>
        </w:rPr>
      </w:pPr>
      <w:r>
        <w:rPr>
          <w:rFonts w:hint="eastAsia" w:ascii="宋体" w:hAnsi="宋体" w:cs="宋体"/>
          <w:sz w:val="24"/>
        </w:rPr>
        <w:t>（2）投标产品为业内专家及使用用户品牌认可度；（</w:t>
      </w:r>
      <w:r>
        <w:rPr>
          <w:rFonts w:hint="eastAsia" w:ascii="宋体" w:hAnsi="宋体" w:cs="宋体"/>
          <w:sz w:val="24"/>
          <w:lang w:val="en-US" w:eastAsia="zh-CN"/>
        </w:rPr>
        <w:t>10</w:t>
      </w:r>
      <w:r>
        <w:rPr>
          <w:rFonts w:hint="eastAsia" w:ascii="宋体" w:hAnsi="宋体" w:cs="宋体"/>
          <w:sz w:val="24"/>
        </w:rPr>
        <w:t>分）</w:t>
      </w:r>
    </w:p>
    <w:p>
      <w:pPr>
        <w:tabs>
          <w:tab w:val="left" w:pos="7380"/>
        </w:tabs>
        <w:spacing w:line="400" w:lineRule="exact"/>
        <w:ind w:firstLine="600" w:firstLineChars="250"/>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 近三年</w:t>
      </w:r>
      <w:r>
        <w:rPr>
          <w:rFonts w:hint="eastAsia" w:ascii="宋体" w:hAnsi="宋体" w:cs="Arial"/>
          <w:sz w:val="24"/>
        </w:rPr>
        <w:t>投标人</w:t>
      </w:r>
      <w:r>
        <w:rPr>
          <w:rFonts w:hint="eastAsia" w:ascii="宋体" w:hAnsi="宋体" w:cs="宋体"/>
          <w:sz w:val="24"/>
        </w:rPr>
        <w:t>对所投型号产品的成功案例。每个2分，最高6分；(6分)</w:t>
      </w:r>
    </w:p>
    <w:p>
      <w:pPr>
        <w:tabs>
          <w:tab w:val="left" w:pos="7380"/>
        </w:tabs>
        <w:spacing w:line="400" w:lineRule="exact"/>
        <w:ind w:firstLine="241" w:firstLineChars="100"/>
        <w:rPr>
          <w:rFonts w:ascii="宋体" w:hAnsi="宋体"/>
          <w:sz w:val="24"/>
          <w:u w:val="single"/>
        </w:rPr>
      </w:pPr>
      <w:r>
        <w:rPr>
          <w:rFonts w:hint="eastAsia" w:ascii="宋体" w:hAnsi="宋体"/>
          <w:b/>
          <w:bCs/>
          <w:sz w:val="24"/>
        </w:rPr>
        <w:t xml:space="preserve">   3.</w:t>
      </w:r>
      <w:r>
        <w:rPr>
          <w:rFonts w:hint="eastAsia" w:ascii="宋体" w:hAnsi="宋体" w:cs="宋体"/>
          <w:b/>
          <w:bCs/>
          <w:sz w:val="24"/>
        </w:rPr>
        <w:t>售后服务和承诺</w:t>
      </w:r>
      <w:r>
        <w:rPr>
          <w:rFonts w:hint="eastAsia" w:ascii="宋体" w:hAnsi="宋体"/>
          <w:b/>
          <w:bCs/>
          <w:sz w:val="24"/>
        </w:rPr>
        <w:t>（1</w:t>
      </w:r>
      <w:r>
        <w:rPr>
          <w:rFonts w:hint="eastAsia" w:ascii="宋体" w:hAnsi="宋体"/>
          <w:b/>
          <w:bCs/>
          <w:sz w:val="24"/>
          <w:lang w:val="en-US" w:eastAsia="zh-CN"/>
        </w:rPr>
        <w:t>8</w:t>
      </w:r>
      <w:r>
        <w:rPr>
          <w:rFonts w:hint="eastAsia" w:ascii="宋体" w:hAnsi="宋体" w:cs="宋体"/>
          <w:b/>
          <w:bCs/>
          <w:sz w:val="24"/>
        </w:rPr>
        <w:t>分）</w:t>
      </w:r>
    </w:p>
    <w:p>
      <w:pPr>
        <w:spacing w:line="480" w:lineRule="exact"/>
        <w:ind w:firstLine="480" w:firstLineChars="200"/>
        <w:rPr>
          <w:rFonts w:hint="eastAsia" w:ascii="宋体" w:hAnsi="宋体"/>
          <w:bCs/>
          <w:sz w:val="24"/>
          <w:szCs w:val="24"/>
        </w:rPr>
      </w:pPr>
      <w:r>
        <w:rPr>
          <w:rFonts w:hint="eastAsia" w:ascii="宋体" w:hAnsi="宋体"/>
          <w:sz w:val="24"/>
        </w:rPr>
        <w:t>（</w:t>
      </w:r>
      <w:r>
        <w:rPr>
          <w:rFonts w:hint="eastAsia" w:ascii="宋体" w:hAnsi="宋体"/>
          <w:bCs/>
          <w:sz w:val="24"/>
          <w:szCs w:val="24"/>
        </w:rPr>
        <w:t>1）</w:t>
      </w:r>
      <w:r>
        <w:rPr>
          <w:rFonts w:hint="eastAsia" w:ascii="宋体" w:hAnsi="宋体"/>
          <w:bCs/>
          <w:sz w:val="24"/>
          <w:szCs w:val="24"/>
        </w:rPr>
        <w:t>质保期：满足采购文件要求得2分，每增加1年原厂质保得</w:t>
      </w:r>
      <w:r>
        <w:rPr>
          <w:rFonts w:hint="eastAsia" w:ascii="宋体" w:hAnsi="宋体"/>
          <w:bCs/>
          <w:sz w:val="24"/>
          <w:szCs w:val="24"/>
          <w:lang w:val="en-US" w:eastAsia="zh-CN"/>
        </w:rPr>
        <w:t>2</w:t>
      </w:r>
      <w:r>
        <w:rPr>
          <w:rFonts w:hint="eastAsia" w:ascii="宋体" w:hAnsi="宋体"/>
          <w:bCs/>
          <w:sz w:val="24"/>
          <w:szCs w:val="24"/>
        </w:rPr>
        <w:t>分，最多得</w:t>
      </w:r>
      <w:r>
        <w:rPr>
          <w:rFonts w:hint="eastAsia" w:ascii="宋体" w:hAnsi="宋体"/>
          <w:bCs/>
          <w:sz w:val="24"/>
          <w:szCs w:val="24"/>
          <w:lang w:val="en-US" w:eastAsia="zh-CN"/>
        </w:rPr>
        <w:t>10</w:t>
      </w:r>
      <w:r>
        <w:rPr>
          <w:rFonts w:hint="eastAsia" w:ascii="宋体" w:hAnsi="宋体"/>
          <w:bCs/>
          <w:sz w:val="24"/>
          <w:szCs w:val="24"/>
        </w:rPr>
        <w:t>分。（</w:t>
      </w:r>
      <w:r>
        <w:rPr>
          <w:rFonts w:hint="eastAsia" w:ascii="宋体" w:hAnsi="宋体"/>
          <w:bCs/>
          <w:sz w:val="24"/>
          <w:szCs w:val="24"/>
          <w:lang w:val="en-US" w:eastAsia="zh-CN"/>
        </w:rPr>
        <w:t>10</w:t>
      </w:r>
      <w:r>
        <w:rPr>
          <w:rFonts w:hint="eastAsia" w:ascii="宋体" w:hAnsi="宋体"/>
          <w:bCs/>
          <w:sz w:val="24"/>
          <w:szCs w:val="24"/>
        </w:rPr>
        <w:t>分）</w:t>
      </w:r>
    </w:p>
    <w:p>
      <w:pPr>
        <w:spacing w:line="480" w:lineRule="exact"/>
        <w:ind w:firstLine="480" w:firstLineChars="200"/>
        <w:rPr>
          <w:rFonts w:hint="eastAsia" w:ascii="宋体" w:hAnsi="宋体"/>
          <w:bCs/>
          <w:sz w:val="24"/>
          <w:szCs w:val="24"/>
        </w:rPr>
      </w:pPr>
      <w:r>
        <w:rPr>
          <w:rFonts w:hint="eastAsia" w:ascii="宋体" w:hAnsi="宋体"/>
          <w:bCs/>
          <w:sz w:val="24"/>
          <w:szCs w:val="24"/>
        </w:rPr>
        <w:t>（2）</w:t>
      </w:r>
      <w:r>
        <w:rPr>
          <w:rFonts w:hint="eastAsia" w:ascii="宋体" w:hAnsi="宋体"/>
          <w:bCs/>
          <w:sz w:val="24"/>
          <w:szCs w:val="24"/>
        </w:rPr>
        <w:t>维保期内及后期服务方案，较好的得</w:t>
      </w:r>
      <w:r>
        <w:rPr>
          <w:rFonts w:hint="eastAsia" w:ascii="宋体" w:hAnsi="宋体"/>
          <w:bCs/>
          <w:sz w:val="24"/>
          <w:szCs w:val="24"/>
          <w:lang w:val="en-US" w:eastAsia="zh-CN"/>
        </w:rPr>
        <w:t>5</w:t>
      </w:r>
      <w:r>
        <w:rPr>
          <w:rFonts w:hint="eastAsia" w:ascii="宋体" w:hAnsi="宋体"/>
          <w:bCs/>
          <w:sz w:val="24"/>
          <w:szCs w:val="24"/>
        </w:rPr>
        <w:t>-3分，一般的得2-1分。（</w:t>
      </w:r>
      <w:r>
        <w:rPr>
          <w:rFonts w:hint="eastAsia" w:ascii="宋体" w:hAnsi="宋体"/>
          <w:bCs/>
          <w:sz w:val="24"/>
          <w:szCs w:val="24"/>
          <w:lang w:val="en-US" w:eastAsia="zh-CN"/>
        </w:rPr>
        <w:t>5</w:t>
      </w:r>
      <w:r>
        <w:rPr>
          <w:rFonts w:hint="eastAsia" w:ascii="宋体" w:hAnsi="宋体"/>
          <w:bCs/>
          <w:sz w:val="24"/>
          <w:szCs w:val="24"/>
        </w:rPr>
        <w:t>分）</w:t>
      </w:r>
    </w:p>
    <w:p>
      <w:pPr>
        <w:spacing w:line="480" w:lineRule="exact"/>
        <w:ind w:firstLine="720" w:firstLineChars="3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3</w:t>
      </w:r>
      <w:r>
        <w:rPr>
          <w:rFonts w:hint="eastAsia" w:ascii="宋体" w:hAnsi="宋体"/>
          <w:bCs/>
          <w:sz w:val="24"/>
          <w:szCs w:val="24"/>
        </w:rPr>
        <w:t>)</w:t>
      </w:r>
      <w:r>
        <w:rPr>
          <w:rFonts w:hint="eastAsia" w:ascii="宋体" w:hAnsi="宋体"/>
          <w:bCs/>
          <w:sz w:val="24"/>
          <w:szCs w:val="24"/>
        </w:rPr>
        <w:t>免费质保与维保期结束后，继续提供优惠维修及更换损坏配件的，维修及原装配件费用报价合理的得3分。（3分）</w:t>
      </w:r>
    </w:p>
    <w:p>
      <w:pPr>
        <w:tabs>
          <w:tab w:val="left" w:pos="0"/>
          <w:tab w:val="left" w:pos="600"/>
          <w:tab w:val="left" w:pos="993"/>
          <w:tab w:val="left" w:pos="1134"/>
        </w:tabs>
        <w:adjustRightInd w:val="0"/>
        <w:snapToGrid w:val="0"/>
        <w:spacing w:line="300" w:lineRule="auto"/>
        <w:jc w:val="left"/>
        <w:rPr>
          <w:rFonts w:ascii="宋体" w:hAnsi="宋体"/>
          <w:sz w:val="24"/>
        </w:rPr>
      </w:pPr>
      <w:r>
        <w:rPr>
          <w:rFonts w:hint="eastAsia" w:ascii="宋体" w:hAnsi="宋体" w:cs="宋体"/>
          <w:b/>
          <w:bCs/>
          <w:sz w:val="24"/>
        </w:rPr>
        <w:t xml:space="preserve">     4.投标文件规范性、完整性及投标人履行合同的能力（6</w:t>
      </w:r>
      <w:bookmarkStart w:id="53" w:name="_GoBack"/>
      <w:bookmarkEnd w:id="53"/>
      <w:r>
        <w:rPr>
          <w:rFonts w:hint="eastAsia" w:ascii="宋体" w:hAnsi="宋体" w:cs="宋体"/>
          <w:b/>
          <w:bCs/>
          <w:sz w:val="24"/>
        </w:rPr>
        <w:t xml:space="preserve">分）        </w:t>
      </w:r>
    </w:p>
    <w:p>
      <w:pPr>
        <w:spacing w:line="400" w:lineRule="exact"/>
        <w:ind w:firstLine="600" w:firstLineChars="250"/>
        <w:rPr>
          <w:rFonts w:ascii="宋体" w:hAnsi="宋体" w:cs="Arial"/>
          <w:sz w:val="24"/>
        </w:rPr>
      </w:pPr>
      <w:r>
        <w:rPr>
          <w:rFonts w:hint="eastAsia" w:ascii="宋体" w:hAnsi="宋体" w:cs="Arial"/>
          <w:sz w:val="24"/>
        </w:rPr>
        <w:t>(1)</w:t>
      </w:r>
      <w:r>
        <w:rPr>
          <w:rFonts w:ascii="宋体" w:hAnsi="宋体" w:cs="Arial"/>
          <w:sz w:val="24"/>
        </w:rPr>
        <w:t>投标文件是否对招标</w:t>
      </w:r>
      <w:r>
        <w:rPr>
          <w:rFonts w:hint="eastAsia" w:ascii="宋体" w:hAnsi="宋体" w:cs="Arial"/>
          <w:sz w:val="24"/>
        </w:rPr>
        <w:t>文件要求</w:t>
      </w:r>
      <w:r>
        <w:rPr>
          <w:rFonts w:ascii="宋体" w:hAnsi="宋体" w:cs="Arial"/>
          <w:sz w:val="24"/>
        </w:rPr>
        <w:t>全部响应，如有重大漏项，则为重大偏差。</w:t>
      </w:r>
      <w:r>
        <w:rPr>
          <w:rFonts w:hint="eastAsia" w:ascii="宋体" w:hAnsi="宋体" w:cs="宋体"/>
          <w:sz w:val="24"/>
        </w:rPr>
        <w:t>（3分）</w:t>
      </w:r>
    </w:p>
    <w:p>
      <w:pPr>
        <w:spacing w:line="400" w:lineRule="exact"/>
        <w:ind w:firstLine="600" w:firstLineChars="250"/>
        <w:rPr>
          <w:rFonts w:ascii="宋体" w:hAnsi="宋体" w:cs="Arial"/>
          <w:sz w:val="24"/>
        </w:rPr>
      </w:pPr>
      <w:r>
        <w:rPr>
          <w:rFonts w:hint="eastAsia" w:ascii="宋体" w:hAnsi="宋体" w:cs="Arial"/>
          <w:sz w:val="24"/>
        </w:rPr>
        <w:t>(2)主要对投标人的资质情况、银行资信、经营状况等进行评价。</w:t>
      </w:r>
      <w:r>
        <w:rPr>
          <w:rFonts w:hint="eastAsia" w:ascii="宋体" w:hAnsi="宋体" w:cs="宋体"/>
          <w:sz w:val="24"/>
        </w:rPr>
        <w:t>（3分）</w:t>
      </w:r>
    </w:p>
    <w:p>
      <w:pPr>
        <w:shd w:val="clear" w:color="auto" w:fill="FFFFFF"/>
        <w:snapToGrid w:val="0"/>
        <w:spacing w:line="480" w:lineRule="exact"/>
        <w:ind w:firstLine="600" w:firstLineChars="249"/>
        <w:rPr>
          <w:rFonts w:ascii="宋体" w:hAnsi="宋体"/>
          <w:b/>
          <w:sz w:val="24"/>
          <w:szCs w:val="24"/>
        </w:rPr>
      </w:pPr>
      <w:r>
        <w:rPr>
          <w:rFonts w:hint="eastAsia" w:ascii="宋体" w:hAnsi="宋体"/>
          <w:b/>
          <w:sz w:val="24"/>
          <w:szCs w:val="24"/>
        </w:rPr>
        <w:t>5、样品质量分（1</w:t>
      </w:r>
      <w:r>
        <w:rPr>
          <w:rFonts w:ascii="宋体" w:hAnsi="宋体"/>
          <w:b/>
          <w:sz w:val="24"/>
          <w:szCs w:val="24"/>
        </w:rPr>
        <w:t>0</w:t>
      </w:r>
      <w:r>
        <w:rPr>
          <w:rFonts w:hint="eastAsia" w:ascii="宋体" w:hAnsi="宋体"/>
          <w:b/>
          <w:sz w:val="24"/>
          <w:szCs w:val="24"/>
        </w:rPr>
        <w:t>分）</w:t>
      </w:r>
    </w:p>
    <w:p>
      <w:pPr>
        <w:spacing w:line="480" w:lineRule="exact"/>
        <w:ind w:firstLine="480" w:firstLineChars="200"/>
        <w:rPr>
          <w:rFonts w:ascii="宋体" w:hAnsi="宋体"/>
          <w:bCs/>
          <w:sz w:val="24"/>
          <w:szCs w:val="24"/>
        </w:rPr>
      </w:pPr>
      <w:r>
        <w:rPr>
          <w:rFonts w:hint="eastAsia" w:ascii="宋体" w:hAnsi="宋体"/>
          <w:bCs/>
          <w:sz w:val="24"/>
          <w:szCs w:val="24"/>
        </w:rPr>
        <w:t>根据提供的样品质量予以综合打分。</w:t>
      </w:r>
    </w:p>
    <w:p>
      <w:pPr>
        <w:pStyle w:val="5"/>
        <w:jc w:val="center"/>
        <w:rPr>
          <w:b/>
          <w:sz w:val="44"/>
          <w:szCs w:val="44"/>
        </w:rPr>
      </w:pPr>
    </w:p>
    <w:p>
      <w:pPr>
        <w:pStyle w:val="5"/>
        <w:jc w:val="center"/>
        <w:rPr>
          <w:b/>
          <w:sz w:val="44"/>
          <w:szCs w:val="44"/>
        </w:rPr>
      </w:pPr>
    </w:p>
    <w:p>
      <w:pPr>
        <w:pStyle w:val="5"/>
        <w:jc w:val="center"/>
        <w:rPr>
          <w:b/>
          <w:sz w:val="44"/>
          <w:szCs w:val="44"/>
        </w:rPr>
      </w:pPr>
      <w:r>
        <w:rPr>
          <w:rFonts w:hint="eastAsia"/>
          <w:b/>
          <w:sz w:val="44"/>
          <w:szCs w:val="44"/>
        </w:rPr>
        <w:t>第六章  投标文件格式</w:t>
      </w:r>
    </w:p>
    <w:p>
      <w:pPr>
        <w:jc w:val="center"/>
        <w:rPr>
          <w:rFonts w:ascii="宋体" w:hAnsi="宋体" w:cs="宋体"/>
          <w:b/>
          <w:sz w:val="72"/>
        </w:rPr>
      </w:pPr>
      <w:bookmarkStart w:id="33" w:name="_Hlt26671244"/>
      <w:bookmarkEnd w:id="33"/>
      <w:bookmarkStart w:id="34" w:name="_Hlt26955039"/>
      <w:bookmarkEnd w:id="34"/>
      <w:bookmarkStart w:id="35" w:name="_Toc120614282"/>
      <w:bookmarkStart w:id="36" w:name="_Toc26554094"/>
      <w:bookmarkStart w:id="37" w:name="_Toc49090576"/>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4"/>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4"/>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4"/>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4"/>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4"/>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4"/>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4"/>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4"/>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2"/>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5"/>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5"/>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5"/>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格式3__银行出具的资信证明"/>
      <w:bookmarkEnd w:id="40"/>
      <w:bookmarkStart w:id="41" w:name="_Hlt26671380"/>
      <w:bookmarkEnd w:id="41"/>
      <w:bookmarkStart w:id="42" w:name="_Hlt26955070"/>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2"/>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2"/>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23828478"/>
      <w:bookmarkStart w:id="46" w:name="_Toc49090577"/>
      <w:bookmarkStart w:id="47" w:name="_Toc22356580"/>
      <w:bookmarkStart w:id="48" w:name="_Toc513029276"/>
      <w:bookmarkStart w:id="49" w:name="_Toc26554095"/>
      <w:bookmarkStart w:id="50" w:name="_Toc120614283"/>
      <w:bookmarkStart w:id="51" w:name="_Toc460901585"/>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2"/>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序号</w:t>
            </w:r>
          </w:p>
        </w:tc>
        <w:tc>
          <w:tcPr>
            <w:tcW w:w="2976" w:type="dxa"/>
            <w:vAlign w:val="center"/>
          </w:tcPr>
          <w:p>
            <w:pPr>
              <w:pStyle w:val="23"/>
              <w:ind w:left="420"/>
              <w:jc w:val="center"/>
              <w:rPr>
                <w:rFonts w:hAnsi="宋体"/>
                <w:color w:val="auto"/>
              </w:rPr>
            </w:pPr>
            <w:r>
              <w:rPr>
                <w:rFonts w:hint="eastAsia" w:hAnsi="宋体"/>
                <w:color w:val="auto"/>
              </w:rPr>
              <w:t>项目</w:t>
            </w:r>
          </w:p>
        </w:tc>
        <w:tc>
          <w:tcPr>
            <w:tcW w:w="1985" w:type="dxa"/>
            <w:vAlign w:val="center"/>
          </w:tcPr>
          <w:p>
            <w:pPr>
              <w:pStyle w:val="23"/>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3"/>
              <w:ind w:left="420"/>
              <w:jc w:val="center"/>
              <w:rPr>
                <w:rFonts w:hAnsi="宋体"/>
                <w:color w:val="auto"/>
              </w:rPr>
            </w:pPr>
            <w:r>
              <w:rPr>
                <w:rFonts w:hint="eastAsia" w:hAnsi="宋体"/>
                <w:color w:val="auto"/>
              </w:rPr>
              <w:t>投标供应商的承诺或说明</w:t>
            </w:r>
          </w:p>
        </w:tc>
        <w:tc>
          <w:tcPr>
            <w:tcW w:w="1687" w:type="dxa"/>
            <w:vAlign w:val="center"/>
          </w:tcPr>
          <w:p>
            <w:pPr>
              <w:pStyle w:val="23"/>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1</w:t>
            </w:r>
          </w:p>
        </w:tc>
        <w:tc>
          <w:tcPr>
            <w:tcW w:w="2976" w:type="dxa"/>
            <w:vAlign w:val="center"/>
          </w:tcPr>
          <w:p>
            <w:pPr>
              <w:pStyle w:val="23"/>
              <w:ind w:left="420"/>
              <w:jc w:val="center"/>
              <w:rPr>
                <w:rFonts w:hAnsi="宋体"/>
                <w:color w:val="auto"/>
              </w:rPr>
            </w:pPr>
            <w:r>
              <w:rPr>
                <w:rFonts w:hint="eastAsia" w:hAnsi="宋体"/>
                <w:color w:val="auto"/>
              </w:rPr>
              <w:t>质保期</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2</w:t>
            </w:r>
          </w:p>
        </w:tc>
        <w:tc>
          <w:tcPr>
            <w:tcW w:w="2976" w:type="dxa"/>
            <w:vAlign w:val="center"/>
          </w:tcPr>
          <w:p>
            <w:pPr>
              <w:pStyle w:val="23"/>
              <w:ind w:left="420"/>
              <w:jc w:val="center"/>
              <w:rPr>
                <w:rFonts w:hAnsi="宋体"/>
                <w:color w:val="auto"/>
              </w:rPr>
            </w:pPr>
            <w:r>
              <w:rPr>
                <w:rFonts w:hint="eastAsia" w:hAnsi="宋体"/>
                <w:color w:val="auto"/>
              </w:rPr>
              <w:t>售后技术服务要求</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3</w:t>
            </w:r>
          </w:p>
        </w:tc>
        <w:tc>
          <w:tcPr>
            <w:tcW w:w="2976" w:type="dxa"/>
            <w:vAlign w:val="center"/>
          </w:tcPr>
          <w:p>
            <w:pPr>
              <w:pStyle w:val="23"/>
              <w:ind w:left="420"/>
              <w:jc w:val="center"/>
              <w:rPr>
                <w:rFonts w:hAnsi="宋体"/>
                <w:color w:val="auto"/>
              </w:rPr>
            </w:pPr>
            <w:r>
              <w:rPr>
                <w:rFonts w:hint="eastAsia" w:hAnsi="宋体"/>
                <w:color w:val="auto"/>
              </w:rPr>
              <w:t>供货期</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4</w:t>
            </w:r>
          </w:p>
        </w:tc>
        <w:tc>
          <w:tcPr>
            <w:tcW w:w="2976" w:type="dxa"/>
            <w:vAlign w:val="center"/>
          </w:tcPr>
          <w:p>
            <w:pPr>
              <w:pStyle w:val="23"/>
              <w:ind w:left="420"/>
              <w:jc w:val="center"/>
              <w:rPr>
                <w:rFonts w:hAnsi="宋体"/>
                <w:color w:val="auto"/>
              </w:rPr>
            </w:pPr>
            <w:r>
              <w:rPr>
                <w:rFonts w:hint="eastAsia" w:hAnsi="宋体"/>
                <w:color w:val="auto"/>
              </w:rPr>
              <w:t>交货方式</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5</w:t>
            </w:r>
          </w:p>
        </w:tc>
        <w:tc>
          <w:tcPr>
            <w:tcW w:w="2976" w:type="dxa"/>
            <w:vAlign w:val="center"/>
          </w:tcPr>
          <w:p>
            <w:pPr>
              <w:pStyle w:val="23"/>
              <w:ind w:left="420"/>
              <w:jc w:val="center"/>
              <w:rPr>
                <w:rFonts w:hAnsi="宋体"/>
                <w:color w:val="auto"/>
              </w:rPr>
            </w:pPr>
            <w:r>
              <w:rPr>
                <w:rFonts w:hint="eastAsia" w:hAnsi="宋体"/>
                <w:color w:val="auto"/>
              </w:rPr>
              <w:t>付款方式</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6</w:t>
            </w:r>
          </w:p>
        </w:tc>
        <w:tc>
          <w:tcPr>
            <w:tcW w:w="2976" w:type="dxa"/>
            <w:vAlign w:val="center"/>
          </w:tcPr>
          <w:p>
            <w:pPr>
              <w:pStyle w:val="23"/>
              <w:ind w:left="420"/>
              <w:jc w:val="center"/>
              <w:rPr>
                <w:rFonts w:hAnsi="宋体"/>
                <w:color w:val="auto"/>
              </w:rPr>
            </w:pPr>
            <w:r>
              <w:rPr>
                <w:rFonts w:hint="eastAsia" w:hAnsi="宋体"/>
                <w:color w:val="auto"/>
              </w:rPr>
              <w:t>投标货币</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7</w:t>
            </w:r>
          </w:p>
        </w:tc>
        <w:tc>
          <w:tcPr>
            <w:tcW w:w="2976" w:type="dxa"/>
            <w:vAlign w:val="center"/>
          </w:tcPr>
          <w:p>
            <w:pPr>
              <w:pStyle w:val="23"/>
              <w:ind w:left="420"/>
              <w:jc w:val="center"/>
              <w:rPr>
                <w:rFonts w:hAnsi="宋体"/>
                <w:color w:val="auto"/>
              </w:rPr>
            </w:pPr>
            <w:r>
              <w:rPr>
                <w:rFonts w:hint="eastAsia" w:hAnsi="宋体"/>
                <w:color w:val="auto"/>
              </w:rPr>
              <w:t>备品备件及耗材等要求</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r>
              <w:rPr>
                <w:rFonts w:hint="eastAsia" w:hAnsi="宋体"/>
                <w:color w:val="auto"/>
              </w:rPr>
              <w:t>8</w:t>
            </w:r>
          </w:p>
        </w:tc>
        <w:tc>
          <w:tcPr>
            <w:tcW w:w="2976" w:type="dxa"/>
            <w:vAlign w:val="center"/>
          </w:tcPr>
          <w:p>
            <w:pPr>
              <w:pStyle w:val="23"/>
              <w:ind w:left="420"/>
              <w:jc w:val="center"/>
              <w:rPr>
                <w:rFonts w:hAnsi="宋体"/>
                <w:color w:val="auto"/>
              </w:rPr>
            </w:pPr>
            <w:r>
              <w:rPr>
                <w:rFonts w:hint="eastAsia" w:hAnsi="宋体"/>
                <w:color w:val="auto"/>
              </w:rPr>
              <w:t>培训方式</w:t>
            </w: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3"/>
              <w:ind w:left="420"/>
              <w:jc w:val="center"/>
              <w:rPr>
                <w:rFonts w:hAnsi="宋体"/>
                <w:color w:val="auto"/>
              </w:rPr>
            </w:pPr>
          </w:p>
        </w:tc>
        <w:tc>
          <w:tcPr>
            <w:tcW w:w="2976" w:type="dxa"/>
            <w:vAlign w:val="center"/>
          </w:tcPr>
          <w:p>
            <w:pPr>
              <w:pStyle w:val="23"/>
              <w:ind w:left="420"/>
              <w:jc w:val="center"/>
              <w:rPr>
                <w:rFonts w:hAnsi="宋体"/>
                <w:color w:val="auto"/>
              </w:rPr>
            </w:pPr>
          </w:p>
        </w:tc>
        <w:tc>
          <w:tcPr>
            <w:tcW w:w="1985" w:type="dxa"/>
            <w:vAlign w:val="center"/>
          </w:tcPr>
          <w:p>
            <w:pPr>
              <w:pStyle w:val="23"/>
              <w:ind w:left="420"/>
              <w:jc w:val="center"/>
              <w:rPr>
                <w:rFonts w:hAnsi="宋体"/>
                <w:color w:val="auto"/>
              </w:rPr>
            </w:pPr>
          </w:p>
        </w:tc>
        <w:tc>
          <w:tcPr>
            <w:tcW w:w="1843" w:type="dxa"/>
            <w:vAlign w:val="center"/>
          </w:tcPr>
          <w:p>
            <w:pPr>
              <w:pStyle w:val="23"/>
              <w:ind w:left="420"/>
              <w:jc w:val="center"/>
              <w:rPr>
                <w:rFonts w:hAnsi="宋体"/>
                <w:color w:val="auto"/>
              </w:rPr>
            </w:pPr>
          </w:p>
        </w:tc>
        <w:tc>
          <w:tcPr>
            <w:tcW w:w="1687" w:type="dxa"/>
            <w:vAlign w:val="center"/>
          </w:tcPr>
          <w:p>
            <w:pPr>
              <w:pStyle w:val="23"/>
              <w:ind w:left="420"/>
              <w:jc w:val="center"/>
              <w:rPr>
                <w:rFonts w:hAnsi="宋体"/>
                <w:color w:val="auto"/>
              </w:rPr>
            </w:pPr>
          </w:p>
        </w:tc>
      </w:tr>
    </w:tbl>
    <w:p>
      <w:pPr>
        <w:pStyle w:val="23"/>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3"/>
        <w:spacing w:line="360" w:lineRule="exact"/>
        <w:ind w:left="420"/>
        <w:rPr>
          <w:rFonts w:hAnsi="宋体"/>
          <w:color w:val="auto"/>
        </w:rPr>
      </w:pPr>
      <w:r>
        <w:rPr>
          <w:rFonts w:hint="eastAsia" w:hAnsi="宋体"/>
          <w:color w:val="auto"/>
        </w:rPr>
        <w:t>注：</w:t>
      </w:r>
    </w:p>
    <w:p>
      <w:pPr>
        <w:pStyle w:val="23"/>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3"/>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3"/>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3"/>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9D7"/>
    <w:multiLevelType w:val="multilevel"/>
    <w:tmpl w:val="07AD19D7"/>
    <w:lvl w:ilvl="0" w:tentative="0">
      <w:start w:val="9"/>
      <w:numFmt w:val="decimal"/>
      <w:lvlText w:val="%1．"/>
      <w:lvlJc w:val="left"/>
      <w:pPr>
        <w:ind w:left="1200" w:hanging="720"/>
      </w:pPr>
      <w:rPr>
        <w:rFonts w:hint="default" w:ascii="楷体_GB2312" w:hAnsi="楷体_GB2312"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D086810"/>
    <w:multiLevelType w:val="multilevel"/>
    <w:tmpl w:val="4D08681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DDFE60"/>
    <w:multiLevelType w:val="singleLevel"/>
    <w:tmpl w:val="58DDFE60"/>
    <w:lvl w:ilvl="0" w:tentative="0">
      <w:start w:val="1"/>
      <w:numFmt w:val="chineseCounting"/>
      <w:suff w:val="nothing"/>
      <w:lvlText w:val="%1、"/>
      <w:lvlJc w:val="left"/>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042E9"/>
    <w:rsid w:val="00040340"/>
    <w:rsid w:val="00072DCA"/>
    <w:rsid w:val="00080AB0"/>
    <w:rsid w:val="00083BEB"/>
    <w:rsid w:val="000864C7"/>
    <w:rsid w:val="000971DE"/>
    <w:rsid w:val="000A0FEC"/>
    <w:rsid w:val="000B00C9"/>
    <w:rsid w:val="000C1A8D"/>
    <w:rsid w:val="000D4C88"/>
    <w:rsid w:val="000E2418"/>
    <w:rsid w:val="000F2473"/>
    <w:rsid w:val="00104327"/>
    <w:rsid w:val="001207E4"/>
    <w:rsid w:val="001229B1"/>
    <w:rsid w:val="00141774"/>
    <w:rsid w:val="00146B44"/>
    <w:rsid w:val="0015566D"/>
    <w:rsid w:val="00162196"/>
    <w:rsid w:val="00172078"/>
    <w:rsid w:val="001850B8"/>
    <w:rsid w:val="00192ED5"/>
    <w:rsid w:val="001930C8"/>
    <w:rsid w:val="00193550"/>
    <w:rsid w:val="001A0EB9"/>
    <w:rsid w:val="001A10F9"/>
    <w:rsid w:val="001B5D14"/>
    <w:rsid w:val="001D6817"/>
    <w:rsid w:val="001F38F6"/>
    <w:rsid w:val="00205604"/>
    <w:rsid w:val="0021786E"/>
    <w:rsid w:val="002357D6"/>
    <w:rsid w:val="00252DF0"/>
    <w:rsid w:val="00290A13"/>
    <w:rsid w:val="002A42A5"/>
    <w:rsid w:val="002A7982"/>
    <w:rsid w:val="002A7D4F"/>
    <w:rsid w:val="002B3018"/>
    <w:rsid w:val="002B64D1"/>
    <w:rsid w:val="002C4A94"/>
    <w:rsid w:val="002C7445"/>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D180B"/>
    <w:rsid w:val="003E6502"/>
    <w:rsid w:val="003F1A6B"/>
    <w:rsid w:val="003F5201"/>
    <w:rsid w:val="0042227E"/>
    <w:rsid w:val="00422492"/>
    <w:rsid w:val="00430DE9"/>
    <w:rsid w:val="004577BF"/>
    <w:rsid w:val="00484BFD"/>
    <w:rsid w:val="004C5BCE"/>
    <w:rsid w:val="004E73DF"/>
    <w:rsid w:val="004F26D3"/>
    <w:rsid w:val="00506FCF"/>
    <w:rsid w:val="005128C4"/>
    <w:rsid w:val="00513392"/>
    <w:rsid w:val="005228EA"/>
    <w:rsid w:val="0052402E"/>
    <w:rsid w:val="00534E86"/>
    <w:rsid w:val="00556647"/>
    <w:rsid w:val="0056177C"/>
    <w:rsid w:val="005644CD"/>
    <w:rsid w:val="005740E5"/>
    <w:rsid w:val="0057615F"/>
    <w:rsid w:val="005875E6"/>
    <w:rsid w:val="005A5E16"/>
    <w:rsid w:val="005A660E"/>
    <w:rsid w:val="005A7295"/>
    <w:rsid w:val="005A77E1"/>
    <w:rsid w:val="005C0FAE"/>
    <w:rsid w:val="005E195A"/>
    <w:rsid w:val="00622ED6"/>
    <w:rsid w:val="00632195"/>
    <w:rsid w:val="006445AC"/>
    <w:rsid w:val="006464D1"/>
    <w:rsid w:val="00650B14"/>
    <w:rsid w:val="0065360E"/>
    <w:rsid w:val="00656AAF"/>
    <w:rsid w:val="0067558A"/>
    <w:rsid w:val="00680F4B"/>
    <w:rsid w:val="006836FF"/>
    <w:rsid w:val="006967CA"/>
    <w:rsid w:val="006A700C"/>
    <w:rsid w:val="006A76EB"/>
    <w:rsid w:val="006C5419"/>
    <w:rsid w:val="006E55A1"/>
    <w:rsid w:val="007024E5"/>
    <w:rsid w:val="0071689C"/>
    <w:rsid w:val="00735F31"/>
    <w:rsid w:val="007378D7"/>
    <w:rsid w:val="007637CA"/>
    <w:rsid w:val="00771B4F"/>
    <w:rsid w:val="007979A4"/>
    <w:rsid w:val="007A104C"/>
    <w:rsid w:val="007A6C1C"/>
    <w:rsid w:val="007B0284"/>
    <w:rsid w:val="007E7DD3"/>
    <w:rsid w:val="007F3768"/>
    <w:rsid w:val="00806627"/>
    <w:rsid w:val="0084560F"/>
    <w:rsid w:val="00846AA3"/>
    <w:rsid w:val="00870B8A"/>
    <w:rsid w:val="00883F71"/>
    <w:rsid w:val="00896934"/>
    <w:rsid w:val="008F2000"/>
    <w:rsid w:val="0090283C"/>
    <w:rsid w:val="0090488F"/>
    <w:rsid w:val="009060E3"/>
    <w:rsid w:val="0091575F"/>
    <w:rsid w:val="00916967"/>
    <w:rsid w:val="00940B78"/>
    <w:rsid w:val="009443F3"/>
    <w:rsid w:val="00945D7C"/>
    <w:rsid w:val="00972839"/>
    <w:rsid w:val="00992A79"/>
    <w:rsid w:val="009A1457"/>
    <w:rsid w:val="009B2958"/>
    <w:rsid w:val="009B4370"/>
    <w:rsid w:val="009B747B"/>
    <w:rsid w:val="009C107F"/>
    <w:rsid w:val="009D4DFA"/>
    <w:rsid w:val="009D735B"/>
    <w:rsid w:val="009E262E"/>
    <w:rsid w:val="009E517A"/>
    <w:rsid w:val="009F1222"/>
    <w:rsid w:val="009F5357"/>
    <w:rsid w:val="00A00C4B"/>
    <w:rsid w:val="00A0323F"/>
    <w:rsid w:val="00A0452C"/>
    <w:rsid w:val="00A1224A"/>
    <w:rsid w:val="00A42333"/>
    <w:rsid w:val="00A517A0"/>
    <w:rsid w:val="00A64DC2"/>
    <w:rsid w:val="00A77FED"/>
    <w:rsid w:val="00A87B79"/>
    <w:rsid w:val="00AB34FA"/>
    <w:rsid w:val="00AC7BA7"/>
    <w:rsid w:val="00AD623C"/>
    <w:rsid w:val="00AF00F7"/>
    <w:rsid w:val="00AF31C7"/>
    <w:rsid w:val="00B107AD"/>
    <w:rsid w:val="00B114B6"/>
    <w:rsid w:val="00B152A8"/>
    <w:rsid w:val="00B56FD5"/>
    <w:rsid w:val="00B66963"/>
    <w:rsid w:val="00B7753F"/>
    <w:rsid w:val="00B83696"/>
    <w:rsid w:val="00B8393B"/>
    <w:rsid w:val="00B8631C"/>
    <w:rsid w:val="00B90A6E"/>
    <w:rsid w:val="00B95C18"/>
    <w:rsid w:val="00BA3B77"/>
    <w:rsid w:val="00BB3A22"/>
    <w:rsid w:val="00BC6A5D"/>
    <w:rsid w:val="00BF6CC8"/>
    <w:rsid w:val="00C00A31"/>
    <w:rsid w:val="00C141D5"/>
    <w:rsid w:val="00C156AA"/>
    <w:rsid w:val="00C22138"/>
    <w:rsid w:val="00C4467C"/>
    <w:rsid w:val="00C56D57"/>
    <w:rsid w:val="00C62C67"/>
    <w:rsid w:val="00C7019F"/>
    <w:rsid w:val="00C73572"/>
    <w:rsid w:val="00CA4D92"/>
    <w:rsid w:val="00CC5D97"/>
    <w:rsid w:val="00CD1863"/>
    <w:rsid w:val="00D46FF5"/>
    <w:rsid w:val="00D66080"/>
    <w:rsid w:val="00D738F0"/>
    <w:rsid w:val="00D74FA1"/>
    <w:rsid w:val="00DA6DA7"/>
    <w:rsid w:val="00DA762A"/>
    <w:rsid w:val="00DB6576"/>
    <w:rsid w:val="00DD3B4D"/>
    <w:rsid w:val="00DE6300"/>
    <w:rsid w:val="00DF7837"/>
    <w:rsid w:val="00E23BC3"/>
    <w:rsid w:val="00E25CB3"/>
    <w:rsid w:val="00E56A6C"/>
    <w:rsid w:val="00E63ACB"/>
    <w:rsid w:val="00E6477F"/>
    <w:rsid w:val="00E65DEA"/>
    <w:rsid w:val="00E76FE5"/>
    <w:rsid w:val="00E81854"/>
    <w:rsid w:val="00E824AB"/>
    <w:rsid w:val="00E90048"/>
    <w:rsid w:val="00EB38AA"/>
    <w:rsid w:val="00EC3E2F"/>
    <w:rsid w:val="00EC4DB7"/>
    <w:rsid w:val="00EC5965"/>
    <w:rsid w:val="00EE653E"/>
    <w:rsid w:val="00EF31BF"/>
    <w:rsid w:val="00F0497C"/>
    <w:rsid w:val="00F07DEC"/>
    <w:rsid w:val="00F14020"/>
    <w:rsid w:val="00F43E3D"/>
    <w:rsid w:val="00F470C4"/>
    <w:rsid w:val="00F502B3"/>
    <w:rsid w:val="00F61881"/>
    <w:rsid w:val="00F65CD6"/>
    <w:rsid w:val="00F7402B"/>
    <w:rsid w:val="00F7724C"/>
    <w:rsid w:val="00FB06E8"/>
    <w:rsid w:val="00FC5B62"/>
    <w:rsid w:val="00FE30B2"/>
    <w:rsid w:val="00FE7368"/>
    <w:rsid w:val="00FF284F"/>
    <w:rsid w:val="0ECC4ED7"/>
    <w:rsid w:val="16A65BE9"/>
    <w:rsid w:val="17491B7F"/>
    <w:rsid w:val="1AD06E38"/>
    <w:rsid w:val="1E19283C"/>
    <w:rsid w:val="1E9E1115"/>
    <w:rsid w:val="2BF92E9A"/>
    <w:rsid w:val="37564D06"/>
    <w:rsid w:val="38086247"/>
    <w:rsid w:val="3D4E3653"/>
    <w:rsid w:val="3DDE5589"/>
    <w:rsid w:val="3E5A23AC"/>
    <w:rsid w:val="3F357415"/>
    <w:rsid w:val="40F533BE"/>
    <w:rsid w:val="4F3903D7"/>
    <w:rsid w:val="4FB65804"/>
    <w:rsid w:val="50F95D0B"/>
    <w:rsid w:val="5A31097F"/>
    <w:rsid w:val="5ADA6D2E"/>
    <w:rsid w:val="75D85E3C"/>
    <w:rsid w:val="7E221431"/>
    <w:rsid w:val="7EAC7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4"/>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5"/>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Plain Text"/>
    <w:basedOn w:val="1"/>
    <w:link w:val="16"/>
    <w:qFormat/>
    <w:uiPriority w:val="99"/>
    <w:rPr>
      <w:rFonts w:ascii="宋体" w:hAnsi="Courier New" w:cs="Courier New"/>
    </w:rPr>
  </w:style>
  <w:style w:type="paragraph" w:styleId="6">
    <w:name w:val="Balloon Text"/>
    <w:basedOn w:val="1"/>
    <w:link w:val="29"/>
    <w:semiHidden/>
    <w:unhideWhenUsed/>
    <w:uiPriority w:val="99"/>
    <w:rPr>
      <w:sz w:val="18"/>
      <w:szCs w:val="18"/>
    </w:rPr>
  </w:style>
  <w:style w:type="paragraph" w:styleId="7">
    <w:name w:val="footer"/>
    <w:basedOn w:val="1"/>
    <w:link w:val="17"/>
    <w:qFormat/>
    <w:uiPriority w:val="0"/>
    <w:pPr>
      <w:tabs>
        <w:tab w:val="center" w:pos="4153"/>
        <w:tab w:val="right" w:pos="8306"/>
      </w:tabs>
      <w:snapToGrid w:val="0"/>
      <w:jc w:val="left"/>
    </w:pPr>
    <w:rPr>
      <w:rFonts w:asciiTheme="minorHAnsi" w:hAnsiTheme="minorHAnsi" w:cstheme="minorBidi"/>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0"/>
  </w:style>
  <w:style w:type="table" w:styleId="13">
    <w:name w:val="Table Grid"/>
    <w:basedOn w:val="1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标题 2 Char"/>
    <w:basedOn w:val="10"/>
    <w:link w:val="2"/>
    <w:uiPriority w:val="0"/>
    <w:rPr>
      <w:rFonts w:ascii="Arial" w:hAnsi="Arial" w:eastAsia="幼圆" w:cs="Arial"/>
      <w:b/>
      <w:bCs/>
      <w:sz w:val="44"/>
      <w:szCs w:val="44"/>
    </w:rPr>
  </w:style>
  <w:style w:type="character" w:customStyle="1" w:styleId="15">
    <w:name w:val="标题 3 Char"/>
    <w:basedOn w:val="10"/>
    <w:link w:val="4"/>
    <w:qFormat/>
    <w:uiPriority w:val="0"/>
    <w:rPr>
      <w:rFonts w:ascii="Times New Roman" w:hAnsi="Times New Roman" w:eastAsia="宋体" w:cs="Times New Roman"/>
      <w:b/>
      <w:bCs/>
      <w:sz w:val="32"/>
      <w:szCs w:val="32"/>
    </w:rPr>
  </w:style>
  <w:style w:type="character" w:customStyle="1" w:styleId="16">
    <w:name w:val="纯文本 Char"/>
    <w:link w:val="5"/>
    <w:qFormat/>
    <w:locked/>
    <w:uiPriority w:val="99"/>
    <w:rPr>
      <w:rFonts w:ascii="宋体" w:hAnsi="Courier New" w:eastAsia="宋体" w:cs="Courier New"/>
      <w:szCs w:val="21"/>
    </w:rPr>
  </w:style>
  <w:style w:type="character" w:customStyle="1" w:styleId="17">
    <w:name w:val="页脚 Char"/>
    <w:link w:val="7"/>
    <w:qFormat/>
    <w:uiPriority w:val="0"/>
    <w:rPr>
      <w:rFonts w:eastAsia="宋体"/>
      <w:sz w:val="18"/>
      <w:szCs w:val="18"/>
    </w:rPr>
  </w:style>
  <w:style w:type="character" w:customStyle="1" w:styleId="18">
    <w:name w:val="页眉 Char"/>
    <w:link w:val="8"/>
    <w:qFormat/>
    <w:uiPriority w:val="0"/>
    <w:rPr>
      <w:sz w:val="18"/>
      <w:szCs w:val="18"/>
    </w:rPr>
  </w:style>
  <w:style w:type="character" w:customStyle="1" w:styleId="19">
    <w:name w:val="纯文本 Char1"/>
    <w:basedOn w:val="10"/>
    <w:semiHidden/>
    <w:uiPriority w:val="99"/>
    <w:rPr>
      <w:rFonts w:ascii="宋体" w:hAnsi="Courier New" w:eastAsia="宋体" w:cs="Courier New"/>
      <w:szCs w:val="21"/>
    </w:rPr>
  </w:style>
  <w:style w:type="character" w:customStyle="1" w:styleId="20">
    <w:name w:val="页眉 Char1"/>
    <w:basedOn w:val="10"/>
    <w:semiHidden/>
    <w:uiPriority w:val="99"/>
    <w:rPr>
      <w:rFonts w:ascii="Times New Roman" w:hAnsi="Times New Roman" w:eastAsia="宋体" w:cs="Times New Roman"/>
      <w:sz w:val="18"/>
      <w:szCs w:val="18"/>
    </w:rPr>
  </w:style>
  <w:style w:type="character" w:customStyle="1" w:styleId="21">
    <w:name w:val="页脚 Char1"/>
    <w:basedOn w:val="10"/>
    <w:semiHidden/>
    <w:qFormat/>
    <w:uiPriority w:val="99"/>
    <w:rPr>
      <w:rFonts w:ascii="Times New Roman" w:hAnsi="Times New Roman" w:eastAsia="宋体" w:cs="Times New Roman"/>
      <w:sz w:val="18"/>
      <w:szCs w:val="18"/>
    </w:rPr>
  </w:style>
  <w:style w:type="paragraph" w:customStyle="1" w:styleId="22">
    <w:name w:val="pa-0"/>
    <w:basedOn w:val="1"/>
    <w:qFormat/>
    <w:uiPriority w:val="0"/>
    <w:pPr>
      <w:widowControl/>
      <w:spacing w:before="150" w:after="150"/>
      <w:jc w:val="left"/>
    </w:pPr>
    <w:rPr>
      <w:rFonts w:ascii="宋体" w:hAnsi="宋体" w:cs="宋体"/>
      <w:kern w:val="0"/>
      <w:sz w:val="24"/>
      <w:szCs w:val="24"/>
    </w:rPr>
  </w:style>
  <w:style w:type="paragraph" w:customStyle="1" w:styleId="23">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5">
    <w:name w:val="Char"/>
    <w:basedOn w:val="1"/>
    <w:uiPriority w:val="0"/>
    <w:pPr>
      <w:tabs>
        <w:tab w:val="left" w:pos="360"/>
      </w:tabs>
    </w:pPr>
    <w:rPr>
      <w:sz w:val="24"/>
      <w:szCs w:val="24"/>
    </w:rPr>
  </w:style>
  <w:style w:type="paragraph" w:customStyle="1" w:styleId="26">
    <w:name w:val="列出段落1"/>
    <w:basedOn w:val="1"/>
    <w:uiPriority w:val="0"/>
    <w:pPr>
      <w:ind w:firstLine="420" w:firstLineChars="200"/>
    </w:pPr>
    <w:rPr>
      <w:rFonts w:ascii="Calibri" w:hAnsi="Calibri"/>
      <w:szCs w:val="22"/>
    </w:rPr>
  </w:style>
  <w:style w:type="paragraph" w:customStyle="1" w:styleId="27">
    <w:name w:val="列出段落2"/>
    <w:basedOn w:val="1"/>
    <w:qFormat/>
    <w:uiPriority w:val="34"/>
    <w:pPr>
      <w:ind w:firstLine="420" w:firstLineChars="200"/>
    </w:pPr>
  </w:style>
  <w:style w:type="paragraph" w:styleId="28">
    <w:name w:val="List Paragraph"/>
    <w:basedOn w:val="1"/>
    <w:qFormat/>
    <w:uiPriority w:val="34"/>
    <w:pPr>
      <w:ind w:firstLine="420" w:firstLineChars="200"/>
    </w:pPr>
  </w:style>
  <w:style w:type="character" w:customStyle="1" w:styleId="29">
    <w:name w:val="批注框文本 Char"/>
    <w:basedOn w:val="10"/>
    <w:link w:val="6"/>
    <w:semiHidden/>
    <w:qFormat/>
    <w:uiPriority w:val="99"/>
    <w:rPr>
      <w:rFonts w:ascii="Times New Roman" w:hAnsi="Times New Roman" w:eastAsia="宋体" w:cs="Times New Roman"/>
      <w:kern w:val="2"/>
      <w:sz w:val="18"/>
      <w:szCs w:val="18"/>
    </w:rPr>
  </w:style>
  <w:style w:type="paragraph" w:customStyle="1" w:styleId="30">
    <w:name w:val="样式2"/>
    <w:basedOn w:val="1"/>
    <w:qFormat/>
    <w:uiPriority w:val="0"/>
    <w:pPr>
      <w:keepNext/>
      <w:keepLines/>
      <w:spacing w:before="340" w:after="330"/>
      <w:outlineLvl w:val="0"/>
    </w:pPr>
    <w:rPr>
      <w:rFonts w:ascii="Calibri" w:hAnsi="Calibri"/>
      <w:b/>
      <w:bCs/>
      <w:kern w:val="44"/>
      <w:sz w:val="28"/>
      <w:szCs w:val="44"/>
    </w:rPr>
  </w:style>
  <w:style w:type="paragraph" w:customStyle="1" w:styleId="31">
    <w:name w:val="默认段落字体 Para Char Char Char1 Char"/>
    <w:basedOn w:val="1"/>
    <w:qFormat/>
    <w:uiPriority w:val="0"/>
    <w:pPr>
      <w:spacing w:line="360" w:lineRule="auto"/>
      <w:ind w:left="420" w:firstLine="420"/>
    </w:pPr>
    <w:rPr>
      <w:kern w:val="0"/>
      <w:sz w:val="24"/>
    </w:rPr>
  </w:style>
  <w:style w:type="paragraph" w:styleId="32">
    <w:name w:val="No Spacing"/>
    <w:basedOn w:val="1"/>
    <w:qFormat/>
    <w:uiPriority w:val="99"/>
    <w:rPr>
      <w:rFonts w:ascii="Calibri" w:hAnsi="Calibri"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2195</Words>
  <Characters>12515</Characters>
  <Lines>104</Lines>
  <Paragraphs>29</Paragraphs>
  <TotalTime>0</TotalTime>
  <ScaleCrop>false</ScaleCrop>
  <LinksUpToDate>false</LinksUpToDate>
  <CharactersWithSpaces>14681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nytd</cp:lastModifiedBy>
  <cp:lastPrinted>2018-06-06T06:26:00Z</cp:lastPrinted>
  <dcterms:modified xsi:type="dcterms:W3CDTF">2018-06-21T13:57:03Z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