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BCF774">
      <w:pPr>
        <w:widowControl/>
        <w:spacing w:line="360" w:lineRule="auto"/>
        <w:jc w:val="center"/>
        <w:rPr>
          <w:rFonts w:hint="eastAsia" w:ascii="宋体" w:hAnsi="宋体" w:cs="宋体"/>
          <w:b/>
          <w:bCs/>
          <w:sz w:val="72"/>
          <w:szCs w:val="72"/>
        </w:rPr>
      </w:pPr>
    </w:p>
    <w:p w14:paraId="0B1E385A">
      <w:pPr>
        <w:pStyle w:val="23"/>
        <w:ind w:left="1260"/>
        <w:rPr>
          <w:rFonts w:hint="eastAsia" w:ascii="宋体" w:hAnsi="宋体" w:cs="宋体"/>
        </w:rPr>
      </w:pPr>
    </w:p>
    <w:p w14:paraId="4D8A0160">
      <w:pPr>
        <w:pStyle w:val="41"/>
        <w:jc w:val="center"/>
        <w:rPr>
          <w:rFonts w:hint="eastAsia" w:ascii="宋体" w:hAnsi="宋体" w:cs="宋体"/>
          <w:b/>
          <w:sz w:val="72"/>
          <w:szCs w:val="72"/>
        </w:rPr>
      </w:pPr>
      <w:r>
        <w:rPr>
          <w:rFonts w:hint="eastAsia" w:ascii="宋体" w:hAnsi="宋体" w:cs="宋体"/>
          <w:b/>
          <w:bCs/>
          <w:sz w:val="52"/>
          <w:szCs w:val="52"/>
        </w:rPr>
        <w:t>南京邮电大学通达学院智能感知与控制实验室协作机器人与机械臂采购项目</w:t>
      </w:r>
    </w:p>
    <w:p w14:paraId="692D4814">
      <w:pPr>
        <w:pStyle w:val="41"/>
        <w:rPr>
          <w:rFonts w:hint="eastAsia" w:ascii="宋体" w:hAnsi="宋体" w:cs="宋体"/>
          <w:b/>
          <w:sz w:val="72"/>
          <w:szCs w:val="72"/>
        </w:rPr>
      </w:pPr>
    </w:p>
    <w:p w14:paraId="119BC05C">
      <w:pPr>
        <w:pStyle w:val="41"/>
        <w:rPr>
          <w:rFonts w:hint="eastAsia" w:ascii="宋体" w:hAnsi="宋体" w:cs="宋体"/>
          <w:b/>
          <w:sz w:val="72"/>
          <w:szCs w:val="72"/>
        </w:rPr>
      </w:pPr>
    </w:p>
    <w:p w14:paraId="6C4003AF">
      <w:pPr>
        <w:widowControl/>
        <w:spacing w:line="360" w:lineRule="auto"/>
        <w:jc w:val="center"/>
        <w:rPr>
          <w:rFonts w:hint="eastAsia" w:ascii="宋体" w:hAnsi="宋体" w:cs="宋体"/>
          <w:b/>
          <w:kern w:val="0"/>
          <w:sz w:val="72"/>
          <w:szCs w:val="72"/>
        </w:rPr>
      </w:pPr>
      <w:r>
        <w:rPr>
          <w:rFonts w:hint="eastAsia" w:ascii="宋体" w:hAnsi="宋体" w:cs="宋体"/>
          <w:b/>
          <w:kern w:val="0"/>
          <w:sz w:val="72"/>
          <w:szCs w:val="72"/>
        </w:rPr>
        <w:t>招标文件</w:t>
      </w:r>
    </w:p>
    <w:p w14:paraId="2D2D7DC1">
      <w:pPr>
        <w:jc w:val="center"/>
        <w:rPr>
          <w:rFonts w:hint="eastAsia" w:ascii="宋体" w:hAnsi="宋体" w:cs="宋体"/>
          <w:b/>
          <w:kern w:val="0"/>
          <w:sz w:val="36"/>
          <w:szCs w:val="36"/>
        </w:rPr>
      </w:pPr>
    </w:p>
    <w:p w14:paraId="5BA45596">
      <w:pPr>
        <w:pStyle w:val="2"/>
      </w:pPr>
    </w:p>
    <w:p w14:paraId="769EA1F3">
      <w:pPr>
        <w:jc w:val="center"/>
        <w:rPr>
          <w:rFonts w:hint="eastAsia" w:ascii="宋体" w:hAnsi="宋体" w:eastAsia="宋体" w:cs="宋体"/>
          <w:b/>
          <w:kern w:val="0"/>
          <w:sz w:val="36"/>
          <w:szCs w:val="36"/>
          <w:lang w:val="en-US" w:eastAsia="zh-CN"/>
        </w:rPr>
      </w:pPr>
      <w:r>
        <w:rPr>
          <w:rFonts w:hint="eastAsia" w:ascii="宋体" w:hAnsi="宋体" w:cs="宋体"/>
          <w:b/>
          <w:kern w:val="0"/>
          <w:sz w:val="36"/>
          <w:szCs w:val="36"/>
        </w:rPr>
        <w:t>项目编号：TDCG2025045</w:t>
      </w:r>
      <w:r>
        <w:rPr>
          <w:rFonts w:hint="eastAsia" w:ascii="宋体" w:hAnsi="宋体" w:cs="宋体"/>
          <w:b/>
          <w:kern w:val="0"/>
          <w:sz w:val="36"/>
          <w:szCs w:val="36"/>
          <w:lang w:val="en-US" w:eastAsia="zh-CN"/>
        </w:rPr>
        <w:t>/</w:t>
      </w:r>
      <w:r>
        <w:rPr>
          <w:rFonts w:hint="eastAsia" w:ascii="宋体" w:hAnsi="宋体" w:cs="宋体"/>
          <w:b/>
          <w:kern w:val="0"/>
          <w:sz w:val="36"/>
          <w:szCs w:val="36"/>
        </w:rPr>
        <w:t>JG06602557ZC02284</w:t>
      </w:r>
    </w:p>
    <w:p w14:paraId="0FA5B7D5">
      <w:pPr>
        <w:widowControl/>
        <w:shd w:val="clear" w:color="auto" w:fill="FFFFFF"/>
        <w:spacing w:line="360" w:lineRule="auto"/>
        <w:rPr>
          <w:rFonts w:hint="eastAsia" w:ascii="宋体" w:hAnsi="宋体" w:cs="宋体"/>
          <w:kern w:val="0"/>
          <w:sz w:val="44"/>
          <w:szCs w:val="44"/>
        </w:rPr>
      </w:pPr>
    </w:p>
    <w:p w14:paraId="20E0CA23">
      <w:pPr>
        <w:widowControl/>
        <w:spacing w:line="360" w:lineRule="auto"/>
        <w:rPr>
          <w:rFonts w:hint="eastAsia" w:ascii="宋体" w:hAnsi="宋体" w:cs="宋体"/>
          <w:b/>
          <w:kern w:val="0"/>
          <w:sz w:val="36"/>
          <w:szCs w:val="36"/>
        </w:rPr>
      </w:pPr>
    </w:p>
    <w:p w14:paraId="30A0834A">
      <w:pPr>
        <w:widowControl/>
        <w:spacing w:line="360" w:lineRule="auto"/>
        <w:jc w:val="center"/>
        <w:rPr>
          <w:rFonts w:hint="eastAsia" w:ascii="宋体" w:hAnsi="宋体" w:cs="宋体"/>
          <w:b/>
          <w:kern w:val="0"/>
          <w:sz w:val="36"/>
          <w:szCs w:val="36"/>
        </w:rPr>
      </w:pPr>
    </w:p>
    <w:p w14:paraId="5E656FA8">
      <w:pPr>
        <w:pStyle w:val="23"/>
        <w:ind w:left="1260"/>
        <w:rPr>
          <w:rFonts w:hint="eastAsia" w:ascii="宋体" w:hAnsi="宋体" w:cs="宋体"/>
          <w:b/>
          <w:kern w:val="0"/>
          <w:sz w:val="36"/>
          <w:szCs w:val="36"/>
        </w:rPr>
      </w:pPr>
    </w:p>
    <w:p w14:paraId="63326515">
      <w:pPr>
        <w:rPr>
          <w:rFonts w:hint="eastAsia" w:ascii="宋体" w:hAnsi="宋体" w:cs="宋体"/>
          <w:b/>
          <w:kern w:val="0"/>
          <w:sz w:val="36"/>
          <w:szCs w:val="36"/>
        </w:rPr>
      </w:pPr>
    </w:p>
    <w:p w14:paraId="4CB56057">
      <w:pPr>
        <w:widowControl/>
        <w:spacing w:line="360" w:lineRule="auto"/>
        <w:rPr>
          <w:rFonts w:hint="eastAsia" w:ascii="宋体" w:hAnsi="宋体" w:cs="宋体"/>
          <w:b/>
          <w:kern w:val="0"/>
          <w:sz w:val="36"/>
          <w:szCs w:val="36"/>
        </w:rPr>
      </w:pPr>
    </w:p>
    <w:p w14:paraId="1E91A6AD">
      <w:pPr>
        <w:pStyle w:val="41"/>
        <w:rPr>
          <w:rFonts w:hint="eastAsia" w:ascii="宋体" w:hAnsi="宋体" w:cs="宋体"/>
        </w:rPr>
      </w:pPr>
    </w:p>
    <w:p w14:paraId="3136273B">
      <w:pPr>
        <w:pStyle w:val="41"/>
        <w:jc w:val="center"/>
        <w:rPr>
          <w:rFonts w:hint="eastAsia" w:ascii="宋体" w:hAnsi="宋体" w:cs="宋体"/>
          <w:b/>
          <w:sz w:val="36"/>
          <w:szCs w:val="36"/>
        </w:rPr>
      </w:pPr>
      <w:r>
        <w:rPr>
          <w:rFonts w:hint="eastAsia" w:ascii="宋体" w:hAnsi="宋体" w:cs="宋体"/>
          <w:b/>
          <w:sz w:val="36"/>
          <w:szCs w:val="36"/>
        </w:rPr>
        <w:t>采购人：南京邮电大学通达学院</w:t>
      </w:r>
    </w:p>
    <w:p w14:paraId="35CA2EDB">
      <w:pPr>
        <w:widowControl/>
        <w:spacing w:line="360" w:lineRule="auto"/>
        <w:jc w:val="center"/>
        <w:rPr>
          <w:rFonts w:hint="eastAsia" w:ascii="宋体" w:hAnsi="宋体" w:cs="宋体"/>
          <w:b/>
          <w:kern w:val="0"/>
          <w:sz w:val="36"/>
          <w:szCs w:val="36"/>
        </w:rPr>
      </w:pPr>
      <w:r>
        <w:rPr>
          <w:rFonts w:hint="eastAsia" w:ascii="宋体" w:hAnsi="宋体" w:cs="宋体"/>
          <w:b/>
          <w:kern w:val="0"/>
          <w:sz w:val="36"/>
          <w:szCs w:val="36"/>
        </w:rPr>
        <w:t>采购代理机构：江苏省设备成套股份有限公司</w:t>
      </w:r>
    </w:p>
    <w:p w14:paraId="33FA86AE">
      <w:pPr>
        <w:widowControl/>
        <w:shd w:val="clear" w:color="auto" w:fill="FFFFFF"/>
        <w:spacing w:line="360" w:lineRule="auto"/>
        <w:jc w:val="center"/>
        <w:rPr>
          <w:rFonts w:hint="eastAsia" w:ascii="宋体" w:hAnsi="宋体" w:cs="宋体"/>
          <w:b/>
          <w:kern w:val="0"/>
          <w:sz w:val="36"/>
          <w:szCs w:val="36"/>
        </w:rPr>
      </w:pPr>
      <w:r>
        <w:rPr>
          <w:rFonts w:hint="eastAsia" w:ascii="宋体" w:hAnsi="宋体" w:cs="宋体"/>
          <w:b/>
          <w:kern w:val="0"/>
          <w:sz w:val="36"/>
          <w:szCs w:val="36"/>
        </w:rPr>
        <w:t>2025年11月</w:t>
      </w:r>
      <w:r>
        <w:rPr>
          <w:rFonts w:hint="eastAsia" w:ascii="宋体" w:hAnsi="宋体" w:cs="宋体"/>
          <w:b/>
          <w:kern w:val="0"/>
          <w:sz w:val="36"/>
          <w:szCs w:val="36"/>
          <w:lang w:val="en-US" w:eastAsia="zh-CN"/>
        </w:rPr>
        <w:t>17</w:t>
      </w:r>
      <w:r>
        <w:rPr>
          <w:rFonts w:hint="eastAsia" w:ascii="宋体" w:hAnsi="宋体" w:cs="宋体"/>
          <w:b/>
          <w:kern w:val="0"/>
          <w:sz w:val="36"/>
          <w:szCs w:val="36"/>
        </w:rPr>
        <w:t>日</w:t>
      </w:r>
    </w:p>
    <w:p w14:paraId="6EE7B46F">
      <w:pPr>
        <w:widowControl/>
        <w:shd w:val="clear" w:color="auto" w:fill="FFFFFF"/>
        <w:spacing w:line="360" w:lineRule="auto"/>
        <w:jc w:val="center"/>
        <w:rPr>
          <w:rFonts w:hint="eastAsia" w:ascii="宋体" w:hAnsi="宋体" w:cs="宋体"/>
          <w:sz w:val="36"/>
          <w:szCs w:val="36"/>
          <w:lang w:val="zh-CN"/>
        </w:rPr>
        <w:sectPr>
          <w:pgSz w:w="11906" w:h="16838"/>
          <w:pgMar w:top="1135" w:right="1135" w:bottom="1135" w:left="1135" w:header="720" w:footer="720" w:gutter="0"/>
          <w:pgNumType w:start="0"/>
          <w:cols w:space="720" w:num="1"/>
          <w:docGrid w:type="lines" w:linePitch="312" w:charSpace="0"/>
        </w:sectPr>
      </w:pPr>
    </w:p>
    <w:p w14:paraId="1151EEDC">
      <w:pPr>
        <w:widowControl/>
        <w:shd w:val="clear" w:color="auto" w:fill="FFFFFF"/>
        <w:spacing w:line="360" w:lineRule="auto"/>
        <w:jc w:val="center"/>
        <w:rPr>
          <w:rFonts w:hint="eastAsia" w:ascii="宋体" w:hAnsi="宋体" w:cs="宋体"/>
          <w:sz w:val="36"/>
          <w:szCs w:val="36"/>
        </w:rPr>
      </w:pPr>
      <w:r>
        <w:rPr>
          <w:rFonts w:hint="eastAsia" w:ascii="宋体" w:hAnsi="宋体" w:cs="宋体"/>
          <w:sz w:val="36"/>
          <w:szCs w:val="36"/>
          <w:lang w:val="zh-CN"/>
        </w:rPr>
        <w:t>目</w:t>
      </w:r>
      <w:r>
        <w:rPr>
          <w:rFonts w:hint="eastAsia" w:ascii="宋体" w:hAnsi="宋体" w:cs="宋体"/>
          <w:sz w:val="36"/>
          <w:szCs w:val="36"/>
        </w:rPr>
        <w:t xml:space="preserve"> </w:t>
      </w:r>
      <w:r>
        <w:rPr>
          <w:rFonts w:hint="eastAsia" w:ascii="宋体" w:hAnsi="宋体" w:cs="宋体"/>
          <w:sz w:val="36"/>
          <w:szCs w:val="36"/>
          <w:lang w:val="zh-CN"/>
        </w:rPr>
        <w:t>录</w:t>
      </w:r>
    </w:p>
    <w:p w14:paraId="536F1E26">
      <w:pPr>
        <w:pStyle w:val="33"/>
        <w:tabs>
          <w:tab w:val="right" w:leader="dot" w:pos="8306"/>
        </w:tabs>
      </w:pPr>
      <w:r>
        <w:rPr>
          <w:rFonts w:hint="eastAsia" w:ascii="宋体" w:hAnsi="宋体" w:cs="宋体"/>
          <w:sz w:val="30"/>
          <w:szCs w:val="30"/>
        </w:rPr>
        <w:fldChar w:fldCharType="begin"/>
      </w:r>
      <w:r>
        <w:rPr>
          <w:rFonts w:hint="eastAsia" w:ascii="宋体" w:hAnsi="宋体" w:cs="宋体"/>
          <w:sz w:val="30"/>
          <w:szCs w:val="30"/>
        </w:rPr>
        <w:instrText xml:space="preserve">TOC \o "1-1" \h \u </w:instrText>
      </w:r>
      <w:r>
        <w:rPr>
          <w:rFonts w:hint="eastAsia" w:ascii="宋体" w:hAnsi="宋体" w:cs="宋体"/>
          <w:sz w:val="30"/>
          <w:szCs w:val="30"/>
        </w:rPr>
        <w:fldChar w:fldCharType="separate"/>
      </w:r>
      <w:r>
        <w:fldChar w:fldCharType="begin"/>
      </w:r>
      <w:r>
        <w:instrText xml:space="preserve"> HYPERLINK \l "_Toc9807" </w:instrText>
      </w:r>
      <w:r>
        <w:fldChar w:fldCharType="separate"/>
      </w:r>
      <w:r>
        <w:rPr>
          <w:rFonts w:hint="eastAsia" w:ascii="宋体" w:hAnsi="宋体" w:cs="宋体"/>
        </w:rPr>
        <w:t>第一章 招标公告</w:t>
      </w:r>
      <w:r>
        <w:tab/>
      </w:r>
      <w:r>
        <w:fldChar w:fldCharType="begin"/>
      </w:r>
      <w:r>
        <w:instrText xml:space="preserve"> PAGEREF _Toc9807 \h </w:instrText>
      </w:r>
      <w:r>
        <w:fldChar w:fldCharType="separate"/>
      </w:r>
      <w:r>
        <w:t>2</w:t>
      </w:r>
      <w:r>
        <w:fldChar w:fldCharType="end"/>
      </w:r>
      <w:r>
        <w:fldChar w:fldCharType="end"/>
      </w:r>
    </w:p>
    <w:p w14:paraId="5D840FEF">
      <w:pPr>
        <w:pStyle w:val="33"/>
        <w:tabs>
          <w:tab w:val="right" w:leader="dot" w:pos="8306"/>
        </w:tabs>
      </w:pPr>
      <w:r>
        <w:fldChar w:fldCharType="begin"/>
      </w:r>
      <w:r>
        <w:instrText xml:space="preserve"> HYPERLINK \l "_Toc2573" </w:instrText>
      </w:r>
      <w:r>
        <w:fldChar w:fldCharType="separate"/>
      </w:r>
      <w:r>
        <w:rPr>
          <w:rFonts w:hint="eastAsia" w:ascii="宋体" w:hAnsi="宋体" w:cs="宋体"/>
        </w:rPr>
        <w:t>第二章 供应商须知</w:t>
      </w:r>
      <w:r>
        <w:tab/>
      </w:r>
      <w:r>
        <w:fldChar w:fldCharType="begin"/>
      </w:r>
      <w:r>
        <w:instrText xml:space="preserve"> PAGEREF _Toc2573 \h </w:instrText>
      </w:r>
      <w:r>
        <w:fldChar w:fldCharType="separate"/>
      </w:r>
      <w:r>
        <w:t>6</w:t>
      </w:r>
      <w:r>
        <w:fldChar w:fldCharType="end"/>
      </w:r>
      <w:r>
        <w:fldChar w:fldCharType="end"/>
      </w:r>
    </w:p>
    <w:p w14:paraId="7314B4F8">
      <w:pPr>
        <w:pStyle w:val="33"/>
        <w:tabs>
          <w:tab w:val="right" w:leader="dot" w:pos="8306"/>
        </w:tabs>
      </w:pPr>
      <w:r>
        <w:fldChar w:fldCharType="begin"/>
      </w:r>
      <w:r>
        <w:instrText xml:space="preserve"> HYPERLINK \l "_Toc30431" </w:instrText>
      </w:r>
      <w:r>
        <w:fldChar w:fldCharType="separate"/>
      </w:r>
      <w:r>
        <w:rPr>
          <w:rFonts w:hint="eastAsia" w:ascii="宋体" w:hAnsi="宋体" w:cs="宋体"/>
        </w:rPr>
        <w:t>第三章 评分标准</w:t>
      </w:r>
      <w:r>
        <w:tab/>
      </w:r>
      <w:r>
        <w:fldChar w:fldCharType="begin"/>
      </w:r>
      <w:r>
        <w:instrText xml:space="preserve"> PAGEREF _Toc30431 \h </w:instrText>
      </w:r>
      <w:r>
        <w:fldChar w:fldCharType="separate"/>
      </w:r>
      <w:r>
        <w:t>18</w:t>
      </w:r>
      <w:r>
        <w:fldChar w:fldCharType="end"/>
      </w:r>
      <w:r>
        <w:fldChar w:fldCharType="end"/>
      </w:r>
    </w:p>
    <w:p w14:paraId="7AEA2BF7">
      <w:pPr>
        <w:pStyle w:val="33"/>
        <w:tabs>
          <w:tab w:val="right" w:leader="dot" w:pos="8306"/>
        </w:tabs>
      </w:pPr>
      <w:r>
        <w:fldChar w:fldCharType="begin"/>
      </w:r>
      <w:r>
        <w:instrText xml:space="preserve"> HYPERLINK \l "_Toc24247" </w:instrText>
      </w:r>
      <w:r>
        <w:fldChar w:fldCharType="separate"/>
      </w:r>
      <w:r>
        <w:rPr>
          <w:rFonts w:hint="eastAsia" w:ascii="宋体" w:hAnsi="宋体" w:cs="宋体"/>
        </w:rPr>
        <w:t>第四章 采购需求</w:t>
      </w:r>
      <w:r>
        <w:tab/>
      </w:r>
      <w:r>
        <w:fldChar w:fldCharType="begin"/>
      </w:r>
      <w:r>
        <w:instrText xml:space="preserve"> PAGEREF _Toc24247 \h </w:instrText>
      </w:r>
      <w:r>
        <w:fldChar w:fldCharType="separate"/>
      </w:r>
      <w:r>
        <w:t>20</w:t>
      </w:r>
      <w:r>
        <w:fldChar w:fldCharType="end"/>
      </w:r>
      <w:r>
        <w:fldChar w:fldCharType="end"/>
      </w:r>
    </w:p>
    <w:p w14:paraId="4B048B4F">
      <w:pPr>
        <w:pStyle w:val="33"/>
        <w:tabs>
          <w:tab w:val="right" w:leader="dot" w:pos="8306"/>
        </w:tabs>
      </w:pPr>
      <w:r>
        <w:fldChar w:fldCharType="begin"/>
      </w:r>
      <w:r>
        <w:instrText xml:space="preserve"> HYPERLINK \l "_Toc30962" </w:instrText>
      </w:r>
      <w:r>
        <w:fldChar w:fldCharType="separate"/>
      </w:r>
      <w:r>
        <w:rPr>
          <w:rFonts w:hint="eastAsia" w:ascii="宋体" w:hAnsi="宋体" w:cs="宋体"/>
        </w:rPr>
        <w:t>第五章 合同主要条款</w:t>
      </w:r>
      <w:r>
        <w:tab/>
      </w:r>
      <w:r>
        <w:fldChar w:fldCharType="begin"/>
      </w:r>
      <w:r>
        <w:instrText xml:space="preserve"> PAGEREF _Toc30962 \h </w:instrText>
      </w:r>
      <w:r>
        <w:fldChar w:fldCharType="separate"/>
      </w:r>
      <w:r>
        <w:t>24</w:t>
      </w:r>
      <w:r>
        <w:fldChar w:fldCharType="end"/>
      </w:r>
      <w:r>
        <w:fldChar w:fldCharType="end"/>
      </w:r>
    </w:p>
    <w:p w14:paraId="08FCBB96">
      <w:pPr>
        <w:pStyle w:val="33"/>
        <w:tabs>
          <w:tab w:val="right" w:leader="dot" w:pos="8306"/>
        </w:tabs>
      </w:pPr>
      <w:r>
        <w:fldChar w:fldCharType="begin"/>
      </w:r>
      <w:r>
        <w:instrText xml:space="preserve"> HYPERLINK \l "_Toc24300" </w:instrText>
      </w:r>
      <w:r>
        <w:fldChar w:fldCharType="separate"/>
      </w:r>
      <w:r>
        <w:rPr>
          <w:rFonts w:hint="eastAsia" w:ascii="宋体" w:hAnsi="宋体" w:cs="宋体"/>
        </w:rPr>
        <w:t>第六章 附件</w:t>
      </w:r>
      <w:r>
        <w:tab/>
      </w:r>
      <w:r>
        <w:fldChar w:fldCharType="begin"/>
      </w:r>
      <w:r>
        <w:instrText xml:space="preserve"> PAGEREF _Toc24300 \h </w:instrText>
      </w:r>
      <w:r>
        <w:fldChar w:fldCharType="separate"/>
      </w:r>
      <w:r>
        <w:t>2</w:t>
      </w:r>
      <w:r>
        <w:rPr>
          <w:rFonts w:hint="eastAsia"/>
          <w:lang w:val="en-US" w:eastAsia="zh-CN"/>
        </w:rPr>
        <w:t>7</w:t>
      </w:r>
      <w:r>
        <w:fldChar w:fldCharType="end"/>
      </w:r>
      <w:r>
        <w:fldChar w:fldCharType="end"/>
      </w:r>
    </w:p>
    <w:p w14:paraId="37A0F128">
      <w:pPr>
        <w:widowControl/>
        <w:shd w:val="clear" w:color="auto" w:fill="FFFFFF"/>
        <w:spacing w:line="360" w:lineRule="auto"/>
        <w:rPr>
          <w:rFonts w:hint="eastAsia" w:ascii="宋体" w:hAnsi="宋体" w:cs="宋体"/>
          <w:b/>
          <w:kern w:val="0"/>
          <w:sz w:val="36"/>
          <w:szCs w:val="36"/>
        </w:rPr>
      </w:pPr>
      <w:r>
        <w:rPr>
          <w:rFonts w:hint="eastAsia" w:ascii="宋体" w:hAnsi="宋体" w:cs="宋体"/>
          <w:szCs w:val="30"/>
        </w:rPr>
        <w:fldChar w:fldCharType="end"/>
      </w:r>
    </w:p>
    <w:p w14:paraId="65D55A97">
      <w:pPr>
        <w:pStyle w:val="3"/>
        <w:numPr>
          <w:ilvl w:val="0"/>
          <w:numId w:val="0"/>
        </w:numPr>
        <w:spacing w:line="360" w:lineRule="auto"/>
        <w:rPr>
          <w:rFonts w:hint="eastAsia" w:ascii="宋体" w:hAnsi="宋体" w:cs="宋体"/>
          <w:kern w:val="0"/>
          <w:sz w:val="36"/>
          <w:szCs w:val="36"/>
          <w:shd w:val="clear" w:color="auto" w:fill="FFFFFF"/>
        </w:rPr>
      </w:pPr>
    </w:p>
    <w:p w14:paraId="3C3DAEED">
      <w:pPr>
        <w:rPr>
          <w:rFonts w:hint="eastAsia" w:ascii="宋体" w:hAnsi="宋体" w:cs="宋体"/>
          <w:kern w:val="0"/>
          <w:sz w:val="36"/>
          <w:szCs w:val="36"/>
          <w:shd w:val="clear" w:color="auto" w:fill="FFFFFF"/>
        </w:rPr>
      </w:pPr>
    </w:p>
    <w:p w14:paraId="32609267">
      <w:pPr>
        <w:rPr>
          <w:rFonts w:hint="eastAsia" w:ascii="宋体" w:hAnsi="宋体" w:cs="宋体"/>
          <w:kern w:val="0"/>
          <w:sz w:val="36"/>
          <w:szCs w:val="36"/>
          <w:shd w:val="clear" w:color="auto" w:fill="FFFFFF"/>
        </w:rPr>
      </w:pPr>
    </w:p>
    <w:p w14:paraId="1EA3EA67">
      <w:pPr>
        <w:rPr>
          <w:rFonts w:hint="eastAsia" w:ascii="宋体" w:hAnsi="宋体" w:cs="宋体"/>
          <w:kern w:val="0"/>
          <w:sz w:val="36"/>
          <w:szCs w:val="36"/>
          <w:shd w:val="clear" w:color="auto" w:fill="FFFFFF"/>
        </w:rPr>
      </w:pPr>
    </w:p>
    <w:p w14:paraId="012EB390">
      <w:pPr>
        <w:rPr>
          <w:rFonts w:hint="eastAsia" w:ascii="宋体" w:hAnsi="宋体" w:cs="宋体"/>
          <w:kern w:val="0"/>
          <w:sz w:val="36"/>
          <w:szCs w:val="36"/>
          <w:shd w:val="clear" w:color="auto" w:fill="FFFFFF"/>
        </w:rPr>
      </w:pPr>
    </w:p>
    <w:p w14:paraId="007952D9">
      <w:pPr>
        <w:rPr>
          <w:rFonts w:hint="eastAsia" w:ascii="宋体" w:hAnsi="宋体" w:cs="宋体"/>
          <w:kern w:val="0"/>
          <w:sz w:val="36"/>
          <w:szCs w:val="36"/>
          <w:shd w:val="clear" w:color="auto" w:fill="FFFFFF"/>
        </w:rPr>
      </w:pPr>
    </w:p>
    <w:p w14:paraId="556096C6">
      <w:pPr>
        <w:rPr>
          <w:rFonts w:hint="eastAsia" w:ascii="宋体" w:hAnsi="宋体" w:cs="宋体"/>
          <w:kern w:val="0"/>
          <w:sz w:val="36"/>
          <w:szCs w:val="36"/>
          <w:shd w:val="clear" w:color="auto" w:fill="FFFFFF"/>
        </w:rPr>
      </w:pPr>
    </w:p>
    <w:p w14:paraId="62D7FB2D">
      <w:pPr>
        <w:rPr>
          <w:rFonts w:hint="eastAsia" w:ascii="宋体" w:hAnsi="宋体" w:cs="宋体"/>
          <w:kern w:val="0"/>
          <w:sz w:val="36"/>
          <w:szCs w:val="36"/>
          <w:shd w:val="clear" w:color="auto" w:fill="FFFFFF"/>
        </w:rPr>
      </w:pPr>
    </w:p>
    <w:p w14:paraId="72D9CC7E">
      <w:pPr>
        <w:rPr>
          <w:rFonts w:hint="eastAsia" w:ascii="宋体" w:hAnsi="宋体" w:cs="宋体"/>
          <w:kern w:val="0"/>
          <w:sz w:val="36"/>
          <w:szCs w:val="36"/>
          <w:shd w:val="clear" w:color="auto" w:fill="FFFFFF"/>
        </w:rPr>
      </w:pPr>
    </w:p>
    <w:p w14:paraId="56EE5F94">
      <w:pPr>
        <w:rPr>
          <w:rFonts w:hint="eastAsia" w:ascii="宋体" w:hAnsi="宋体" w:cs="宋体"/>
          <w:kern w:val="0"/>
          <w:sz w:val="36"/>
          <w:szCs w:val="36"/>
          <w:shd w:val="clear" w:color="auto" w:fill="FFFFFF"/>
        </w:rPr>
      </w:pPr>
    </w:p>
    <w:p w14:paraId="2E0A2534">
      <w:pPr>
        <w:rPr>
          <w:rFonts w:hint="eastAsia" w:ascii="宋体" w:hAnsi="宋体" w:cs="宋体"/>
          <w:kern w:val="0"/>
          <w:sz w:val="36"/>
          <w:szCs w:val="36"/>
          <w:shd w:val="clear" w:color="auto" w:fill="FFFFFF"/>
        </w:rPr>
      </w:pPr>
    </w:p>
    <w:p w14:paraId="1FC5E473">
      <w:pPr>
        <w:rPr>
          <w:rFonts w:hint="eastAsia" w:ascii="宋体" w:hAnsi="宋体" w:cs="宋体"/>
          <w:kern w:val="0"/>
          <w:sz w:val="36"/>
          <w:szCs w:val="36"/>
          <w:shd w:val="clear" w:color="auto" w:fill="FFFFFF"/>
        </w:rPr>
      </w:pPr>
    </w:p>
    <w:p w14:paraId="3334D944">
      <w:pPr>
        <w:rPr>
          <w:rFonts w:hint="eastAsia" w:ascii="宋体" w:hAnsi="宋体" w:cs="宋体"/>
          <w:kern w:val="0"/>
          <w:sz w:val="36"/>
          <w:szCs w:val="36"/>
          <w:shd w:val="clear" w:color="auto" w:fill="FFFFFF"/>
        </w:rPr>
      </w:pPr>
    </w:p>
    <w:p w14:paraId="0398959E">
      <w:pPr>
        <w:rPr>
          <w:rFonts w:hint="eastAsia" w:ascii="宋体" w:hAnsi="宋体" w:cs="宋体"/>
          <w:kern w:val="0"/>
          <w:sz w:val="36"/>
          <w:szCs w:val="36"/>
          <w:shd w:val="clear" w:color="auto" w:fill="FFFFFF"/>
        </w:rPr>
      </w:pPr>
    </w:p>
    <w:p w14:paraId="29AC8859">
      <w:pPr>
        <w:pStyle w:val="3"/>
        <w:numPr>
          <w:ilvl w:val="0"/>
          <w:numId w:val="0"/>
        </w:numPr>
        <w:spacing w:line="360" w:lineRule="auto"/>
        <w:rPr>
          <w:rFonts w:hint="eastAsia" w:ascii="宋体" w:hAnsi="宋体" w:cs="宋体"/>
        </w:rPr>
      </w:pPr>
      <w:bookmarkStart w:id="0" w:name="_Toc10168"/>
      <w:bookmarkStart w:id="1" w:name="_Toc19389"/>
      <w:bookmarkStart w:id="2" w:name="_Toc17363"/>
      <w:bookmarkStart w:id="3" w:name="_Toc14317"/>
      <w:bookmarkStart w:id="4" w:name="_Toc481057143"/>
      <w:bookmarkStart w:id="5" w:name="_Toc463"/>
      <w:bookmarkStart w:id="6" w:name="_Toc9807"/>
      <w:r>
        <w:rPr>
          <w:rFonts w:hint="eastAsia" w:ascii="宋体" w:hAnsi="宋体" w:cs="宋体"/>
        </w:rPr>
        <w:t>第一章 招标公告</w:t>
      </w:r>
      <w:bookmarkEnd w:id="0"/>
      <w:bookmarkEnd w:id="1"/>
      <w:bookmarkEnd w:id="2"/>
      <w:bookmarkEnd w:id="3"/>
      <w:bookmarkEnd w:id="4"/>
      <w:bookmarkEnd w:id="5"/>
      <w:bookmarkEnd w:id="6"/>
    </w:p>
    <w:p w14:paraId="3BE473EB">
      <w:pPr>
        <w:widowControl/>
        <w:shd w:val="clear" w:color="auto" w:fill="FFFFFF"/>
        <w:spacing w:line="360" w:lineRule="auto"/>
        <w:ind w:firstLine="370"/>
        <w:rPr>
          <w:rFonts w:hint="eastAsia" w:ascii="宋体" w:hAnsi="宋体" w:cs="宋体"/>
          <w:spacing w:val="8"/>
          <w:kern w:val="0"/>
          <w:szCs w:val="21"/>
        </w:rPr>
      </w:pPr>
      <w:bookmarkStart w:id="7" w:name="OLE_LINK2"/>
      <w:bookmarkStart w:id="8" w:name="OLE_LINK6"/>
      <w:r>
        <w:rPr>
          <w:rFonts w:hint="eastAsia" w:ascii="宋体" w:hAnsi="宋体" w:cs="宋体"/>
          <w:spacing w:val="8"/>
          <w:kern w:val="0"/>
          <w:szCs w:val="21"/>
        </w:rPr>
        <w:t xml:space="preserve"> </w:t>
      </w:r>
      <w:bookmarkStart w:id="9" w:name="OLE_LINK3"/>
      <w:r>
        <w:rPr>
          <w:rFonts w:hint="eastAsia" w:ascii="宋体" w:hAnsi="宋体" w:cs="宋体"/>
          <w:spacing w:val="8"/>
          <w:kern w:val="0"/>
          <w:szCs w:val="21"/>
        </w:rPr>
        <w:t>南京邮电大学通达学院智能感知与控制实验室协作机器人与机械臂采购项目的潜在供应商应在江苏国企阳光交易平台（网址为：https://www.jsygjy.cn）获取招标文件，并于2025年</w:t>
      </w:r>
      <w:r>
        <w:rPr>
          <w:rFonts w:hint="eastAsia" w:ascii="宋体" w:hAnsi="宋体" w:cs="宋体"/>
          <w:spacing w:val="8"/>
          <w:kern w:val="0"/>
          <w:szCs w:val="21"/>
          <w:lang w:val="en-US" w:eastAsia="zh-CN"/>
        </w:rPr>
        <w:t>12</w:t>
      </w:r>
      <w:r>
        <w:rPr>
          <w:rFonts w:hint="eastAsia" w:ascii="宋体" w:hAnsi="宋体" w:cs="宋体"/>
          <w:spacing w:val="8"/>
          <w:kern w:val="0"/>
          <w:szCs w:val="21"/>
        </w:rPr>
        <w:t>月</w:t>
      </w:r>
      <w:r>
        <w:rPr>
          <w:rFonts w:hint="eastAsia" w:ascii="宋体" w:hAnsi="宋体" w:cs="宋体"/>
          <w:spacing w:val="8"/>
          <w:kern w:val="0"/>
          <w:szCs w:val="21"/>
          <w:lang w:val="en-US" w:eastAsia="zh-CN"/>
        </w:rPr>
        <w:t>02</w:t>
      </w:r>
      <w:r>
        <w:rPr>
          <w:rFonts w:hint="eastAsia" w:ascii="宋体" w:hAnsi="宋体" w:cs="宋体"/>
          <w:spacing w:val="8"/>
          <w:kern w:val="0"/>
          <w:szCs w:val="21"/>
        </w:rPr>
        <w:t>日</w:t>
      </w:r>
      <w:r>
        <w:rPr>
          <w:rFonts w:hint="eastAsia" w:ascii="宋体" w:hAnsi="宋体" w:cs="宋体"/>
          <w:spacing w:val="8"/>
          <w:kern w:val="0"/>
          <w:szCs w:val="21"/>
          <w:lang w:val="en-US" w:eastAsia="zh-CN"/>
        </w:rPr>
        <w:t>9</w:t>
      </w:r>
      <w:r>
        <w:rPr>
          <w:rFonts w:hint="eastAsia" w:ascii="宋体" w:hAnsi="宋体" w:cs="宋体"/>
          <w:spacing w:val="8"/>
          <w:kern w:val="0"/>
          <w:szCs w:val="21"/>
        </w:rPr>
        <w:t>点30分（北京时间）前递交投标文件。</w:t>
      </w:r>
    </w:p>
    <w:p w14:paraId="4CE1ABD2">
      <w:pPr>
        <w:widowControl/>
        <w:shd w:val="clear" w:color="auto" w:fill="FFFFFF"/>
        <w:spacing w:line="360" w:lineRule="auto"/>
        <w:rPr>
          <w:rFonts w:hint="eastAsia" w:ascii="宋体" w:hAnsi="宋体" w:cs="宋体"/>
          <w:b/>
          <w:spacing w:val="8"/>
          <w:kern w:val="0"/>
          <w:sz w:val="24"/>
        </w:rPr>
      </w:pPr>
      <w:r>
        <w:rPr>
          <w:rFonts w:hint="eastAsia" w:ascii="宋体" w:hAnsi="宋体" w:cs="宋体"/>
          <w:b/>
          <w:spacing w:val="8"/>
          <w:kern w:val="0"/>
          <w:sz w:val="24"/>
        </w:rPr>
        <w:t>一、项目基本情况</w:t>
      </w:r>
    </w:p>
    <w:p w14:paraId="226A2BDD">
      <w:pPr>
        <w:widowControl/>
        <w:shd w:val="clear" w:color="auto" w:fill="FFFFFF"/>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1.1 项目编号：TDCG2025045/JG06602557ZC02284</w:t>
      </w:r>
    </w:p>
    <w:p w14:paraId="645F52FE">
      <w:pPr>
        <w:widowControl/>
        <w:shd w:val="clear" w:color="auto" w:fill="FFFFFF"/>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1.2 项目名称：南京邮电大学通达学院智能感知与控制实验室协作机器人与机械臂采购项目</w:t>
      </w:r>
    </w:p>
    <w:p w14:paraId="008E2426">
      <w:pPr>
        <w:widowControl/>
        <w:shd w:val="clear" w:color="auto" w:fill="FFFFFF"/>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 xml:space="preserve">1.3 预算金额：人民币18.5万元 </w:t>
      </w:r>
    </w:p>
    <w:p w14:paraId="24423F0B">
      <w:pPr>
        <w:widowControl/>
        <w:shd w:val="clear" w:color="auto" w:fill="FFFFFF"/>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 xml:space="preserve">1.4 最高限价：人民币18.5万元 </w:t>
      </w:r>
    </w:p>
    <w:p w14:paraId="10F9B3EB">
      <w:pPr>
        <w:widowControl/>
        <w:shd w:val="clear" w:color="auto" w:fill="FFFFFF"/>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1.5 采购需求：南京邮电大学通达学院智能感知与控制实验室协作机器人与机械臂采购项目，具体详见第四章采购需求。</w:t>
      </w:r>
    </w:p>
    <w:p w14:paraId="51729E54">
      <w:pPr>
        <w:widowControl/>
        <w:shd w:val="clear" w:color="auto" w:fill="FFFFFF"/>
        <w:spacing w:line="360" w:lineRule="auto"/>
        <w:ind w:firstLine="452" w:firstLineChars="200"/>
        <w:rPr>
          <w:rFonts w:hint="eastAsia" w:ascii="宋体" w:hAnsi="宋体" w:eastAsia="宋体" w:cs="宋体"/>
          <w:spacing w:val="8"/>
          <w:kern w:val="0"/>
          <w:szCs w:val="21"/>
          <w:lang w:eastAsia="zh-CN"/>
        </w:rPr>
      </w:pPr>
      <w:r>
        <w:rPr>
          <w:rFonts w:hint="eastAsia" w:ascii="宋体" w:hAnsi="宋体" w:cs="宋体"/>
          <w:spacing w:val="8"/>
          <w:kern w:val="0"/>
          <w:szCs w:val="21"/>
        </w:rPr>
        <w:t>1.6 合同履行期限：</w:t>
      </w:r>
      <w:r>
        <w:rPr>
          <w:rFonts w:hint="eastAsia" w:ascii="Arial" w:hAnsi="Arial" w:cs="Arial"/>
          <w:spacing w:val="8"/>
          <w:kern w:val="0"/>
          <w:szCs w:val="21"/>
        </w:rPr>
        <w:t>合同签订后10个工作日内送至项目指定地点并完成安装</w:t>
      </w:r>
      <w:r>
        <w:rPr>
          <w:rFonts w:hint="eastAsia" w:ascii="Arial" w:hAnsi="Arial" w:cs="Arial"/>
          <w:spacing w:val="8"/>
          <w:kern w:val="0"/>
          <w:szCs w:val="21"/>
          <w:lang w:eastAsia="zh-CN"/>
        </w:rPr>
        <w:t>。</w:t>
      </w:r>
    </w:p>
    <w:p w14:paraId="18A43F14">
      <w:pPr>
        <w:widowControl/>
        <w:shd w:val="clear" w:color="auto" w:fill="FFFFFF"/>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1.</w:t>
      </w:r>
      <w:r>
        <w:rPr>
          <w:rFonts w:hint="eastAsia" w:ascii="宋体" w:hAnsi="宋体" w:cs="宋体"/>
          <w:spacing w:val="8"/>
          <w:kern w:val="0"/>
          <w:szCs w:val="21"/>
          <w:lang w:val="en-US" w:eastAsia="zh-CN"/>
        </w:rPr>
        <w:t>7</w:t>
      </w:r>
      <w:r>
        <w:rPr>
          <w:rFonts w:hint="eastAsia" w:ascii="宋体" w:hAnsi="宋体" w:cs="宋体"/>
          <w:spacing w:val="8"/>
          <w:kern w:val="0"/>
          <w:szCs w:val="21"/>
        </w:rPr>
        <w:t xml:space="preserve"> 本项目不接受联合体投标。</w:t>
      </w:r>
    </w:p>
    <w:p w14:paraId="6CED79C3">
      <w:pPr>
        <w:widowControl/>
        <w:shd w:val="clear" w:color="auto" w:fill="FFFFFF"/>
        <w:spacing w:line="360" w:lineRule="auto"/>
        <w:rPr>
          <w:rFonts w:hint="eastAsia" w:ascii="宋体" w:hAnsi="宋体" w:cs="宋体"/>
          <w:b/>
          <w:spacing w:val="8"/>
          <w:kern w:val="0"/>
          <w:sz w:val="24"/>
        </w:rPr>
      </w:pPr>
      <w:r>
        <w:rPr>
          <w:rFonts w:hint="eastAsia" w:ascii="宋体" w:hAnsi="宋体" w:cs="宋体"/>
          <w:b/>
          <w:spacing w:val="8"/>
          <w:kern w:val="0"/>
          <w:sz w:val="24"/>
        </w:rPr>
        <w:t>二、申请人的资格要求：</w:t>
      </w:r>
    </w:p>
    <w:p w14:paraId="713738C4">
      <w:pPr>
        <w:widowControl/>
        <w:shd w:val="clear" w:color="auto" w:fill="FFFFFF"/>
        <w:spacing w:line="360" w:lineRule="auto"/>
        <w:ind w:firstLine="452" w:firstLineChars="200"/>
        <w:rPr>
          <w:rFonts w:hint="eastAsia" w:ascii="宋体" w:hAnsi="宋体" w:cs="宋体"/>
          <w:spacing w:val="8"/>
          <w:kern w:val="0"/>
          <w:szCs w:val="21"/>
        </w:rPr>
      </w:pPr>
      <w:bookmarkStart w:id="10" w:name="_Hlk167468729"/>
      <w:r>
        <w:rPr>
          <w:rFonts w:hint="eastAsia" w:ascii="宋体" w:hAnsi="宋体" w:cs="宋体"/>
          <w:spacing w:val="8"/>
          <w:kern w:val="0"/>
          <w:szCs w:val="21"/>
        </w:rPr>
        <w:t>2.1 满足《中华人民共和国政府采购法》第二十二条规定；</w:t>
      </w:r>
    </w:p>
    <w:p w14:paraId="0D4E5767">
      <w:pPr>
        <w:widowControl/>
        <w:shd w:val="clear" w:color="auto" w:fill="FFFFFF"/>
        <w:spacing w:line="360" w:lineRule="auto"/>
        <w:ind w:firstLine="452" w:firstLineChars="200"/>
        <w:rPr>
          <w:rFonts w:hint="eastAsia" w:ascii="宋体" w:hAnsi="宋体"/>
          <w:spacing w:val="8"/>
          <w:kern w:val="0"/>
          <w:szCs w:val="21"/>
        </w:rPr>
      </w:pPr>
      <w:r>
        <w:rPr>
          <w:rFonts w:ascii="宋体" w:hAnsi="宋体"/>
          <w:spacing w:val="8"/>
          <w:kern w:val="0"/>
          <w:szCs w:val="21"/>
        </w:rPr>
        <w:t>（1）具有独立承担民事责任的能力（</w:t>
      </w:r>
      <w:r>
        <w:rPr>
          <w:rFonts w:hint="eastAsia" w:ascii="宋体" w:hAnsi="宋体"/>
          <w:spacing w:val="8"/>
          <w:kern w:val="0"/>
          <w:szCs w:val="21"/>
        </w:rPr>
        <w:t>提供法人或者其他组织的营业执照等证明文件</w:t>
      </w:r>
      <w:r>
        <w:rPr>
          <w:rFonts w:ascii="宋体" w:hAnsi="宋体"/>
          <w:spacing w:val="8"/>
          <w:kern w:val="0"/>
          <w:szCs w:val="21"/>
        </w:rPr>
        <w:t xml:space="preserve">,供应商为自然人的，提供其身份证）； </w:t>
      </w:r>
    </w:p>
    <w:p w14:paraId="3169FEDE">
      <w:pPr>
        <w:widowControl/>
        <w:shd w:val="clear" w:color="auto" w:fill="FFFFFF"/>
        <w:spacing w:line="360" w:lineRule="auto"/>
        <w:ind w:firstLine="452" w:firstLineChars="200"/>
        <w:rPr>
          <w:rFonts w:hint="eastAsia" w:ascii="宋体" w:hAnsi="宋体"/>
          <w:spacing w:val="8"/>
          <w:kern w:val="0"/>
          <w:szCs w:val="21"/>
        </w:rPr>
      </w:pPr>
      <w:r>
        <w:rPr>
          <w:rFonts w:ascii="宋体" w:hAnsi="宋体"/>
          <w:spacing w:val="8"/>
          <w:kern w:val="0"/>
          <w:szCs w:val="21"/>
        </w:rPr>
        <w:t>（2）具有良好的商业信誉和健全的财务会计制度（</w:t>
      </w:r>
      <w:r>
        <w:rPr>
          <w:rFonts w:hint="eastAsia" w:ascii="宋体" w:hAnsi="宋体"/>
          <w:spacing w:val="8"/>
          <w:kern w:val="0"/>
          <w:szCs w:val="21"/>
        </w:rPr>
        <w:t>提供2024年度财务报告</w:t>
      </w:r>
      <w:r>
        <w:rPr>
          <w:rFonts w:ascii="宋体" w:hAnsi="宋体"/>
          <w:spacing w:val="8"/>
          <w:kern w:val="0"/>
          <w:szCs w:val="21"/>
        </w:rPr>
        <w:t>（至少包括资产负债和利润表），或</w:t>
      </w:r>
      <w:r>
        <w:rPr>
          <w:rFonts w:hint="eastAsia" w:ascii="宋体" w:hAnsi="宋体"/>
          <w:spacing w:val="8"/>
          <w:kern w:val="0"/>
          <w:szCs w:val="21"/>
        </w:rPr>
        <w:t>2025年6月至今</w:t>
      </w:r>
      <w:r>
        <w:rPr>
          <w:rFonts w:ascii="宋体" w:hAnsi="宋体"/>
          <w:spacing w:val="8"/>
          <w:kern w:val="0"/>
          <w:szCs w:val="21"/>
        </w:rPr>
        <w:t>银行出具的资信证明）；</w:t>
      </w:r>
    </w:p>
    <w:p w14:paraId="388098BF">
      <w:pPr>
        <w:widowControl/>
        <w:shd w:val="clear" w:color="auto" w:fill="FFFFFF"/>
        <w:spacing w:line="360" w:lineRule="auto"/>
        <w:ind w:firstLine="452" w:firstLineChars="200"/>
        <w:rPr>
          <w:rFonts w:hint="eastAsia" w:ascii="宋体" w:hAnsi="宋体"/>
          <w:spacing w:val="8"/>
          <w:kern w:val="0"/>
          <w:szCs w:val="21"/>
        </w:rPr>
      </w:pPr>
      <w:r>
        <w:rPr>
          <w:rFonts w:ascii="宋体" w:hAnsi="宋体"/>
          <w:spacing w:val="8"/>
          <w:kern w:val="0"/>
          <w:szCs w:val="21"/>
        </w:rPr>
        <w:t>（3）具有履行合同所必需的设备和专业技术能力（供应商根据履行采购项目合同需要，提供履行合同所必需的设备和专业技术能力的证明材料）；</w:t>
      </w:r>
    </w:p>
    <w:p w14:paraId="714241F0">
      <w:pPr>
        <w:widowControl/>
        <w:shd w:val="clear" w:color="auto" w:fill="FFFFFF"/>
        <w:spacing w:line="360" w:lineRule="auto"/>
        <w:ind w:firstLine="452" w:firstLineChars="200"/>
        <w:rPr>
          <w:rFonts w:hint="eastAsia" w:ascii="宋体" w:hAnsi="宋体"/>
          <w:spacing w:val="8"/>
          <w:kern w:val="0"/>
          <w:szCs w:val="21"/>
        </w:rPr>
      </w:pPr>
      <w:r>
        <w:rPr>
          <w:rFonts w:ascii="宋体" w:hAnsi="宋体"/>
          <w:spacing w:val="8"/>
          <w:kern w:val="0"/>
          <w:szCs w:val="21"/>
        </w:rPr>
        <w:t>（4）有依法缴纳税收的良好记录（提</w:t>
      </w:r>
      <w:r>
        <w:rPr>
          <w:rFonts w:hint="eastAsia" w:ascii="宋体" w:hAnsi="宋体"/>
          <w:spacing w:val="8"/>
          <w:kern w:val="0"/>
          <w:szCs w:val="21"/>
        </w:rPr>
        <w:t>2025年6月至今</w:t>
      </w:r>
      <w:r>
        <w:rPr>
          <w:rFonts w:ascii="宋体" w:hAnsi="宋体"/>
          <w:spacing w:val="8"/>
          <w:kern w:val="0"/>
          <w:szCs w:val="21"/>
        </w:rPr>
        <w:t>至少一个月</w:t>
      </w:r>
      <w:r>
        <w:rPr>
          <w:rFonts w:hint="eastAsia" w:ascii="宋体" w:hAnsi="宋体"/>
          <w:spacing w:val="8"/>
          <w:kern w:val="0"/>
          <w:szCs w:val="21"/>
        </w:rPr>
        <w:t>的</w:t>
      </w:r>
      <w:r>
        <w:rPr>
          <w:rFonts w:ascii="宋体" w:hAnsi="宋体"/>
          <w:spacing w:val="8"/>
          <w:kern w:val="0"/>
          <w:szCs w:val="21"/>
        </w:rPr>
        <w:t>缴纳税收的凭证，依法享受免缴、缓缴的，提供证明材料</w:t>
      </w:r>
      <w:r>
        <w:rPr>
          <w:rFonts w:hint="eastAsia" w:ascii="宋体" w:hAnsi="宋体"/>
          <w:spacing w:val="8"/>
          <w:kern w:val="0"/>
          <w:szCs w:val="21"/>
        </w:rPr>
        <w:t>）</w:t>
      </w:r>
      <w:r>
        <w:rPr>
          <w:rFonts w:ascii="宋体" w:hAnsi="宋体"/>
          <w:spacing w:val="8"/>
          <w:kern w:val="0"/>
          <w:szCs w:val="21"/>
        </w:rPr>
        <w:t>；</w:t>
      </w:r>
    </w:p>
    <w:p w14:paraId="42ACFD42">
      <w:pPr>
        <w:widowControl/>
        <w:shd w:val="clear" w:color="auto" w:fill="FFFFFF"/>
        <w:spacing w:line="360" w:lineRule="auto"/>
        <w:ind w:firstLine="452" w:firstLineChars="200"/>
        <w:rPr>
          <w:rFonts w:hint="eastAsia" w:ascii="宋体" w:hAnsi="宋体"/>
          <w:spacing w:val="8"/>
          <w:kern w:val="0"/>
          <w:szCs w:val="21"/>
        </w:rPr>
      </w:pPr>
      <w:r>
        <w:rPr>
          <w:rFonts w:ascii="宋体" w:hAnsi="宋体"/>
          <w:spacing w:val="8"/>
          <w:kern w:val="0"/>
          <w:szCs w:val="21"/>
        </w:rPr>
        <w:t>（</w:t>
      </w:r>
      <w:r>
        <w:rPr>
          <w:rFonts w:hint="eastAsia" w:ascii="宋体" w:hAnsi="宋体"/>
          <w:spacing w:val="8"/>
          <w:kern w:val="0"/>
          <w:szCs w:val="21"/>
        </w:rPr>
        <w:t>5</w:t>
      </w:r>
      <w:r>
        <w:rPr>
          <w:rFonts w:ascii="宋体" w:hAnsi="宋体"/>
          <w:spacing w:val="8"/>
          <w:kern w:val="0"/>
          <w:szCs w:val="21"/>
        </w:rPr>
        <w:t>）有</w:t>
      </w:r>
      <w:r>
        <w:rPr>
          <w:rFonts w:hint="eastAsia" w:ascii="宋体" w:hAnsi="宋体"/>
          <w:spacing w:val="8"/>
          <w:kern w:val="0"/>
          <w:szCs w:val="21"/>
        </w:rPr>
        <w:t>依法</w:t>
      </w:r>
      <w:r>
        <w:rPr>
          <w:rFonts w:ascii="宋体" w:hAnsi="宋体"/>
          <w:spacing w:val="8"/>
          <w:kern w:val="0"/>
          <w:szCs w:val="21"/>
        </w:rPr>
        <w:t>缴纳社会保障资金的良好记录（</w:t>
      </w:r>
      <w:r>
        <w:rPr>
          <w:rFonts w:hint="eastAsia" w:ascii="宋体" w:hAnsi="宋体"/>
          <w:spacing w:val="8"/>
          <w:kern w:val="0"/>
          <w:szCs w:val="21"/>
        </w:rPr>
        <w:t>提供2025年6月至今至少一个月的缴纳社会保险的凭据</w:t>
      </w:r>
      <w:r>
        <w:rPr>
          <w:rFonts w:ascii="宋体" w:hAnsi="宋体"/>
          <w:spacing w:val="8"/>
          <w:kern w:val="0"/>
          <w:szCs w:val="21"/>
        </w:rPr>
        <w:t>）</w:t>
      </w:r>
      <w:r>
        <w:rPr>
          <w:rFonts w:hint="eastAsia" w:ascii="宋体" w:hAnsi="宋体"/>
          <w:spacing w:val="8"/>
          <w:kern w:val="0"/>
          <w:szCs w:val="21"/>
        </w:rPr>
        <w:t>；</w:t>
      </w:r>
    </w:p>
    <w:p w14:paraId="08881C50">
      <w:pPr>
        <w:widowControl/>
        <w:shd w:val="clear" w:color="auto" w:fill="FFFFFF"/>
        <w:spacing w:line="360" w:lineRule="auto"/>
        <w:ind w:firstLine="452" w:firstLineChars="200"/>
        <w:rPr>
          <w:rFonts w:hint="eastAsia" w:ascii="宋体" w:hAnsi="宋体"/>
          <w:spacing w:val="8"/>
          <w:kern w:val="0"/>
          <w:szCs w:val="21"/>
        </w:rPr>
      </w:pPr>
      <w:r>
        <w:rPr>
          <w:rFonts w:ascii="宋体" w:hAnsi="宋体"/>
          <w:spacing w:val="8"/>
          <w:kern w:val="0"/>
          <w:szCs w:val="21"/>
        </w:rPr>
        <w:t>（</w:t>
      </w:r>
      <w:r>
        <w:rPr>
          <w:rFonts w:hint="eastAsia" w:ascii="宋体" w:hAnsi="宋体"/>
          <w:spacing w:val="8"/>
          <w:kern w:val="0"/>
          <w:szCs w:val="21"/>
        </w:rPr>
        <w:t>6</w:t>
      </w:r>
      <w:r>
        <w:rPr>
          <w:rFonts w:ascii="宋体" w:hAnsi="宋体"/>
          <w:spacing w:val="8"/>
          <w:kern w:val="0"/>
          <w:szCs w:val="21"/>
        </w:rPr>
        <w:t>）参加政府采购活动前三年内，在经营活动中没有重大违法记录（提供承诺书）；</w:t>
      </w:r>
    </w:p>
    <w:p w14:paraId="23C27C9F">
      <w:pPr>
        <w:widowControl/>
        <w:shd w:val="clear" w:color="auto" w:fill="FFFFFF"/>
        <w:spacing w:line="360" w:lineRule="auto"/>
        <w:ind w:firstLine="452" w:firstLineChars="200"/>
        <w:rPr>
          <w:rFonts w:hint="eastAsia" w:ascii="宋体" w:hAnsi="宋体"/>
          <w:spacing w:val="8"/>
          <w:kern w:val="0"/>
          <w:szCs w:val="21"/>
        </w:rPr>
      </w:pPr>
      <w:r>
        <w:rPr>
          <w:rFonts w:ascii="宋体" w:hAnsi="宋体"/>
          <w:spacing w:val="8"/>
          <w:kern w:val="0"/>
          <w:szCs w:val="21"/>
        </w:rPr>
        <w:t>（</w:t>
      </w:r>
      <w:r>
        <w:rPr>
          <w:rFonts w:hint="eastAsia" w:ascii="宋体" w:hAnsi="宋体"/>
          <w:spacing w:val="8"/>
          <w:kern w:val="0"/>
          <w:szCs w:val="21"/>
        </w:rPr>
        <w:t>7</w:t>
      </w:r>
      <w:r>
        <w:rPr>
          <w:rFonts w:ascii="宋体" w:hAnsi="宋体"/>
          <w:spacing w:val="8"/>
          <w:kern w:val="0"/>
          <w:szCs w:val="21"/>
        </w:rPr>
        <w:t>）法律、行政法规规定的其他条件：无。</w:t>
      </w:r>
    </w:p>
    <w:p w14:paraId="37EA90DF">
      <w:pPr>
        <w:widowControl/>
        <w:shd w:val="clear" w:color="auto" w:fill="FFFFFF"/>
        <w:spacing w:line="360" w:lineRule="auto"/>
        <w:ind w:firstLine="452" w:firstLineChars="200"/>
      </w:pPr>
      <w:r>
        <w:rPr>
          <w:rFonts w:hint="eastAsia" w:ascii="宋体" w:hAnsi="宋体" w:cs="宋体"/>
          <w:spacing w:val="8"/>
          <w:kern w:val="0"/>
          <w:szCs w:val="21"/>
        </w:rPr>
        <w:t>2.2落实政府采购政策需满足的资格要求：无。</w:t>
      </w:r>
    </w:p>
    <w:p w14:paraId="5D624379">
      <w:pPr>
        <w:widowControl/>
        <w:shd w:val="clear" w:color="auto" w:fill="FFFFFF"/>
        <w:spacing w:line="360" w:lineRule="auto"/>
        <w:ind w:firstLine="420" w:firstLineChars="200"/>
        <w:rPr>
          <w:rFonts w:hint="eastAsia" w:ascii="宋体" w:hAnsi="宋体" w:cs="宋体"/>
          <w:b/>
          <w:szCs w:val="21"/>
        </w:rPr>
      </w:pPr>
      <w:r>
        <w:rPr>
          <w:rFonts w:hint="eastAsia" w:ascii="宋体" w:hAnsi="宋体" w:cs="宋体"/>
          <w:bCs/>
          <w:szCs w:val="21"/>
        </w:rPr>
        <w:t>2.3采购人根据采购项目的特殊要求规定的特定条件：</w:t>
      </w:r>
      <w:r>
        <w:rPr>
          <w:rFonts w:hint="eastAsia" w:ascii="宋体" w:hAnsi="宋体" w:cs="宋体"/>
          <w:b/>
          <w:szCs w:val="21"/>
        </w:rPr>
        <w:t>无。</w:t>
      </w:r>
    </w:p>
    <w:p w14:paraId="2D6F580A">
      <w:pPr>
        <w:widowControl/>
        <w:shd w:val="clear" w:color="auto" w:fill="FFFFFF"/>
        <w:spacing w:line="360" w:lineRule="auto"/>
        <w:ind w:firstLine="370"/>
        <w:rPr>
          <w:rFonts w:hint="eastAsia" w:ascii="宋体" w:hAnsi="宋体" w:cs="宋体"/>
          <w:spacing w:val="8"/>
          <w:kern w:val="0"/>
          <w:szCs w:val="21"/>
        </w:rPr>
      </w:pPr>
      <w:r>
        <w:rPr>
          <w:rFonts w:hint="eastAsia" w:ascii="宋体" w:hAnsi="宋体" w:cs="宋体"/>
          <w:spacing w:val="8"/>
          <w:kern w:val="0"/>
          <w:szCs w:val="21"/>
        </w:rPr>
        <w:t>2.4单位负责人为同一人或者存在直接控股、管理关系的不同供应商，不得参加同一合同项下的政府采购活动。</w:t>
      </w:r>
    </w:p>
    <w:p w14:paraId="5ED1413E">
      <w:pPr>
        <w:widowControl/>
        <w:shd w:val="clear" w:color="auto" w:fill="FFFFFF"/>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为采购项目提供整体设计、规范编制或者项目管理、监理、检测等服务的供应商，不得再参加该采购项目的其他采购活动。</w:t>
      </w:r>
    </w:p>
    <w:p w14:paraId="50446F81">
      <w:pPr>
        <w:widowControl/>
        <w:shd w:val="clear" w:color="auto" w:fill="FFFFFF"/>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2.5拒绝列入失信被执行人、重大税收违法案件当事人名单、政府采购严重违法失信行为记录名单及其他不符合《中华人民共和国政府采购法》第二十二条规定条件的供应商参与政府采购活动。采购人或者采购代理机构在进行资格审查的同时，依法通过“中国政府采购网”、“信用中国”网站等渠道查询供应商信用记录并保存。</w:t>
      </w:r>
    </w:p>
    <w:bookmarkEnd w:id="10"/>
    <w:p w14:paraId="13F5973B">
      <w:pPr>
        <w:widowControl/>
        <w:shd w:val="clear" w:color="auto" w:fill="FFFFFF"/>
        <w:spacing w:line="360" w:lineRule="auto"/>
        <w:rPr>
          <w:rFonts w:hint="eastAsia" w:ascii="宋体" w:hAnsi="宋体" w:cs="宋体"/>
          <w:b/>
          <w:spacing w:val="8"/>
          <w:kern w:val="0"/>
          <w:sz w:val="24"/>
        </w:rPr>
      </w:pPr>
      <w:r>
        <w:rPr>
          <w:rFonts w:hint="eastAsia" w:ascii="宋体" w:hAnsi="宋体" w:cs="宋体"/>
          <w:b/>
          <w:spacing w:val="8"/>
          <w:kern w:val="0"/>
          <w:sz w:val="24"/>
        </w:rPr>
        <w:t>三、</w:t>
      </w:r>
      <w:bookmarkStart w:id="11" w:name="_Hlk167468867"/>
      <w:r>
        <w:rPr>
          <w:rFonts w:hint="eastAsia" w:ascii="宋体" w:hAnsi="宋体" w:cs="宋体"/>
          <w:b/>
          <w:spacing w:val="8"/>
          <w:kern w:val="0"/>
          <w:sz w:val="24"/>
        </w:rPr>
        <w:t>获取招标文件</w:t>
      </w:r>
      <w:bookmarkEnd w:id="11"/>
    </w:p>
    <w:p w14:paraId="13091520">
      <w:pPr>
        <w:widowControl/>
        <w:shd w:val="clear" w:color="auto" w:fill="FFFFFF"/>
        <w:spacing w:line="360" w:lineRule="auto"/>
        <w:ind w:firstLine="452" w:firstLineChars="200"/>
        <w:rPr>
          <w:rFonts w:hint="eastAsia" w:ascii="宋体" w:hAnsi="宋体" w:cs="宋体"/>
          <w:spacing w:val="8"/>
          <w:kern w:val="0"/>
          <w:szCs w:val="21"/>
        </w:rPr>
      </w:pPr>
      <w:bookmarkStart w:id="12" w:name="_Hlk167468892"/>
      <w:bookmarkStart w:id="13" w:name="OLE_LINK4"/>
      <w:r>
        <w:rPr>
          <w:rFonts w:hint="eastAsia" w:ascii="宋体" w:hAnsi="宋体" w:cs="宋体"/>
          <w:spacing w:val="8"/>
          <w:kern w:val="0"/>
          <w:szCs w:val="21"/>
        </w:rPr>
        <w:t>3.1 时间：2025年</w:t>
      </w:r>
      <w:r>
        <w:rPr>
          <w:rFonts w:hint="eastAsia" w:ascii="宋体" w:hAnsi="宋体" w:cs="宋体"/>
          <w:spacing w:val="8"/>
          <w:kern w:val="0"/>
          <w:szCs w:val="21"/>
          <w:lang w:val="en-US" w:eastAsia="zh-CN"/>
        </w:rPr>
        <w:t>11</w:t>
      </w:r>
      <w:r>
        <w:rPr>
          <w:rFonts w:hint="eastAsia" w:ascii="宋体" w:hAnsi="宋体" w:cs="宋体"/>
          <w:spacing w:val="8"/>
          <w:kern w:val="0"/>
          <w:szCs w:val="21"/>
        </w:rPr>
        <w:t>月</w:t>
      </w:r>
      <w:r>
        <w:rPr>
          <w:rFonts w:hint="eastAsia" w:ascii="宋体" w:hAnsi="宋体" w:cs="宋体"/>
          <w:spacing w:val="8"/>
          <w:kern w:val="0"/>
          <w:szCs w:val="21"/>
          <w:lang w:val="en-US" w:eastAsia="zh-CN"/>
        </w:rPr>
        <w:t>17</w:t>
      </w:r>
      <w:r>
        <w:rPr>
          <w:rFonts w:hint="eastAsia" w:ascii="宋体" w:hAnsi="宋体" w:cs="宋体"/>
          <w:spacing w:val="8"/>
          <w:kern w:val="0"/>
          <w:szCs w:val="21"/>
        </w:rPr>
        <w:t>日至2025年</w:t>
      </w:r>
      <w:r>
        <w:rPr>
          <w:rFonts w:hint="eastAsia" w:ascii="宋体" w:hAnsi="宋体" w:cs="宋体"/>
          <w:spacing w:val="8"/>
          <w:kern w:val="0"/>
          <w:szCs w:val="21"/>
          <w:lang w:val="en-US" w:eastAsia="zh-CN"/>
        </w:rPr>
        <w:t>11</w:t>
      </w:r>
      <w:r>
        <w:rPr>
          <w:rFonts w:hint="eastAsia" w:ascii="宋体" w:hAnsi="宋体" w:cs="宋体"/>
          <w:spacing w:val="8"/>
          <w:kern w:val="0"/>
          <w:szCs w:val="21"/>
        </w:rPr>
        <w:t>月</w:t>
      </w:r>
      <w:r>
        <w:rPr>
          <w:rFonts w:hint="eastAsia" w:ascii="宋体" w:hAnsi="宋体" w:cs="宋体"/>
          <w:spacing w:val="8"/>
          <w:kern w:val="0"/>
          <w:szCs w:val="21"/>
          <w:lang w:val="en-US" w:eastAsia="zh-CN"/>
        </w:rPr>
        <w:t>24</w:t>
      </w:r>
      <w:r>
        <w:rPr>
          <w:rFonts w:hint="eastAsia" w:ascii="宋体" w:hAnsi="宋体" w:cs="宋体"/>
          <w:spacing w:val="8"/>
          <w:kern w:val="0"/>
          <w:szCs w:val="21"/>
        </w:rPr>
        <w:t>日17:30。（北京时间，法定节假日除外）</w:t>
      </w:r>
    </w:p>
    <w:bookmarkEnd w:id="12"/>
    <w:p w14:paraId="7A5FA1F6">
      <w:pPr>
        <w:widowControl/>
        <w:shd w:val="clear" w:color="auto" w:fill="FFFFFF"/>
        <w:spacing w:line="360" w:lineRule="auto"/>
        <w:ind w:firstLine="420"/>
        <w:outlineLvl w:val="1"/>
        <w:rPr>
          <w:rFonts w:hint="eastAsia" w:ascii="Arial" w:hAnsi="Arial" w:eastAsia="宋体" w:cs="Arial"/>
          <w:bCs/>
          <w:szCs w:val="21"/>
          <w:lang w:val="en-US" w:eastAsia="zh-CN"/>
        </w:rPr>
      </w:pPr>
      <w:r>
        <w:rPr>
          <w:rFonts w:hint="eastAsia" w:ascii="Arial" w:hAnsi="Arial" w:cs="Arial"/>
          <w:bCs/>
          <w:szCs w:val="21"/>
        </w:rPr>
        <w:t>3.2 地点：江苏省南京市鼓楼区清江南路18号1003室</w:t>
      </w:r>
      <w:r>
        <w:rPr>
          <w:rFonts w:hint="eastAsia" w:ascii="Arial" w:hAnsi="Arial" w:cs="Arial"/>
          <w:bCs/>
          <w:szCs w:val="21"/>
          <w:lang w:val="en-US" w:eastAsia="zh-CN"/>
        </w:rPr>
        <w:t>/扬州市邗江区文昌西路525号报业传媒集团8楼</w:t>
      </w:r>
    </w:p>
    <w:p w14:paraId="72FF6B77">
      <w:pPr>
        <w:widowControl/>
        <w:shd w:val="clear" w:color="auto" w:fill="FFFFFF"/>
        <w:spacing w:line="360" w:lineRule="auto"/>
        <w:ind w:firstLine="420"/>
        <w:outlineLvl w:val="1"/>
        <w:rPr>
          <w:rFonts w:ascii="Arial" w:hAnsi="Arial" w:cs="Arial"/>
          <w:bCs/>
          <w:szCs w:val="21"/>
          <w:highlight w:val="none"/>
        </w:rPr>
      </w:pPr>
      <w:r>
        <w:rPr>
          <w:rFonts w:hint="eastAsia" w:ascii="Arial" w:hAnsi="Arial" w:cs="Arial"/>
          <w:bCs/>
          <w:szCs w:val="21"/>
          <w:highlight w:val="none"/>
        </w:rPr>
        <w:t>3.3 获取方式：</w:t>
      </w:r>
    </w:p>
    <w:p w14:paraId="4BF20989">
      <w:pPr>
        <w:widowControl/>
        <w:shd w:val="clear" w:color="auto" w:fill="FFFFFF"/>
        <w:spacing w:line="360" w:lineRule="auto"/>
        <w:ind w:firstLine="420"/>
        <w:outlineLvl w:val="1"/>
        <w:rPr>
          <w:rFonts w:ascii="Arial" w:hAnsi="Arial" w:cs="Arial"/>
          <w:bCs/>
          <w:szCs w:val="21"/>
          <w:highlight w:val="none"/>
        </w:rPr>
      </w:pPr>
      <w:r>
        <w:rPr>
          <w:rFonts w:hint="eastAsia" w:ascii="Arial" w:hAnsi="Arial" w:cs="Arial"/>
          <w:bCs/>
          <w:szCs w:val="21"/>
          <w:highlight w:val="none"/>
        </w:rPr>
        <w:t>（1）文件提供方式：纸质文件，售价：</w:t>
      </w:r>
      <w:r>
        <w:rPr>
          <w:rFonts w:hint="eastAsia" w:ascii="Arial" w:hAnsi="Arial" w:cs="Arial"/>
          <w:bCs/>
          <w:szCs w:val="21"/>
          <w:highlight w:val="none"/>
          <w:lang w:val="en-US" w:eastAsia="zh-CN"/>
        </w:rPr>
        <w:t>3</w:t>
      </w:r>
      <w:r>
        <w:rPr>
          <w:rFonts w:hint="eastAsia" w:ascii="Arial" w:hAnsi="Arial" w:cs="Arial"/>
          <w:bCs/>
          <w:szCs w:val="21"/>
          <w:highlight w:val="none"/>
        </w:rPr>
        <w:t>00元</w:t>
      </w:r>
    </w:p>
    <w:p w14:paraId="624EC471">
      <w:pPr>
        <w:widowControl/>
        <w:shd w:val="clear" w:color="auto" w:fill="FFFFFF"/>
        <w:spacing w:line="360" w:lineRule="auto"/>
        <w:ind w:firstLine="420"/>
        <w:outlineLvl w:val="1"/>
        <w:rPr>
          <w:rFonts w:ascii="Arial" w:hAnsi="Arial" w:cs="Arial"/>
          <w:bCs/>
          <w:szCs w:val="21"/>
          <w:highlight w:val="none"/>
        </w:rPr>
      </w:pPr>
      <w:r>
        <w:rPr>
          <w:rFonts w:hint="eastAsia" w:ascii="Arial" w:hAnsi="Arial" w:cs="Arial"/>
          <w:bCs/>
          <w:szCs w:val="21"/>
          <w:highlight w:val="none"/>
        </w:rPr>
        <w:t>（2）支付方式：凡有意参与者，请于获取时间内（北京时间，下同），登录江苏国企阳光交易平台（网址为：https://www.jsygjy.cn）按照要求进行实名会员注册、完善相关信息及选择项目。</w:t>
      </w:r>
    </w:p>
    <w:p w14:paraId="7FBEBACA">
      <w:pPr>
        <w:widowControl/>
        <w:shd w:val="clear" w:color="auto" w:fill="FFFFFF"/>
        <w:spacing w:line="360" w:lineRule="auto"/>
        <w:ind w:firstLine="420"/>
        <w:outlineLvl w:val="1"/>
        <w:rPr>
          <w:rFonts w:ascii="Arial" w:hAnsi="Arial" w:cs="Arial"/>
          <w:bCs/>
          <w:szCs w:val="21"/>
          <w:highlight w:val="none"/>
        </w:rPr>
      </w:pPr>
      <w:r>
        <w:rPr>
          <w:rFonts w:hint="eastAsia" w:ascii="Arial" w:hAnsi="Arial" w:cs="Arial"/>
          <w:bCs/>
          <w:szCs w:val="21"/>
          <w:highlight w:val="none"/>
        </w:rPr>
        <w:t>参与者首次登录平台前，须前往平台免费注册，注册成功且完善相关信息后，可以及时参与平台上所有发布的项目。参与者应充分考虑平台注册、信息检查、资料上传、费用支付所需时间，参与者必须在获取时间内完成支付，否则将无法保证获取文件。未按照本公告要求获得本项目文件的，采购代理机构不予接收其响应文件。</w:t>
      </w:r>
    </w:p>
    <w:p w14:paraId="1E497BF5">
      <w:pPr>
        <w:widowControl/>
        <w:shd w:val="clear" w:color="auto" w:fill="FFFFFF"/>
        <w:spacing w:line="360" w:lineRule="auto"/>
        <w:ind w:firstLine="420"/>
        <w:outlineLvl w:val="1"/>
        <w:rPr>
          <w:rFonts w:ascii="Arial" w:hAnsi="Arial" w:cs="Arial"/>
          <w:bCs/>
          <w:szCs w:val="21"/>
          <w:highlight w:val="none"/>
        </w:rPr>
      </w:pPr>
      <w:r>
        <w:rPr>
          <w:rFonts w:hint="eastAsia" w:ascii="Arial" w:hAnsi="Arial" w:cs="Arial"/>
          <w:bCs/>
          <w:szCs w:val="21"/>
          <w:highlight w:val="none"/>
        </w:rPr>
        <w:t>（3）支付完成后，纸质文件可通过现场领取或邮寄送达，现场领取的请至江苏省设备成套股份有限公司（江苏省南京市鼓楼区清江南路18号1003室</w:t>
      </w:r>
      <w:r>
        <w:rPr>
          <w:rFonts w:hint="eastAsia" w:ascii="Arial" w:hAnsi="Arial" w:cs="Arial"/>
          <w:bCs/>
          <w:szCs w:val="21"/>
          <w:highlight w:val="none"/>
          <w:lang w:val="en-US" w:eastAsia="zh-CN"/>
        </w:rPr>
        <w:t>/扬州市邗江区文昌西路525号报业传媒集团8楼</w:t>
      </w:r>
      <w:r>
        <w:rPr>
          <w:rFonts w:hint="eastAsia" w:ascii="Arial" w:hAnsi="Arial" w:cs="Arial"/>
          <w:bCs/>
          <w:szCs w:val="21"/>
          <w:highlight w:val="none"/>
        </w:rPr>
        <w:t>）领取；需邮寄送达的请将公司名称、项目编号、邮寄地址发送至邮箱：110977143@qq.com。为方便编制投标（响应），参与者可登录平台免费下载电子招标文件，如与纸质招标（采购）文件不一致，以纸质文件为准。</w:t>
      </w:r>
    </w:p>
    <w:p w14:paraId="7D42EF7A">
      <w:pPr>
        <w:widowControl/>
        <w:shd w:val="clear" w:color="auto" w:fill="FFFFFF"/>
        <w:spacing w:line="360" w:lineRule="auto"/>
        <w:ind w:firstLine="420"/>
        <w:outlineLvl w:val="1"/>
        <w:rPr>
          <w:rFonts w:ascii="Arial" w:hAnsi="Arial" w:cs="Arial"/>
          <w:bCs/>
          <w:szCs w:val="21"/>
          <w:highlight w:val="none"/>
        </w:rPr>
      </w:pPr>
      <w:r>
        <w:rPr>
          <w:rFonts w:hint="eastAsia" w:ascii="Arial" w:hAnsi="Arial" w:cs="Arial"/>
          <w:bCs/>
          <w:szCs w:val="21"/>
          <w:highlight w:val="none"/>
        </w:rPr>
        <w:t>（4）需要发票的，可在“费用管理--发票管理”模块下载发票；平台服务费发票由江苏招采信息技术有限公司开具。非因招标代理机构或平台原因，发票一经开具不予退换。</w:t>
      </w:r>
    </w:p>
    <w:p w14:paraId="157004E0">
      <w:pPr>
        <w:widowControl/>
        <w:shd w:val="clear" w:color="auto" w:fill="FFFFFF"/>
        <w:spacing w:line="360" w:lineRule="auto"/>
        <w:ind w:firstLine="420"/>
        <w:outlineLvl w:val="1"/>
        <w:rPr>
          <w:rFonts w:ascii="Arial" w:hAnsi="Arial" w:cs="Arial"/>
          <w:bCs/>
          <w:szCs w:val="21"/>
          <w:highlight w:val="none"/>
        </w:rPr>
      </w:pPr>
      <w:r>
        <w:rPr>
          <w:rFonts w:hint="eastAsia" w:ascii="Arial" w:hAnsi="Arial" w:cs="Arial"/>
          <w:bCs/>
          <w:szCs w:val="21"/>
          <w:highlight w:val="none"/>
        </w:rPr>
        <w:t>（5）平台网站首页“帮助中心”提供操作手册，参与者可以下载并根据操作手册提示进行注册、登录等操作。供应商平台咨询电话：025-83306809（工作日8：30-11：30，13：30-17：30）。</w:t>
      </w:r>
    </w:p>
    <w:p w14:paraId="64FA0898">
      <w:pPr>
        <w:widowControl/>
        <w:shd w:val="clear" w:color="auto" w:fill="FFFFFF"/>
        <w:spacing w:line="360" w:lineRule="auto"/>
        <w:ind w:firstLine="420"/>
        <w:outlineLvl w:val="1"/>
        <w:rPr>
          <w:rFonts w:ascii="Arial" w:hAnsi="Arial" w:cs="Arial"/>
          <w:bCs/>
          <w:szCs w:val="21"/>
          <w:highlight w:val="none"/>
        </w:rPr>
      </w:pPr>
      <w:r>
        <w:rPr>
          <w:rFonts w:hint="eastAsia" w:ascii="Arial" w:hAnsi="Arial" w:cs="Arial"/>
          <w:bCs/>
          <w:szCs w:val="21"/>
          <w:highlight w:val="none"/>
        </w:rPr>
        <w:t>（6）联合体响应（如允许）的，联合体各方应当指定牵头人，并授权其以自身名义在平台办理注册、下载文件、缴纳保证金等手续，其在平台的办理行为，对联合体各方均具有约束力。 </w:t>
      </w:r>
    </w:p>
    <w:bookmarkEnd w:id="13"/>
    <w:p w14:paraId="58CB0C67">
      <w:pPr>
        <w:widowControl/>
        <w:shd w:val="clear" w:color="auto" w:fill="FFFFFF"/>
        <w:spacing w:line="360" w:lineRule="auto"/>
        <w:rPr>
          <w:rFonts w:hint="eastAsia" w:ascii="宋体" w:hAnsi="宋体" w:cs="宋体"/>
          <w:b/>
          <w:spacing w:val="8"/>
          <w:kern w:val="0"/>
          <w:sz w:val="24"/>
          <w:highlight w:val="none"/>
        </w:rPr>
      </w:pPr>
      <w:r>
        <w:rPr>
          <w:rFonts w:hint="eastAsia" w:ascii="宋体" w:hAnsi="宋体" w:cs="宋体"/>
          <w:b/>
          <w:spacing w:val="8"/>
          <w:kern w:val="0"/>
          <w:sz w:val="24"/>
          <w:highlight w:val="none"/>
        </w:rPr>
        <w:t>四、提交投标文件截止时间、开标时间和地点</w:t>
      </w:r>
    </w:p>
    <w:p w14:paraId="1C8F8F4E">
      <w:pPr>
        <w:widowControl/>
        <w:shd w:val="clear" w:color="auto" w:fill="FFFFFF"/>
        <w:spacing w:line="360" w:lineRule="auto"/>
        <w:ind w:firstLine="370"/>
        <w:rPr>
          <w:rFonts w:hint="eastAsia" w:ascii="宋体" w:hAnsi="宋体" w:cs="宋体"/>
          <w:szCs w:val="21"/>
        </w:rPr>
      </w:pPr>
      <w:bookmarkStart w:id="14" w:name="_Hlk167469037"/>
      <w:r>
        <w:rPr>
          <w:rFonts w:hint="eastAsia" w:ascii="宋体" w:hAnsi="宋体" w:cs="宋体"/>
          <w:szCs w:val="21"/>
          <w:highlight w:val="none"/>
        </w:rPr>
        <w:t>4.1</w:t>
      </w:r>
      <w:r>
        <w:rPr>
          <w:rFonts w:hint="eastAsia" w:ascii="宋体" w:hAnsi="宋体" w:cs="宋体"/>
          <w:spacing w:val="8"/>
          <w:kern w:val="0"/>
          <w:szCs w:val="21"/>
          <w:highlight w:val="none"/>
        </w:rPr>
        <w:t xml:space="preserve"> </w:t>
      </w:r>
      <w:r>
        <w:rPr>
          <w:rFonts w:hint="eastAsia" w:ascii="宋体" w:hAnsi="宋体" w:cs="宋体"/>
          <w:szCs w:val="21"/>
          <w:highlight w:val="none"/>
        </w:rPr>
        <w:t>提交投标文件截止时间：</w:t>
      </w:r>
      <w:r>
        <w:rPr>
          <w:rFonts w:hint="eastAsia" w:ascii="宋体" w:hAnsi="宋体" w:cs="宋体"/>
          <w:spacing w:val="8"/>
          <w:kern w:val="0"/>
          <w:szCs w:val="21"/>
          <w:highlight w:val="none"/>
        </w:rPr>
        <w:t>2025年</w:t>
      </w:r>
      <w:r>
        <w:rPr>
          <w:rFonts w:hint="eastAsia" w:ascii="宋体" w:hAnsi="宋体" w:cs="宋体"/>
          <w:spacing w:val="8"/>
          <w:kern w:val="0"/>
          <w:szCs w:val="21"/>
          <w:highlight w:val="none"/>
          <w:lang w:val="en-US" w:eastAsia="zh-CN"/>
        </w:rPr>
        <w:t>12</w:t>
      </w:r>
      <w:r>
        <w:rPr>
          <w:rFonts w:hint="eastAsia" w:ascii="宋体" w:hAnsi="宋体" w:cs="宋体"/>
          <w:spacing w:val="8"/>
          <w:kern w:val="0"/>
          <w:szCs w:val="21"/>
          <w:highlight w:val="none"/>
        </w:rPr>
        <w:t>月</w:t>
      </w:r>
      <w:r>
        <w:rPr>
          <w:rFonts w:hint="eastAsia" w:ascii="宋体" w:hAnsi="宋体" w:cs="宋体"/>
          <w:spacing w:val="8"/>
          <w:kern w:val="0"/>
          <w:szCs w:val="21"/>
          <w:highlight w:val="none"/>
          <w:lang w:val="en-US" w:eastAsia="zh-CN"/>
        </w:rPr>
        <w:t>02</w:t>
      </w:r>
      <w:r>
        <w:rPr>
          <w:rFonts w:hint="eastAsia" w:ascii="宋体" w:hAnsi="宋体" w:cs="宋体"/>
          <w:spacing w:val="8"/>
          <w:kern w:val="0"/>
          <w:szCs w:val="21"/>
          <w:highlight w:val="none"/>
        </w:rPr>
        <w:t>日</w:t>
      </w:r>
      <w:r>
        <w:rPr>
          <w:rFonts w:hint="eastAsia" w:ascii="宋体" w:hAnsi="宋体" w:cs="宋体"/>
          <w:spacing w:val="8"/>
          <w:kern w:val="0"/>
          <w:szCs w:val="21"/>
          <w:highlight w:val="none"/>
          <w:lang w:val="en-US" w:eastAsia="zh-CN"/>
        </w:rPr>
        <w:t>9</w:t>
      </w:r>
      <w:r>
        <w:rPr>
          <w:rFonts w:hint="eastAsia" w:ascii="宋体" w:hAnsi="宋体" w:cs="宋体"/>
          <w:spacing w:val="8"/>
          <w:kern w:val="0"/>
          <w:szCs w:val="21"/>
          <w:highlight w:val="none"/>
        </w:rPr>
        <w:t>点30分</w:t>
      </w:r>
      <w:r>
        <w:rPr>
          <w:rFonts w:hint="eastAsia" w:ascii="宋体" w:hAnsi="宋体" w:cs="宋体"/>
          <w:szCs w:val="21"/>
          <w:highlight w:val="none"/>
        </w:rPr>
        <w:t>（北京时间</w:t>
      </w:r>
      <w:r>
        <w:rPr>
          <w:rFonts w:hint="eastAsia" w:ascii="宋体" w:hAnsi="宋体" w:cs="宋体"/>
          <w:szCs w:val="21"/>
        </w:rPr>
        <w:t>）</w:t>
      </w:r>
    </w:p>
    <w:p w14:paraId="36B75342">
      <w:pPr>
        <w:widowControl/>
        <w:shd w:val="clear" w:color="auto" w:fill="FFFFFF"/>
        <w:spacing w:line="360" w:lineRule="auto"/>
        <w:ind w:firstLine="370"/>
        <w:rPr>
          <w:rFonts w:hint="eastAsia" w:ascii="宋体" w:hAnsi="宋体" w:eastAsia="宋体" w:cs="宋体"/>
          <w:szCs w:val="21"/>
          <w:lang w:val="en-US" w:eastAsia="zh-CN"/>
        </w:rPr>
      </w:pPr>
      <w:r>
        <w:rPr>
          <w:rFonts w:hint="eastAsia" w:ascii="宋体" w:hAnsi="宋体" w:cs="宋体"/>
          <w:szCs w:val="21"/>
        </w:rPr>
        <w:t>4.2</w:t>
      </w:r>
      <w:r>
        <w:rPr>
          <w:rFonts w:hint="eastAsia" w:ascii="宋体" w:hAnsi="宋体" w:cs="宋体"/>
          <w:spacing w:val="8"/>
          <w:kern w:val="0"/>
          <w:szCs w:val="21"/>
        </w:rPr>
        <w:t xml:space="preserve"> </w:t>
      </w:r>
      <w:r>
        <w:rPr>
          <w:rFonts w:hint="eastAsia" w:ascii="宋体" w:hAnsi="宋体" w:cs="宋体"/>
          <w:szCs w:val="21"/>
        </w:rPr>
        <w:t>提交投标文件地点：扬州市邗江区文昌西路525号报业传媒集团8楼</w:t>
      </w:r>
      <w:r>
        <w:rPr>
          <w:rFonts w:hint="eastAsia" w:ascii="宋体" w:hAnsi="宋体" w:cs="宋体"/>
          <w:szCs w:val="21"/>
          <w:lang w:val="en-US" w:eastAsia="zh-CN"/>
        </w:rPr>
        <w:t>开标室</w:t>
      </w:r>
    </w:p>
    <w:p w14:paraId="003DC98A">
      <w:pPr>
        <w:widowControl/>
        <w:shd w:val="clear" w:color="auto" w:fill="FFFFFF"/>
        <w:spacing w:line="360" w:lineRule="auto"/>
        <w:ind w:firstLine="370"/>
        <w:rPr>
          <w:rFonts w:hint="eastAsia" w:ascii="宋体" w:hAnsi="宋体" w:cs="宋体"/>
          <w:szCs w:val="21"/>
        </w:rPr>
      </w:pPr>
      <w:r>
        <w:rPr>
          <w:rFonts w:hint="eastAsia" w:ascii="宋体" w:hAnsi="宋体" w:cs="宋体"/>
          <w:szCs w:val="21"/>
        </w:rPr>
        <w:t>4.3</w:t>
      </w:r>
      <w:r>
        <w:rPr>
          <w:rFonts w:hint="eastAsia" w:ascii="宋体" w:hAnsi="宋体" w:cs="宋体"/>
          <w:spacing w:val="8"/>
          <w:kern w:val="0"/>
          <w:szCs w:val="21"/>
        </w:rPr>
        <w:t xml:space="preserve"> </w:t>
      </w:r>
      <w:r>
        <w:rPr>
          <w:rFonts w:hint="eastAsia" w:ascii="宋体" w:hAnsi="宋体" w:cs="宋体"/>
          <w:szCs w:val="21"/>
        </w:rPr>
        <w:t>开标时间：</w:t>
      </w:r>
      <w:r>
        <w:rPr>
          <w:rFonts w:hint="eastAsia" w:ascii="宋体" w:hAnsi="宋体" w:cs="宋体"/>
          <w:spacing w:val="8"/>
          <w:kern w:val="0"/>
          <w:szCs w:val="21"/>
        </w:rPr>
        <w:t>2025年</w:t>
      </w:r>
      <w:r>
        <w:rPr>
          <w:rFonts w:hint="eastAsia" w:ascii="宋体" w:hAnsi="宋体" w:cs="宋体"/>
          <w:spacing w:val="8"/>
          <w:kern w:val="0"/>
          <w:szCs w:val="21"/>
          <w:lang w:val="en-US" w:eastAsia="zh-CN"/>
        </w:rPr>
        <w:t>12</w:t>
      </w:r>
      <w:r>
        <w:rPr>
          <w:rFonts w:hint="eastAsia" w:ascii="宋体" w:hAnsi="宋体" w:cs="宋体"/>
          <w:spacing w:val="8"/>
          <w:kern w:val="0"/>
          <w:szCs w:val="21"/>
        </w:rPr>
        <w:t>月</w:t>
      </w:r>
      <w:r>
        <w:rPr>
          <w:rFonts w:hint="eastAsia" w:ascii="宋体" w:hAnsi="宋体" w:cs="宋体"/>
          <w:spacing w:val="8"/>
          <w:kern w:val="0"/>
          <w:szCs w:val="21"/>
          <w:lang w:val="en-US" w:eastAsia="zh-CN"/>
        </w:rPr>
        <w:t>0</w:t>
      </w:r>
      <w:bookmarkStart w:id="54" w:name="_GoBack"/>
      <w:bookmarkEnd w:id="54"/>
      <w:r>
        <w:rPr>
          <w:rFonts w:hint="eastAsia" w:ascii="宋体" w:hAnsi="宋体" w:cs="宋体"/>
          <w:spacing w:val="8"/>
          <w:kern w:val="0"/>
          <w:szCs w:val="21"/>
          <w:lang w:val="en-US" w:eastAsia="zh-CN"/>
        </w:rPr>
        <w:t>2</w:t>
      </w:r>
      <w:r>
        <w:rPr>
          <w:rFonts w:hint="eastAsia" w:ascii="宋体" w:hAnsi="宋体" w:cs="宋体"/>
          <w:spacing w:val="8"/>
          <w:kern w:val="0"/>
          <w:szCs w:val="21"/>
        </w:rPr>
        <w:t>日</w:t>
      </w:r>
      <w:r>
        <w:rPr>
          <w:rFonts w:hint="eastAsia" w:ascii="宋体" w:hAnsi="宋体" w:cs="宋体"/>
          <w:spacing w:val="8"/>
          <w:kern w:val="0"/>
          <w:szCs w:val="21"/>
          <w:lang w:val="en-US" w:eastAsia="zh-CN"/>
        </w:rPr>
        <w:t>9</w:t>
      </w:r>
      <w:r>
        <w:rPr>
          <w:rFonts w:hint="eastAsia" w:ascii="宋体" w:hAnsi="宋体" w:cs="宋体"/>
          <w:spacing w:val="8"/>
          <w:kern w:val="0"/>
          <w:szCs w:val="21"/>
        </w:rPr>
        <w:t>点30分</w:t>
      </w:r>
      <w:r>
        <w:rPr>
          <w:rFonts w:hint="eastAsia" w:ascii="宋体" w:hAnsi="宋体" w:cs="宋体"/>
          <w:szCs w:val="21"/>
        </w:rPr>
        <w:t>（北京时间）</w:t>
      </w:r>
    </w:p>
    <w:p w14:paraId="059AE9E2">
      <w:pPr>
        <w:widowControl/>
        <w:shd w:val="clear" w:color="auto" w:fill="FFFFFF"/>
        <w:spacing w:line="360" w:lineRule="auto"/>
        <w:ind w:firstLine="370"/>
        <w:rPr>
          <w:rFonts w:hint="eastAsia" w:ascii="宋体" w:hAnsi="宋体" w:eastAsia="宋体" w:cs="宋体"/>
          <w:szCs w:val="21"/>
          <w:lang w:val="en-US" w:eastAsia="zh-CN"/>
        </w:rPr>
      </w:pPr>
      <w:r>
        <w:rPr>
          <w:rFonts w:hint="eastAsia" w:ascii="宋体" w:hAnsi="宋体" w:cs="宋体"/>
          <w:szCs w:val="21"/>
        </w:rPr>
        <w:t>4.4</w:t>
      </w:r>
      <w:r>
        <w:rPr>
          <w:rFonts w:hint="eastAsia" w:ascii="宋体" w:hAnsi="宋体" w:cs="宋体"/>
          <w:spacing w:val="8"/>
          <w:kern w:val="0"/>
          <w:szCs w:val="21"/>
        </w:rPr>
        <w:t xml:space="preserve"> </w:t>
      </w:r>
      <w:r>
        <w:rPr>
          <w:rFonts w:hint="eastAsia" w:ascii="宋体" w:hAnsi="宋体" w:cs="宋体"/>
          <w:szCs w:val="21"/>
        </w:rPr>
        <w:t>开标地点：扬州市邗江区文昌西路525号报业传媒集团8楼</w:t>
      </w:r>
      <w:r>
        <w:rPr>
          <w:rFonts w:hint="eastAsia" w:ascii="宋体" w:hAnsi="宋体" w:cs="宋体"/>
          <w:szCs w:val="21"/>
          <w:lang w:val="en-US" w:eastAsia="zh-CN"/>
        </w:rPr>
        <w:t>开标室</w:t>
      </w:r>
    </w:p>
    <w:p w14:paraId="016926A4">
      <w:pPr>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4.5</w:t>
      </w:r>
      <w:r>
        <w:rPr>
          <w:rFonts w:hint="eastAsia" w:ascii="宋体" w:hAnsi="宋体" w:cs="宋体"/>
          <w:b/>
          <w:bCs/>
          <w:spacing w:val="8"/>
          <w:kern w:val="0"/>
          <w:szCs w:val="21"/>
        </w:rPr>
        <w:t xml:space="preserve"> </w:t>
      </w:r>
      <w:r>
        <w:rPr>
          <w:rFonts w:hint="eastAsia" w:ascii="Arial" w:hAnsi="Arial" w:cs="Arial"/>
          <w:b/>
          <w:szCs w:val="21"/>
        </w:rPr>
        <w:t>供应商应提供投标文件一式伍份（正本壹份、副本肆份），所有投标文件均应密封后递交，同时应提供电子版投标文件壹份（电子版须为投标文件正本加盖公章、签字后形成PDF扫描件，扫描件内容应与纸质投标文件正本完全一致、U盘形式（单独封装）、随纸质正本文件一并提交）。</w:t>
      </w:r>
      <w:r>
        <w:rPr>
          <w:rFonts w:hint="eastAsia" w:ascii="Arial" w:hAnsi="Arial" w:cs="Arial"/>
          <w:bCs/>
          <w:szCs w:val="21"/>
        </w:rPr>
        <w:t>当电子版文件和纸质正本文件不一致时，以纸质正本文件为准。电子版文件用于辅助评标和平台存档，供应商需承担前述不一致造成的不利后果。</w:t>
      </w:r>
    </w:p>
    <w:bookmarkEnd w:id="14"/>
    <w:p w14:paraId="0D0FA37A">
      <w:pPr>
        <w:widowControl/>
        <w:shd w:val="clear" w:color="auto" w:fill="FFFFFF"/>
        <w:spacing w:line="360" w:lineRule="auto"/>
        <w:rPr>
          <w:rFonts w:hint="eastAsia" w:ascii="宋体" w:hAnsi="宋体" w:cs="宋体"/>
          <w:b/>
          <w:spacing w:val="8"/>
          <w:kern w:val="0"/>
          <w:sz w:val="24"/>
        </w:rPr>
      </w:pPr>
      <w:r>
        <w:rPr>
          <w:rFonts w:hint="eastAsia" w:ascii="宋体" w:hAnsi="宋体" w:cs="宋体"/>
          <w:b/>
          <w:spacing w:val="8"/>
          <w:kern w:val="0"/>
          <w:sz w:val="24"/>
        </w:rPr>
        <w:t>五、公告期限</w:t>
      </w:r>
    </w:p>
    <w:p w14:paraId="16B67604">
      <w:pPr>
        <w:widowControl/>
        <w:shd w:val="clear" w:color="auto" w:fill="FFFFFF"/>
        <w:spacing w:line="360" w:lineRule="auto"/>
        <w:ind w:firstLine="370"/>
        <w:rPr>
          <w:rFonts w:hint="eastAsia" w:ascii="宋体" w:hAnsi="宋体" w:cs="宋体"/>
          <w:spacing w:val="8"/>
          <w:kern w:val="0"/>
          <w:szCs w:val="21"/>
        </w:rPr>
      </w:pPr>
      <w:r>
        <w:rPr>
          <w:rFonts w:hint="eastAsia" w:ascii="宋体" w:hAnsi="宋体" w:cs="宋体"/>
          <w:spacing w:val="8"/>
          <w:kern w:val="0"/>
          <w:szCs w:val="21"/>
        </w:rPr>
        <w:t>自本公告发布之日起5个工作日。</w:t>
      </w:r>
    </w:p>
    <w:p w14:paraId="38802D67">
      <w:pPr>
        <w:widowControl/>
        <w:shd w:val="clear" w:color="auto" w:fill="FFFFFF"/>
        <w:spacing w:line="360" w:lineRule="auto"/>
        <w:rPr>
          <w:rFonts w:hint="eastAsia" w:ascii="宋体" w:hAnsi="宋体" w:cs="宋体"/>
          <w:b/>
          <w:spacing w:val="8"/>
          <w:kern w:val="0"/>
          <w:sz w:val="24"/>
        </w:rPr>
      </w:pPr>
      <w:r>
        <w:rPr>
          <w:rFonts w:hint="eastAsia" w:ascii="宋体" w:hAnsi="宋体" w:cs="宋体"/>
          <w:b/>
          <w:spacing w:val="8"/>
          <w:kern w:val="0"/>
          <w:sz w:val="24"/>
        </w:rPr>
        <w:t>六、其他补充事宜</w:t>
      </w:r>
    </w:p>
    <w:p w14:paraId="660990F3">
      <w:pPr>
        <w:widowControl/>
        <w:shd w:val="clear" w:color="auto" w:fill="FFFFFF"/>
        <w:spacing w:line="360" w:lineRule="auto"/>
        <w:ind w:firstLine="370"/>
        <w:rPr>
          <w:rFonts w:hint="eastAsia" w:ascii="宋体" w:hAnsi="宋体" w:cs="宋体"/>
          <w:szCs w:val="21"/>
          <w:lang w:val="zh-CN"/>
        </w:rPr>
      </w:pPr>
      <w:bookmarkStart w:id="15" w:name="_Hlk167469157"/>
      <w:r>
        <w:rPr>
          <w:rFonts w:hint="eastAsia" w:ascii="宋体" w:hAnsi="宋体" w:cs="宋体"/>
          <w:szCs w:val="21"/>
          <w:lang w:val="zh-CN"/>
        </w:rPr>
        <w:t>6.1</w:t>
      </w:r>
      <w:r>
        <w:rPr>
          <w:rFonts w:hint="eastAsia" w:ascii="宋体" w:hAnsi="宋体" w:cs="宋体"/>
          <w:spacing w:val="8"/>
          <w:kern w:val="0"/>
          <w:szCs w:val="21"/>
        </w:rPr>
        <w:t xml:space="preserve"> </w:t>
      </w:r>
      <w:r>
        <w:rPr>
          <w:rFonts w:hint="eastAsia" w:ascii="宋体" w:hAnsi="宋体" w:cs="宋体"/>
          <w:szCs w:val="21"/>
          <w:lang w:val="zh-CN"/>
        </w:rPr>
        <w:t>本项</w:t>
      </w:r>
      <w:r>
        <w:rPr>
          <w:rFonts w:hint="eastAsia" w:ascii="宋体" w:hAnsi="宋体" w:cs="宋体"/>
          <w:szCs w:val="21"/>
          <w:highlight w:val="none"/>
          <w:lang w:val="zh-CN"/>
        </w:rPr>
        <w:t>目在</w:t>
      </w:r>
      <w:r>
        <w:rPr>
          <w:rFonts w:hint="eastAsia" w:ascii="宋体" w:hAnsi="宋体" w:cs="宋体"/>
          <w:spacing w:val="8"/>
          <w:kern w:val="0"/>
          <w:szCs w:val="21"/>
          <w:highlight w:val="none"/>
        </w:rPr>
        <w:t>南京邮电大学通达学院</w:t>
      </w:r>
      <w:r>
        <w:rPr>
          <w:rFonts w:hint="eastAsia" w:ascii="宋体" w:hAnsi="宋体" w:cs="宋体"/>
          <w:szCs w:val="21"/>
          <w:highlight w:val="none"/>
          <w:lang w:val="zh-CN"/>
        </w:rPr>
        <w:t>平</w:t>
      </w:r>
      <w:r>
        <w:rPr>
          <w:rFonts w:hint="eastAsia" w:ascii="宋体" w:hAnsi="宋体" w:cs="宋体"/>
          <w:szCs w:val="21"/>
          <w:lang w:val="zh-CN"/>
        </w:rPr>
        <w:t>台发布公告。</w:t>
      </w:r>
    </w:p>
    <w:p w14:paraId="7049B470">
      <w:pPr>
        <w:widowControl/>
        <w:shd w:val="clear" w:color="auto" w:fill="FFFFFF"/>
        <w:spacing w:line="360" w:lineRule="auto"/>
        <w:ind w:firstLine="370"/>
        <w:rPr>
          <w:rFonts w:hint="eastAsia" w:ascii="宋体" w:hAnsi="宋体" w:cs="宋体"/>
          <w:szCs w:val="21"/>
          <w:lang w:val="zh-CN"/>
        </w:rPr>
      </w:pPr>
      <w:r>
        <w:rPr>
          <w:rFonts w:hint="eastAsia" w:ascii="宋体" w:hAnsi="宋体" w:cs="宋体"/>
          <w:szCs w:val="21"/>
          <w:lang w:val="zh-CN"/>
        </w:rPr>
        <w:t>6.</w:t>
      </w:r>
      <w:r>
        <w:rPr>
          <w:rFonts w:hint="eastAsia" w:ascii="宋体" w:hAnsi="宋体" w:cs="宋体"/>
          <w:szCs w:val="21"/>
        </w:rPr>
        <w:t>2</w:t>
      </w:r>
      <w:r>
        <w:rPr>
          <w:rFonts w:hint="eastAsia" w:ascii="宋体" w:hAnsi="宋体" w:cs="宋体"/>
          <w:spacing w:val="8"/>
          <w:kern w:val="0"/>
          <w:szCs w:val="21"/>
        </w:rPr>
        <w:t xml:space="preserve"> </w:t>
      </w:r>
      <w:r>
        <w:rPr>
          <w:rFonts w:hint="eastAsia" w:ascii="宋体" w:hAnsi="宋体" w:cs="宋体"/>
          <w:szCs w:val="21"/>
          <w:lang w:val="zh-CN"/>
        </w:rPr>
        <w:t>供应商应当从采购代理机构合法获得招标项目的招标文件。</w:t>
      </w:r>
    </w:p>
    <w:p w14:paraId="10FBE93A">
      <w:pPr>
        <w:widowControl/>
        <w:shd w:val="clear" w:color="auto" w:fill="FFFFFF"/>
        <w:spacing w:line="360" w:lineRule="auto"/>
        <w:ind w:firstLine="370"/>
        <w:rPr>
          <w:rFonts w:hint="eastAsia" w:ascii="宋体" w:hAnsi="宋体" w:cs="宋体"/>
          <w:szCs w:val="21"/>
          <w:lang w:val="zh-CN"/>
        </w:rPr>
      </w:pPr>
      <w:r>
        <w:rPr>
          <w:rFonts w:hint="eastAsia" w:ascii="宋体" w:hAnsi="宋体" w:cs="宋体"/>
          <w:szCs w:val="21"/>
        </w:rPr>
        <w:t>6.3</w:t>
      </w:r>
      <w:r>
        <w:rPr>
          <w:rFonts w:hint="eastAsia" w:ascii="宋体" w:hAnsi="宋体" w:cs="宋体"/>
          <w:spacing w:val="8"/>
          <w:kern w:val="0"/>
          <w:szCs w:val="21"/>
        </w:rPr>
        <w:t xml:space="preserve"> </w:t>
      </w:r>
      <w:r>
        <w:rPr>
          <w:rFonts w:hint="eastAsia" w:ascii="宋体" w:hAnsi="宋体" w:cs="宋体"/>
          <w:szCs w:val="21"/>
        </w:rPr>
        <w:t>勘察</w:t>
      </w:r>
      <w:r>
        <w:rPr>
          <w:rFonts w:hint="eastAsia" w:ascii="宋体" w:hAnsi="宋体" w:cs="宋体"/>
          <w:szCs w:val="21"/>
          <w:lang w:val="zh-CN"/>
        </w:rPr>
        <w:t>现场或答疑：无</w:t>
      </w:r>
    </w:p>
    <w:bookmarkEnd w:id="15"/>
    <w:p w14:paraId="6F21455F">
      <w:pPr>
        <w:widowControl/>
        <w:shd w:val="clear" w:color="auto" w:fill="FFFFFF"/>
        <w:spacing w:line="360" w:lineRule="auto"/>
        <w:rPr>
          <w:rFonts w:hint="eastAsia" w:ascii="宋体" w:hAnsi="宋体" w:cs="宋体"/>
          <w:b/>
          <w:spacing w:val="8"/>
          <w:kern w:val="0"/>
          <w:sz w:val="24"/>
        </w:rPr>
      </w:pPr>
      <w:r>
        <w:rPr>
          <w:rFonts w:hint="eastAsia" w:ascii="宋体" w:hAnsi="宋体" w:cs="宋体"/>
          <w:b/>
          <w:spacing w:val="8"/>
          <w:kern w:val="0"/>
          <w:sz w:val="24"/>
        </w:rPr>
        <w:t>七、对本次招标提出询问，请按以下方式联系。</w:t>
      </w:r>
    </w:p>
    <w:p w14:paraId="748D1819">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7.1采购人信息</w:t>
      </w:r>
    </w:p>
    <w:p w14:paraId="5F10CE94">
      <w:pPr>
        <w:spacing w:line="360" w:lineRule="auto"/>
        <w:ind w:firstLine="420" w:firstLineChars="200"/>
        <w:rPr>
          <w:rFonts w:hint="eastAsia" w:ascii="宋体" w:hAnsi="宋体" w:cs="宋体"/>
          <w:kern w:val="0"/>
          <w:szCs w:val="21"/>
        </w:rPr>
      </w:pPr>
      <w:r>
        <w:rPr>
          <w:rFonts w:hint="eastAsia" w:ascii="宋体" w:hAnsi="宋体" w:cs="宋体"/>
          <w:kern w:val="0"/>
          <w:szCs w:val="21"/>
        </w:rPr>
        <w:t>名称：南京邮电大学通达学院</w:t>
      </w:r>
    </w:p>
    <w:p w14:paraId="41B065AD">
      <w:pPr>
        <w:widowControl/>
        <w:shd w:val="clear" w:color="auto" w:fill="FFFFFF"/>
        <w:spacing w:line="360" w:lineRule="auto"/>
        <w:ind w:firstLine="452" w:firstLineChars="200"/>
        <w:jc w:val="left"/>
        <w:rPr>
          <w:rFonts w:ascii="Arial" w:hAnsi="Arial" w:cs="Arial"/>
          <w:spacing w:val="8"/>
          <w:kern w:val="0"/>
          <w:szCs w:val="21"/>
        </w:rPr>
      </w:pPr>
      <w:r>
        <w:rPr>
          <w:rFonts w:hint="eastAsia" w:ascii="Arial" w:hAnsi="Arial" w:cs="Arial"/>
          <w:spacing w:val="8"/>
          <w:kern w:val="0"/>
          <w:szCs w:val="21"/>
        </w:rPr>
        <w:t>地址：南京邮电大学通达学院行政中心8楼804办公室</w:t>
      </w:r>
    </w:p>
    <w:p w14:paraId="50B08A4F">
      <w:pPr>
        <w:widowControl/>
        <w:shd w:val="clear" w:color="auto" w:fill="FFFFFF"/>
        <w:spacing w:line="360" w:lineRule="auto"/>
        <w:ind w:firstLine="452" w:firstLineChars="200"/>
        <w:jc w:val="left"/>
        <w:rPr>
          <w:rFonts w:hint="default" w:ascii="Arial" w:hAnsi="Arial" w:eastAsia="宋体" w:cs="Arial"/>
          <w:spacing w:val="8"/>
          <w:kern w:val="0"/>
          <w:szCs w:val="21"/>
          <w:lang w:val="en-US" w:eastAsia="zh-CN"/>
        </w:rPr>
      </w:pPr>
      <w:r>
        <w:rPr>
          <w:rFonts w:hint="eastAsia" w:ascii="Arial" w:hAnsi="Arial" w:cs="Arial"/>
          <w:spacing w:val="8"/>
          <w:kern w:val="0"/>
          <w:szCs w:val="21"/>
        </w:rPr>
        <w:t xml:space="preserve">联系方式：季老师  </w:t>
      </w:r>
      <w:r>
        <w:rPr>
          <w:rFonts w:hint="eastAsia" w:ascii="Arial" w:hAnsi="Arial" w:cs="Arial"/>
          <w:spacing w:val="8"/>
          <w:kern w:val="0"/>
          <w:szCs w:val="21"/>
          <w:lang w:val="en-US" w:eastAsia="zh-CN"/>
        </w:rPr>
        <w:t>0514-89716083</w:t>
      </w:r>
    </w:p>
    <w:p w14:paraId="5A5B988A">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7.2采购代理机构信息</w:t>
      </w:r>
    </w:p>
    <w:p w14:paraId="4A3551E0">
      <w:pPr>
        <w:widowControl/>
        <w:shd w:val="clear" w:color="auto" w:fill="FFFFFF"/>
        <w:spacing w:line="360" w:lineRule="auto"/>
        <w:ind w:firstLine="420" w:firstLineChars="200"/>
        <w:rPr>
          <w:rFonts w:hint="eastAsia" w:ascii="宋体" w:hAnsi="宋体" w:cs="宋体"/>
        </w:rPr>
      </w:pPr>
      <w:r>
        <w:rPr>
          <w:rFonts w:hint="eastAsia" w:ascii="宋体" w:hAnsi="宋体" w:cs="宋体"/>
        </w:rPr>
        <w:t>名称：江苏省设备成套股份有限公司</w:t>
      </w:r>
    </w:p>
    <w:p w14:paraId="12BF6C72">
      <w:pPr>
        <w:widowControl/>
        <w:shd w:val="clear" w:color="auto" w:fill="FFFFFF"/>
        <w:spacing w:line="360" w:lineRule="auto"/>
        <w:ind w:firstLine="420" w:firstLineChars="200"/>
        <w:rPr>
          <w:rFonts w:hint="eastAsia" w:ascii="宋体" w:hAnsi="宋体" w:eastAsia="宋体" w:cs="宋体"/>
          <w:lang w:val="en-US" w:eastAsia="zh-CN"/>
        </w:rPr>
      </w:pPr>
      <w:r>
        <w:rPr>
          <w:rFonts w:hint="eastAsia" w:ascii="宋体" w:hAnsi="宋体" w:cs="宋体"/>
        </w:rPr>
        <w:t>地址：南京市鼓楼区清江南路18号鼓楼创新广场D栋10楼1003室</w:t>
      </w:r>
      <w:r>
        <w:rPr>
          <w:rFonts w:hint="eastAsia" w:ascii="宋体" w:hAnsi="宋体" w:cs="宋体"/>
          <w:lang w:val="en-US" w:eastAsia="zh-CN"/>
        </w:rPr>
        <w:t>/扬州市邗江区文昌西路525号报业传媒集团8楼</w:t>
      </w:r>
    </w:p>
    <w:p w14:paraId="681A2C63">
      <w:pPr>
        <w:widowControl/>
        <w:shd w:val="clear" w:color="auto" w:fill="FFFFFF"/>
        <w:spacing w:line="360" w:lineRule="auto"/>
        <w:ind w:firstLine="420" w:firstLineChars="200"/>
        <w:rPr>
          <w:rFonts w:hint="eastAsia" w:ascii="宋体" w:hAnsi="宋体" w:cs="宋体"/>
        </w:rPr>
      </w:pPr>
      <w:r>
        <w:rPr>
          <w:rFonts w:hint="eastAsia" w:ascii="宋体" w:hAnsi="宋体" w:cs="宋体"/>
        </w:rPr>
        <w:t>联系方式：</w:t>
      </w:r>
      <w:bookmarkStart w:id="16" w:name="OLE_LINK26"/>
      <w:r>
        <w:rPr>
          <w:rFonts w:hint="eastAsia" w:ascii="Arial" w:hAnsi="Arial" w:cs="Arial"/>
          <w:spacing w:val="8"/>
          <w:kern w:val="0"/>
          <w:szCs w:val="21"/>
        </w:rPr>
        <w:t>何悦  徐鑫磊 025-86639951  13913931305</w:t>
      </w:r>
      <w:bookmarkEnd w:id="16"/>
    </w:p>
    <w:p w14:paraId="69DF4457">
      <w:pPr>
        <w:widowControl/>
        <w:shd w:val="clear" w:color="auto" w:fill="FFFFFF"/>
        <w:spacing w:line="360" w:lineRule="auto"/>
        <w:ind w:firstLine="452" w:firstLineChars="200"/>
        <w:jc w:val="left"/>
        <w:rPr>
          <w:rFonts w:hint="eastAsia" w:ascii="宋体" w:hAnsi="宋体" w:cs="宋体"/>
          <w:spacing w:val="8"/>
          <w:kern w:val="0"/>
          <w:szCs w:val="21"/>
        </w:rPr>
      </w:pPr>
      <w:r>
        <w:rPr>
          <w:rFonts w:hint="eastAsia" w:ascii="宋体" w:hAnsi="宋体" w:cs="宋体"/>
          <w:spacing w:val="8"/>
          <w:kern w:val="0"/>
          <w:szCs w:val="21"/>
        </w:rPr>
        <w:t>7.3项目联系方式</w:t>
      </w:r>
    </w:p>
    <w:p w14:paraId="57D68399">
      <w:pPr>
        <w:widowControl/>
        <w:shd w:val="clear" w:color="auto" w:fill="FFFFFF"/>
        <w:spacing w:line="360" w:lineRule="auto"/>
        <w:ind w:firstLine="452" w:firstLineChars="200"/>
        <w:rPr>
          <w:rFonts w:hint="eastAsia" w:ascii="宋体" w:hAnsi="宋体" w:cs="宋体"/>
          <w:spacing w:val="8"/>
          <w:kern w:val="0"/>
          <w:szCs w:val="21"/>
        </w:rPr>
      </w:pPr>
      <w:r>
        <w:rPr>
          <w:rFonts w:hint="eastAsia" w:ascii="宋体" w:hAnsi="宋体" w:cs="宋体"/>
          <w:spacing w:val="8"/>
          <w:kern w:val="0"/>
          <w:szCs w:val="21"/>
        </w:rPr>
        <w:t>项目联系人：</w:t>
      </w:r>
      <w:r>
        <w:rPr>
          <w:rFonts w:hint="eastAsia" w:ascii="Arial" w:hAnsi="Arial" w:cs="Arial"/>
          <w:spacing w:val="8"/>
          <w:kern w:val="0"/>
          <w:szCs w:val="21"/>
        </w:rPr>
        <w:t>何悦  徐鑫磊</w:t>
      </w:r>
    </w:p>
    <w:p w14:paraId="167818B0">
      <w:pPr>
        <w:widowControl/>
        <w:shd w:val="clear" w:color="auto" w:fill="FFFFFF"/>
        <w:spacing w:line="360" w:lineRule="auto"/>
        <w:ind w:firstLine="452" w:firstLineChars="200"/>
        <w:rPr>
          <w:rFonts w:hint="eastAsia" w:ascii="宋体" w:hAnsi="宋体" w:cs="宋体"/>
        </w:rPr>
      </w:pPr>
      <w:r>
        <w:rPr>
          <w:rFonts w:hint="eastAsia" w:ascii="宋体" w:hAnsi="宋体" w:cs="宋体"/>
          <w:spacing w:val="8"/>
          <w:kern w:val="0"/>
          <w:szCs w:val="21"/>
        </w:rPr>
        <w:t>电话：</w:t>
      </w:r>
      <w:r>
        <w:rPr>
          <w:rFonts w:hint="eastAsia" w:ascii="Arial" w:hAnsi="Arial" w:cs="Arial"/>
          <w:spacing w:val="8"/>
          <w:kern w:val="0"/>
          <w:szCs w:val="21"/>
        </w:rPr>
        <w:t>025-86639951  13913931305</w:t>
      </w:r>
      <w:bookmarkEnd w:id="7"/>
      <w:bookmarkEnd w:id="9"/>
    </w:p>
    <w:p w14:paraId="3A2983F8">
      <w:pPr>
        <w:pStyle w:val="41"/>
        <w:rPr>
          <w:rFonts w:hint="eastAsia" w:ascii="宋体" w:hAnsi="宋体" w:cs="宋体"/>
        </w:rPr>
      </w:pPr>
    </w:p>
    <w:p w14:paraId="24FB6670">
      <w:pPr>
        <w:rPr>
          <w:rFonts w:hint="eastAsia" w:ascii="宋体" w:hAnsi="宋体" w:cs="宋体"/>
        </w:rPr>
      </w:pPr>
      <w:r>
        <w:rPr>
          <w:rFonts w:hint="eastAsia" w:ascii="宋体" w:hAnsi="宋体" w:cs="宋体"/>
        </w:rPr>
        <w:br w:type="page"/>
      </w:r>
    </w:p>
    <w:bookmarkEnd w:id="8"/>
    <w:p w14:paraId="371E7A29">
      <w:pPr>
        <w:pStyle w:val="3"/>
        <w:numPr>
          <w:ilvl w:val="0"/>
          <w:numId w:val="0"/>
        </w:numPr>
        <w:spacing w:line="360" w:lineRule="auto"/>
        <w:rPr>
          <w:rFonts w:hint="eastAsia" w:ascii="宋体" w:hAnsi="宋体" w:cs="宋体"/>
        </w:rPr>
      </w:pPr>
      <w:bookmarkStart w:id="17" w:name="_Toc9691"/>
      <w:bookmarkStart w:id="18" w:name="_Toc30279"/>
      <w:bookmarkStart w:id="19" w:name="_Toc22684"/>
      <w:bookmarkStart w:id="20" w:name="_Toc43902849"/>
      <w:bookmarkStart w:id="21" w:name="_Toc2573"/>
      <w:bookmarkStart w:id="22" w:name="_Toc31601"/>
      <w:bookmarkStart w:id="23" w:name="_Toc25447"/>
      <w:bookmarkStart w:id="24" w:name="OLE_LINK17"/>
      <w:r>
        <w:rPr>
          <w:rFonts w:hint="eastAsia" w:ascii="宋体" w:hAnsi="宋体" w:cs="宋体"/>
        </w:rPr>
        <w:t>第二章 供应商须知</w:t>
      </w:r>
      <w:bookmarkEnd w:id="17"/>
      <w:bookmarkEnd w:id="18"/>
      <w:bookmarkEnd w:id="19"/>
      <w:bookmarkEnd w:id="20"/>
      <w:bookmarkEnd w:id="21"/>
      <w:bookmarkEnd w:id="22"/>
      <w:bookmarkEnd w:id="23"/>
    </w:p>
    <w:bookmarkEnd w:id="24"/>
    <w:p w14:paraId="38656952">
      <w:pPr>
        <w:widowControl/>
        <w:shd w:val="clear" w:color="auto" w:fill="FFFFFF"/>
        <w:spacing w:line="360" w:lineRule="auto"/>
        <w:ind w:firstLine="424" w:firstLineChars="201"/>
        <w:rPr>
          <w:rFonts w:ascii="Arial" w:hAnsi="Arial" w:cs="Arial"/>
          <w:kern w:val="0"/>
          <w:szCs w:val="21"/>
        </w:rPr>
      </w:pPr>
      <w:bookmarkStart w:id="25" w:name="_Toc8379"/>
      <w:bookmarkStart w:id="26" w:name="_Toc22098"/>
      <w:bookmarkStart w:id="27" w:name="_Toc22818"/>
      <w:bookmarkStart w:id="28" w:name="_Toc481057145"/>
      <w:r>
        <w:rPr>
          <w:rFonts w:hint="eastAsia" w:ascii="Arial" w:hAnsi="宋体" w:cs="Arial"/>
          <w:b/>
          <w:bCs/>
          <w:kern w:val="0"/>
          <w:szCs w:val="21"/>
        </w:rPr>
        <w:t>一、总则</w:t>
      </w:r>
    </w:p>
    <w:p w14:paraId="3BB0C323">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w:t>
      </w:r>
      <w:r>
        <w:rPr>
          <w:rFonts w:hint="eastAsia" w:ascii="Arial" w:hAnsi="宋体" w:cs="Arial"/>
          <w:b/>
          <w:bCs/>
          <w:kern w:val="0"/>
          <w:szCs w:val="21"/>
        </w:rPr>
        <w:t>.参照法律</w:t>
      </w:r>
    </w:p>
    <w:p w14:paraId="058785D3">
      <w:pPr>
        <w:widowControl/>
        <w:shd w:val="clear" w:color="auto" w:fill="FFFFFF"/>
        <w:spacing w:line="360" w:lineRule="auto"/>
        <w:ind w:firstLine="420"/>
        <w:rPr>
          <w:rFonts w:ascii="Arial" w:hAnsi="Arial" w:cs="Arial"/>
          <w:kern w:val="0"/>
          <w:szCs w:val="21"/>
        </w:rPr>
      </w:pPr>
      <w:r>
        <w:rPr>
          <w:rFonts w:ascii="Arial" w:hAnsi="Arial" w:cs="Arial"/>
          <w:kern w:val="0"/>
          <w:szCs w:val="21"/>
        </w:rPr>
        <w:t>1.1</w:t>
      </w:r>
      <w:r>
        <w:rPr>
          <w:rFonts w:hint="eastAsia" w:ascii="Arial" w:hAnsi="宋体" w:cs="Arial"/>
          <w:kern w:val="0"/>
          <w:szCs w:val="21"/>
        </w:rPr>
        <w:t>本次招标参照《中华人民共和国政府采购法》（以下简称政府采购法）、《中华人民共和国政府采购法实施条例》（以下简称政府采购法实施条例）、《政府采购货物和服务招标投标管理办法》等法律、行政法规、部门规章和规范性文件。</w:t>
      </w:r>
    </w:p>
    <w:p w14:paraId="5FD39B85">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w:t>
      </w:r>
      <w:r>
        <w:rPr>
          <w:rFonts w:hint="eastAsia" w:ascii="Arial" w:hAnsi="宋体" w:cs="Arial"/>
          <w:b/>
          <w:bCs/>
          <w:kern w:val="0"/>
          <w:szCs w:val="21"/>
        </w:rPr>
        <w:t>.定义</w:t>
      </w:r>
    </w:p>
    <w:p w14:paraId="58A5C622">
      <w:pPr>
        <w:widowControl/>
        <w:shd w:val="clear" w:color="auto" w:fill="FFFFFF"/>
        <w:spacing w:line="360" w:lineRule="auto"/>
        <w:ind w:firstLine="420"/>
        <w:rPr>
          <w:rFonts w:ascii="Arial" w:hAnsi="Arial" w:cs="Arial"/>
          <w:kern w:val="0"/>
          <w:szCs w:val="21"/>
        </w:rPr>
      </w:pPr>
      <w:r>
        <w:rPr>
          <w:rFonts w:ascii="Arial" w:hAnsi="Arial" w:cs="Arial"/>
          <w:kern w:val="0"/>
          <w:szCs w:val="21"/>
        </w:rPr>
        <w:t>2.1</w:t>
      </w:r>
      <w:r>
        <w:rPr>
          <w:rFonts w:hint="eastAsia" w:ascii="Arial" w:hAnsi="Arial" w:cs="Arial"/>
          <w:kern w:val="0"/>
          <w:szCs w:val="21"/>
        </w:rPr>
        <w:t>“</w:t>
      </w:r>
      <w:r>
        <w:rPr>
          <w:rFonts w:hint="eastAsia" w:ascii="Arial" w:hAnsi="宋体" w:cs="Arial"/>
          <w:kern w:val="0"/>
          <w:szCs w:val="21"/>
        </w:rPr>
        <w:t>采购人</w:t>
      </w:r>
      <w:r>
        <w:rPr>
          <w:rFonts w:hint="eastAsia" w:ascii="Arial" w:hAnsi="Arial" w:cs="Arial"/>
          <w:kern w:val="0"/>
          <w:szCs w:val="21"/>
        </w:rPr>
        <w:t>”</w:t>
      </w:r>
      <w:r>
        <w:rPr>
          <w:rFonts w:hint="eastAsia" w:ascii="Arial" w:hAnsi="宋体" w:cs="Arial"/>
          <w:kern w:val="0"/>
          <w:szCs w:val="21"/>
        </w:rPr>
        <w:t>是指依法进行政府采购的国家机关、事业单位、团体组织。</w:t>
      </w:r>
    </w:p>
    <w:p w14:paraId="676B94E8">
      <w:pPr>
        <w:widowControl/>
        <w:shd w:val="clear" w:color="auto" w:fill="FFFFFF"/>
        <w:spacing w:line="360" w:lineRule="auto"/>
        <w:ind w:firstLine="420"/>
        <w:rPr>
          <w:rFonts w:ascii="Arial" w:hAnsi="Arial" w:cs="Arial"/>
          <w:kern w:val="0"/>
          <w:szCs w:val="21"/>
        </w:rPr>
      </w:pPr>
      <w:r>
        <w:rPr>
          <w:rFonts w:ascii="Arial" w:hAnsi="Arial" w:cs="Arial"/>
          <w:kern w:val="0"/>
          <w:szCs w:val="21"/>
        </w:rPr>
        <w:t>2.2</w:t>
      </w:r>
      <w:r>
        <w:rPr>
          <w:rFonts w:hint="eastAsia" w:ascii="Arial" w:hAnsi="Arial" w:cs="Arial"/>
          <w:kern w:val="0"/>
          <w:szCs w:val="21"/>
        </w:rPr>
        <w:t>“</w:t>
      </w:r>
      <w:r>
        <w:rPr>
          <w:rFonts w:hint="eastAsia" w:ascii="Arial" w:hAnsi="宋体" w:cs="Arial"/>
          <w:kern w:val="0"/>
          <w:szCs w:val="21"/>
        </w:rPr>
        <w:t>供应商</w:t>
      </w:r>
      <w:r>
        <w:rPr>
          <w:rFonts w:hint="eastAsia" w:ascii="Arial" w:hAnsi="Arial" w:cs="Arial"/>
          <w:kern w:val="0"/>
          <w:szCs w:val="21"/>
        </w:rPr>
        <w:t>”</w:t>
      </w:r>
      <w:r>
        <w:rPr>
          <w:rFonts w:hint="eastAsia" w:ascii="Arial" w:hAnsi="宋体" w:cs="Arial"/>
          <w:kern w:val="0"/>
          <w:szCs w:val="21"/>
        </w:rPr>
        <w:t>是指参加投标竞争，并符合招标文件规定资格条件的法人、其他组织或者自然人。</w:t>
      </w:r>
    </w:p>
    <w:p w14:paraId="52CA88CB">
      <w:pPr>
        <w:widowControl/>
        <w:shd w:val="clear" w:color="auto" w:fill="FFFFFF"/>
        <w:spacing w:line="360" w:lineRule="auto"/>
        <w:ind w:firstLine="420"/>
        <w:rPr>
          <w:rFonts w:ascii="Arial" w:hAnsi="Arial" w:cs="Arial"/>
          <w:kern w:val="0"/>
          <w:szCs w:val="21"/>
        </w:rPr>
      </w:pPr>
      <w:r>
        <w:rPr>
          <w:rFonts w:ascii="Arial" w:hAnsi="Arial" w:cs="Arial"/>
          <w:kern w:val="0"/>
          <w:szCs w:val="21"/>
        </w:rPr>
        <w:t>2.3</w:t>
      </w:r>
      <w:r>
        <w:rPr>
          <w:rFonts w:hint="eastAsia" w:ascii="Arial" w:hAnsi="Arial" w:cs="Arial"/>
          <w:kern w:val="0"/>
          <w:szCs w:val="21"/>
        </w:rPr>
        <w:t>“</w:t>
      </w:r>
      <w:r>
        <w:rPr>
          <w:rFonts w:hint="eastAsia" w:ascii="Arial" w:hAnsi="宋体" w:cs="Arial"/>
          <w:kern w:val="0"/>
          <w:szCs w:val="21"/>
        </w:rPr>
        <w:t>采购代理机构</w:t>
      </w:r>
      <w:r>
        <w:rPr>
          <w:rFonts w:hint="eastAsia" w:ascii="Arial" w:hAnsi="Arial" w:cs="Arial"/>
          <w:kern w:val="0"/>
          <w:szCs w:val="21"/>
        </w:rPr>
        <w:t>”</w:t>
      </w:r>
      <w:r>
        <w:rPr>
          <w:rFonts w:hint="eastAsia" w:ascii="Arial" w:hAnsi="宋体" w:cs="Arial"/>
          <w:kern w:val="0"/>
          <w:szCs w:val="21"/>
        </w:rPr>
        <w:t>是指集中采购机构和集中采购机构以外的采购代理机构，集中采购机构以外的招标（采购）代理机构，是从事招标（采购）代理业务的社会中介机构。</w:t>
      </w:r>
    </w:p>
    <w:p w14:paraId="7EAF411A">
      <w:pPr>
        <w:widowControl/>
        <w:shd w:val="clear" w:color="auto" w:fill="FFFFFF"/>
        <w:spacing w:line="360" w:lineRule="auto"/>
        <w:ind w:firstLine="420"/>
        <w:rPr>
          <w:rFonts w:hint="eastAsia" w:ascii="Arial" w:hAnsi="宋体" w:cs="Arial"/>
          <w:kern w:val="0"/>
          <w:szCs w:val="21"/>
        </w:rPr>
      </w:pPr>
      <w:r>
        <w:rPr>
          <w:rFonts w:hint="eastAsia" w:ascii="Arial" w:hAnsi="宋体" w:cs="Arial"/>
          <w:kern w:val="0"/>
          <w:szCs w:val="21"/>
        </w:rPr>
        <w:t>2.4“货物和服务”指本招标文件中所述产品及相关服务。</w:t>
      </w:r>
    </w:p>
    <w:p w14:paraId="63DCBF6C">
      <w:pPr>
        <w:widowControl/>
        <w:shd w:val="clear" w:color="auto" w:fill="FFFFFF"/>
        <w:spacing w:line="360" w:lineRule="auto"/>
        <w:ind w:firstLine="420"/>
        <w:rPr>
          <w:rFonts w:hint="eastAsia" w:ascii="Arial" w:hAnsi="宋体" w:cs="Arial"/>
          <w:kern w:val="0"/>
          <w:szCs w:val="21"/>
          <w:highlight w:val="none"/>
        </w:rPr>
      </w:pPr>
      <w:r>
        <w:rPr>
          <w:rFonts w:hint="eastAsia" w:ascii="Arial" w:hAnsi="宋体" w:cs="Arial"/>
          <w:kern w:val="0"/>
          <w:szCs w:val="21"/>
          <w:highlight w:val="none"/>
        </w:rPr>
        <w:t>2.5“用户或使用单位”是指使用货物，接受服务的单位。</w:t>
      </w:r>
    </w:p>
    <w:p w14:paraId="1333DFF1">
      <w:pPr>
        <w:widowControl/>
        <w:shd w:val="clear" w:color="auto" w:fill="FFFFFF"/>
        <w:spacing w:line="360" w:lineRule="auto"/>
        <w:ind w:firstLine="420"/>
        <w:rPr>
          <w:rFonts w:hint="eastAsia" w:ascii="Arial" w:hAnsi="Arial" w:eastAsia="宋体" w:cs="Arial"/>
          <w:kern w:val="0"/>
          <w:szCs w:val="21"/>
          <w:highlight w:val="none"/>
          <w:lang w:eastAsia="zh-CN"/>
        </w:rPr>
      </w:pPr>
      <w:r>
        <w:rPr>
          <w:rFonts w:ascii="Arial" w:hAnsi="Arial" w:cs="Arial"/>
          <w:b/>
          <w:bCs/>
          <w:kern w:val="0"/>
          <w:szCs w:val="21"/>
          <w:highlight w:val="none"/>
        </w:rPr>
        <w:t>3</w:t>
      </w:r>
      <w:r>
        <w:rPr>
          <w:rFonts w:hint="eastAsia" w:ascii="Arial" w:hAnsi="宋体" w:cs="Arial"/>
          <w:b/>
          <w:bCs/>
          <w:kern w:val="0"/>
          <w:szCs w:val="21"/>
          <w:highlight w:val="none"/>
        </w:rPr>
        <w:t>.政策功能</w:t>
      </w:r>
      <w:r>
        <w:rPr>
          <w:rFonts w:hint="eastAsia" w:ascii="Arial" w:hAnsi="宋体" w:cs="Arial"/>
          <w:b/>
          <w:bCs/>
          <w:kern w:val="0"/>
          <w:szCs w:val="21"/>
          <w:highlight w:val="none"/>
          <w:lang w:eastAsia="zh-CN"/>
        </w:rPr>
        <w:t>（</w:t>
      </w:r>
      <w:r>
        <w:rPr>
          <w:rFonts w:hint="eastAsia" w:ascii="Arial" w:hAnsi="宋体" w:cs="Arial"/>
          <w:b/>
          <w:bCs/>
          <w:kern w:val="0"/>
          <w:szCs w:val="21"/>
          <w:highlight w:val="none"/>
          <w:lang w:val="en-US" w:eastAsia="zh-CN"/>
        </w:rPr>
        <w:t>本项目不适用</w:t>
      </w:r>
      <w:r>
        <w:rPr>
          <w:rFonts w:hint="eastAsia" w:ascii="Arial" w:hAnsi="宋体" w:cs="Arial"/>
          <w:b/>
          <w:bCs/>
          <w:kern w:val="0"/>
          <w:szCs w:val="21"/>
          <w:highlight w:val="none"/>
          <w:lang w:eastAsia="zh-CN"/>
        </w:rPr>
        <w:t>）</w:t>
      </w:r>
    </w:p>
    <w:p w14:paraId="090CAA49">
      <w:pPr>
        <w:widowControl/>
        <w:shd w:val="clear" w:color="auto" w:fill="FFFFFF"/>
        <w:spacing w:line="360" w:lineRule="auto"/>
        <w:ind w:firstLine="412"/>
        <w:rPr>
          <w:rFonts w:ascii="Arial" w:hAnsi="Arial" w:cs="Arial"/>
          <w:kern w:val="0"/>
          <w:szCs w:val="21"/>
        </w:rPr>
      </w:pPr>
      <w:r>
        <w:rPr>
          <w:rFonts w:hint="eastAsia" w:ascii="Arial" w:hAnsi="宋体" w:cs="Arial"/>
          <w:b/>
          <w:bCs/>
          <w:kern w:val="0"/>
          <w:szCs w:val="21"/>
        </w:rPr>
        <w:t>二、招标文件构成</w:t>
      </w:r>
    </w:p>
    <w:p w14:paraId="540805A1">
      <w:pPr>
        <w:widowControl/>
        <w:shd w:val="clear" w:color="auto" w:fill="FFFFFF"/>
        <w:spacing w:line="360" w:lineRule="auto"/>
        <w:ind w:firstLine="420"/>
        <w:rPr>
          <w:rFonts w:ascii="Arial" w:hAnsi="Arial" w:cs="Arial"/>
          <w:kern w:val="0"/>
          <w:szCs w:val="21"/>
        </w:rPr>
      </w:pPr>
      <w:r>
        <w:rPr>
          <w:rFonts w:ascii="Arial" w:hAnsi="Arial" w:cs="Arial"/>
          <w:b/>
          <w:bCs/>
          <w:kern w:val="0"/>
          <w:szCs w:val="21"/>
        </w:rPr>
        <w:t>4</w:t>
      </w:r>
      <w:r>
        <w:rPr>
          <w:rFonts w:hint="eastAsia" w:ascii="Arial" w:hAnsi="宋体" w:cs="Arial"/>
          <w:b/>
          <w:bCs/>
          <w:kern w:val="0"/>
          <w:szCs w:val="21"/>
        </w:rPr>
        <w:t>.招标文件组成</w:t>
      </w:r>
    </w:p>
    <w:p w14:paraId="0FA8F38B">
      <w:pPr>
        <w:widowControl/>
        <w:shd w:val="clear" w:color="auto" w:fill="FFFFFF"/>
        <w:spacing w:line="360" w:lineRule="auto"/>
        <w:ind w:firstLine="420"/>
        <w:rPr>
          <w:rFonts w:ascii="Arial" w:hAnsi="Arial" w:cs="Arial"/>
          <w:kern w:val="0"/>
          <w:szCs w:val="21"/>
        </w:rPr>
      </w:pPr>
      <w:r>
        <w:rPr>
          <w:rFonts w:ascii="Arial" w:hAnsi="Arial" w:cs="Arial"/>
          <w:kern w:val="0"/>
          <w:szCs w:val="21"/>
        </w:rPr>
        <w:t>4.1</w:t>
      </w:r>
      <w:r>
        <w:rPr>
          <w:rFonts w:ascii="Arial" w:hAnsi="宋体" w:cs="Arial"/>
          <w:kern w:val="0"/>
          <w:szCs w:val="21"/>
        </w:rPr>
        <w:t>招标文件包括以下主要内容：招标公告；供应商须知；供应商应当提交的资格、资信证明文件；为落实政府采购政策，采购标的需满足的要求，以及供应商须提供的证明材料；投标文件编制要求、投标报价要求和投标保证金交纳、退还方式以及不予退还投标保证金的情形；</w:t>
      </w:r>
      <w:r>
        <w:rPr>
          <w:rFonts w:hint="eastAsia" w:ascii="Arial" w:hAnsi="宋体" w:cs="Arial"/>
          <w:kern w:val="0"/>
          <w:szCs w:val="21"/>
        </w:rPr>
        <w:t>招标</w:t>
      </w:r>
      <w:r>
        <w:rPr>
          <w:rFonts w:ascii="Arial" w:hAnsi="宋体" w:cs="Arial"/>
          <w:kern w:val="0"/>
          <w:szCs w:val="21"/>
        </w:rPr>
        <w:t>项目预算金额，设定最高限价的，还应当公开最高限价；</w:t>
      </w:r>
      <w:r>
        <w:rPr>
          <w:rFonts w:hint="eastAsia" w:ascii="Arial" w:hAnsi="宋体" w:cs="Arial"/>
          <w:kern w:val="0"/>
          <w:szCs w:val="21"/>
        </w:rPr>
        <w:t>招标</w:t>
      </w:r>
      <w:r>
        <w:rPr>
          <w:rFonts w:ascii="Arial" w:hAnsi="宋体" w:cs="Arial"/>
          <w:kern w:val="0"/>
          <w:szCs w:val="21"/>
        </w:rPr>
        <w:t>项目的技术规格、数量、服务标准、验收等要求，包括附件、图纸等；拟签订的合同文本；货物、服务提供的时间、地点、方式；采购资金的支付方式、时间、条件；评标方法、评标标准和投标无效情形；投标有效期；投标截止时间、开标时间及地点；</w:t>
      </w:r>
      <w:r>
        <w:rPr>
          <w:rFonts w:hint="eastAsia" w:ascii="Arial" w:hAnsi="宋体" w:cs="Arial"/>
          <w:kern w:val="0"/>
          <w:szCs w:val="21"/>
        </w:rPr>
        <w:t>采购代理机构</w:t>
      </w:r>
      <w:r>
        <w:rPr>
          <w:rFonts w:ascii="Arial" w:hAnsi="宋体" w:cs="Arial"/>
          <w:kern w:val="0"/>
          <w:szCs w:val="21"/>
        </w:rPr>
        <w:t>代理费用的收取标准和方式；供应商信用信息查询渠道及截止时点、信用信息查询记录和证据留存的具体方式、信用信息的使用规则等；省级以上财政部门规定的其他事项。</w:t>
      </w:r>
    </w:p>
    <w:p w14:paraId="619571A9">
      <w:pPr>
        <w:widowControl/>
        <w:shd w:val="clear" w:color="auto" w:fill="FFFFFF"/>
        <w:spacing w:line="360" w:lineRule="auto"/>
        <w:ind w:firstLine="420"/>
        <w:rPr>
          <w:rFonts w:ascii="Arial" w:hAnsi="Arial" w:cs="Arial"/>
          <w:kern w:val="0"/>
          <w:szCs w:val="21"/>
        </w:rPr>
      </w:pPr>
      <w:r>
        <w:rPr>
          <w:rFonts w:ascii="Arial" w:hAnsi="Arial" w:cs="Arial"/>
          <w:kern w:val="0"/>
          <w:szCs w:val="21"/>
        </w:rPr>
        <w:t xml:space="preserve">4.2 </w:t>
      </w:r>
      <w:r>
        <w:rPr>
          <w:rFonts w:ascii="Arial" w:hAnsi="宋体" w:cs="Arial"/>
          <w:kern w:val="0"/>
          <w:szCs w:val="21"/>
        </w:rPr>
        <w:t>招标的最小单位是</w:t>
      </w:r>
      <w:r>
        <w:rPr>
          <w:rFonts w:hint="eastAsia" w:ascii="Arial" w:hAnsi="宋体" w:cs="Arial"/>
          <w:kern w:val="0"/>
          <w:szCs w:val="21"/>
        </w:rPr>
        <w:t>标段</w:t>
      </w:r>
      <w:r>
        <w:rPr>
          <w:rFonts w:ascii="Arial" w:hAnsi="宋体" w:cs="Arial"/>
          <w:kern w:val="0"/>
          <w:szCs w:val="21"/>
        </w:rPr>
        <w:t>。招标</w:t>
      </w:r>
      <w:r>
        <w:rPr>
          <w:rFonts w:hint="eastAsia" w:ascii="Arial" w:hAnsi="宋体" w:cs="Arial"/>
          <w:kern w:val="0"/>
          <w:szCs w:val="21"/>
        </w:rPr>
        <w:t>项目的</w:t>
      </w:r>
      <w:r>
        <w:rPr>
          <w:rFonts w:ascii="Arial" w:hAnsi="宋体" w:cs="Arial"/>
          <w:kern w:val="0"/>
          <w:szCs w:val="21"/>
        </w:rPr>
        <w:t>技术要求中未分</w:t>
      </w:r>
      <w:r>
        <w:rPr>
          <w:rFonts w:hint="eastAsia" w:ascii="Arial" w:hAnsi="宋体" w:cs="Arial"/>
          <w:kern w:val="0"/>
          <w:szCs w:val="21"/>
        </w:rPr>
        <w:t>标段</w:t>
      </w:r>
      <w:r>
        <w:rPr>
          <w:rFonts w:ascii="Arial" w:hAnsi="宋体" w:cs="Arial"/>
          <w:kern w:val="0"/>
          <w:szCs w:val="21"/>
        </w:rPr>
        <w:t>的，供应商对要求提供的服务不得部分投标；招标</w:t>
      </w:r>
      <w:r>
        <w:rPr>
          <w:rFonts w:hint="eastAsia" w:ascii="Arial" w:hAnsi="宋体" w:cs="Arial"/>
          <w:kern w:val="0"/>
          <w:szCs w:val="21"/>
        </w:rPr>
        <w:t>项目的</w:t>
      </w:r>
      <w:r>
        <w:rPr>
          <w:rFonts w:ascii="Arial" w:hAnsi="宋体" w:cs="Arial"/>
          <w:kern w:val="0"/>
          <w:szCs w:val="21"/>
        </w:rPr>
        <w:t>技术要求中已经分</w:t>
      </w:r>
      <w:r>
        <w:rPr>
          <w:rFonts w:hint="eastAsia" w:ascii="Arial" w:hAnsi="宋体" w:cs="Arial"/>
          <w:kern w:val="0"/>
          <w:szCs w:val="21"/>
        </w:rPr>
        <w:t>标段</w:t>
      </w:r>
      <w:r>
        <w:rPr>
          <w:rFonts w:ascii="Arial" w:hAnsi="宋体" w:cs="Arial"/>
          <w:kern w:val="0"/>
          <w:szCs w:val="21"/>
        </w:rPr>
        <w:t>的，可以以</w:t>
      </w:r>
      <w:r>
        <w:rPr>
          <w:rFonts w:hint="eastAsia" w:ascii="Arial" w:hAnsi="宋体" w:cs="Arial"/>
          <w:kern w:val="0"/>
          <w:szCs w:val="21"/>
        </w:rPr>
        <w:t>标段</w:t>
      </w:r>
      <w:r>
        <w:rPr>
          <w:rFonts w:ascii="Arial" w:hAnsi="宋体" w:cs="Arial"/>
          <w:kern w:val="0"/>
          <w:szCs w:val="21"/>
        </w:rPr>
        <w:t>为单位投标。</w:t>
      </w:r>
    </w:p>
    <w:p w14:paraId="53A33A48">
      <w:pPr>
        <w:widowControl/>
        <w:shd w:val="clear" w:color="auto" w:fill="FFFFFF"/>
        <w:spacing w:line="360" w:lineRule="auto"/>
        <w:ind w:firstLine="420"/>
        <w:rPr>
          <w:rFonts w:hint="eastAsia" w:ascii="Arial" w:hAnsi="宋体" w:cs="Arial"/>
          <w:kern w:val="0"/>
          <w:szCs w:val="21"/>
        </w:rPr>
      </w:pPr>
      <w:r>
        <w:rPr>
          <w:rFonts w:ascii="Arial" w:hAnsi="Arial" w:cs="Arial"/>
          <w:kern w:val="0"/>
          <w:szCs w:val="21"/>
        </w:rPr>
        <w:t xml:space="preserve">4.3 </w:t>
      </w:r>
      <w:r>
        <w:rPr>
          <w:rFonts w:hint="eastAsia" w:ascii="Arial" w:hAnsi="宋体" w:cs="Arial"/>
          <w:kern w:val="0"/>
          <w:szCs w:val="21"/>
        </w:rPr>
        <w:t>采购代理机构</w:t>
      </w:r>
      <w:r>
        <w:rPr>
          <w:rFonts w:ascii="Arial" w:hAnsi="宋体" w:cs="Arial"/>
          <w:kern w:val="0"/>
          <w:szCs w:val="21"/>
        </w:rPr>
        <w:t>如果要求供应商按照招标文件规定提交备选投标方案的，供应商可以提交备选方案；否则，备选方案将被拒绝。</w:t>
      </w:r>
    </w:p>
    <w:p w14:paraId="64FFED0B">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4</w:t>
      </w:r>
      <w:r>
        <w:rPr>
          <w:rFonts w:ascii="Arial" w:hAnsi="Arial" w:cs="Arial"/>
          <w:kern w:val="0"/>
          <w:szCs w:val="21"/>
        </w:rPr>
        <w:t>.</w:t>
      </w:r>
      <w:r>
        <w:rPr>
          <w:rFonts w:hint="eastAsia" w:ascii="Arial" w:hAnsi="Arial" w:cs="Arial"/>
          <w:kern w:val="0"/>
          <w:szCs w:val="21"/>
        </w:rPr>
        <w:t>4</w:t>
      </w:r>
      <w:r>
        <w:rPr>
          <w:rFonts w:ascii="Arial" w:hAnsi="宋体" w:cs="Arial"/>
          <w:kern w:val="0"/>
          <w:szCs w:val="21"/>
        </w:rPr>
        <w:t>招标文件中要求的产品品牌或型号，是</w:t>
      </w:r>
      <w:r>
        <w:rPr>
          <w:rFonts w:hint="eastAsia" w:ascii="Arial" w:hAnsi="宋体" w:cs="Arial"/>
          <w:kern w:val="0"/>
          <w:szCs w:val="21"/>
        </w:rPr>
        <w:t>采购人</w:t>
      </w:r>
      <w:r>
        <w:rPr>
          <w:rFonts w:ascii="Arial" w:hAnsi="宋体" w:cs="Arial"/>
          <w:kern w:val="0"/>
          <w:szCs w:val="21"/>
        </w:rPr>
        <w:t>根据项目所要实现的功能推荐的品牌或型号，仅供供应商参考，并不是限制条件。</w:t>
      </w:r>
    </w:p>
    <w:p w14:paraId="7A3836F7">
      <w:pPr>
        <w:widowControl/>
        <w:shd w:val="clear" w:color="auto" w:fill="FFFFFF"/>
        <w:spacing w:line="360" w:lineRule="auto"/>
        <w:ind w:firstLine="420"/>
        <w:rPr>
          <w:rFonts w:ascii="Arial" w:hAnsi="Arial" w:cs="Arial"/>
          <w:kern w:val="0"/>
          <w:szCs w:val="21"/>
        </w:rPr>
      </w:pPr>
      <w:r>
        <w:rPr>
          <w:rFonts w:ascii="Arial" w:hAnsi="Arial" w:cs="Arial"/>
          <w:b/>
          <w:bCs/>
          <w:kern w:val="0"/>
          <w:szCs w:val="21"/>
        </w:rPr>
        <w:t>5</w:t>
      </w:r>
      <w:r>
        <w:rPr>
          <w:rFonts w:hint="eastAsia" w:ascii="Arial" w:hAnsi="宋体" w:cs="Arial"/>
          <w:b/>
          <w:bCs/>
          <w:kern w:val="0"/>
          <w:szCs w:val="21"/>
        </w:rPr>
        <w:t>.招标文件的澄清或者修改</w:t>
      </w:r>
    </w:p>
    <w:p w14:paraId="386C02A7">
      <w:pPr>
        <w:widowControl/>
        <w:shd w:val="clear" w:color="auto" w:fill="FFFFFF"/>
        <w:spacing w:line="360" w:lineRule="auto"/>
        <w:ind w:firstLine="420"/>
        <w:rPr>
          <w:rFonts w:ascii="Arial" w:hAnsi="Arial" w:cs="Arial"/>
          <w:kern w:val="0"/>
          <w:szCs w:val="21"/>
        </w:rPr>
      </w:pPr>
      <w:r>
        <w:rPr>
          <w:rFonts w:ascii="Arial" w:hAnsi="Arial" w:cs="Arial"/>
          <w:kern w:val="0"/>
          <w:szCs w:val="21"/>
        </w:rPr>
        <w:t>5.1</w:t>
      </w:r>
      <w:r>
        <w:rPr>
          <w:rFonts w:hint="eastAsia" w:ascii="Arial" w:hAnsi="宋体" w:cs="Arial"/>
          <w:kern w:val="0"/>
          <w:szCs w:val="21"/>
        </w:rPr>
        <w:t>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3B55268">
      <w:pPr>
        <w:widowControl/>
        <w:shd w:val="clear" w:color="auto" w:fill="FFFFFF"/>
        <w:spacing w:line="360" w:lineRule="auto"/>
        <w:ind w:firstLine="420"/>
        <w:rPr>
          <w:rFonts w:ascii="Arial" w:hAnsi="Arial" w:cs="Arial"/>
          <w:kern w:val="0"/>
          <w:szCs w:val="21"/>
        </w:rPr>
      </w:pPr>
      <w:r>
        <w:rPr>
          <w:rFonts w:hint="eastAsia" w:ascii="Arial" w:hAnsi="宋体" w:cs="Arial"/>
          <w:kern w:val="0"/>
          <w:szCs w:val="21"/>
        </w:rPr>
        <w:t>5.2 澄清或者修改的内容可能影响投标文件编制的，采购人或者采购代理机构应当在投标截止时间至少</w:t>
      </w:r>
      <w:r>
        <w:rPr>
          <w:rFonts w:ascii="Arial" w:hAnsi="Arial" w:cs="Arial"/>
          <w:kern w:val="0"/>
          <w:szCs w:val="21"/>
        </w:rPr>
        <w:t>15</w:t>
      </w:r>
      <w:r>
        <w:rPr>
          <w:rFonts w:hint="eastAsia" w:ascii="Arial" w:hAnsi="宋体" w:cs="Arial"/>
          <w:kern w:val="0"/>
          <w:szCs w:val="21"/>
        </w:rPr>
        <w:t>日前，以书面形式通知所有获取招标文件的潜在供应商；不足</w:t>
      </w:r>
      <w:r>
        <w:rPr>
          <w:rFonts w:ascii="Arial" w:hAnsi="Arial" w:cs="Arial"/>
          <w:kern w:val="0"/>
          <w:szCs w:val="21"/>
        </w:rPr>
        <w:t>15</w:t>
      </w:r>
      <w:r>
        <w:rPr>
          <w:rFonts w:hint="eastAsia" w:ascii="Arial" w:hAnsi="宋体" w:cs="Arial"/>
          <w:kern w:val="0"/>
          <w:szCs w:val="21"/>
        </w:rPr>
        <w:t>日的，采购人或者采购代理机构应当顺延提交投标文件的截止时间。</w:t>
      </w:r>
    </w:p>
    <w:p w14:paraId="10194A67">
      <w:pPr>
        <w:widowControl/>
        <w:shd w:val="clear" w:color="auto" w:fill="FFFFFF"/>
        <w:spacing w:line="360" w:lineRule="auto"/>
        <w:ind w:firstLine="420"/>
        <w:rPr>
          <w:rFonts w:ascii="Arial" w:hAnsi="Arial" w:cs="Arial"/>
          <w:kern w:val="0"/>
          <w:szCs w:val="21"/>
        </w:rPr>
      </w:pPr>
      <w:r>
        <w:rPr>
          <w:rFonts w:hint="eastAsia" w:ascii="Arial" w:hAnsi="宋体" w:cs="Arial"/>
          <w:b/>
          <w:bCs/>
          <w:kern w:val="0"/>
          <w:szCs w:val="21"/>
        </w:rPr>
        <w:t>三、投标文件的编制</w:t>
      </w:r>
    </w:p>
    <w:p w14:paraId="170F9EF4">
      <w:pPr>
        <w:widowControl/>
        <w:shd w:val="clear" w:color="auto" w:fill="FFFFFF"/>
        <w:spacing w:line="360" w:lineRule="auto"/>
        <w:ind w:firstLine="420"/>
        <w:rPr>
          <w:rFonts w:ascii="Arial" w:hAnsi="Arial" w:cs="Arial"/>
          <w:kern w:val="0"/>
          <w:szCs w:val="21"/>
        </w:rPr>
      </w:pPr>
      <w:r>
        <w:rPr>
          <w:rFonts w:ascii="Arial" w:hAnsi="Arial" w:cs="Arial"/>
          <w:b/>
          <w:bCs/>
          <w:kern w:val="0"/>
          <w:szCs w:val="21"/>
        </w:rPr>
        <w:t>6</w:t>
      </w:r>
      <w:r>
        <w:rPr>
          <w:rFonts w:hint="eastAsia" w:ascii="Arial" w:hAnsi="宋体" w:cs="Arial"/>
          <w:b/>
          <w:bCs/>
          <w:kern w:val="0"/>
          <w:szCs w:val="21"/>
        </w:rPr>
        <w:t>.投标文件的语言、计量单位、货币和编制</w:t>
      </w:r>
    </w:p>
    <w:p w14:paraId="7587EFBE">
      <w:pPr>
        <w:widowControl/>
        <w:shd w:val="clear" w:color="auto" w:fill="FFFFFF"/>
        <w:spacing w:line="360" w:lineRule="auto"/>
        <w:ind w:firstLine="420"/>
        <w:rPr>
          <w:rFonts w:ascii="Arial" w:hAnsi="Arial" w:cs="Arial"/>
          <w:kern w:val="0"/>
          <w:szCs w:val="21"/>
        </w:rPr>
      </w:pPr>
      <w:r>
        <w:rPr>
          <w:rFonts w:ascii="Arial" w:hAnsi="Arial" w:cs="Arial"/>
          <w:kern w:val="0"/>
          <w:szCs w:val="21"/>
        </w:rPr>
        <w:t>6.1</w:t>
      </w:r>
      <w:r>
        <w:rPr>
          <w:rFonts w:hint="eastAsia" w:ascii="Arial" w:hAnsi="宋体" w:cs="Arial"/>
          <w:kern w:val="0"/>
          <w:szCs w:val="21"/>
        </w:rPr>
        <w:t>供应商提交的投标文件、技术文件和资料，包括图纸中的说明，以及供应商与采购代理机构就有关投标的所有来往函电均应使用中文。投标文件中若有英文或其他语言文字的资料，应提供相应的中文翻译资料。对不同文本投标文件的解释发生异议的，以中文文本为准。</w:t>
      </w:r>
    </w:p>
    <w:p w14:paraId="652D841A">
      <w:pPr>
        <w:widowControl/>
        <w:shd w:val="clear" w:color="auto" w:fill="FFFFFF"/>
        <w:spacing w:line="360" w:lineRule="auto"/>
        <w:ind w:firstLine="420"/>
        <w:rPr>
          <w:rFonts w:hint="eastAsia" w:ascii="Arial" w:hAnsi="宋体" w:cs="Arial"/>
          <w:kern w:val="0"/>
          <w:szCs w:val="21"/>
        </w:rPr>
      </w:pPr>
      <w:r>
        <w:rPr>
          <w:rFonts w:ascii="Arial" w:hAnsi="Arial" w:cs="Arial"/>
          <w:kern w:val="0"/>
          <w:szCs w:val="21"/>
        </w:rPr>
        <w:t>6.2</w:t>
      </w:r>
      <w:r>
        <w:rPr>
          <w:rFonts w:hint="eastAsia" w:ascii="Arial" w:hAnsi="宋体" w:cs="Arial"/>
          <w:kern w:val="0"/>
          <w:szCs w:val="21"/>
        </w:rPr>
        <w:t>供应商所使用的计量单位应为国家法定计量单位。</w:t>
      </w:r>
    </w:p>
    <w:p w14:paraId="5E05667F">
      <w:pPr>
        <w:widowControl/>
        <w:shd w:val="clear" w:color="auto" w:fill="FFFFFF"/>
        <w:spacing w:line="360" w:lineRule="auto"/>
        <w:ind w:firstLine="420"/>
        <w:rPr>
          <w:rFonts w:hint="eastAsia" w:ascii="Arial" w:hAnsi="宋体" w:cs="Arial"/>
          <w:kern w:val="0"/>
          <w:szCs w:val="21"/>
        </w:rPr>
      </w:pPr>
      <w:r>
        <w:rPr>
          <w:rFonts w:hint="eastAsia" w:ascii="Arial" w:hAnsi="Arial" w:cs="Arial"/>
          <w:kern w:val="0"/>
          <w:szCs w:val="21"/>
        </w:rPr>
        <w:t>6.3</w:t>
      </w:r>
      <w:r>
        <w:rPr>
          <w:rFonts w:hint="eastAsia" w:ascii="宋体" w:hAnsi="宋体" w:cs="宋体"/>
          <w:kern w:val="0"/>
          <w:szCs w:val="21"/>
        </w:rPr>
        <w:t>供应商应用</w:t>
      </w:r>
      <w:r>
        <w:rPr>
          <w:rFonts w:hint="eastAsia" w:ascii="宋体" w:hAnsi="宋体" w:cs="Arial"/>
          <w:szCs w:val="21"/>
        </w:rPr>
        <w:t>折扣率</w:t>
      </w:r>
      <w:r>
        <w:rPr>
          <w:rFonts w:hint="eastAsia" w:ascii="宋体" w:hAnsi="宋体" w:cs="宋体"/>
          <w:kern w:val="0"/>
          <w:szCs w:val="21"/>
        </w:rPr>
        <w:t>报价</w:t>
      </w:r>
      <w:r>
        <w:rPr>
          <w:rFonts w:hint="eastAsia" w:ascii="宋体" w:hAnsi="宋体" w:cs="宋体"/>
          <w:b/>
          <w:bCs/>
          <w:kern w:val="0"/>
          <w:szCs w:val="21"/>
        </w:rPr>
        <w:t>。</w:t>
      </w:r>
    </w:p>
    <w:p w14:paraId="4FC59FDE">
      <w:pPr>
        <w:widowControl/>
        <w:shd w:val="clear" w:color="auto" w:fill="FFFFFF"/>
        <w:spacing w:line="360" w:lineRule="auto"/>
        <w:ind w:firstLine="420"/>
        <w:rPr>
          <w:rFonts w:hint="eastAsia" w:ascii="Arial" w:hAnsi="宋体" w:cs="Arial"/>
          <w:kern w:val="0"/>
          <w:szCs w:val="21"/>
        </w:rPr>
      </w:pPr>
      <w:r>
        <w:rPr>
          <w:rFonts w:ascii="Arial" w:hAnsi="Arial" w:cs="Arial"/>
          <w:kern w:val="0"/>
          <w:szCs w:val="21"/>
        </w:rPr>
        <w:t>6.</w:t>
      </w:r>
      <w:r>
        <w:rPr>
          <w:rFonts w:hint="eastAsia" w:ascii="Arial" w:hAnsi="Arial" w:cs="Arial"/>
          <w:kern w:val="0"/>
          <w:szCs w:val="21"/>
        </w:rPr>
        <w:t>4</w:t>
      </w:r>
      <w:r>
        <w:rPr>
          <w:rFonts w:hint="eastAsia" w:ascii="Arial" w:hAnsi="宋体" w:cs="Arial"/>
          <w:kern w:val="0"/>
          <w:szCs w:val="21"/>
        </w:rPr>
        <w:t>投标文件应按照招标文件规定的顺序打印、装订成册并编制目录。</w:t>
      </w:r>
    </w:p>
    <w:p w14:paraId="5ABA28AA">
      <w:pPr>
        <w:widowControl/>
        <w:shd w:val="clear" w:color="auto" w:fill="FFFFFF"/>
        <w:spacing w:line="360" w:lineRule="auto"/>
        <w:ind w:firstLine="420"/>
        <w:rPr>
          <w:rFonts w:ascii="Arial" w:hAnsi="Arial" w:cs="Arial"/>
          <w:kern w:val="0"/>
          <w:szCs w:val="21"/>
        </w:rPr>
      </w:pPr>
      <w:r>
        <w:rPr>
          <w:rFonts w:ascii="Arial" w:hAnsi="Arial" w:cs="Arial"/>
          <w:kern w:val="0"/>
          <w:szCs w:val="21"/>
        </w:rPr>
        <w:t>6.</w:t>
      </w:r>
      <w:r>
        <w:rPr>
          <w:rFonts w:hint="eastAsia" w:ascii="Arial" w:hAnsi="Arial" w:cs="Arial"/>
          <w:kern w:val="0"/>
          <w:szCs w:val="21"/>
        </w:rPr>
        <w:t>5</w:t>
      </w:r>
      <w:r>
        <w:rPr>
          <w:rFonts w:hint="eastAsia" w:ascii="Arial" w:hAnsi="宋体" w:cs="Arial"/>
          <w:kern w:val="0"/>
          <w:szCs w:val="21"/>
        </w:rPr>
        <w:t>供应商应在投标文件中写清相应的项目编号、项目名称、供应商全称、地址、电话、传真等。</w:t>
      </w:r>
    </w:p>
    <w:p w14:paraId="5999EDAB">
      <w:pPr>
        <w:widowControl/>
        <w:shd w:val="clear" w:color="auto" w:fill="FFFFFF"/>
        <w:spacing w:line="360" w:lineRule="auto"/>
        <w:ind w:firstLine="412"/>
        <w:rPr>
          <w:rFonts w:ascii="Arial" w:hAnsi="Arial" w:cs="Arial"/>
          <w:kern w:val="0"/>
          <w:szCs w:val="21"/>
        </w:rPr>
      </w:pPr>
      <w:r>
        <w:rPr>
          <w:rFonts w:ascii="Arial" w:hAnsi="Arial" w:cs="Arial"/>
          <w:bCs/>
          <w:kern w:val="0"/>
          <w:szCs w:val="21"/>
        </w:rPr>
        <w:t>6.</w:t>
      </w:r>
      <w:r>
        <w:rPr>
          <w:rFonts w:hint="eastAsia" w:ascii="Arial" w:hAnsi="Arial" w:cs="Arial"/>
          <w:bCs/>
          <w:kern w:val="0"/>
          <w:szCs w:val="21"/>
        </w:rPr>
        <w:t>6</w:t>
      </w:r>
      <w:r>
        <w:rPr>
          <w:rFonts w:hint="eastAsia" w:ascii="Arial" w:hAnsi="宋体" w:cs="Arial"/>
          <w:kern w:val="0"/>
          <w:szCs w:val="21"/>
        </w:rPr>
        <w:t>供应商根据招标文件载明的标的采购项目实际情况，拟在中标后将中标项目的非主体、非关键性工作交由他人完成的，应当在投标文件中载明。</w:t>
      </w:r>
    </w:p>
    <w:p w14:paraId="4C9929F3">
      <w:pPr>
        <w:widowControl/>
        <w:shd w:val="clear" w:color="auto" w:fill="FFFFFF"/>
        <w:spacing w:line="360" w:lineRule="auto"/>
        <w:ind w:firstLine="420"/>
        <w:rPr>
          <w:rFonts w:hint="eastAsia" w:ascii="Arial" w:hAnsi="宋体" w:cs="Arial"/>
          <w:b/>
          <w:bCs/>
          <w:kern w:val="0"/>
          <w:szCs w:val="21"/>
        </w:rPr>
      </w:pPr>
      <w:r>
        <w:rPr>
          <w:rFonts w:ascii="Arial" w:hAnsi="Arial" w:cs="Arial"/>
          <w:b/>
          <w:bCs/>
          <w:kern w:val="0"/>
          <w:szCs w:val="21"/>
        </w:rPr>
        <w:t>7</w:t>
      </w:r>
      <w:r>
        <w:rPr>
          <w:rFonts w:hint="eastAsia" w:ascii="Arial" w:hAnsi="宋体" w:cs="Arial"/>
          <w:b/>
          <w:bCs/>
          <w:kern w:val="0"/>
          <w:szCs w:val="21"/>
        </w:rPr>
        <w:t>.联合体投标（如允许）</w:t>
      </w:r>
    </w:p>
    <w:p w14:paraId="2A8AA4D6">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7.1 两个以上的自然人、法人或者其他组织可以组成一个联合体，以一个供应商的身份共同参加政府采购。</w:t>
      </w:r>
    </w:p>
    <w:p w14:paraId="7E68198D">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7.2 联合体中有同类资质的供应商按照联合体分工承担相同工作的，按照资质等级较低的供应商确定资质等级。</w:t>
      </w:r>
    </w:p>
    <w:p w14:paraId="6985D5BD">
      <w:pPr>
        <w:widowControl/>
        <w:shd w:val="clear" w:color="auto" w:fill="FFFFFF"/>
        <w:spacing w:line="360" w:lineRule="auto"/>
        <w:ind w:firstLine="420"/>
        <w:rPr>
          <w:rFonts w:ascii="Arial" w:hAnsi="Arial" w:cs="Arial"/>
          <w:bCs/>
          <w:kern w:val="0"/>
          <w:szCs w:val="21"/>
        </w:rPr>
      </w:pPr>
      <w:r>
        <w:rPr>
          <w:rFonts w:ascii="Arial" w:hAnsi="Arial" w:cs="Arial"/>
          <w:bCs/>
          <w:kern w:val="0"/>
          <w:szCs w:val="21"/>
        </w:rPr>
        <w:t>7.3 联合体各方之间应当签订联合体协议，明确约定联合体各方承担的工作和相应的责任，并将联合体协议连同投标文件一同提交。</w:t>
      </w:r>
    </w:p>
    <w:p w14:paraId="0FDD5422">
      <w:pPr>
        <w:widowControl/>
        <w:shd w:val="clear" w:color="auto" w:fill="FFFFFF"/>
        <w:spacing w:line="360" w:lineRule="auto"/>
        <w:ind w:firstLine="412"/>
        <w:rPr>
          <w:rFonts w:ascii="Arial" w:hAnsi="Arial" w:cs="Arial"/>
          <w:kern w:val="0"/>
          <w:szCs w:val="21"/>
        </w:rPr>
      </w:pPr>
      <w:r>
        <w:rPr>
          <w:rFonts w:ascii="Arial" w:hAnsi="Arial" w:cs="Arial"/>
          <w:bCs/>
          <w:kern w:val="0"/>
          <w:szCs w:val="21"/>
        </w:rPr>
        <w:t>7.4 以联合体形式参加政府采购活动的，联合体各方不得再单独参加或者与其他供应商另外组成联合体参加同一合同项下的政府采购活动。</w:t>
      </w:r>
    </w:p>
    <w:p w14:paraId="2E32A0D9">
      <w:pPr>
        <w:widowControl/>
        <w:shd w:val="clear" w:color="auto" w:fill="FFFFFF"/>
        <w:spacing w:line="360" w:lineRule="auto"/>
        <w:ind w:firstLine="420"/>
        <w:rPr>
          <w:rFonts w:ascii="Arial" w:hAnsi="Arial" w:cs="Arial"/>
          <w:kern w:val="0"/>
          <w:szCs w:val="21"/>
        </w:rPr>
      </w:pPr>
      <w:r>
        <w:rPr>
          <w:rFonts w:hint="eastAsia" w:ascii="Arial" w:hAnsi="宋体" w:cs="Arial"/>
          <w:b/>
          <w:bCs/>
          <w:kern w:val="0"/>
          <w:szCs w:val="21"/>
        </w:rPr>
        <w:t>8.投标文件的组成</w:t>
      </w:r>
    </w:p>
    <w:p w14:paraId="76600BA4">
      <w:pPr>
        <w:widowControl/>
        <w:shd w:val="clear" w:color="auto" w:fill="FFFFFF"/>
        <w:spacing w:line="360" w:lineRule="auto"/>
        <w:ind w:firstLine="420"/>
        <w:jc w:val="left"/>
        <w:rPr>
          <w:rFonts w:ascii="Arial" w:hAnsi="Arial" w:cs="Arial"/>
          <w:b/>
          <w:kern w:val="0"/>
          <w:szCs w:val="21"/>
        </w:rPr>
      </w:pPr>
      <w:r>
        <w:rPr>
          <w:rFonts w:hint="eastAsia" w:ascii="Arial" w:hAnsi="Arial" w:cs="Arial"/>
          <w:kern w:val="0"/>
          <w:szCs w:val="21"/>
        </w:rPr>
        <w:t>8</w:t>
      </w:r>
      <w:r>
        <w:rPr>
          <w:rFonts w:ascii="Arial" w:hAnsi="Arial" w:cs="Arial"/>
          <w:kern w:val="0"/>
          <w:szCs w:val="21"/>
        </w:rPr>
        <w:t>.1</w:t>
      </w:r>
      <w:r>
        <w:rPr>
          <w:rFonts w:hint="eastAsia" w:ascii="Arial" w:hAnsi="宋体" w:cs="Arial"/>
          <w:kern w:val="0"/>
          <w:szCs w:val="21"/>
        </w:rPr>
        <w:t>供应商应当根据招标文件要求编制投标文件，投标文件应对招标文件提出的要求和条件作出实质性响应，并在《商务条款偏离表》和《服务需求偏离表》等处逐条标明满足与否。</w:t>
      </w:r>
    </w:p>
    <w:p w14:paraId="05561780">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8</w:t>
      </w:r>
      <w:r>
        <w:rPr>
          <w:rFonts w:ascii="Arial" w:hAnsi="Arial" w:cs="Arial"/>
          <w:kern w:val="0"/>
          <w:szCs w:val="21"/>
        </w:rPr>
        <w:t xml:space="preserve">.2 </w:t>
      </w:r>
      <w:r>
        <w:rPr>
          <w:rFonts w:hint="eastAsia" w:ascii="Arial" w:hAnsi="宋体" w:cs="Arial"/>
          <w:kern w:val="0"/>
          <w:szCs w:val="21"/>
        </w:rPr>
        <w:t>投标文件由商务部分、技术部分、价格部分以及其他部分组成。投标文件目录及有关格式按招标文件“第六章 投标文件格式及附件”的要求编制。</w:t>
      </w:r>
    </w:p>
    <w:p w14:paraId="7B0FF096">
      <w:pPr>
        <w:widowControl/>
        <w:shd w:val="clear" w:color="auto" w:fill="FFFFFF"/>
        <w:spacing w:line="360" w:lineRule="auto"/>
        <w:ind w:firstLine="420"/>
        <w:rPr>
          <w:rFonts w:ascii="Arial" w:hAnsi="Arial" w:cs="Arial"/>
          <w:kern w:val="0"/>
          <w:szCs w:val="21"/>
        </w:rPr>
      </w:pPr>
      <w:r>
        <w:rPr>
          <w:rFonts w:hint="eastAsia" w:ascii="Arial" w:hAnsi="Arial" w:cs="Arial"/>
          <w:b/>
          <w:bCs/>
          <w:kern w:val="0"/>
          <w:szCs w:val="21"/>
        </w:rPr>
        <w:t>9</w:t>
      </w:r>
      <w:r>
        <w:rPr>
          <w:rFonts w:hint="eastAsia" w:ascii="Arial" w:hAnsi="宋体" w:cs="Arial"/>
          <w:b/>
          <w:bCs/>
          <w:kern w:val="0"/>
          <w:szCs w:val="21"/>
        </w:rPr>
        <w:t>.投标文件的商务部分</w:t>
      </w:r>
    </w:p>
    <w:p w14:paraId="7AF8F779">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9</w:t>
      </w:r>
      <w:r>
        <w:rPr>
          <w:rFonts w:ascii="Arial" w:hAnsi="Arial" w:cs="Arial"/>
          <w:kern w:val="0"/>
          <w:szCs w:val="21"/>
        </w:rPr>
        <w:t>.1</w:t>
      </w:r>
      <w:r>
        <w:rPr>
          <w:rFonts w:hint="eastAsia" w:ascii="Arial" w:hAnsi="宋体" w:cs="Arial"/>
          <w:kern w:val="0"/>
          <w:szCs w:val="21"/>
        </w:rPr>
        <w:t>商务部分是证明供应商有资格参加投标和中标后有能力履行合同的文件，这些文件应能满足招标的要求，包括但不限于下列文件（</w:t>
      </w:r>
      <w:r>
        <w:rPr>
          <w:rFonts w:hint="eastAsia" w:ascii="Arial" w:hAnsi="宋体" w:cs="Arial"/>
          <w:b/>
          <w:kern w:val="0"/>
          <w:szCs w:val="21"/>
        </w:rPr>
        <w:t>（</w:t>
      </w:r>
      <w:r>
        <w:rPr>
          <w:rFonts w:ascii="Arial" w:hAnsi="Arial" w:cs="Arial"/>
          <w:b/>
          <w:kern w:val="0"/>
          <w:szCs w:val="21"/>
        </w:rPr>
        <w:t>1</w:t>
      </w:r>
      <w:r>
        <w:rPr>
          <w:rFonts w:hint="eastAsia" w:ascii="Arial" w:hAnsi="宋体" w:cs="Arial"/>
          <w:b/>
          <w:kern w:val="0"/>
          <w:szCs w:val="21"/>
        </w:rPr>
        <w:t>）</w:t>
      </w:r>
      <w:r>
        <w:rPr>
          <w:rFonts w:ascii="Arial" w:hAnsi="Arial" w:cs="Arial"/>
          <w:b/>
          <w:kern w:val="0"/>
          <w:szCs w:val="21"/>
        </w:rPr>
        <w:t>-</w:t>
      </w:r>
      <w:r>
        <w:rPr>
          <w:rFonts w:hint="eastAsia" w:ascii="Arial" w:hAnsi="宋体" w:cs="Arial"/>
          <w:b/>
          <w:kern w:val="0"/>
          <w:szCs w:val="21"/>
        </w:rPr>
        <w:t>（</w:t>
      </w:r>
      <w:r>
        <w:rPr>
          <w:rFonts w:ascii="Arial" w:hAnsi="Arial" w:cs="Arial"/>
          <w:b/>
          <w:kern w:val="0"/>
          <w:szCs w:val="21"/>
        </w:rPr>
        <w:t>6</w:t>
      </w:r>
      <w:r>
        <w:rPr>
          <w:rFonts w:hint="eastAsia" w:ascii="Arial" w:hAnsi="宋体" w:cs="Arial"/>
          <w:b/>
          <w:kern w:val="0"/>
          <w:szCs w:val="21"/>
        </w:rPr>
        <w:t>）所述材料不得有缺失或提供不全或不满足招标文件的实质性要求</w:t>
      </w:r>
      <w:r>
        <w:rPr>
          <w:rFonts w:hint="eastAsia" w:ascii="Arial" w:hAnsi="宋体" w:cs="Arial"/>
          <w:kern w:val="0"/>
          <w:szCs w:val="21"/>
        </w:rPr>
        <w:t>）：</w:t>
      </w:r>
    </w:p>
    <w:p w14:paraId="0B3A5654">
      <w:pPr>
        <w:widowControl/>
        <w:shd w:val="clear" w:color="auto" w:fill="FFFFFF"/>
        <w:spacing w:line="360" w:lineRule="auto"/>
        <w:ind w:firstLine="420"/>
        <w:jc w:val="left"/>
        <w:rPr>
          <w:rFonts w:ascii="Arial" w:hAnsi="Arial" w:cs="Arial"/>
          <w:kern w:val="0"/>
          <w:szCs w:val="21"/>
        </w:rPr>
      </w:pPr>
      <w:r>
        <w:rPr>
          <w:rFonts w:hint="eastAsia" w:ascii="Arial" w:hAnsi="宋体" w:cs="Arial"/>
          <w:kern w:val="0"/>
          <w:szCs w:val="21"/>
        </w:rPr>
        <w:t>（</w:t>
      </w:r>
      <w:r>
        <w:rPr>
          <w:rFonts w:ascii="Arial" w:hAnsi="Arial" w:cs="Arial"/>
          <w:kern w:val="0"/>
          <w:szCs w:val="21"/>
        </w:rPr>
        <w:t>1</w:t>
      </w:r>
      <w:r>
        <w:rPr>
          <w:rFonts w:hint="eastAsia" w:ascii="Arial" w:hAnsi="宋体" w:cs="Arial"/>
          <w:kern w:val="0"/>
          <w:szCs w:val="21"/>
        </w:rPr>
        <w:t>）投标函（投标申请及声明）</w:t>
      </w:r>
      <w:r>
        <w:rPr>
          <w:rFonts w:hint="eastAsia" w:ascii="Arial" w:hAnsi="宋体" w:cs="Arial"/>
          <w:bCs/>
          <w:szCs w:val="21"/>
        </w:rPr>
        <w:t>（</w:t>
      </w:r>
      <w:r>
        <w:rPr>
          <w:rFonts w:hint="eastAsia" w:ascii="Arial" w:hAnsi="宋体" w:cs="Arial"/>
          <w:b/>
          <w:bCs/>
          <w:szCs w:val="21"/>
        </w:rPr>
        <w:t>格式见附件</w:t>
      </w:r>
      <w:r>
        <w:rPr>
          <w:rFonts w:hint="eastAsia" w:ascii="Arial" w:hAnsi="宋体" w:cs="Arial"/>
          <w:bCs/>
          <w:szCs w:val="21"/>
        </w:rPr>
        <w:t>）</w:t>
      </w:r>
      <w:r>
        <w:rPr>
          <w:rFonts w:hint="eastAsia" w:ascii="Arial" w:hAnsi="宋体" w:cs="Arial"/>
          <w:kern w:val="0"/>
          <w:szCs w:val="21"/>
        </w:rPr>
        <w:t>；</w:t>
      </w:r>
    </w:p>
    <w:p w14:paraId="79A8E74C">
      <w:pPr>
        <w:widowControl/>
        <w:shd w:val="clear" w:color="auto" w:fill="FFFFFF"/>
        <w:spacing w:line="360" w:lineRule="auto"/>
        <w:ind w:firstLine="420" w:firstLineChars="200"/>
        <w:jc w:val="left"/>
        <w:rPr>
          <w:rFonts w:ascii="Arial" w:hAnsi="Arial" w:cs="Arial"/>
          <w:kern w:val="0"/>
          <w:szCs w:val="21"/>
        </w:rPr>
      </w:pPr>
      <w:r>
        <w:rPr>
          <w:rFonts w:hint="eastAsia" w:ascii="Arial" w:hAnsi="宋体" w:cs="Arial"/>
          <w:kern w:val="0"/>
          <w:szCs w:val="21"/>
        </w:rPr>
        <w:t>（</w:t>
      </w:r>
      <w:r>
        <w:rPr>
          <w:rFonts w:ascii="Arial" w:hAnsi="Arial" w:cs="Arial"/>
          <w:kern w:val="0"/>
          <w:szCs w:val="21"/>
        </w:rPr>
        <w:t>2</w:t>
      </w:r>
      <w:r>
        <w:rPr>
          <w:rFonts w:hint="eastAsia" w:ascii="Arial" w:hAnsi="宋体" w:cs="Arial"/>
          <w:kern w:val="0"/>
          <w:szCs w:val="21"/>
        </w:rPr>
        <w:t>）法定代表人授权委托书及法定代表人、委托代理人的身份证明文件的复印件</w:t>
      </w:r>
      <w:r>
        <w:rPr>
          <w:rFonts w:hint="eastAsia" w:ascii="Arial" w:hAnsi="宋体" w:cs="Arial"/>
          <w:bCs/>
          <w:szCs w:val="21"/>
        </w:rPr>
        <w:t>（</w:t>
      </w:r>
      <w:r>
        <w:rPr>
          <w:rFonts w:hint="eastAsia" w:ascii="Arial" w:hAnsi="宋体" w:cs="Arial"/>
          <w:b/>
          <w:bCs/>
          <w:szCs w:val="21"/>
        </w:rPr>
        <w:t>格式见附件</w:t>
      </w:r>
      <w:r>
        <w:rPr>
          <w:rFonts w:hint="eastAsia" w:ascii="Arial" w:hAnsi="宋体" w:cs="Arial"/>
          <w:bCs/>
          <w:szCs w:val="21"/>
        </w:rPr>
        <w:t>）</w:t>
      </w:r>
      <w:r>
        <w:rPr>
          <w:rFonts w:hint="eastAsia" w:ascii="Arial" w:hAnsi="宋体" w:cs="Arial"/>
          <w:kern w:val="0"/>
          <w:szCs w:val="21"/>
        </w:rPr>
        <w:t>；</w:t>
      </w:r>
    </w:p>
    <w:p w14:paraId="0EF94C2F">
      <w:pPr>
        <w:widowControl/>
        <w:shd w:val="clear" w:color="auto" w:fill="FFFFFF"/>
        <w:spacing w:line="360" w:lineRule="auto"/>
        <w:ind w:firstLine="420"/>
        <w:rPr>
          <w:rFonts w:ascii="Arial" w:hAnsi="Arial" w:cs="Arial"/>
          <w:kern w:val="0"/>
          <w:szCs w:val="21"/>
        </w:rPr>
      </w:pPr>
      <w:r>
        <w:rPr>
          <w:rFonts w:hint="eastAsia" w:ascii="Arial" w:hAnsi="宋体" w:cs="Arial"/>
          <w:kern w:val="0"/>
          <w:szCs w:val="21"/>
        </w:rPr>
        <w:t>（</w:t>
      </w:r>
      <w:r>
        <w:rPr>
          <w:rFonts w:ascii="Arial" w:hAnsi="Arial" w:cs="Arial"/>
          <w:kern w:val="0"/>
          <w:szCs w:val="21"/>
        </w:rPr>
        <w:t>3</w:t>
      </w:r>
      <w:r>
        <w:rPr>
          <w:rFonts w:hint="eastAsia" w:ascii="Arial" w:hAnsi="宋体" w:cs="Arial"/>
          <w:kern w:val="0"/>
          <w:szCs w:val="21"/>
        </w:rPr>
        <w:t>）供应商资格资信证明文件：</w:t>
      </w:r>
    </w:p>
    <w:p w14:paraId="6C00D0D1">
      <w:pPr>
        <w:widowControl/>
        <w:shd w:val="clear" w:color="auto" w:fill="FFFFFF"/>
        <w:spacing w:line="360" w:lineRule="auto"/>
        <w:ind w:firstLine="420" w:firstLineChars="200"/>
        <w:jc w:val="left"/>
        <w:rPr>
          <w:rFonts w:hint="eastAsia" w:ascii="Arial" w:hAnsi="宋体" w:cs="Arial"/>
          <w:kern w:val="0"/>
          <w:szCs w:val="21"/>
        </w:rPr>
      </w:pPr>
      <w:r>
        <w:rPr>
          <w:rFonts w:hint="eastAsia" w:ascii="Arial" w:hAnsi="宋体" w:cs="Arial"/>
          <w:kern w:val="0"/>
          <w:szCs w:val="21"/>
        </w:rPr>
        <w:t>1）第一章招标公告中</w:t>
      </w:r>
      <w:r>
        <w:rPr>
          <w:rFonts w:ascii="Arial" w:hAnsi="宋体" w:cs="Arial"/>
          <w:kern w:val="0"/>
          <w:szCs w:val="21"/>
        </w:rPr>
        <w:t>2.1</w:t>
      </w:r>
      <w:r>
        <w:rPr>
          <w:rFonts w:hint="eastAsia" w:ascii="Arial" w:hAnsi="宋体" w:cs="Arial"/>
          <w:kern w:val="0"/>
          <w:szCs w:val="21"/>
        </w:rPr>
        <w:t>《中华人民共和国政府采购法》规定的资格条件证明文件；</w:t>
      </w:r>
    </w:p>
    <w:p w14:paraId="179BE475">
      <w:pPr>
        <w:widowControl/>
        <w:shd w:val="clear" w:color="auto" w:fill="FFFFFF"/>
        <w:spacing w:line="360" w:lineRule="auto"/>
        <w:ind w:firstLine="420" w:firstLineChars="200"/>
        <w:jc w:val="left"/>
        <w:rPr>
          <w:rFonts w:hint="eastAsia" w:ascii="Arial" w:hAnsi="宋体" w:cs="Arial"/>
          <w:kern w:val="0"/>
          <w:szCs w:val="21"/>
        </w:rPr>
      </w:pPr>
      <w:r>
        <w:rPr>
          <w:rFonts w:ascii="Arial" w:hAnsi="宋体" w:cs="Arial"/>
          <w:kern w:val="0"/>
          <w:szCs w:val="21"/>
        </w:rPr>
        <w:t>2</w:t>
      </w:r>
      <w:r>
        <w:rPr>
          <w:rFonts w:hint="eastAsia" w:ascii="Arial" w:hAnsi="宋体" w:cs="Arial"/>
          <w:kern w:val="0"/>
          <w:szCs w:val="21"/>
        </w:rPr>
        <w:t>）第一章招标公告中</w:t>
      </w:r>
      <w:r>
        <w:rPr>
          <w:rFonts w:ascii="Arial" w:hAnsi="宋体" w:cs="Arial"/>
          <w:kern w:val="0"/>
          <w:szCs w:val="21"/>
        </w:rPr>
        <w:t>2.2</w:t>
      </w:r>
      <w:r>
        <w:rPr>
          <w:rFonts w:hint="eastAsia" w:ascii="Arial" w:hAnsi="宋体" w:cs="Arial"/>
          <w:kern w:val="0"/>
          <w:szCs w:val="21"/>
        </w:rPr>
        <w:t>落实政府采购政策需满足的资格要求；</w:t>
      </w:r>
    </w:p>
    <w:p w14:paraId="65F40E1D">
      <w:pPr>
        <w:widowControl/>
        <w:shd w:val="clear" w:color="auto" w:fill="FFFFFF"/>
        <w:spacing w:line="360" w:lineRule="auto"/>
        <w:ind w:firstLine="420" w:firstLineChars="200"/>
        <w:jc w:val="left"/>
        <w:rPr>
          <w:rFonts w:hint="eastAsia" w:ascii="Arial" w:hAnsi="宋体" w:cs="Arial"/>
          <w:kern w:val="0"/>
          <w:szCs w:val="21"/>
        </w:rPr>
      </w:pPr>
      <w:r>
        <w:rPr>
          <w:rFonts w:ascii="Arial" w:hAnsi="宋体" w:cs="Arial"/>
          <w:kern w:val="0"/>
          <w:szCs w:val="21"/>
        </w:rPr>
        <w:t>3</w:t>
      </w:r>
      <w:r>
        <w:rPr>
          <w:rFonts w:hint="eastAsia" w:ascii="Arial" w:hAnsi="宋体" w:cs="Arial"/>
          <w:kern w:val="0"/>
          <w:szCs w:val="21"/>
        </w:rPr>
        <w:t>）第一章招标公告中</w:t>
      </w:r>
      <w:r>
        <w:rPr>
          <w:rFonts w:ascii="Arial" w:hAnsi="宋体" w:cs="Arial"/>
          <w:kern w:val="0"/>
          <w:szCs w:val="21"/>
        </w:rPr>
        <w:t>2.3</w:t>
      </w:r>
      <w:r>
        <w:rPr>
          <w:rFonts w:hint="eastAsia" w:ascii="Arial" w:hAnsi="宋体" w:cs="Arial"/>
          <w:kern w:val="0"/>
          <w:szCs w:val="21"/>
        </w:rPr>
        <w:t>采购人根据采购项目的特殊要求规定的特定条件证明文件。</w:t>
      </w:r>
    </w:p>
    <w:p w14:paraId="7FF8131D">
      <w:pPr>
        <w:widowControl/>
        <w:shd w:val="clear" w:color="auto" w:fill="FFFFFF"/>
        <w:spacing w:line="360" w:lineRule="auto"/>
        <w:ind w:firstLine="420" w:firstLineChars="200"/>
        <w:jc w:val="left"/>
        <w:rPr>
          <w:rFonts w:ascii="Arial" w:hAnsi="Arial" w:cs="Arial"/>
          <w:kern w:val="0"/>
          <w:szCs w:val="21"/>
        </w:rPr>
      </w:pPr>
      <w:r>
        <w:rPr>
          <w:rFonts w:hint="eastAsia" w:ascii="Arial" w:hAnsi="宋体" w:cs="Arial"/>
          <w:kern w:val="0"/>
          <w:szCs w:val="21"/>
        </w:rPr>
        <w:t>（</w:t>
      </w:r>
      <w:r>
        <w:rPr>
          <w:rFonts w:ascii="Arial" w:hAnsi="Arial" w:cs="Arial"/>
          <w:kern w:val="0"/>
          <w:szCs w:val="21"/>
        </w:rPr>
        <w:t>4</w:t>
      </w:r>
      <w:r>
        <w:rPr>
          <w:rFonts w:hint="eastAsia" w:ascii="Arial" w:hAnsi="宋体" w:cs="Arial"/>
          <w:kern w:val="0"/>
          <w:szCs w:val="21"/>
        </w:rPr>
        <w:t>）开标一览表</w:t>
      </w:r>
      <w:r>
        <w:rPr>
          <w:rFonts w:hint="eastAsia" w:ascii="Arial" w:hAnsi="宋体" w:cs="Arial"/>
          <w:bCs/>
          <w:szCs w:val="21"/>
        </w:rPr>
        <w:t>（</w:t>
      </w:r>
      <w:r>
        <w:rPr>
          <w:rFonts w:hint="eastAsia" w:ascii="Arial" w:hAnsi="宋体" w:cs="Arial"/>
          <w:b/>
          <w:bCs/>
          <w:szCs w:val="21"/>
        </w:rPr>
        <w:t>格式见附件</w:t>
      </w:r>
      <w:r>
        <w:rPr>
          <w:rFonts w:hint="eastAsia" w:ascii="Arial" w:hAnsi="宋体" w:cs="Arial"/>
          <w:bCs/>
          <w:szCs w:val="21"/>
        </w:rPr>
        <w:t>）；</w:t>
      </w:r>
    </w:p>
    <w:p w14:paraId="46D51553">
      <w:pPr>
        <w:widowControl/>
        <w:shd w:val="clear" w:color="auto" w:fill="FFFFFF"/>
        <w:spacing w:line="360" w:lineRule="auto"/>
        <w:ind w:firstLine="420"/>
        <w:jc w:val="left"/>
        <w:rPr>
          <w:rFonts w:ascii="Arial" w:hAnsi="Arial" w:cs="Arial"/>
          <w:kern w:val="0"/>
          <w:szCs w:val="21"/>
        </w:rPr>
      </w:pPr>
      <w:r>
        <w:rPr>
          <w:rFonts w:hint="eastAsia" w:ascii="Arial" w:hAnsi="宋体" w:cs="Arial"/>
          <w:kern w:val="0"/>
          <w:szCs w:val="21"/>
        </w:rPr>
        <w:t>（</w:t>
      </w:r>
      <w:r>
        <w:rPr>
          <w:rFonts w:ascii="Arial" w:hAnsi="Arial" w:cs="Arial"/>
          <w:kern w:val="0"/>
          <w:szCs w:val="21"/>
        </w:rPr>
        <w:t>5</w:t>
      </w:r>
      <w:r>
        <w:rPr>
          <w:rFonts w:hint="eastAsia" w:ascii="Arial" w:hAnsi="宋体" w:cs="Arial"/>
          <w:kern w:val="0"/>
          <w:szCs w:val="21"/>
        </w:rPr>
        <w:t>）供应商缴纳投标保证金凭证（如需要）；</w:t>
      </w:r>
    </w:p>
    <w:p w14:paraId="458F6946">
      <w:pPr>
        <w:widowControl/>
        <w:shd w:val="clear" w:color="auto" w:fill="FFFFFF"/>
        <w:spacing w:line="360" w:lineRule="auto"/>
        <w:ind w:firstLine="420"/>
        <w:jc w:val="left"/>
        <w:rPr>
          <w:rFonts w:ascii="Arial" w:hAnsi="Arial" w:cs="Arial"/>
          <w:kern w:val="0"/>
          <w:szCs w:val="21"/>
        </w:rPr>
      </w:pPr>
      <w:r>
        <w:rPr>
          <w:rFonts w:hint="eastAsia" w:ascii="Arial" w:hAnsi="宋体" w:cs="Arial"/>
          <w:kern w:val="0"/>
          <w:szCs w:val="21"/>
        </w:rPr>
        <w:t>（</w:t>
      </w:r>
      <w:r>
        <w:rPr>
          <w:rFonts w:ascii="Arial" w:hAnsi="Arial" w:cs="Arial"/>
          <w:kern w:val="0"/>
          <w:szCs w:val="21"/>
        </w:rPr>
        <w:t>6</w:t>
      </w:r>
      <w:r>
        <w:rPr>
          <w:rFonts w:hint="eastAsia" w:ascii="Arial" w:hAnsi="宋体" w:cs="Arial"/>
          <w:kern w:val="0"/>
          <w:szCs w:val="21"/>
        </w:rPr>
        <w:t>）《商务条款偏离表》；</w:t>
      </w:r>
    </w:p>
    <w:p w14:paraId="7A7C563C">
      <w:pPr>
        <w:widowControl/>
        <w:shd w:val="clear" w:color="auto" w:fill="FFFFFF"/>
        <w:spacing w:line="360" w:lineRule="auto"/>
        <w:ind w:firstLine="420"/>
        <w:jc w:val="left"/>
        <w:rPr>
          <w:rFonts w:ascii="Arial" w:hAnsi="Arial" w:cs="Arial"/>
          <w:kern w:val="0"/>
          <w:szCs w:val="21"/>
        </w:rPr>
      </w:pPr>
      <w:r>
        <w:rPr>
          <w:rFonts w:hint="eastAsia" w:ascii="Arial" w:hAnsi="宋体" w:cs="Arial"/>
          <w:kern w:val="0"/>
          <w:szCs w:val="21"/>
        </w:rPr>
        <w:t>（</w:t>
      </w:r>
      <w:r>
        <w:rPr>
          <w:rFonts w:ascii="Arial" w:hAnsi="Arial" w:cs="Arial"/>
          <w:kern w:val="0"/>
          <w:szCs w:val="21"/>
        </w:rPr>
        <w:t>7</w:t>
      </w:r>
      <w:r>
        <w:rPr>
          <w:rFonts w:hint="eastAsia" w:ascii="Arial" w:hAnsi="宋体" w:cs="Arial"/>
          <w:kern w:val="0"/>
          <w:szCs w:val="21"/>
        </w:rPr>
        <w:t>）分项报价表</w:t>
      </w:r>
      <w:r>
        <w:rPr>
          <w:rFonts w:hint="eastAsia" w:ascii="Arial" w:hAnsi="宋体" w:cs="Arial"/>
          <w:bCs/>
          <w:szCs w:val="21"/>
        </w:rPr>
        <w:t>（</w:t>
      </w:r>
      <w:r>
        <w:rPr>
          <w:rFonts w:hint="eastAsia" w:ascii="Arial" w:hAnsi="宋体" w:cs="Arial"/>
          <w:b/>
          <w:bCs/>
          <w:szCs w:val="21"/>
        </w:rPr>
        <w:t>格式见附件</w:t>
      </w:r>
      <w:r>
        <w:rPr>
          <w:rFonts w:hint="eastAsia" w:ascii="Arial" w:hAnsi="宋体" w:cs="Arial"/>
          <w:bCs/>
          <w:szCs w:val="21"/>
        </w:rPr>
        <w:t>）</w:t>
      </w:r>
      <w:r>
        <w:rPr>
          <w:rFonts w:hint="eastAsia" w:ascii="Arial" w:hAnsi="宋体" w:cs="Arial"/>
          <w:kern w:val="0"/>
          <w:szCs w:val="21"/>
        </w:rPr>
        <w:t>；</w:t>
      </w:r>
    </w:p>
    <w:p w14:paraId="7DD4937B">
      <w:pPr>
        <w:widowControl/>
        <w:shd w:val="clear" w:color="auto" w:fill="FFFFFF"/>
        <w:spacing w:line="360" w:lineRule="auto"/>
        <w:ind w:firstLine="420"/>
        <w:jc w:val="left"/>
        <w:rPr>
          <w:rFonts w:ascii="Arial" w:hAnsi="Arial" w:cs="Arial"/>
          <w:kern w:val="0"/>
          <w:szCs w:val="21"/>
        </w:rPr>
      </w:pPr>
      <w:r>
        <w:rPr>
          <w:rFonts w:hint="eastAsia" w:ascii="Arial" w:hAnsi="宋体" w:cs="Arial"/>
          <w:kern w:val="0"/>
          <w:szCs w:val="21"/>
        </w:rPr>
        <w:t>（</w:t>
      </w:r>
      <w:r>
        <w:rPr>
          <w:rFonts w:ascii="Arial" w:hAnsi="Arial" w:cs="Arial"/>
          <w:kern w:val="0"/>
          <w:szCs w:val="21"/>
        </w:rPr>
        <w:t>8</w:t>
      </w:r>
      <w:r>
        <w:rPr>
          <w:rFonts w:hint="eastAsia" w:ascii="Arial" w:hAnsi="宋体" w:cs="Arial"/>
          <w:kern w:val="0"/>
          <w:szCs w:val="21"/>
        </w:rPr>
        <w:t>）第三章评标标准中对应的其它所需证明材料（如有自行添加）；</w:t>
      </w:r>
    </w:p>
    <w:p w14:paraId="3E917DB6">
      <w:pPr>
        <w:widowControl/>
        <w:shd w:val="clear" w:color="auto" w:fill="FFFFFF"/>
        <w:spacing w:line="360" w:lineRule="auto"/>
        <w:ind w:firstLine="420"/>
        <w:jc w:val="left"/>
        <w:rPr>
          <w:rFonts w:ascii="Arial" w:hAnsi="Arial" w:cs="Arial"/>
          <w:kern w:val="0"/>
          <w:szCs w:val="21"/>
        </w:rPr>
      </w:pPr>
      <w:r>
        <w:rPr>
          <w:rFonts w:hint="eastAsia" w:ascii="Arial" w:hAnsi="宋体" w:cs="Arial"/>
          <w:kern w:val="0"/>
          <w:szCs w:val="21"/>
        </w:rPr>
        <w:t>（</w:t>
      </w:r>
      <w:r>
        <w:rPr>
          <w:rFonts w:ascii="Arial" w:hAnsi="Arial" w:cs="Arial"/>
          <w:kern w:val="0"/>
          <w:szCs w:val="21"/>
        </w:rPr>
        <w:t>9</w:t>
      </w:r>
      <w:r>
        <w:rPr>
          <w:rFonts w:hint="eastAsia" w:ascii="Arial" w:hAnsi="宋体" w:cs="Arial"/>
          <w:kern w:val="0"/>
          <w:szCs w:val="21"/>
        </w:rPr>
        <w:t>）要求采购人提供的配合（如有自拟并自行添加）；</w:t>
      </w:r>
    </w:p>
    <w:p w14:paraId="7FF3A17A">
      <w:pPr>
        <w:widowControl/>
        <w:shd w:val="clear" w:color="auto" w:fill="FFFFFF"/>
        <w:spacing w:line="360" w:lineRule="auto"/>
        <w:ind w:firstLine="420"/>
        <w:jc w:val="left"/>
        <w:rPr>
          <w:rFonts w:ascii="Arial" w:hAnsi="Arial" w:cs="Arial"/>
          <w:kern w:val="0"/>
          <w:szCs w:val="21"/>
        </w:rPr>
      </w:pPr>
      <w:r>
        <w:rPr>
          <w:rFonts w:hint="eastAsia" w:ascii="Arial" w:hAnsi="宋体" w:cs="Arial"/>
          <w:kern w:val="0"/>
          <w:szCs w:val="21"/>
        </w:rPr>
        <w:t>（</w:t>
      </w:r>
      <w:r>
        <w:rPr>
          <w:rFonts w:ascii="Arial" w:hAnsi="Arial" w:cs="Arial"/>
          <w:kern w:val="0"/>
          <w:szCs w:val="21"/>
        </w:rPr>
        <w:t>10</w:t>
      </w:r>
      <w:r>
        <w:rPr>
          <w:rFonts w:hint="eastAsia" w:ascii="Arial" w:hAnsi="宋体" w:cs="Arial"/>
          <w:kern w:val="0"/>
          <w:szCs w:val="21"/>
        </w:rPr>
        <w:t>）其它（供应商认为有必要提供的声明和文件，如有，自行拟定并添加）。</w:t>
      </w:r>
    </w:p>
    <w:p w14:paraId="5A324284">
      <w:pPr>
        <w:widowControl/>
        <w:shd w:val="clear" w:color="auto" w:fill="FFFFFF"/>
        <w:spacing w:line="360" w:lineRule="auto"/>
        <w:ind w:firstLine="420"/>
        <w:jc w:val="left"/>
        <w:rPr>
          <w:rFonts w:ascii="Arial" w:hAnsi="Arial" w:cs="Arial"/>
          <w:kern w:val="0"/>
          <w:szCs w:val="21"/>
        </w:rPr>
      </w:pPr>
      <w:r>
        <w:rPr>
          <w:rFonts w:hint="eastAsia" w:ascii="Arial" w:hAnsi="Arial" w:cs="Arial"/>
          <w:b/>
          <w:bCs/>
          <w:kern w:val="0"/>
          <w:szCs w:val="21"/>
        </w:rPr>
        <w:t>10</w:t>
      </w:r>
      <w:r>
        <w:rPr>
          <w:rFonts w:hint="eastAsia" w:ascii="Arial" w:hAnsi="宋体" w:cs="Arial"/>
          <w:b/>
          <w:bCs/>
          <w:kern w:val="0"/>
          <w:szCs w:val="21"/>
        </w:rPr>
        <w:t>.投标文件的技术部分</w:t>
      </w:r>
    </w:p>
    <w:p w14:paraId="6C60838E">
      <w:pPr>
        <w:widowControl/>
        <w:adjustRightInd w:val="0"/>
        <w:spacing w:line="360" w:lineRule="auto"/>
        <w:ind w:firstLine="420"/>
        <w:jc w:val="left"/>
        <w:rPr>
          <w:rFonts w:ascii="Arial" w:hAnsi="Arial" w:cs="Arial"/>
          <w:szCs w:val="21"/>
          <w:lang w:val="zh-CN"/>
        </w:rPr>
      </w:pPr>
      <w:r>
        <w:rPr>
          <w:rFonts w:hint="eastAsia" w:ascii="Arial" w:hAnsi="宋体" w:cs="Arial"/>
          <w:szCs w:val="21"/>
          <w:lang w:val="zh-CN"/>
        </w:rPr>
        <w:t>技术部分是证明</w:t>
      </w:r>
      <w:r>
        <w:rPr>
          <w:rFonts w:hint="eastAsia" w:ascii="Arial" w:hAnsi="宋体" w:cs="Arial"/>
          <w:szCs w:val="21"/>
        </w:rPr>
        <w:t>供应商提供的服务是合格的、并符合招标文件要求的证明文件，以及</w:t>
      </w:r>
      <w:r>
        <w:rPr>
          <w:rFonts w:hint="eastAsia" w:ascii="Arial" w:hAnsi="宋体" w:cs="Arial"/>
          <w:szCs w:val="21"/>
          <w:lang w:val="zh-CN"/>
        </w:rPr>
        <w:t>对货物和服务的详细说明，这些文件可以是文字资料、图纸、数据或其他证明文件等。提供的服务如与招标文件要求有不符之处，应说明其差别之所在。包括但不限于下</w:t>
      </w:r>
      <w:r>
        <w:rPr>
          <w:rFonts w:hint="eastAsia" w:ascii="Arial" w:hAnsi="Arial" w:cs="Arial"/>
          <w:szCs w:val="21"/>
          <w:lang w:val="zh-CN"/>
        </w:rPr>
        <w:t>列文件：</w:t>
      </w:r>
    </w:p>
    <w:p w14:paraId="4A1153E3">
      <w:pPr>
        <w:widowControl/>
        <w:adjustRightInd w:val="0"/>
        <w:spacing w:line="360" w:lineRule="auto"/>
        <w:ind w:firstLine="420"/>
        <w:jc w:val="left"/>
        <w:rPr>
          <w:rFonts w:ascii="Arial" w:hAnsi="Arial" w:cs="Arial"/>
          <w:kern w:val="0"/>
          <w:szCs w:val="21"/>
          <w:lang w:val="zh-CN"/>
        </w:rPr>
      </w:pPr>
      <w:r>
        <w:rPr>
          <w:rFonts w:hint="eastAsia" w:ascii="Arial" w:hAnsi="宋体" w:cs="Arial"/>
          <w:kern w:val="0"/>
          <w:szCs w:val="21"/>
          <w:lang w:val="zh-CN"/>
        </w:rPr>
        <w:t>（</w:t>
      </w:r>
      <w:r>
        <w:rPr>
          <w:rFonts w:ascii="Arial" w:hAnsi="Arial" w:cs="Arial"/>
          <w:kern w:val="0"/>
          <w:szCs w:val="21"/>
          <w:lang w:val="zh-CN"/>
        </w:rPr>
        <w:t>1</w:t>
      </w:r>
      <w:r>
        <w:rPr>
          <w:rFonts w:hint="eastAsia" w:ascii="Arial" w:hAnsi="宋体" w:cs="Arial"/>
          <w:kern w:val="0"/>
          <w:szCs w:val="21"/>
          <w:lang w:val="zh-CN"/>
        </w:rPr>
        <w:t>）技术说明或服务方案；</w:t>
      </w:r>
    </w:p>
    <w:p w14:paraId="27C67792">
      <w:pPr>
        <w:widowControl/>
        <w:adjustRightInd w:val="0"/>
        <w:spacing w:line="360" w:lineRule="auto"/>
        <w:ind w:firstLine="420"/>
        <w:jc w:val="left"/>
        <w:rPr>
          <w:rFonts w:ascii="Arial" w:hAnsi="Arial" w:cs="Arial"/>
          <w:kern w:val="0"/>
          <w:szCs w:val="21"/>
          <w:lang w:val="zh-CN"/>
        </w:rPr>
      </w:pPr>
      <w:r>
        <w:rPr>
          <w:rFonts w:hint="eastAsia" w:ascii="Arial" w:hAnsi="宋体" w:cs="Arial"/>
          <w:kern w:val="0"/>
          <w:szCs w:val="21"/>
          <w:lang w:val="zh-CN"/>
        </w:rPr>
        <w:t>（</w:t>
      </w:r>
      <w:r>
        <w:rPr>
          <w:rFonts w:ascii="Arial" w:hAnsi="Arial" w:cs="Arial"/>
          <w:kern w:val="0"/>
          <w:szCs w:val="21"/>
          <w:lang w:val="zh-CN"/>
        </w:rPr>
        <w:t>2</w:t>
      </w:r>
      <w:r>
        <w:rPr>
          <w:rFonts w:hint="eastAsia" w:ascii="Arial" w:hAnsi="宋体" w:cs="Arial"/>
          <w:kern w:val="0"/>
          <w:szCs w:val="21"/>
          <w:lang w:val="zh-CN"/>
        </w:rPr>
        <w:t>）《服务需求偏离表》；</w:t>
      </w:r>
    </w:p>
    <w:p w14:paraId="4DAA6CC2">
      <w:pPr>
        <w:widowControl/>
        <w:adjustRightInd w:val="0"/>
        <w:spacing w:line="360" w:lineRule="auto"/>
        <w:ind w:firstLine="420"/>
        <w:jc w:val="left"/>
        <w:rPr>
          <w:rFonts w:ascii="Arial" w:hAnsi="Arial" w:cs="Arial"/>
          <w:kern w:val="0"/>
          <w:szCs w:val="21"/>
          <w:lang w:val="zh-CN"/>
        </w:rPr>
      </w:pPr>
      <w:r>
        <w:rPr>
          <w:rFonts w:hint="eastAsia" w:ascii="Arial" w:hAnsi="宋体" w:cs="Arial"/>
          <w:kern w:val="0"/>
          <w:szCs w:val="21"/>
          <w:lang w:val="zh-CN"/>
        </w:rPr>
        <w:t>（</w:t>
      </w:r>
      <w:r>
        <w:rPr>
          <w:rFonts w:ascii="Arial" w:hAnsi="Arial" w:cs="Arial"/>
          <w:kern w:val="0"/>
          <w:szCs w:val="21"/>
          <w:lang w:val="zh-CN"/>
        </w:rPr>
        <w:t>3</w:t>
      </w:r>
      <w:r>
        <w:rPr>
          <w:rFonts w:hint="eastAsia" w:ascii="Arial" w:hAnsi="宋体" w:cs="Arial"/>
          <w:kern w:val="0"/>
          <w:szCs w:val="21"/>
          <w:lang w:val="zh-CN"/>
        </w:rPr>
        <w:t>）服务承诺；</w:t>
      </w:r>
    </w:p>
    <w:p w14:paraId="1E68FCEE">
      <w:pPr>
        <w:widowControl/>
        <w:adjustRightInd w:val="0"/>
        <w:spacing w:line="360" w:lineRule="auto"/>
        <w:ind w:firstLine="420"/>
        <w:jc w:val="left"/>
        <w:rPr>
          <w:rFonts w:ascii="Arial" w:hAnsi="Arial" w:cs="Arial"/>
          <w:kern w:val="0"/>
          <w:szCs w:val="21"/>
          <w:lang w:val="zh-CN"/>
        </w:rPr>
      </w:pPr>
      <w:r>
        <w:rPr>
          <w:rFonts w:hint="eastAsia" w:ascii="Arial" w:hAnsi="宋体" w:cs="Arial"/>
          <w:kern w:val="0"/>
          <w:szCs w:val="21"/>
          <w:lang w:val="zh-CN"/>
        </w:rPr>
        <w:t>（</w:t>
      </w:r>
      <w:r>
        <w:rPr>
          <w:rFonts w:ascii="Arial" w:hAnsi="Arial" w:cs="Arial"/>
          <w:kern w:val="0"/>
          <w:szCs w:val="21"/>
          <w:lang w:val="zh-CN"/>
        </w:rPr>
        <w:t>4</w:t>
      </w:r>
      <w:r>
        <w:rPr>
          <w:rFonts w:hint="eastAsia" w:ascii="Arial" w:hAnsi="宋体" w:cs="Arial"/>
          <w:kern w:val="0"/>
          <w:szCs w:val="21"/>
          <w:lang w:val="zh-CN"/>
        </w:rPr>
        <w:t>）供应商拟投入本项目的设备、人员情况一览表；</w:t>
      </w:r>
    </w:p>
    <w:p w14:paraId="563207F2">
      <w:pPr>
        <w:widowControl/>
        <w:adjustRightInd w:val="0"/>
        <w:spacing w:line="360" w:lineRule="auto"/>
        <w:ind w:firstLine="420"/>
        <w:jc w:val="left"/>
        <w:rPr>
          <w:rFonts w:ascii="Arial" w:hAnsi="Arial" w:cs="Arial"/>
          <w:kern w:val="0"/>
          <w:szCs w:val="21"/>
          <w:lang w:val="zh-CN"/>
        </w:rPr>
      </w:pPr>
      <w:r>
        <w:rPr>
          <w:rFonts w:hint="eastAsia" w:ascii="Arial" w:hAnsi="宋体" w:cs="Arial"/>
          <w:kern w:val="0"/>
          <w:szCs w:val="21"/>
          <w:lang w:val="zh-CN"/>
        </w:rPr>
        <w:t>（</w:t>
      </w:r>
      <w:r>
        <w:rPr>
          <w:rFonts w:ascii="Arial" w:hAnsi="Arial" w:cs="Arial"/>
          <w:kern w:val="0"/>
          <w:szCs w:val="21"/>
          <w:lang w:val="zh-CN"/>
        </w:rPr>
        <w:t>5</w:t>
      </w:r>
      <w:r>
        <w:rPr>
          <w:rFonts w:hint="eastAsia" w:ascii="Arial" w:hAnsi="宋体" w:cs="Arial"/>
          <w:kern w:val="0"/>
          <w:szCs w:val="21"/>
          <w:lang w:val="zh-CN"/>
        </w:rPr>
        <w:t>）供应商认为需要提供的其他技术资料。</w:t>
      </w:r>
    </w:p>
    <w:p w14:paraId="10E099AF">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w:t>
      </w:r>
      <w:r>
        <w:rPr>
          <w:rFonts w:hint="eastAsia" w:ascii="Arial" w:hAnsi="Arial" w:cs="Arial"/>
          <w:b/>
          <w:bCs/>
          <w:kern w:val="0"/>
          <w:szCs w:val="21"/>
        </w:rPr>
        <w:t>1</w:t>
      </w:r>
      <w:r>
        <w:rPr>
          <w:rFonts w:hint="eastAsia" w:ascii="Arial" w:hAnsi="宋体" w:cs="Arial"/>
          <w:b/>
          <w:bCs/>
          <w:kern w:val="0"/>
          <w:szCs w:val="21"/>
        </w:rPr>
        <w:t>.投标文件的价格部分</w:t>
      </w:r>
    </w:p>
    <w:p w14:paraId="1506C3A7">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1</w:t>
      </w:r>
      <w:r>
        <w:rPr>
          <w:rFonts w:hint="eastAsia" w:ascii="Arial" w:hAnsi="Arial" w:cs="Arial"/>
          <w:kern w:val="0"/>
          <w:szCs w:val="21"/>
        </w:rPr>
        <w:t>1</w:t>
      </w:r>
      <w:r>
        <w:rPr>
          <w:rFonts w:ascii="Arial" w:hAnsi="Arial" w:cs="Arial"/>
          <w:kern w:val="0"/>
          <w:szCs w:val="21"/>
        </w:rPr>
        <w:t>.1</w:t>
      </w:r>
      <w:r>
        <w:rPr>
          <w:rFonts w:hint="eastAsia" w:ascii="Arial" w:hAnsi="宋体" w:cs="Arial"/>
          <w:kern w:val="0"/>
          <w:szCs w:val="21"/>
        </w:rPr>
        <w:t>价格部分是对采购标的价格构成的说明，招标文件如无特别说明，每一项货物及服务仅接受一个价格。</w:t>
      </w:r>
    </w:p>
    <w:p w14:paraId="504789A9">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1</w:t>
      </w:r>
      <w:r>
        <w:rPr>
          <w:rFonts w:ascii="Arial" w:hAnsi="Arial" w:cs="Arial"/>
          <w:kern w:val="0"/>
          <w:szCs w:val="21"/>
        </w:rPr>
        <w:t>.2</w:t>
      </w:r>
      <w:r>
        <w:rPr>
          <w:rFonts w:hint="eastAsia" w:ascii="Arial" w:hAnsi="Arial" w:cs="Arial"/>
          <w:kern w:val="0"/>
          <w:szCs w:val="21"/>
        </w:rPr>
        <w:t xml:space="preserve"> </w:t>
      </w:r>
      <w:r>
        <w:rPr>
          <w:rFonts w:hint="eastAsia" w:ascii="宋体" w:hAnsi="宋体" w:cs="宋体"/>
          <w:kern w:val="0"/>
          <w:szCs w:val="21"/>
        </w:rPr>
        <w:t>报价应包含为履行本项目合同项下所有义务的全部含税费用（包括但不限于</w:t>
      </w:r>
      <w:r>
        <w:rPr>
          <w:rFonts w:hint="eastAsia" w:ascii="宋体" w:hAnsi="宋体" w:cs="宋体"/>
          <w:szCs w:val="21"/>
        </w:rPr>
        <w:t>货物设计、制造、包装、仓储、运输装缷、保险、调试及其材料及验收合格之前保管及质保期内备品备件、专用工具、伴随服务、技术图纸资料、人员培训发生的所有含税费用、支付给员工的工资和国家强制缴纳的各种社会保障资金</w:t>
      </w:r>
      <w:r>
        <w:rPr>
          <w:rFonts w:hint="eastAsia" w:ascii="宋体" w:hAnsi="宋体" w:cs="宋体"/>
          <w:kern w:val="0"/>
          <w:szCs w:val="21"/>
        </w:rPr>
        <w:t>）</w:t>
      </w:r>
      <w:r>
        <w:rPr>
          <w:rFonts w:hint="eastAsia" w:ascii="宋体" w:hAnsi="宋体" w:cs="宋体"/>
          <w:kern w:val="0"/>
          <w:szCs w:val="21"/>
          <w:lang w:val="zh-CN"/>
        </w:rPr>
        <w:t>，</w:t>
      </w:r>
      <w:r>
        <w:rPr>
          <w:rFonts w:hint="eastAsia" w:ascii="宋体" w:hAnsi="宋体" w:cs="宋体"/>
          <w:bCs/>
          <w:szCs w:val="21"/>
        </w:rPr>
        <w:t>以</w:t>
      </w:r>
      <w:r>
        <w:rPr>
          <w:rFonts w:hint="eastAsia" w:ascii="宋体" w:hAnsi="宋体" w:cs="宋体"/>
          <w:szCs w:val="21"/>
        </w:rPr>
        <w:t>及供应商认为需要的其他费用等</w:t>
      </w:r>
      <w:r>
        <w:rPr>
          <w:rFonts w:hint="eastAsia" w:ascii="宋体" w:hAnsi="宋体" w:cs="宋体"/>
          <w:b/>
          <w:szCs w:val="21"/>
        </w:rPr>
        <w:t>。</w:t>
      </w:r>
    </w:p>
    <w:p w14:paraId="193E0406">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1</w:t>
      </w:r>
      <w:r>
        <w:rPr>
          <w:rFonts w:ascii="Arial" w:hAnsi="Arial" w:cs="Arial"/>
          <w:kern w:val="0"/>
          <w:szCs w:val="21"/>
        </w:rPr>
        <w:t>.3</w:t>
      </w:r>
      <w:r>
        <w:rPr>
          <w:rFonts w:hint="eastAsia" w:ascii="Arial" w:hAnsi="宋体" w:cs="Arial"/>
          <w:kern w:val="0"/>
          <w:szCs w:val="21"/>
        </w:rPr>
        <w:t>供应商的任何错漏、优惠、竞争性报价不得作为减轻责任、减少服务、增加收费、降低质量的理由。</w:t>
      </w:r>
    </w:p>
    <w:p w14:paraId="75CF7816">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1</w:t>
      </w:r>
      <w:r>
        <w:rPr>
          <w:rFonts w:ascii="Arial" w:hAnsi="Arial" w:cs="Arial"/>
          <w:kern w:val="0"/>
          <w:szCs w:val="21"/>
        </w:rPr>
        <w:t>.4</w:t>
      </w:r>
      <w:r>
        <w:rPr>
          <w:rFonts w:hint="eastAsia" w:ascii="Arial" w:hAnsi="宋体" w:cs="Arial"/>
          <w:kern w:val="0"/>
          <w:szCs w:val="21"/>
        </w:rPr>
        <w:t>评标委员会认为供应商的报价明显低于其他通过符合性审查的供应商的报价，有可能影响产品质量或者不能诚信履约的，应当要求其在评标现场合理的时间内提供书面说明，必要时提交相关证明材料；供应商不能证明其报价合理性的，评标委员会应当将其作为</w:t>
      </w:r>
      <w:r>
        <w:rPr>
          <w:rFonts w:hint="eastAsia" w:ascii="Arial" w:hAnsi="宋体" w:cs="Arial"/>
          <w:b/>
          <w:bCs/>
          <w:kern w:val="0"/>
          <w:szCs w:val="21"/>
        </w:rPr>
        <w:t>无效投标处理</w:t>
      </w:r>
      <w:r>
        <w:rPr>
          <w:rFonts w:hint="eastAsia" w:ascii="Arial" w:hAnsi="宋体" w:cs="Arial"/>
          <w:kern w:val="0"/>
          <w:szCs w:val="21"/>
        </w:rPr>
        <w:t>。</w:t>
      </w:r>
    </w:p>
    <w:p w14:paraId="1759EA82">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1</w:t>
      </w:r>
      <w:r>
        <w:rPr>
          <w:rFonts w:ascii="Arial" w:hAnsi="Arial" w:cs="Arial"/>
          <w:kern w:val="0"/>
          <w:szCs w:val="21"/>
        </w:rPr>
        <w:t xml:space="preserve">.5 </w:t>
      </w:r>
      <w:r>
        <w:rPr>
          <w:rFonts w:hint="eastAsia" w:ascii="宋体" w:hAnsi="宋体" w:cs="宋体"/>
          <w:szCs w:val="21"/>
        </w:rPr>
        <w:t>供应商应在《开标一览表》、《分项报价》等标明标的的单价、总价以及分项报价等。</w:t>
      </w:r>
      <w:r>
        <w:rPr>
          <w:rFonts w:hint="eastAsia" w:ascii="宋体" w:hAnsi="宋体" w:cs="宋体"/>
          <w:b/>
          <w:bCs/>
          <w:szCs w:val="21"/>
        </w:rPr>
        <w:t>供应商符合本须知3.1条所述情形的</w:t>
      </w:r>
      <w:r>
        <w:rPr>
          <w:rFonts w:hint="eastAsia" w:ascii="宋体" w:hAnsi="宋体" w:cs="宋体"/>
          <w:szCs w:val="21"/>
        </w:rPr>
        <w:t>，须在《开标一览表》、《分项报价》中注明。</w:t>
      </w:r>
    </w:p>
    <w:p w14:paraId="799304DA">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1</w:t>
      </w:r>
      <w:r>
        <w:rPr>
          <w:rFonts w:ascii="Arial" w:hAnsi="Arial" w:cs="Arial"/>
          <w:kern w:val="0"/>
          <w:szCs w:val="21"/>
        </w:rPr>
        <w:t xml:space="preserve">.6 </w:t>
      </w:r>
      <w:r>
        <w:rPr>
          <w:rFonts w:hint="eastAsia" w:ascii="Arial" w:hAnsi="宋体" w:cs="Arial"/>
          <w:kern w:val="0"/>
          <w:szCs w:val="21"/>
        </w:rPr>
        <w:t>《开标一览表》一式两份，一份装订在投标文件中，一份单独封装，并标明</w:t>
      </w:r>
      <w:r>
        <w:rPr>
          <w:rFonts w:ascii="Arial" w:hAnsi="Arial" w:cs="Arial"/>
          <w:kern w:val="0"/>
          <w:szCs w:val="21"/>
        </w:rPr>
        <w:t>“</w:t>
      </w:r>
      <w:r>
        <w:rPr>
          <w:rFonts w:hint="eastAsia" w:ascii="Arial" w:hAnsi="宋体" w:cs="Arial"/>
          <w:kern w:val="0"/>
          <w:szCs w:val="21"/>
        </w:rPr>
        <w:t>开标一览表</w:t>
      </w:r>
      <w:r>
        <w:rPr>
          <w:rFonts w:ascii="Arial" w:hAnsi="Arial" w:cs="Arial"/>
          <w:kern w:val="0"/>
          <w:szCs w:val="21"/>
        </w:rPr>
        <w:t>”</w:t>
      </w:r>
      <w:r>
        <w:rPr>
          <w:rFonts w:hint="eastAsia" w:ascii="Arial" w:hAnsi="宋体" w:cs="Arial"/>
          <w:kern w:val="0"/>
          <w:szCs w:val="21"/>
        </w:rPr>
        <w:t>字样，随投标文件一并递交，以便唱标时使用。</w:t>
      </w:r>
      <w:r>
        <w:rPr>
          <w:rFonts w:hint="eastAsia" w:ascii="Arial" w:hAnsi="宋体" w:cs="Arial"/>
          <w:b/>
          <w:bCs/>
          <w:kern w:val="0"/>
          <w:szCs w:val="21"/>
        </w:rPr>
        <w:t>如两份开标一览表中的投标报价不一致，视为提交备选投标报价，作无效投标处理。</w:t>
      </w:r>
    </w:p>
    <w:p w14:paraId="43E7D22D">
      <w:pPr>
        <w:widowControl/>
        <w:spacing w:line="360" w:lineRule="auto"/>
        <w:ind w:firstLine="420"/>
        <w:rPr>
          <w:rFonts w:ascii="Arial" w:hAnsi="Arial" w:cs="Arial"/>
          <w:kern w:val="0"/>
          <w:szCs w:val="21"/>
        </w:rPr>
      </w:pPr>
      <w:r>
        <w:rPr>
          <w:rFonts w:ascii="Arial" w:hAnsi="Arial" w:cs="Arial"/>
          <w:b/>
          <w:bCs/>
          <w:kern w:val="0"/>
          <w:szCs w:val="21"/>
        </w:rPr>
        <w:t>1</w:t>
      </w:r>
      <w:r>
        <w:rPr>
          <w:rFonts w:hint="eastAsia" w:ascii="Arial" w:hAnsi="Arial" w:cs="Arial"/>
          <w:b/>
          <w:bCs/>
          <w:kern w:val="0"/>
          <w:szCs w:val="21"/>
        </w:rPr>
        <w:t>1</w:t>
      </w:r>
      <w:r>
        <w:rPr>
          <w:rFonts w:ascii="Arial" w:hAnsi="Arial" w:cs="Arial"/>
          <w:b/>
          <w:bCs/>
          <w:kern w:val="0"/>
          <w:szCs w:val="21"/>
        </w:rPr>
        <w:t>.7</w:t>
      </w:r>
      <w:r>
        <w:rPr>
          <w:rFonts w:hint="eastAsia" w:ascii="Arial" w:hAnsi="宋体" w:cs="Arial"/>
          <w:b/>
          <w:bCs/>
          <w:kern w:val="0"/>
          <w:szCs w:val="21"/>
        </w:rPr>
        <w:t>本项目预算为：详见第一章</w:t>
      </w:r>
      <w:r>
        <w:rPr>
          <w:rFonts w:hint="eastAsia" w:ascii="Arial" w:hAnsi="宋体" w:cs="Arial"/>
          <w:bCs/>
          <w:kern w:val="0"/>
          <w:szCs w:val="21"/>
        </w:rPr>
        <w:t>。</w:t>
      </w:r>
    </w:p>
    <w:p w14:paraId="2742BC36">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w:t>
      </w:r>
      <w:r>
        <w:rPr>
          <w:rFonts w:hint="eastAsia" w:ascii="Arial" w:hAnsi="Arial" w:cs="Arial"/>
          <w:b/>
          <w:bCs/>
          <w:kern w:val="0"/>
          <w:szCs w:val="21"/>
        </w:rPr>
        <w:t>2</w:t>
      </w:r>
      <w:r>
        <w:rPr>
          <w:rFonts w:hint="eastAsia" w:ascii="Arial" w:hAnsi="宋体" w:cs="Arial"/>
          <w:b/>
          <w:bCs/>
          <w:kern w:val="0"/>
          <w:szCs w:val="21"/>
        </w:rPr>
        <w:t>.投标文件的其他部分</w:t>
      </w:r>
    </w:p>
    <w:p w14:paraId="54903080">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2</w:t>
      </w:r>
      <w:r>
        <w:rPr>
          <w:rFonts w:ascii="Arial" w:hAnsi="Arial" w:cs="Arial"/>
          <w:kern w:val="0"/>
          <w:szCs w:val="21"/>
        </w:rPr>
        <w:t xml:space="preserve">.1 </w:t>
      </w:r>
      <w:r>
        <w:rPr>
          <w:rFonts w:hint="eastAsia" w:ascii="Arial" w:hAnsi="宋体" w:cs="Arial"/>
          <w:kern w:val="0"/>
          <w:szCs w:val="21"/>
        </w:rPr>
        <w:t>其他部分由供应商根据编制投标文件需要提供的其他相关文件组成。</w:t>
      </w:r>
    </w:p>
    <w:p w14:paraId="5C670D0B">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1</w:t>
      </w:r>
      <w:r>
        <w:rPr>
          <w:rFonts w:hint="eastAsia" w:ascii="Arial" w:hAnsi="Arial" w:cs="Arial"/>
          <w:b/>
          <w:bCs/>
          <w:kern w:val="0"/>
          <w:szCs w:val="21"/>
        </w:rPr>
        <w:t>3</w:t>
      </w:r>
      <w:r>
        <w:rPr>
          <w:rFonts w:hint="eastAsia" w:ascii="Arial" w:hAnsi="宋体" w:cs="Arial"/>
          <w:b/>
          <w:bCs/>
          <w:kern w:val="0"/>
          <w:szCs w:val="21"/>
        </w:rPr>
        <w:t>.投标保证金（本项目不收取投标保证金）</w:t>
      </w:r>
    </w:p>
    <w:p w14:paraId="20FAFD7E">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1</w:t>
      </w:r>
      <w:r>
        <w:rPr>
          <w:rFonts w:hint="eastAsia" w:ascii="Arial" w:hAnsi="Arial" w:cs="Arial"/>
          <w:b/>
          <w:bCs/>
          <w:kern w:val="0"/>
          <w:szCs w:val="21"/>
        </w:rPr>
        <w:t>4</w:t>
      </w:r>
      <w:r>
        <w:rPr>
          <w:rFonts w:hint="eastAsia" w:ascii="Arial" w:hAnsi="宋体" w:cs="Arial"/>
          <w:b/>
          <w:bCs/>
          <w:kern w:val="0"/>
          <w:szCs w:val="21"/>
        </w:rPr>
        <w:t>.投标有效期</w:t>
      </w:r>
    </w:p>
    <w:p w14:paraId="0FBFB072">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4</w:t>
      </w:r>
      <w:r>
        <w:rPr>
          <w:rFonts w:ascii="Arial" w:hAnsi="Arial" w:cs="Arial"/>
          <w:kern w:val="0"/>
          <w:szCs w:val="21"/>
        </w:rPr>
        <w:t xml:space="preserve">.1 </w:t>
      </w:r>
      <w:r>
        <w:rPr>
          <w:rFonts w:hint="eastAsia" w:ascii="Arial" w:hAnsi="宋体" w:cs="Arial"/>
          <w:kern w:val="0"/>
          <w:szCs w:val="21"/>
        </w:rPr>
        <w:t>自开标之日起</w:t>
      </w:r>
      <w:r>
        <w:rPr>
          <w:rFonts w:ascii="Arial" w:hAnsi="Arial" w:cs="Arial"/>
          <w:b/>
          <w:kern w:val="0"/>
          <w:szCs w:val="21"/>
        </w:rPr>
        <w:t>90</w:t>
      </w:r>
      <w:r>
        <w:rPr>
          <w:rFonts w:hint="eastAsia" w:ascii="Arial" w:hAnsi="宋体" w:cs="Arial"/>
          <w:kern w:val="0"/>
          <w:szCs w:val="21"/>
        </w:rPr>
        <w:t>天内投标有效</w:t>
      </w:r>
      <w:r>
        <w:rPr>
          <w:rFonts w:hint="eastAsia" w:ascii="Arial" w:hAnsi="宋体" w:cs="Arial"/>
          <w:b/>
        </w:rPr>
        <w:t>，投标有效期从提交投标文件的截止之日起算。投标文件中承诺的投标有效期应当不少于招标文件中载明的投标有效期。</w:t>
      </w:r>
    </w:p>
    <w:p w14:paraId="35B61181">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4</w:t>
      </w:r>
      <w:r>
        <w:rPr>
          <w:rFonts w:ascii="Arial" w:hAnsi="Arial" w:cs="Arial"/>
          <w:kern w:val="0"/>
          <w:szCs w:val="21"/>
        </w:rPr>
        <w:t xml:space="preserve">.2 </w:t>
      </w:r>
      <w:r>
        <w:rPr>
          <w:rFonts w:hint="eastAsia" w:ascii="Arial" w:hAnsi="宋体" w:cs="Arial"/>
          <w:kern w:val="0"/>
          <w:szCs w:val="21"/>
        </w:rPr>
        <w:t>特殊情况下，在原投标有效期截止之前，采购代理机构可要求供应商同意延长投标有效期，这种要求与答复均应以书面形式提交。供应商可拒绝这种要求，并且不影响投标保证金的退还。接受延长投标有效期的供应商将不会要求和允许修正其投标，而只会被要求相应地延长其投标保证金的有效期。在这种情况下，有关投标保证金的退还规定在延长了的有效期内继续有效。</w:t>
      </w:r>
    </w:p>
    <w:p w14:paraId="30F72E38">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w:t>
      </w:r>
      <w:r>
        <w:rPr>
          <w:rFonts w:hint="eastAsia" w:ascii="Arial" w:hAnsi="Arial" w:cs="Arial"/>
          <w:b/>
          <w:bCs/>
          <w:kern w:val="0"/>
          <w:szCs w:val="21"/>
        </w:rPr>
        <w:t>5</w:t>
      </w:r>
      <w:r>
        <w:rPr>
          <w:rFonts w:hint="eastAsia" w:ascii="Arial" w:hAnsi="宋体" w:cs="Arial"/>
          <w:b/>
          <w:bCs/>
          <w:kern w:val="0"/>
          <w:szCs w:val="21"/>
        </w:rPr>
        <w:t>.投标文件签署</w:t>
      </w:r>
    </w:p>
    <w:p w14:paraId="411049A5">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5</w:t>
      </w:r>
      <w:r>
        <w:rPr>
          <w:rFonts w:ascii="Arial" w:hAnsi="Arial" w:cs="Arial"/>
          <w:kern w:val="0"/>
          <w:szCs w:val="21"/>
        </w:rPr>
        <w:t xml:space="preserve">.1 </w:t>
      </w:r>
      <w:r>
        <w:rPr>
          <w:rFonts w:hint="eastAsia" w:ascii="Arial" w:hAnsi="宋体" w:cs="Arial"/>
          <w:kern w:val="0"/>
          <w:szCs w:val="21"/>
        </w:rPr>
        <w:t>投标文件的正本和副本均应由供应商法定代表人或经正式授权并对供应商有约束力的委托代理人签字，如果它们之间内容有差异，则以正本为准。</w:t>
      </w:r>
    </w:p>
    <w:p w14:paraId="601CAD9C">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w:t>
      </w:r>
      <w:r>
        <w:rPr>
          <w:rFonts w:hint="eastAsia" w:ascii="Arial" w:hAnsi="Arial" w:cs="Arial"/>
          <w:b/>
          <w:bCs/>
          <w:kern w:val="0"/>
          <w:szCs w:val="21"/>
        </w:rPr>
        <w:t>6</w:t>
      </w:r>
      <w:r>
        <w:rPr>
          <w:rFonts w:hint="eastAsia" w:ascii="Arial" w:hAnsi="宋体" w:cs="Arial"/>
          <w:b/>
          <w:bCs/>
          <w:kern w:val="0"/>
          <w:szCs w:val="21"/>
        </w:rPr>
        <w:t>.投标费用</w:t>
      </w:r>
    </w:p>
    <w:p w14:paraId="6AC6E22D">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6</w:t>
      </w:r>
      <w:r>
        <w:rPr>
          <w:rFonts w:ascii="Arial" w:hAnsi="Arial" w:cs="Arial"/>
          <w:kern w:val="0"/>
          <w:szCs w:val="21"/>
        </w:rPr>
        <w:t xml:space="preserve">.1 </w:t>
      </w:r>
      <w:r>
        <w:rPr>
          <w:rFonts w:hint="eastAsia" w:ascii="Arial" w:hAnsi="宋体" w:cs="Arial"/>
          <w:kern w:val="0"/>
          <w:szCs w:val="21"/>
        </w:rPr>
        <w:t>供应商应承担所有与准备和参加投标有关的费用，无论招标结果如何，采购代理机构和采购人在任何情况下均无义务和责任承担这些费用。</w:t>
      </w:r>
    </w:p>
    <w:p w14:paraId="723D358B">
      <w:pPr>
        <w:widowControl/>
        <w:shd w:val="clear"/>
        <w:spacing w:line="360" w:lineRule="auto"/>
        <w:ind w:firstLine="422" w:firstLineChars="200"/>
        <w:jc w:val="left"/>
        <w:rPr>
          <w:rFonts w:hint="eastAsia"/>
        </w:rPr>
      </w:pPr>
      <w:r>
        <w:rPr>
          <w:rFonts w:ascii="Arial" w:hAnsi="Arial" w:cs="Arial"/>
          <w:b/>
        </w:rPr>
        <w:t>1</w:t>
      </w:r>
      <w:r>
        <w:rPr>
          <w:rFonts w:hint="eastAsia" w:ascii="Arial" w:hAnsi="Arial" w:cs="Arial"/>
          <w:b/>
        </w:rPr>
        <w:t>6</w:t>
      </w:r>
      <w:r>
        <w:rPr>
          <w:rFonts w:ascii="Arial" w:hAnsi="Arial" w:cs="Arial"/>
          <w:b/>
        </w:rPr>
        <w:t xml:space="preserve">.2 </w:t>
      </w:r>
      <w:r>
        <w:rPr>
          <w:rFonts w:hint="eastAsia" w:ascii="宋体" w:hAnsi="宋体"/>
          <w:kern w:val="0"/>
          <w:szCs w:val="21"/>
        </w:rPr>
        <w:t>中标服务费：</w:t>
      </w:r>
      <w:r>
        <w:rPr>
          <w:rFonts w:hint="eastAsia" w:ascii="Arial" w:hAnsi="Arial" w:cs="Arial"/>
          <w:szCs w:val="21"/>
        </w:rPr>
        <w:t>采购代理服务费按照国家发展和改革委员会下发的《关于降低部分建设项目收费标准规范收费行为等有关问题的通知》（发改</w:t>
      </w:r>
      <w:r>
        <w:rPr>
          <w:rFonts w:hint="eastAsia" w:ascii="Arial" w:hAnsi="Arial" w:cs="Arial"/>
          <w:szCs w:val="21"/>
          <w:highlight w:val="none"/>
        </w:rPr>
        <w:t>价格[2011]534号）所列招标代理服务费收费标准下浮 40 %（优惠率）收取</w:t>
      </w:r>
      <w:r>
        <w:rPr>
          <w:rFonts w:hint="eastAsia" w:ascii="Arial" w:hAnsi="Arial" w:cs="Arial"/>
          <w:szCs w:val="21"/>
          <w:highlight w:val="none"/>
          <w:lang w:eastAsia="zh-CN"/>
        </w:rPr>
        <w:t>，</w:t>
      </w:r>
      <w:r>
        <w:rPr>
          <w:rFonts w:hint="eastAsia" w:ascii="Arial" w:hAnsi="Arial" w:cs="Arial"/>
          <w:szCs w:val="21"/>
          <w:highlight w:val="none"/>
        </w:rPr>
        <w:t>项目保底代理费为 2000 元/个</w:t>
      </w:r>
      <w:r>
        <w:rPr>
          <w:rFonts w:hint="eastAsia" w:ascii="Arial" w:hAnsi="Arial" w:cs="Arial"/>
          <w:szCs w:val="21"/>
          <w:highlight w:val="none"/>
          <w:lang w:eastAsia="zh-CN"/>
        </w:rPr>
        <w:t>。</w:t>
      </w:r>
      <w:r>
        <w:rPr>
          <w:rFonts w:hint="eastAsia" w:ascii="宋体" w:hAnsi="宋体" w:cs="宋体"/>
          <w:bCs/>
          <w:szCs w:val="21"/>
          <w:highlight w:val="none"/>
        </w:rPr>
        <w:t>评委评审费包含招标代理服务费中，无需支付其他费用。</w:t>
      </w:r>
      <w:r>
        <w:rPr>
          <w:rFonts w:hint="eastAsia" w:ascii="Arial" w:hAnsi="Arial" w:cs="Arial"/>
          <w:szCs w:val="21"/>
          <w:highlight w:val="none"/>
        </w:rPr>
        <w:t>由中标人向采购代理机构</w:t>
      </w:r>
      <w:r>
        <w:rPr>
          <w:rFonts w:hint="eastAsia" w:ascii="Arial" w:hAnsi="Arial" w:cs="Arial"/>
          <w:szCs w:val="21"/>
        </w:rPr>
        <w:t>支付服务费。本项费用无需在响应报价表中单列。</w:t>
      </w:r>
    </w:p>
    <w:p w14:paraId="3123F0B7">
      <w:pPr>
        <w:widowControl/>
        <w:shd w:val="clear" w:color="auto" w:fill="FFFFFF"/>
        <w:spacing w:line="360" w:lineRule="auto"/>
        <w:ind w:firstLine="420"/>
        <w:rPr>
          <w:rFonts w:ascii="Arial" w:hAnsi="Arial" w:cs="Arial"/>
          <w:kern w:val="0"/>
          <w:szCs w:val="21"/>
        </w:rPr>
      </w:pPr>
      <w:r>
        <w:rPr>
          <w:rFonts w:hint="eastAsia" w:ascii="Arial" w:hAnsi="宋体" w:cs="Arial"/>
          <w:b/>
          <w:bCs/>
          <w:kern w:val="0"/>
          <w:szCs w:val="21"/>
        </w:rPr>
        <w:t>四、投标文件的递交</w:t>
      </w:r>
    </w:p>
    <w:p w14:paraId="0864BE84">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w:t>
      </w:r>
      <w:r>
        <w:rPr>
          <w:rFonts w:hint="eastAsia" w:ascii="Arial" w:hAnsi="Arial" w:cs="Arial"/>
          <w:b/>
          <w:bCs/>
          <w:kern w:val="0"/>
          <w:szCs w:val="21"/>
        </w:rPr>
        <w:t>7</w:t>
      </w:r>
      <w:r>
        <w:rPr>
          <w:rFonts w:hint="eastAsia" w:ascii="Arial" w:hAnsi="宋体" w:cs="Arial"/>
          <w:b/>
          <w:bCs/>
          <w:kern w:val="0"/>
          <w:szCs w:val="21"/>
        </w:rPr>
        <w:t>.投标文件的密封和递交</w:t>
      </w:r>
    </w:p>
    <w:p w14:paraId="0746BCE7">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7</w:t>
      </w:r>
      <w:r>
        <w:rPr>
          <w:rFonts w:ascii="Arial" w:hAnsi="Arial" w:cs="Arial"/>
          <w:kern w:val="0"/>
          <w:szCs w:val="21"/>
        </w:rPr>
        <w:t>.1</w:t>
      </w:r>
      <w:r>
        <w:rPr>
          <w:rFonts w:hint="eastAsia" w:ascii="Arial" w:hAnsi="宋体" w:cs="Arial"/>
          <w:b/>
          <w:bCs/>
          <w:kern w:val="0"/>
          <w:szCs w:val="21"/>
        </w:rPr>
        <w:t>供应商的投标文件</w:t>
      </w:r>
      <w:r>
        <w:rPr>
          <w:rFonts w:hint="eastAsia" w:ascii="Arial" w:hAnsi="Arial" w:cs="Arial"/>
          <w:b/>
          <w:szCs w:val="21"/>
        </w:rPr>
        <w:t>一式伍份（正本壹份、副本肆份）</w:t>
      </w:r>
      <w:r>
        <w:rPr>
          <w:rFonts w:hint="eastAsia" w:ascii="Arial" w:hAnsi="宋体" w:cs="Arial"/>
          <w:b/>
        </w:rPr>
        <w:t>，所有投标文件均应密封后递交，同时应提供电子版投标文件</w:t>
      </w:r>
      <w:r>
        <w:rPr>
          <w:rFonts w:hint="eastAsia" w:ascii="Arial" w:hAnsi="宋体" w:cs="Arial"/>
          <w:b/>
          <w:szCs w:val="21"/>
        </w:rPr>
        <w:t>壹份（电子版须为投标文件正本加盖公章、签字后形成PDF扫描件，扫描件内容应与纸质投标文件正本完全一致、U盘形式（单独封装）、随纸质正本文件一并提交）</w:t>
      </w:r>
      <w:r>
        <w:rPr>
          <w:rFonts w:hint="eastAsia" w:ascii="Arial" w:hAnsi="宋体" w:cs="Arial"/>
          <w:b/>
        </w:rPr>
        <w:t>。</w:t>
      </w:r>
      <w:r>
        <w:rPr>
          <w:rFonts w:hint="eastAsia" w:ascii="Arial" w:hAnsi="宋体" w:cs="Arial"/>
        </w:rPr>
        <w:t>当电子版文件和纸质正本文件不一致时，以纸质正本文件为准。</w:t>
      </w:r>
      <w:r>
        <w:rPr>
          <w:rFonts w:hint="eastAsia" w:ascii="Arial" w:hAnsi="宋体" w:cs="Arial"/>
          <w:kern w:val="0"/>
          <w:szCs w:val="21"/>
        </w:rPr>
        <w:t>每套投标文件须清楚标明</w:t>
      </w:r>
      <w:r>
        <w:rPr>
          <w:rFonts w:ascii="Arial" w:hAnsi="Arial" w:cs="Arial"/>
          <w:kern w:val="0"/>
          <w:szCs w:val="21"/>
        </w:rPr>
        <w:t>“</w:t>
      </w:r>
      <w:r>
        <w:rPr>
          <w:rFonts w:hint="eastAsia" w:ascii="Arial" w:hAnsi="宋体" w:cs="Arial"/>
          <w:kern w:val="0"/>
          <w:szCs w:val="21"/>
        </w:rPr>
        <w:t>正本</w:t>
      </w:r>
      <w:r>
        <w:rPr>
          <w:rFonts w:ascii="Arial" w:hAnsi="Arial" w:cs="Arial"/>
          <w:kern w:val="0"/>
          <w:szCs w:val="21"/>
        </w:rPr>
        <w:t>”</w:t>
      </w:r>
      <w:r>
        <w:rPr>
          <w:rFonts w:hint="eastAsia" w:ascii="Arial" w:hAnsi="宋体" w:cs="Arial"/>
          <w:kern w:val="0"/>
          <w:szCs w:val="21"/>
        </w:rPr>
        <w:t>、</w:t>
      </w:r>
      <w:r>
        <w:rPr>
          <w:rFonts w:ascii="Arial" w:hAnsi="Arial" w:cs="Arial"/>
          <w:kern w:val="0"/>
          <w:szCs w:val="21"/>
        </w:rPr>
        <w:t>“</w:t>
      </w:r>
      <w:r>
        <w:rPr>
          <w:rFonts w:hint="eastAsia" w:ascii="Arial" w:hAnsi="宋体" w:cs="Arial"/>
          <w:kern w:val="0"/>
          <w:szCs w:val="21"/>
        </w:rPr>
        <w:t>副本</w:t>
      </w:r>
      <w:r>
        <w:rPr>
          <w:rFonts w:ascii="Arial" w:hAnsi="Arial" w:cs="Arial"/>
          <w:kern w:val="0"/>
          <w:szCs w:val="21"/>
        </w:rPr>
        <w:t>”</w:t>
      </w:r>
      <w:r>
        <w:rPr>
          <w:rFonts w:hint="eastAsia" w:ascii="Arial" w:hAnsi="宋体" w:cs="Arial"/>
          <w:kern w:val="0"/>
          <w:szCs w:val="21"/>
        </w:rPr>
        <w:t>。</w:t>
      </w:r>
      <w:r>
        <w:rPr>
          <w:rFonts w:hint="eastAsia" w:ascii="Arial" w:hAnsi="宋体" w:cs="Arial"/>
        </w:rPr>
        <w:t>如果它们之间内容有差异，以正本为准。</w:t>
      </w:r>
    </w:p>
    <w:p w14:paraId="26AADB2A">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7</w:t>
      </w:r>
      <w:r>
        <w:rPr>
          <w:rFonts w:ascii="Arial" w:hAnsi="Arial" w:cs="Arial"/>
          <w:kern w:val="0"/>
          <w:szCs w:val="21"/>
        </w:rPr>
        <w:t xml:space="preserve">.2 </w:t>
      </w:r>
      <w:r>
        <w:rPr>
          <w:rFonts w:hint="eastAsia" w:ascii="Arial" w:hAnsi="宋体" w:cs="Arial"/>
          <w:b/>
        </w:rPr>
        <w:t>投标文件正本和所有副本均需打印或用不褪色墨水书写，并由供应商的法定代表人或授权代表签字并在招标文件中注明须加盖公章的地方加盖公章，如为授权代表签字的应附</w:t>
      </w:r>
      <w:r>
        <w:rPr>
          <w:rFonts w:ascii="Arial" w:hAnsi="Arial" w:cs="Arial"/>
          <w:b/>
        </w:rPr>
        <w:t>“</w:t>
      </w:r>
      <w:r>
        <w:rPr>
          <w:rFonts w:hint="eastAsia" w:ascii="Arial" w:hAnsi="宋体" w:cs="Arial"/>
          <w:b/>
        </w:rPr>
        <w:t>法定代表人授权委托书</w:t>
      </w:r>
      <w:r>
        <w:rPr>
          <w:rFonts w:ascii="Arial" w:hAnsi="Arial" w:cs="Arial"/>
          <w:b/>
        </w:rPr>
        <w:t>”</w:t>
      </w:r>
      <w:r>
        <w:rPr>
          <w:rFonts w:hint="eastAsia" w:ascii="Arial" w:hAnsi="宋体" w:cs="Arial"/>
          <w:b/>
        </w:rPr>
        <w:t>，正本必须为原件，但供应商的相关证明文件可采用复印件，采用复印件的，评标委员会认为需要时，供应商应提供原件供核对。</w:t>
      </w:r>
    </w:p>
    <w:p w14:paraId="441A0463">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7</w:t>
      </w:r>
      <w:r>
        <w:rPr>
          <w:rFonts w:ascii="Arial" w:hAnsi="Arial" w:cs="Arial"/>
          <w:kern w:val="0"/>
          <w:szCs w:val="21"/>
        </w:rPr>
        <w:t xml:space="preserve">.3 </w:t>
      </w:r>
      <w:r>
        <w:rPr>
          <w:rFonts w:hint="eastAsia" w:ascii="Arial" w:hAnsi="宋体" w:cs="Arial"/>
          <w:kern w:val="0"/>
          <w:szCs w:val="21"/>
        </w:rPr>
        <w:t>投标文件不应有涂改、增删之处，如必须修改时，修改处必须有供应商法定代表人或授权代表签字，同时加盖供应商公章。</w:t>
      </w:r>
    </w:p>
    <w:p w14:paraId="69E0675E">
      <w:pPr>
        <w:widowControl/>
        <w:shd w:val="clear" w:color="auto" w:fill="FFFFFF"/>
        <w:spacing w:line="360" w:lineRule="auto"/>
        <w:ind w:firstLine="420"/>
        <w:rPr>
          <w:rFonts w:ascii="Arial" w:hAnsi="Arial" w:cs="Arial"/>
          <w:kern w:val="0"/>
          <w:szCs w:val="21"/>
        </w:rPr>
      </w:pPr>
      <w:r>
        <w:rPr>
          <w:rFonts w:ascii="Arial" w:hAnsi="Arial" w:cs="Arial"/>
        </w:rPr>
        <w:t>1</w:t>
      </w:r>
      <w:r>
        <w:rPr>
          <w:rFonts w:hint="eastAsia" w:ascii="Arial" w:hAnsi="Arial" w:cs="Arial"/>
        </w:rPr>
        <w:t>7</w:t>
      </w:r>
      <w:r>
        <w:rPr>
          <w:rFonts w:ascii="Arial" w:hAnsi="Arial" w:cs="Arial"/>
        </w:rPr>
        <w:t>.4</w:t>
      </w:r>
      <w:r>
        <w:rPr>
          <w:rFonts w:hint="eastAsia" w:ascii="Arial" w:hAnsi="宋体" w:cs="Arial"/>
        </w:rPr>
        <w:t>投标文件提倡按照</w:t>
      </w:r>
      <w:r>
        <w:rPr>
          <w:rFonts w:ascii="Arial" w:hAnsi="Arial" w:cs="Arial"/>
        </w:rPr>
        <w:t>A4</w:t>
      </w:r>
      <w:r>
        <w:rPr>
          <w:rFonts w:hint="eastAsia" w:ascii="Arial" w:hAnsi="宋体" w:cs="Arial"/>
        </w:rPr>
        <w:t>幅面打印或复印并进行装订，如有资料超过</w:t>
      </w:r>
      <w:r>
        <w:rPr>
          <w:rFonts w:ascii="Arial" w:hAnsi="Arial" w:cs="Arial"/>
        </w:rPr>
        <w:t>A4</w:t>
      </w:r>
      <w:r>
        <w:rPr>
          <w:rFonts w:hint="eastAsia" w:ascii="Arial" w:hAnsi="宋体" w:cs="Arial"/>
        </w:rPr>
        <w:t>幅面折叠成</w:t>
      </w:r>
      <w:r>
        <w:rPr>
          <w:rFonts w:ascii="Arial" w:hAnsi="Arial" w:cs="Arial"/>
        </w:rPr>
        <w:t>A4</w:t>
      </w:r>
      <w:r>
        <w:rPr>
          <w:rFonts w:hint="eastAsia" w:ascii="Arial" w:hAnsi="宋体" w:cs="Arial"/>
        </w:rPr>
        <w:t>幅面；投标文件装订提倡采用胶装的形式。</w:t>
      </w:r>
    </w:p>
    <w:p w14:paraId="5A033FBE">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7</w:t>
      </w:r>
      <w:r>
        <w:rPr>
          <w:rFonts w:ascii="Arial" w:hAnsi="Arial" w:cs="Arial"/>
          <w:kern w:val="0"/>
          <w:szCs w:val="21"/>
        </w:rPr>
        <w:t xml:space="preserve">.5 </w:t>
      </w:r>
      <w:r>
        <w:rPr>
          <w:rFonts w:hint="eastAsia" w:ascii="Arial" w:hAnsi="宋体" w:cs="Arial"/>
          <w:kern w:val="0"/>
          <w:szCs w:val="21"/>
        </w:rPr>
        <w:t>供应商应当在招标文件要求提交投标文件的截止时间前，将投标文件密封送达投标地点。任何单位和个人不得在开标前开启投标文件。</w:t>
      </w:r>
    </w:p>
    <w:p w14:paraId="4C29C892">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w:t>
      </w:r>
      <w:r>
        <w:rPr>
          <w:rFonts w:hint="eastAsia" w:ascii="Arial" w:hAnsi="Arial" w:cs="Arial"/>
          <w:b/>
          <w:bCs/>
          <w:kern w:val="0"/>
          <w:szCs w:val="21"/>
        </w:rPr>
        <w:t>8</w:t>
      </w:r>
      <w:r>
        <w:rPr>
          <w:rFonts w:hint="eastAsia" w:ascii="Arial" w:hAnsi="宋体" w:cs="Arial"/>
          <w:b/>
          <w:bCs/>
          <w:kern w:val="0"/>
          <w:szCs w:val="21"/>
        </w:rPr>
        <w:t>.有下列情形的投标文件将被拒收：</w:t>
      </w:r>
    </w:p>
    <w:p w14:paraId="0DE6FA44">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8</w:t>
      </w:r>
      <w:r>
        <w:rPr>
          <w:rFonts w:ascii="Arial" w:hAnsi="Arial" w:cs="Arial"/>
          <w:kern w:val="0"/>
          <w:szCs w:val="21"/>
        </w:rPr>
        <w:t>.1</w:t>
      </w:r>
      <w:r>
        <w:rPr>
          <w:rFonts w:hint="eastAsia" w:ascii="Arial" w:hAnsi="宋体" w:cs="Arial"/>
          <w:kern w:val="0"/>
          <w:szCs w:val="21"/>
        </w:rPr>
        <w:t>逾期送达的；</w:t>
      </w:r>
    </w:p>
    <w:p w14:paraId="22959517">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8</w:t>
      </w:r>
      <w:r>
        <w:rPr>
          <w:rFonts w:ascii="Arial" w:hAnsi="Arial" w:cs="Arial"/>
          <w:kern w:val="0"/>
          <w:szCs w:val="21"/>
        </w:rPr>
        <w:t>.2</w:t>
      </w:r>
      <w:r>
        <w:rPr>
          <w:rFonts w:hint="eastAsia" w:ascii="Arial" w:hAnsi="宋体" w:cs="Arial"/>
          <w:kern w:val="0"/>
          <w:szCs w:val="21"/>
        </w:rPr>
        <w:t>未按照招标文件要求密封的。</w:t>
      </w:r>
    </w:p>
    <w:p w14:paraId="0D918977">
      <w:pPr>
        <w:widowControl/>
        <w:shd w:val="clear" w:color="auto" w:fill="FFFFFF"/>
        <w:spacing w:line="360" w:lineRule="auto"/>
        <w:ind w:firstLine="420"/>
        <w:rPr>
          <w:rFonts w:ascii="Arial" w:hAnsi="Arial" w:cs="Arial"/>
          <w:kern w:val="0"/>
          <w:szCs w:val="21"/>
        </w:rPr>
      </w:pPr>
      <w:r>
        <w:rPr>
          <w:rFonts w:ascii="Arial" w:hAnsi="Arial" w:cs="Arial"/>
          <w:b/>
          <w:bCs/>
          <w:kern w:val="0"/>
          <w:szCs w:val="21"/>
        </w:rPr>
        <w:t>1</w:t>
      </w:r>
      <w:r>
        <w:rPr>
          <w:rFonts w:hint="eastAsia" w:ascii="Arial" w:hAnsi="Arial" w:cs="Arial"/>
          <w:b/>
          <w:bCs/>
          <w:kern w:val="0"/>
          <w:szCs w:val="21"/>
        </w:rPr>
        <w:t>9</w:t>
      </w:r>
      <w:r>
        <w:rPr>
          <w:rFonts w:hint="eastAsia" w:ascii="Arial" w:hAnsi="宋体" w:cs="Arial"/>
          <w:b/>
          <w:bCs/>
          <w:kern w:val="0"/>
          <w:szCs w:val="21"/>
        </w:rPr>
        <w:t>.投标文件的修改和撤回</w:t>
      </w:r>
    </w:p>
    <w:p w14:paraId="1239E43A">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9</w:t>
      </w:r>
      <w:r>
        <w:rPr>
          <w:rFonts w:ascii="Arial" w:hAnsi="Arial" w:cs="Arial"/>
          <w:kern w:val="0"/>
          <w:szCs w:val="21"/>
        </w:rPr>
        <w:t>.1</w:t>
      </w:r>
      <w:r>
        <w:rPr>
          <w:rFonts w:hint="eastAsia" w:ascii="Arial" w:hAnsi="宋体" w:cs="Arial"/>
          <w:kern w:val="0"/>
          <w:szCs w:val="21"/>
        </w:rPr>
        <w:t>供应商在投标截止时间前，可以对所递交的投标文件进行补充、修改或者撤回，并书面通知采购人或者采购代理机构。补充、修改的内容应当按照招标文件要求签署、盖章、密封后，作为投标文件的组成部分。</w:t>
      </w:r>
    </w:p>
    <w:p w14:paraId="62FAF3AA">
      <w:pPr>
        <w:widowControl/>
        <w:shd w:val="clear" w:color="auto" w:fill="FFFFFF"/>
        <w:spacing w:line="360" w:lineRule="auto"/>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9</w:t>
      </w:r>
      <w:r>
        <w:rPr>
          <w:rFonts w:ascii="Arial" w:hAnsi="Arial" w:cs="Arial"/>
          <w:kern w:val="0"/>
          <w:szCs w:val="21"/>
        </w:rPr>
        <w:t xml:space="preserve">.2 </w:t>
      </w:r>
      <w:r>
        <w:rPr>
          <w:rFonts w:hint="eastAsia" w:ascii="Arial" w:hAnsi="宋体" w:cs="Arial"/>
          <w:kern w:val="0"/>
          <w:szCs w:val="21"/>
        </w:rPr>
        <w:t>投标截止时间之后，投标文件不得撤回；如撤回，投标保证金不予退还。</w:t>
      </w:r>
    </w:p>
    <w:p w14:paraId="06EB7435">
      <w:pPr>
        <w:widowControl/>
        <w:shd w:val="clear" w:color="auto" w:fill="FFFFFF"/>
        <w:spacing w:line="360" w:lineRule="auto"/>
        <w:ind w:firstLine="420"/>
        <w:rPr>
          <w:rFonts w:ascii="Arial" w:hAnsi="Arial" w:cs="Arial"/>
          <w:kern w:val="0"/>
          <w:szCs w:val="21"/>
        </w:rPr>
      </w:pPr>
      <w:r>
        <w:rPr>
          <w:rFonts w:hint="eastAsia" w:ascii="Arial" w:hAnsi="Arial" w:cs="Arial"/>
          <w:b/>
          <w:bCs/>
          <w:kern w:val="0"/>
          <w:szCs w:val="21"/>
        </w:rPr>
        <w:t>20</w:t>
      </w:r>
      <w:r>
        <w:rPr>
          <w:rFonts w:hint="eastAsia" w:ascii="Arial" w:hAnsi="宋体" w:cs="Arial"/>
          <w:b/>
          <w:bCs/>
          <w:kern w:val="0"/>
          <w:szCs w:val="21"/>
        </w:rPr>
        <w:t>.诚实信用</w:t>
      </w:r>
    </w:p>
    <w:p w14:paraId="10881DF1">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20</w:t>
      </w:r>
      <w:r>
        <w:rPr>
          <w:rFonts w:ascii="Arial" w:hAnsi="Arial" w:cs="Arial"/>
          <w:kern w:val="0"/>
          <w:szCs w:val="21"/>
        </w:rPr>
        <w:t>.1</w:t>
      </w:r>
      <w:r>
        <w:rPr>
          <w:rFonts w:hint="eastAsia" w:ascii="Arial" w:hAnsi="宋体" w:cs="Arial"/>
          <w:kern w:val="0"/>
          <w:szCs w:val="21"/>
        </w:rPr>
        <w:t>供应商应当遵循公平竞争的原则，不得恶意串通，不得妨碍其他供应商的竞争行为，不得损害采购人或者其他供应商的合法权益。</w:t>
      </w:r>
    </w:p>
    <w:p w14:paraId="10BB2853">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20</w:t>
      </w:r>
      <w:r>
        <w:rPr>
          <w:rFonts w:ascii="Arial" w:hAnsi="Arial" w:cs="Arial"/>
          <w:kern w:val="0"/>
          <w:szCs w:val="21"/>
        </w:rPr>
        <w:t>.2</w:t>
      </w:r>
      <w:r>
        <w:rPr>
          <w:rFonts w:hint="eastAsia" w:ascii="Arial" w:hAnsi="宋体" w:cs="Arial"/>
          <w:kern w:val="0"/>
          <w:szCs w:val="21"/>
        </w:rPr>
        <w:t>在评标过程中发现供应商有上述情形的，评标委员会应当认定其投标无效，并书面报告本级财政部门。</w:t>
      </w:r>
    </w:p>
    <w:p w14:paraId="3DFFC93E">
      <w:pPr>
        <w:widowControl/>
        <w:shd w:val="clear" w:color="auto" w:fill="FFFFFF"/>
        <w:spacing w:line="360" w:lineRule="auto"/>
        <w:ind w:firstLine="420"/>
        <w:rPr>
          <w:rFonts w:ascii="Arial" w:hAnsi="Arial" w:cs="Arial"/>
          <w:kern w:val="0"/>
          <w:szCs w:val="21"/>
        </w:rPr>
      </w:pPr>
      <w:r>
        <w:rPr>
          <w:rFonts w:hint="eastAsia" w:ascii="Arial" w:hAnsi="宋体" w:cs="Arial"/>
          <w:b/>
          <w:bCs/>
          <w:kern w:val="0"/>
          <w:szCs w:val="21"/>
        </w:rPr>
        <w:t>五、开标、评标与定标</w:t>
      </w:r>
    </w:p>
    <w:p w14:paraId="44D4945A">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1</w:t>
      </w:r>
      <w:r>
        <w:rPr>
          <w:rFonts w:hint="eastAsia" w:ascii="Arial" w:hAnsi="宋体" w:cs="Arial"/>
          <w:b/>
          <w:bCs/>
          <w:kern w:val="0"/>
          <w:szCs w:val="21"/>
        </w:rPr>
        <w:t>.开标</w:t>
      </w:r>
    </w:p>
    <w:p w14:paraId="312D3124">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1</w:t>
      </w:r>
      <w:r>
        <w:rPr>
          <w:rFonts w:ascii="Arial" w:hAnsi="Arial" w:cs="Arial"/>
          <w:kern w:val="0"/>
          <w:szCs w:val="21"/>
        </w:rPr>
        <w:t xml:space="preserve">.1 </w:t>
      </w:r>
      <w:r>
        <w:rPr>
          <w:rFonts w:hint="eastAsia" w:ascii="Arial" w:hAnsi="宋体" w:cs="Arial"/>
          <w:kern w:val="0"/>
          <w:szCs w:val="21"/>
        </w:rPr>
        <w:t>采购代理机构将在招标文件确定的时间和地点进行公开开标。供应商应委派代表准时参加，参加开标的代表须签名报到以证明其出席。</w:t>
      </w:r>
    </w:p>
    <w:p w14:paraId="75D5BB76">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1</w:t>
      </w:r>
      <w:r>
        <w:rPr>
          <w:rFonts w:ascii="Arial" w:hAnsi="Arial" w:cs="Arial"/>
          <w:kern w:val="0"/>
          <w:szCs w:val="21"/>
        </w:rPr>
        <w:t>.2</w:t>
      </w:r>
      <w:r>
        <w:rPr>
          <w:rFonts w:hint="eastAsia" w:ascii="Arial" w:hAnsi="宋体" w:cs="Arial"/>
          <w:kern w:val="0"/>
          <w:szCs w:val="21"/>
        </w:rPr>
        <w:t>开标时，应当由供应商或者其推选的代表检查投标文件的密封情况；经确认无误后，由采购人或者采购代理机构工作人员当众拆封，宣布供应商名称、投标价格和招标文件规定的需要宣布的其他内容。</w:t>
      </w:r>
    </w:p>
    <w:p w14:paraId="595AF195">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1</w:t>
      </w:r>
      <w:r>
        <w:rPr>
          <w:rFonts w:ascii="Arial" w:hAnsi="Arial" w:cs="Arial"/>
          <w:kern w:val="0"/>
          <w:szCs w:val="21"/>
        </w:rPr>
        <w:t>.3</w:t>
      </w:r>
      <w:r>
        <w:rPr>
          <w:rFonts w:hint="eastAsia" w:ascii="Arial" w:hAnsi="宋体" w:cs="Arial"/>
          <w:kern w:val="0"/>
          <w:szCs w:val="21"/>
        </w:rPr>
        <w:t>供应商不足</w:t>
      </w:r>
      <w:r>
        <w:rPr>
          <w:rFonts w:ascii="Arial" w:hAnsi="Arial" w:cs="Arial"/>
          <w:kern w:val="0"/>
          <w:szCs w:val="21"/>
        </w:rPr>
        <w:t>3</w:t>
      </w:r>
      <w:r>
        <w:rPr>
          <w:rFonts w:hint="eastAsia" w:ascii="Arial" w:hAnsi="宋体" w:cs="Arial"/>
          <w:kern w:val="0"/>
          <w:szCs w:val="21"/>
        </w:rPr>
        <w:t>家的，不得开标。</w:t>
      </w:r>
    </w:p>
    <w:p w14:paraId="5D7D8ED4">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1</w:t>
      </w:r>
      <w:r>
        <w:rPr>
          <w:rFonts w:ascii="Arial" w:hAnsi="Arial" w:cs="Arial"/>
          <w:kern w:val="0"/>
          <w:szCs w:val="21"/>
        </w:rPr>
        <w:t>.4</w:t>
      </w:r>
      <w:r>
        <w:rPr>
          <w:rFonts w:hint="eastAsia" w:ascii="Arial" w:hAnsi="宋体" w:cs="Arial"/>
          <w:kern w:val="0"/>
          <w:szCs w:val="21"/>
        </w:rPr>
        <w:t>开标过程由采购代理机构负责记录，由参加开标的各供应商代表和相关工作人员签字确认后随招标文件一并存档。</w:t>
      </w:r>
    </w:p>
    <w:p w14:paraId="61C078D0">
      <w:pPr>
        <w:spacing w:line="360" w:lineRule="auto"/>
        <w:ind w:firstLine="420" w:firstLineChars="200"/>
        <w:rPr>
          <w:rFonts w:ascii="Arial" w:hAnsi="Arial" w:cs="Arial"/>
        </w:rPr>
      </w:pPr>
      <w:r>
        <w:rPr>
          <w:rFonts w:hint="eastAsia" w:ascii="Arial" w:hAnsi="宋体" w:cs="Arial"/>
        </w:rPr>
        <w:t>供应商代表对开标过程和开标记录有疑义，以及认为采购人、采购代理机构相关工作人员有需要回避的情形的，应当场提出询问或者回避申请。采购人、采购代理机构对供应商代表提出的询问或者回避申请及时处理。</w:t>
      </w:r>
    </w:p>
    <w:p w14:paraId="048A5B98">
      <w:pPr>
        <w:spacing w:line="360" w:lineRule="auto"/>
        <w:ind w:firstLine="420" w:firstLineChars="200"/>
        <w:rPr>
          <w:rFonts w:ascii="Arial" w:hAnsi="Arial" w:cs="Arial"/>
        </w:rPr>
      </w:pPr>
      <w:r>
        <w:rPr>
          <w:rFonts w:ascii="Arial" w:hAnsi="Arial" w:cs="Arial"/>
        </w:rPr>
        <w:t>2</w:t>
      </w:r>
      <w:r>
        <w:rPr>
          <w:rFonts w:hint="eastAsia" w:ascii="Arial" w:hAnsi="Arial" w:cs="Arial"/>
        </w:rPr>
        <w:t>1</w:t>
      </w:r>
      <w:r>
        <w:rPr>
          <w:rFonts w:ascii="Arial" w:hAnsi="Arial" w:cs="Arial"/>
        </w:rPr>
        <w:t>.5</w:t>
      </w:r>
      <w:r>
        <w:rPr>
          <w:rFonts w:hint="eastAsia" w:ascii="Arial" w:hAnsi="宋体" w:cs="Arial"/>
        </w:rPr>
        <w:t>供应商未参加开标的，视同认可开标结果。</w:t>
      </w:r>
    </w:p>
    <w:p w14:paraId="55FC9A8D">
      <w:pPr>
        <w:spacing w:line="360" w:lineRule="auto"/>
        <w:ind w:firstLine="420" w:firstLineChars="200"/>
        <w:rPr>
          <w:rFonts w:ascii="Arial" w:hAnsi="Arial" w:cs="Arial"/>
        </w:rPr>
      </w:pPr>
      <w:r>
        <w:rPr>
          <w:rFonts w:ascii="Arial" w:hAnsi="Arial" w:cs="Arial"/>
        </w:rPr>
        <w:t>2</w:t>
      </w:r>
      <w:r>
        <w:rPr>
          <w:rFonts w:hint="eastAsia" w:ascii="Arial" w:hAnsi="Arial" w:cs="Arial"/>
        </w:rPr>
        <w:t>1</w:t>
      </w:r>
      <w:r>
        <w:rPr>
          <w:rFonts w:ascii="Arial" w:hAnsi="Arial" w:cs="Arial"/>
        </w:rPr>
        <w:t>.6</w:t>
      </w:r>
      <w:r>
        <w:rPr>
          <w:rFonts w:hint="eastAsia" w:ascii="Arial" w:hAnsi="宋体" w:cs="Arial"/>
        </w:rPr>
        <w:t>公开招标数额标准以上的采购项目，投标截止后供应商不足</w:t>
      </w:r>
      <w:r>
        <w:rPr>
          <w:rFonts w:ascii="Arial" w:hAnsi="Arial" w:cs="Arial"/>
        </w:rPr>
        <w:t>3</w:t>
      </w:r>
      <w:r>
        <w:rPr>
          <w:rFonts w:hint="eastAsia" w:ascii="Arial" w:hAnsi="宋体" w:cs="Arial"/>
        </w:rPr>
        <w:t>家或者通过资格审查或符合性审查的供应商不足</w:t>
      </w:r>
      <w:r>
        <w:rPr>
          <w:rFonts w:ascii="Arial" w:hAnsi="Arial" w:cs="Arial"/>
        </w:rPr>
        <w:t>3</w:t>
      </w:r>
      <w:r>
        <w:rPr>
          <w:rFonts w:hint="eastAsia" w:ascii="Arial" w:hAnsi="宋体" w:cs="Arial"/>
        </w:rPr>
        <w:t>家的，除采购任务取消情形外，按照以下方式处理：</w:t>
      </w:r>
    </w:p>
    <w:p w14:paraId="47332649">
      <w:pPr>
        <w:spacing w:line="360" w:lineRule="auto"/>
        <w:ind w:firstLine="420" w:firstLineChars="200"/>
        <w:rPr>
          <w:rFonts w:ascii="Arial" w:hAnsi="Arial" w:cs="Arial"/>
        </w:rPr>
      </w:pPr>
      <w:r>
        <w:rPr>
          <w:rFonts w:hint="eastAsia" w:ascii="Arial" w:hAnsi="宋体" w:cs="Arial"/>
        </w:rPr>
        <w:t>（</w:t>
      </w:r>
      <w:r>
        <w:rPr>
          <w:rFonts w:ascii="Arial" w:hAnsi="Arial" w:cs="Arial"/>
        </w:rPr>
        <w:t>1</w:t>
      </w:r>
      <w:r>
        <w:rPr>
          <w:rFonts w:hint="eastAsia" w:ascii="Arial" w:hAnsi="宋体" w:cs="Arial"/>
        </w:rPr>
        <w:t>）招标文件存在不合理条款或者招标程序不符合规定的，采购人、采购代理机构改正后依法重新招标；</w:t>
      </w:r>
    </w:p>
    <w:p w14:paraId="7A849A36">
      <w:pPr>
        <w:widowControl/>
        <w:shd w:val="clear" w:color="auto" w:fill="FFFFFF"/>
        <w:spacing w:line="360" w:lineRule="auto"/>
        <w:ind w:firstLine="420"/>
        <w:rPr>
          <w:rFonts w:ascii="Arial" w:hAnsi="Arial" w:cs="Arial"/>
          <w:kern w:val="0"/>
          <w:szCs w:val="21"/>
        </w:rPr>
      </w:pPr>
      <w:r>
        <w:rPr>
          <w:rFonts w:hint="eastAsia" w:ascii="Arial" w:hAnsi="宋体" w:cs="Arial"/>
        </w:rPr>
        <w:t>（</w:t>
      </w:r>
      <w:r>
        <w:rPr>
          <w:rFonts w:ascii="Arial" w:hAnsi="Arial" w:cs="Arial"/>
        </w:rPr>
        <w:t>2</w:t>
      </w:r>
      <w:r>
        <w:rPr>
          <w:rFonts w:hint="eastAsia" w:ascii="Arial" w:hAnsi="宋体" w:cs="Arial"/>
        </w:rPr>
        <w:t>）招标文件没有不合理条款、招标程序符合规定，需要采用其他采购方式采购的，采购人依法报财政部门批准，</w:t>
      </w:r>
      <w:r>
        <w:rPr>
          <w:rFonts w:hint="eastAsia" w:ascii="Arial" w:hAnsi="宋体" w:cs="Arial"/>
          <w:kern w:val="0"/>
          <w:szCs w:val="21"/>
        </w:rPr>
        <w:t>经批准后，可变更为其他采购方式采购。</w:t>
      </w:r>
    </w:p>
    <w:p w14:paraId="2181FC83">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2</w:t>
      </w:r>
      <w:r>
        <w:rPr>
          <w:rFonts w:hint="eastAsia" w:ascii="Arial" w:hAnsi="宋体" w:cs="Arial"/>
          <w:b/>
          <w:bCs/>
          <w:kern w:val="0"/>
          <w:szCs w:val="21"/>
        </w:rPr>
        <w:t>.评标</w:t>
      </w:r>
    </w:p>
    <w:p w14:paraId="6AA2C57D">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2</w:t>
      </w:r>
      <w:r>
        <w:rPr>
          <w:rFonts w:ascii="Arial" w:hAnsi="Arial" w:cs="Arial"/>
          <w:b/>
          <w:bCs/>
          <w:kern w:val="0"/>
          <w:szCs w:val="21"/>
        </w:rPr>
        <w:t xml:space="preserve">.1 </w:t>
      </w:r>
      <w:r>
        <w:rPr>
          <w:rFonts w:hint="eastAsia" w:ascii="Arial" w:hAnsi="宋体" w:cs="Arial"/>
          <w:b/>
          <w:bCs/>
          <w:kern w:val="0"/>
          <w:szCs w:val="21"/>
        </w:rPr>
        <w:t>评标委员会</w:t>
      </w:r>
    </w:p>
    <w:p w14:paraId="50E5A8BE">
      <w:pPr>
        <w:widowControl/>
        <w:shd w:val="clear" w:color="auto" w:fill="FFFFFF"/>
        <w:spacing w:line="360" w:lineRule="auto"/>
        <w:ind w:firstLine="420"/>
        <w:rPr>
          <w:rFonts w:ascii="Arial" w:hAnsi="Arial" w:cs="Arial"/>
          <w:bCs/>
          <w:kern w:val="0"/>
          <w:szCs w:val="21"/>
        </w:rPr>
      </w:pPr>
      <w:r>
        <w:rPr>
          <w:rFonts w:ascii="Arial" w:hAnsi="Arial" w:cs="Arial"/>
          <w:b/>
          <w:bCs/>
          <w:kern w:val="0"/>
          <w:szCs w:val="21"/>
        </w:rPr>
        <w:t>2</w:t>
      </w:r>
      <w:r>
        <w:rPr>
          <w:rFonts w:hint="eastAsia" w:ascii="Arial" w:hAnsi="Arial" w:cs="Arial"/>
          <w:b/>
          <w:bCs/>
          <w:kern w:val="0"/>
          <w:szCs w:val="21"/>
        </w:rPr>
        <w:t>2</w:t>
      </w:r>
      <w:r>
        <w:rPr>
          <w:rFonts w:ascii="Arial" w:hAnsi="Arial" w:cs="Arial"/>
          <w:b/>
          <w:bCs/>
          <w:kern w:val="0"/>
          <w:szCs w:val="21"/>
        </w:rPr>
        <w:t>.1.1</w:t>
      </w:r>
      <w:r>
        <w:rPr>
          <w:rFonts w:hint="eastAsia" w:ascii="Arial" w:hAnsi="宋体" w:cs="Arial"/>
          <w:bCs/>
          <w:kern w:val="0"/>
          <w:szCs w:val="21"/>
        </w:rPr>
        <w:t>评标委员会负责具体评标事务，并独立履行下列职责：</w:t>
      </w:r>
    </w:p>
    <w:p w14:paraId="3416FDCF">
      <w:pPr>
        <w:widowControl/>
        <w:shd w:val="clear" w:color="auto" w:fill="FFFFFF"/>
        <w:spacing w:line="360" w:lineRule="auto"/>
        <w:ind w:firstLine="420"/>
        <w:rPr>
          <w:rFonts w:ascii="Arial" w:hAnsi="Arial" w:cs="Arial"/>
          <w:bCs/>
          <w:kern w:val="0"/>
          <w:szCs w:val="21"/>
        </w:rPr>
      </w:pPr>
      <w:r>
        <w:rPr>
          <w:rFonts w:hint="eastAsia" w:ascii="Arial" w:hAnsi="宋体" w:cs="Arial"/>
          <w:bCs/>
          <w:kern w:val="0"/>
          <w:szCs w:val="21"/>
        </w:rPr>
        <w:t>（一）审查、评价投标文件是否符合招标文件的商务、技术等实质性要求；</w:t>
      </w:r>
    </w:p>
    <w:p w14:paraId="18F11070">
      <w:pPr>
        <w:widowControl/>
        <w:shd w:val="clear" w:color="auto" w:fill="FFFFFF"/>
        <w:spacing w:line="360" w:lineRule="auto"/>
        <w:ind w:firstLine="420"/>
        <w:rPr>
          <w:rFonts w:ascii="Arial" w:hAnsi="Arial" w:cs="Arial"/>
          <w:bCs/>
          <w:kern w:val="0"/>
          <w:szCs w:val="21"/>
        </w:rPr>
      </w:pPr>
      <w:r>
        <w:rPr>
          <w:rFonts w:hint="eastAsia" w:ascii="Arial" w:hAnsi="宋体" w:cs="Arial"/>
          <w:bCs/>
          <w:kern w:val="0"/>
          <w:szCs w:val="21"/>
        </w:rPr>
        <w:t>（二）要求供应商对投标文件有关事项作出澄清或者说明；</w:t>
      </w:r>
    </w:p>
    <w:p w14:paraId="21DD1C9C">
      <w:pPr>
        <w:widowControl/>
        <w:shd w:val="clear" w:color="auto" w:fill="FFFFFF"/>
        <w:spacing w:line="360" w:lineRule="auto"/>
        <w:ind w:firstLine="420"/>
        <w:rPr>
          <w:rFonts w:ascii="Arial" w:hAnsi="Arial" w:cs="Arial"/>
          <w:bCs/>
          <w:kern w:val="0"/>
          <w:szCs w:val="21"/>
        </w:rPr>
      </w:pPr>
      <w:r>
        <w:rPr>
          <w:rFonts w:hint="eastAsia" w:ascii="Arial" w:hAnsi="宋体" w:cs="Arial"/>
          <w:bCs/>
          <w:kern w:val="0"/>
          <w:szCs w:val="21"/>
        </w:rPr>
        <w:t>（三）对投标文件进行比较和评价；</w:t>
      </w:r>
    </w:p>
    <w:p w14:paraId="47D90597">
      <w:pPr>
        <w:widowControl/>
        <w:shd w:val="clear" w:color="auto" w:fill="FFFFFF"/>
        <w:spacing w:line="360" w:lineRule="auto"/>
        <w:ind w:firstLine="420"/>
        <w:rPr>
          <w:rFonts w:ascii="Arial" w:hAnsi="Arial" w:cs="Arial"/>
          <w:bCs/>
          <w:kern w:val="0"/>
          <w:szCs w:val="21"/>
        </w:rPr>
      </w:pPr>
      <w:r>
        <w:rPr>
          <w:rFonts w:hint="eastAsia" w:ascii="Arial" w:hAnsi="宋体" w:cs="Arial"/>
          <w:bCs/>
          <w:kern w:val="0"/>
          <w:szCs w:val="21"/>
        </w:rPr>
        <w:t>（四）确定中标候选人名单，以及根据采购人委托直接确定中标人；</w:t>
      </w:r>
    </w:p>
    <w:p w14:paraId="20CB13C8">
      <w:pPr>
        <w:widowControl/>
        <w:shd w:val="clear" w:color="auto" w:fill="FFFFFF"/>
        <w:spacing w:line="360" w:lineRule="auto"/>
        <w:ind w:firstLine="420"/>
        <w:rPr>
          <w:rFonts w:ascii="Arial" w:hAnsi="Arial" w:cs="Arial"/>
          <w:kern w:val="0"/>
          <w:szCs w:val="21"/>
        </w:rPr>
      </w:pPr>
      <w:r>
        <w:rPr>
          <w:rFonts w:hint="eastAsia" w:ascii="Arial" w:hAnsi="宋体" w:cs="Arial"/>
          <w:bCs/>
          <w:kern w:val="0"/>
          <w:szCs w:val="21"/>
        </w:rPr>
        <w:t>（五）向采购人、采购代理机构或者有关部门报告评标中发现的违法行为。</w:t>
      </w:r>
    </w:p>
    <w:p w14:paraId="2F521397">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2</w:t>
      </w:r>
      <w:r>
        <w:rPr>
          <w:rFonts w:ascii="Arial" w:hAnsi="Arial" w:cs="Arial"/>
          <w:b/>
          <w:bCs/>
          <w:kern w:val="0"/>
          <w:szCs w:val="21"/>
        </w:rPr>
        <w:t xml:space="preserve">.1.2 </w:t>
      </w:r>
      <w:r>
        <w:rPr>
          <w:rFonts w:hint="eastAsia" w:ascii="Arial" w:hAnsi="宋体" w:cs="Arial"/>
          <w:kern w:val="0"/>
          <w:szCs w:val="21"/>
        </w:rPr>
        <w:t>评标委员会由</w:t>
      </w:r>
      <w:r>
        <w:rPr>
          <w:rFonts w:hint="eastAsia" w:ascii="Arial" w:hAnsi="宋体" w:cs="Arial"/>
          <w:bCs/>
          <w:kern w:val="0"/>
          <w:szCs w:val="21"/>
        </w:rPr>
        <w:t>采购人</w:t>
      </w:r>
      <w:r>
        <w:rPr>
          <w:rFonts w:hint="eastAsia" w:ascii="Arial" w:hAnsi="宋体" w:cs="Arial"/>
          <w:kern w:val="0"/>
          <w:szCs w:val="21"/>
        </w:rPr>
        <w:t>代表和有关技术、经济等方面的专家组成，独立开展评审工作。</w:t>
      </w:r>
    </w:p>
    <w:p w14:paraId="6835C2AE">
      <w:pPr>
        <w:widowControl/>
        <w:shd w:val="clear" w:color="auto" w:fill="FFFFFF"/>
        <w:spacing w:line="360" w:lineRule="auto"/>
        <w:ind w:firstLine="420"/>
        <w:jc w:val="left"/>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2</w:t>
      </w:r>
      <w:r>
        <w:rPr>
          <w:rFonts w:ascii="Arial" w:hAnsi="Arial" w:cs="Arial"/>
          <w:b/>
          <w:bCs/>
          <w:kern w:val="0"/>
          <w:szCs w:val="21"/>
        </w:rPr>
        <w:t xml:space="preserve">.2  </w:t>
      </w:r>
      <w:r>
        <w:rPr>
          <w:rFonts w:hint="eastAsia" w:ascii="Arial" w:hAnsi="宋体" w:cs="Arial"/>
          <w:b/>
          <w:bCs/>
          <w:kern w:val="0"/>
          <w:szCs w:val="21"/>
        </w:rPr>
        <w:t>评标程序</w:t>
      </w:r>
    </w:p>
    <w:p w14:paraId="0EC74593">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2</w:t>
      </w:r>
      <w:r>
        <w:rPr>
          <w:rFonts w:hint="eastAsia" w:ascii="Arial" w:hAnsi="Arial" w:cs="Arial"/>
          <w:b/>
          <w:kern w:val="0"/>
          <w:szCs w:val="21"/>
        </w:rPr>
        <w:t>2</w:t>
      </w:r>
      <w:r>
        <w:rPr>
          <w:rFonts w:ascii="Arial" w:hAnsi="Arial" w:cs="Arial"/>
          <w:b/>
          <w:kern w:val="0"/>
          <w:szCs w:val="21"/>
        </w:rPr>
        <w:t xml:space="preserve">.2.1 </w:t>
      </w:r>
      <w:r>
        <w:rPr>
          <w:rFonts w:hint="eastAsia" w:ascii="Arial" w:hAnsi="宋体" w:cs="Arial"/>
          <w:b/>
          <w:bCs/>
          <w:kern w:val="0"/>
          <w:szCs w:val="21"/>
        </w:rPr>
        <w:t>投标文件的资格性检查。</w:t>
      </w:r>
      <w:r>
        <w:rPr>
          <w:rFonts w:hint="eastAsia" w:ascii="Arial" w:hAnsi="宋体" w:cs="Arial"/>
          <w:kern w:val="0"/>
          <w:szCs w:val="21"/>
        </w:rPr>
        <w:t>公开招标采购项目开标结束后，</w:t>
      </w:r>
      <w:r>
        <w:rPr>
          <w:rFonts w:hint="eastAsia" w:ascii="Arial" w:hAnsi="宋体" w:cs="Arial"/>
        </w:rPr>
        <w:t>采购人</w:t>
      </w:r>
      <w:r>
        <w:rPr>
          <w:rFonts w:hint="eastAsia" w:ascii="Arial" w:hAnsi="宋体" w:cs="Arial"/>
          <w:kern w:val="0"/>
          <w:szCs w:val="21"/>
        </w:rPr>
        <w:t>或者</w:t>
      </w:r>
      <w:r>
        <w:rPr>
          <w:rFonts w:hint="eastAsia" w:ascii="Arial" w:hAnsi="宋体" w:cs="Arial"/>
        </w:rPr>
        <w:t>采购代理机构</w:t>
      </w:r>
      <w:r>
        <w:rPr>
          <w:rFonts w:hint="eastAsia" w:ascii="Arial" w:hAnsi="宋体" w:cs="Arial"/>
          <w:kern w:val="0"/>
          <w:szCs w:val="21"/>
        </w:rPr>
        <w:t>应当依法对供应商的资格进行审查。合格供应商不足</w:t>
      </w:r>
      <w:r>
        <w:rPr>
          <w:rFonts w:ascii="Arial" w:hAnsi="Arial" w:cs="Arial"/>
          <w:kern w:val="0"/>
          <w:szCs w:val="21"/>
        </w:rPr>
        <w:t>3</w:t>
      </w:r>
      <w:r>
        <w:rPr>
          <w:rFonts w:hint="eastAsia" w:ascii="Arial" w:hAnsi="宋体" w:cs="Arial"/>
          <w:kern w:val="0"/>
          <w:szCs w:val="21"/>
        </w:rPr>
        <w:t>家的，不得评标。</w:t>
      </w:r>
    </w:p>
    <w:p w14:paraId="7EFD3AD6">
      <w:pPr>
        <w:widowControl/>
        <w:shd w:val="clear" w:color="auto" w:fill="FFFFFF"/>
        <w:spacing w:line="360" w:lineRule="auto"/>
        <w:ind w:firstLine="420"/>
        <w:jc w:val="left"/>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2</w:t>
      </w:r>
      <w:r>
        <w:rPr>
          <w:rFonts w:ascii="Arial" w:hAnsi="Arial" w:cs="Arial"/>
          <w:b/>
          <w:bCs/>
          <w:kern w:val="0"/>
          <w:szCs w:val="21"/>
        </w:rPr>
        <w:t>.2.2</w:t>
      </w:r>
      <w:r>
        <w:rPr>
          <w:rFonts w:hint="eastAsia" w:ascii="Arial" w:hAnsi="宋体" w:cs="Arial"/>
          <w:b/>
          <w:bCs/>
          <w:kern w:val="0"/>
          <w:szCs w:val="21"/>
        </w:rPr>
        <w:t>投标文件的符合性审查</w:t>
      </w:r>
      <w:r>
        <w:rPr>
          <w:rFonts w:hint="eastAsia" w:ascii="Arial" w:hAnsi="宋体" w:cs="Arial"/>
          <w:kern w:val="0"/>
          <w:szCs w:val="21"/>
        </w:rPr>
        <w:t>。评标委员会对通过资格性检查的供应商的投标文件进行符合性审查，以确定其是否满足招标文件的实质性要求。投标文件有下列情况之一的，在符合性检查时按照无效投标处理：</w:t>
      </w:r>
    </w:p>
    <w:p w14:paraId="14C41B4F">
      <w:pPr>
        <w:widowControl/>
        <w:shd w:val="clear" w:color="auto" w:fill="FFFFFF"/>
        <w:spacing w:line="360" w:lineRule="auto"/>
        <w:ind w:firstLine="420"/>
        <w:jc w:val="left"/>
        <w:rPr>
          <w:rFonts w:ascii="Arial" w:hAnsi="Arial" w:cs="Arial"/>
          <w:b/>
          <w:kern w:val="0"/>
          <w:szCs w:val="21"/>
        </w:rPr>
      </w:pPr>
      <w:r>
        <w:rPr>
          <w:rFonts w:hint="eastAsia" w:ascii="Arial" w:hAnsi="宋体" w:cs="Arial"/>
          <w:b/>
          <w:kern w:val="0"/>
          <w:szCs w:val="21"/>
        </w:rPr>
        <w:t>（</w:t>
      </w:r>
      <w:r>
        <w:rPr>
          <w:rFonts w:ascii="Arial" w:hAnsi="Arial" w:cs="Arial"/>
          <w:b/>
          <w:kern w:val="0"/>
          <w:szCs w:val="21"/>
        </w:rPr>
        <w:t>1</w:t>
      </w:r>
      <w:r>
        <w:rPr>
          <w:rFonts w:hint="eastAsia" w:ascii="Arial" w:hAnsi="宋体" w:cs="Arial"/>
          <w:b/>
          <w:kern w:val="0"/>
          <w:szCs w:val="21"/>
        </w:rPr>
        <w:t>）未按投标文件规定的数额和办法交纳投标保证金的；</w:t>
      </w:r>
    </w:p>
    <w:p w14:paraId="5DCBB49A">
      <w:pPr>
        <w:widowControl/>
        <w:shd w:val="clear" w:color="auto" w:fill="FFFFFF"/>
        <w:spacing w:line="360" w:lineRule="auto"/>
        <w:ind w:firstLine="420"/>
        <w:jc w:val="left"/>
        <w:rPr>
          <w:rFonts w:ascii="Arial" w:hAnsi="Arial" w:cs="Arial"/>
          <w:b/>
          <w:kern w:val="0"/>
          <w:szCs w:val="21"/>
        </w:rPr>
      </w:pPr>
      <w:r>
        <w:rPr>
          <w:rFonts w:hint="eastAsia" w:ascii="Arial" w:hAnsi="宋体" w:cs="Arial"/>
          <w:b/>
          <w:kern w:val="0"/>
          <w:szCs w:val="21"/>
        </w:rPr>
        <w:t>（</w:t>
      </w:r>
      <w:r>
        <w:rPr>
          <w:rFonts w:ascii="Arial" w:hAnsi="Arial" w:cs="Arial"/>
          <w:b/>
          <w:kern w:val="0"/>
          <w:szCs w:val="21"/>
        </w:rPr>
        <w:t>2</w:t>
      </w:r>
      <w:r>
        <w:rPr>
          <w:rFonts w:hint="eastAsia" w:ascii="Arial" w:hAnsi="宋体" w:cs="Arial"/>
          <w:b/>
          <w:kern w:val="0"/>
          <w:szCs w:val="21"/>
        </w:rPr>
        <w:t>）未按照招标文件规定要求密封、签署、盖章的</w:t>
      </w:r>
      <w:r>
        <w:rPr>
          <w:rFonts w:hint="eastAsia" w:ascii="Arial" w:hAnsi="宋体" w:cs="Arial"/>
          <w:b/>
          <w:bCs/>
          <w:kern w:val="0"/>
          <w:szCs w:val="21"/>
        </w:rPr>
        <w:t>；</w:t>
      </w:r>
    </w:p>
    <w:p w14:paraId="29E09778">
      <w:pPr>
        <w:widowControl/>
        <w:shd w:val="clear" w:color="auto" w:fill="FFFFFF"/>
        <w:spacing w:line="360" w:lineRule="auto"/>
        <w:ind w:firstLine="420"/>
        <w:jc w:val="left"/>
        <w:rPr>
          <w:rFonts w:ascii="Arial" w:hAnsi="Arial" w:cs="Arial"/>
          <w:b/>
          <w:kern w:val="0"/>
          <w:szCs w:val="21"/>
        </w:rPr>
      </w:pPr>
      <w:r>
        <w:rPr>
          <w:rFonts w:hint="eastAsia" w:ascii="Arial" w:hAnsi="宋体" w:cs="Arial"/>
          <w:b/>
          <w:kern w:val="0"/>
          <w:szCs w:val="21"/>
        </w:rPr>
        <w:t>（</w:t>
      </w:r>
      <w:r>
        <w:rPr>
          <w:rFonts w:hint="eastAsia" w:ascii="Arial" w:hAnsi="Arial" w:cs="Arial"/>
          <w:b/>
          <w:kern w:val="0"/>
          <w:szCs w:val="21"/>
        </w:rPr>
        <w:t>3</w:t>
      </w:r>
      <w:r>
        <w:rPr>
          <w:rFonts w:hint="eastAsia" w:ascii="Arial" w:hAnsi="宋体" w:cs="Arial"/>
          <w:b/>
          <w:kern w:val="0"/>
          <w:szCs w:val="21"/>
        </w:rPr>
        <w:t>）报价超过招标文件中规定的预算金额或者最高限价的；</w:t>
      </w:r>
    </w:p>
    <w:p w14:paraId="2D733B1C">
      <w:pPr>
        <w:widowControl/>
        <w:shd w:val="clear" w:color="auto" w:fill="FFFFFF"/>
        <w:spacing w:line="360" w:lineRule="auto"/>
        <w:ind w:firstLine="420"/>
        <w:jc w:val="left"/>
        <w:rPr>
          <w:rFonts w:ascii="Arial" w:hAnsi="Arial" w:cs="Arial"/>
          <w:b/>
          <w:kern w:val="0"/>
          <w:szCs w:val="21"/>
        </w:rPr>
      </w:pPr>
      <w:r>
        <w:rPr>
          <w:rFonts w:hint="eastAsia" w:ascii="Arial" w:hAnsi="宋体" w:cs="Arial"/>
          <w:b/>
          <w:kern w:val="0"/>
          <w:szCs w:val="21"/>
        </w:rPr>
        <w:t>（</w:t>
      </w:r>
      <w:r>
        <w:rPr>
          <w:rFonts w:hint="eastAsia" w:ascii="Arial" w:hAnsi="Arial" w:cs="Arial"/>
          <w:b/>
          <w:kern w:val="0"/>
          <w:szCs w:val="21"/>
        </w:rPr>
        <w:t>4</w:t>
      </w:r>
      <w:r>
        <w:rPr>
          <w:rFonts w:hint="eastAsia" w:ascii="Arial" w:hAnsi="宋体" w:cs="Arial"/>
          <w:b/>
          <w:kern w:val="0"/>
          <w:szCs w:val="21"/>
        </w:rPr>
        <w:t>）投标文件含有采购人不能接受的附加条件的；</w:t>
      </w:r>
    </w:p>
    <w:p w14:paraId="0B6C8545">
      <w:pPr>
        <w:widowControl/>
        <w:shd w:val="clear" w:color="auto" w:fill="FFFFFF"/>
        <w:spacing w:line="360" w:lineRule="auto"/>
        <w:ind w:firstLine="420"/>
        <w:jc w:val="left"/>
        <w:rPr>
          <w:rFonts w:hint="eastAsia" w:ascii="Arial" w:hAnsi="宋体" w:cs="Arial"/>
          <w:b/>
          <w:kern w:val="0"/>
          <w:szCs w:val="21"/>
        </w:rPr>
      </w:pPr>
      <w:r>
        <w:rPr>
          <w:rFonts w:hint="eastAsia" w:ascii="Arial" w:hAnsi="宋体" w:cs="Arial"/>
          <w:b/>
          <w:kern w:val="0"/>
          <w:szCs w:val="21"/>
        </w:rPr>
        <w:t>（</w:t>
      </w:r>
      <w:r>
        <w:rPr>
          <w:rFonts w:hint="eastAsia" w:ascii="Arial" w:hAnsi="Arial" w:cs="Arial"/>
          <w:b/>
          <w:kern w:val="0"/>
          <w:szCs w:val="21"/>
        </w:rPr>
        <w:t>5</w:t>
      </w:r>
      <w:r>
        <w:rPr>
          <w:rFonts w:hint="eastAsia" w:ascii="Arial" w:hAnsi="宋体" w:cs="Arial"/>
          <w:b/>
          <w:kern w:val="0"/>
          <w:szCs w:val="21"/>
        </w:rPr>
        <w:t>）投标文件内容不全或不符合招标文件中规定的其它实质性要求的；</w:t>
      </w:r>
    </w:p>
    <w:p w14:paraId="59BFDBD0">
      <w:pPr>
        <w:widowControl/>
        <w:shd w:val="clear" w:color="auto" w:fill="FFFFFF"/>
        <w:spacing w:line="360" w:lineRule="auto"/>
        <w:ind w:firstLine="420"/>
        <w:rPr>
          <w:rFonts w:hint="eastAsia" w:ascii="Arial" w:hAnsi="宋体" w:cs="Arial"/>
          <w:b/>
          <w:kern w:val="0"/>
          <w:szCs w:val="21"/>
        </w:rPr>
      </w:pPr>
      <w:r>
        <w:rPr>
          <w:rFonts w:hint="eastAsia" w:ascii="Arial" w:hAnsi="宋体" w:cs="Arial"/>
          <w:b/>
          <w:kern w:val="0"/>
          <w:szCs w:val="21"/>
        </w:rPr>
        <w:t>（</w:t>
      </w:r>
      <w:r>
        <w:rPr>
          <w:rFonts w:hint="eastAsia" w:ascii="Arial" w:hAnsi="Arial" w:cs="Arial"/>
          <w:b/>
          <w:kern w:val="0"/>
          <w:szCs w:val="21"/>
        </w:rPr>
        <w:t>6</w:t>
      </w:r>
      <w:r>
        <w:rPr>
          <w:rFonts w:hint="eastAsia" w:ascii="Arial" w:hAnsi="宋体" w:cs="Arial"/>
          <w:b/>
          <w:kern w:val="0"/>
          <w:szCs w:val="21"/>
        </w:rPr>
        <w:t>）现行法律、法规、规章和招标文件规定的其他无效情形。</w:t>
      </w:r>
    </w:p>
    <w:p w14:paraId="29EF7A17">
      <w:pPr>
        <w:widowControl/>
        <w:shd w:val="clear" w:color="auto" w:fill="FFFFFF"/>
        <w:spacing w:line="360" w:lineRule="auto"/>
        <w:ind w:firstLine="420"/>
        <w:rPr>
          <w:rFonts w:ascii="Arial" w:hAnsi="Arial" w:cs="Arial"/>
          <w:b/>
          <w:bCs/>
          <w:kern w:val="0"/>
          <w:szCs w:val="21"/>
        </w:rPr>
      </w:pPr>
      <w:r>
        <w:rPr>
          <w:rFonts w:ascii="Arial" w:hAnsi="Arial" w:cs="Arial"/>
          <w:b/>
          <w:bCs/>
          <w:kern w:val="0"/>
          <w:szCs w:val="21"/>
        </w:rPr>
        <w:t>2</w:t>
      </w:r>
      <w:r>
        <w:rPr>
          <w:rFonts w:hint="eastAsia" w:ascii="Arial" w:hAnsi="Arial" w:cs="Arial"/>
          <w:b/>
          <w:bCs/>
          <w:kern w:val="0"/>
          <w:szCs w:val="21"/>
        </w:rPr>
        <w:t>2</w:t>
      </w:r>
      <w:r>
        <w:rPr>
          <w:rFonts w:ascii="Arial" w:hAnsi="Arial" w:cs="Arial"/>
          <w:b/>
          <w:bCs/>
          <w:kern w:val="0"/>
          <w:szCs w:val="21"/>
        </w:rPr>
        <w:t xml:space="preserve">.2.2.1 </w:t>
      </w:r>
      <w:r>
        <w:rPr>
          <w:rFonts w:hint="eastAsia" w:ascii="Arial" w:hAnsi="宋体" w:cs="Arial"/>
          <w:b/>
          <w:bCs/>
          <w:kern w:val="0"/>
          <w:szCs w:val="21"/>
        </w:rPr>
        <w:t>实质性要求是指本招标文件中用带星号（</w:t>
      </w:r>
      <w:r>
        <w:rPr>
          <w:rFonts w:hint="eastAsia" w:ascii="Arial" w:hAnsi="Arial" w:cs="Arial"/>
          <w:b/>
          <w:bCs/>
          <w:kern w:val="0"/>
          <w:szCs w:val="21"/>
        </w:rPr>
        <w:t>“</w:t>
      </w:r>
      <w:r>
        <w:rPr>
          <w:rFonts w:ascii="Arial" w:hAnsi="Arial" w:cs="Arial"/>
          <w:b/>
          <w:bCs/>
        </w:rPr>
        <w:t>*</w:t>
      </w:r>
      <w:r>
        <w:rPr>
          <w:rFonts w:hint="eastAsia" w:ascii="Arial" w:hAnsi="Arial" w:cs="Arial"/>
          <w:b/>
          <w:bCs/>
          <w:kern w:val="0"/>
          <w:szCs w:val="21"/>
        </w:rPr>
        <w:t>”</w:t>
      </w:r>
      <w:r>
        <w:rPr>
          <w:rFonts w:hint="eastAsia" w:ascii="Arial" w:hAnsi="宋体" w:cs="Arial"/>
          <w:b/>
          <w:bCs/>
          <w:kern w:val="0"/>
          <w:szCs w:val="21"/>
        </w:rPr>
        <w:t>）的商务和技术要求。</w:t>
      </w:r>
    </w:p>
    <w:p w14:paraId="64FF43D3">
      <w:pPr>
        <w:widowControl/>
        <w:shd w:val="clear" w:color="auto" w:fill="FFFFFF"/>
        <w:spacing w:line="360" w:lineRule="auto"/>
        <w:ind w:firstLine="420"/>
        <w:jc w:val="left"/>
        <w:rPr>
          <w:rFonts w:ascii="Arial" w:hAnsi="Arial" w:cs="Arial"/>
          <w:b/>
          <w:kern w:val="0"/>
          <w:szCs w:val="21"/>
        </w:rPr>
      </w:pPr>
      <w:r>
        <w:rPr>
          <w:rFonts w:ascii="Arial" w:hAnsi="Arial" w:cs="Arial"/>
          <w:b/>
          <w:kern w:val="0"/>
          <w:szCs w:val="21"/>
        </w:rPr>
        <w:t>2</w:t>
      </w:r>
      <w:r>
        <w:rPr>
          <w:rFonts w:hint="eastAsia" w:ascii="Arial" w:hAnsi="Arial" w:cs="Arial"/>
          <w:b/>
          <w:kern w:val="0"/>
          <w:szCs w:val="21"/>
        </w:rPr>
        <w:t>2</w:t>
      </w:r>
      <w:r>
        <w:rPr>
          <w:rFonts w:ascii="Arial" w:hAnsi="Arial" w:cs="Arial"/>
          <w:b/>
          <w:kern w:val="0"/>
          <w:szCs w:val="21"/>
        </w:rPr>
        <w:t>.2.2.2</w:t>
      </w:r>
      <w:r>
        <w:rPr>
          <w:rFonts w:hint="eastAsia" w:ascii="Arial" w:hAnsi="宋体" w:cs="Arial"/>
          <w:kern w:val="0"/>
          <w:szCs w:val="21"/>
        </w:rPr>
        <w:t>有下列情形之一的予以废标：</w:t>
      </w:r>
    </w:p>
    <w:p w14:paraId="1F91F2FC">
      <w:pPr>
        <w:widowControl/>
        <w:shd w:val="clear" w:color="auto" w:fill="FFFFFF"/>
        <w:spacing w:line="360" w:lineRule="auto"/>
        <w:ind w:firstLine="420"/>
        <w:rPr>
          <w:rFonts w:ascii="Arial" w:hAnsi="Arial" w:cs="Arial"/>
          <w:kern w:val="0"/>
          <w:szCs w:val="21"/>
        </w:rPr>
      </w:pPr>
      <w:r>
        <w:rPr>
          <w:rFonts w:hint="eastAsia" w:ascii="Arial" w:hAnsi="宋体" w:cs="Arial"/>
          <w:kern w:val="0"/>
          <w:szCs w:val="21"/>
        </w:rPr>
        <w:t>（</w:t>
      </w:r>
      <w:r>
        <w:rPr>
          <w:rFonts w:ascii="Arial" w:hAnsi="Arial" w:cs="Arial"/>
          <w:kern w:val="0"/>
          <w:szCs w:val="21"/>
        </w:rPr>
        <w:t>1</w:t>
      </w:r>
      <w:r>
        <w:rPr>
          <w:rFonts w:hint="eastAsia" w:ascii="Arial" w:hAnsi="宋体" w:cs="Arial"/>
          <w:kern w:val="0"/>
          <w:szCs w:val="21"/>
        </w:rPr>
        <w:t>）符合专业条件的供应商或者对招标文件作实质性响应的供应商不足三家的；</w:t>
      </w:r>
    </w:p>
    <w:p w14:paraId="64A58028">
      <w:pPr>
        <w:widowControl/>
        <w:shd w:val="clear" w:color="auto" w:fill="FFFFFF"/>
        <w:spacing w:line="360" w:lineRule="auto"/>
        <w:ind w:firstLine="420"/>
        <w:rPr>
          <w:rFonts w:ascii="Arial" w:hAnsi="Arial" w:cs="Arial"/>
          <w:kern w:val="0"/>
          <w:szCs w:val="21"/>
        </w:rPr>
      </w:pPr>
      <w:r>
        <w:rPr>
          <w:rFonts w:hint="eastAsia" w:ascii="Arial" w:hAnsi="宋体" w:cs="Arial"/>
          <w:kern w:val="0"/>
          <w:szCs w:val="21"/>
        </w:rPr>
        <w:t>（</w:t>
      </w:r>
      <w:r>
        <w:rPr>
          <w:rFonts w:ascii="Arial" w:hAnsi="Arial" w:cs="Arial"/>
          <w:kern w:val="0"/>
          <w:szCs w:val="21"/>
        </w:rPr>
        <w:t>2</w:t>
      </w:r>
      <w:r>
        <w:rPr>
          <w:rFonts w:hint="eastAsia" w:ascii="Arial" w:hAnsi="宋体" w:cs="Arial"/>
          <w:kern w:val="0"/>
          <w:szCs w:val="21"/>
        </w:rPr>
        <w:t>）出现影响采购公正的违法、违规行为的；</w:t>
      </w:r>
    </w:p>
    <w:p w14:paraId="10206A05">
      <w:pPr>
        <w:widowControl/>
        <w:shd w:val="clear" w:color="auto" w:fill="FFFFFF"/>
        <w:spacing w:line="360" w:lineRule="auto"/>
        <w:ind w:firstLine="420"/>
        <w:rPr>
          <w:rFonts w:ascii="Arial" w:hAnsi="Arial" w:cs="Arial"/>
          <w:kern w:val="0"/>
          <w:szCs w:val="21"/>
        </w:rPr>
      </w:pPr>
      <w:r>
        <w:rPr>
          <w:rFonts w:hint="eastAsia" w:ascii="Arial" w:hAnsi="宋体" w:cs="Arial"/>
          <w:kern w:val="0"/>
          <w:szCs w:val="21"/>
        </w:rPr>
        <w:t>（</w:t>
      </w:r>
      <w:r>
        <w:rPr>
          <w:rFonts w:ascii="Arial" w:hAnsi="Arial" w:cs="Arial"/>
          <w:kern w:val="0"/>
          <w:szCs w:val="21"/>
        </w:rPr>
        <w:t>3</w:t>
      </w:r>
      <w:r>
        <w:rPr>
          <w:rFonts w:hint="eastAsia" w:ascii="Arial" w:hAnsi="宋体" w:cs="Arial"/>
          <w:kern w:val="0"/>
          <w:szCs w:val="21"/>
        </w:rPr>
        <w:t>）供应商的报价均超过了采购预算，采购人不能支付的；</w:t>
      </w:r>
    </w:p>
    <w:p w14:paraId="5140AC82">
      <w:pPr>
        <w:widowControl/>
        <w:shd w:val="clear" w:color="auto" w:fill="FFFFFF"/>
        <w:spacing w:line="360" w:lineRule="auto"/>
        <w:ind w:firstLine="420"/>
        <w:jc w:val="left"/>
        <w:rPr>
          <w:rFonts w:ascii="Arial" w:hAnsi="Arial" w:cs="Arial"/>
          <w:kern w:val="0"/>
          <w:szCs w:val="21"/>
        </w:rPr>
      </w:pPr>
      <w:r>
        <w:rPr>
          <w:rFonts w:hint="eastAsia" w:ascii="Arial" w:hAnsi="宋体" w:cs="Arial"/>
          <w:kern w:val="0"/>
          <w:szCs w:val="21"/>
        </w:rPr>
        <w:t>（</w:t>
      </w:r>
      <w:r>
        <w:rPr>
          <w:rFonts w:ascii="Arial" w:hAnsi="Arial" w:cs="Arial"/>
          <w:kern w:val="0"/>
          <w:szCs w:val="21"/>
        </w:rPr>
        <w:t>4</w:t>
      </w:r>
      <w:r>
        <w:rPr>
          <w:rFonts w:hint="eastAsia" w:ascii="Arial" w:hAnsi="宋体" w:cs="Arial"/>
          <w:kern w:val="0"/>
          <w:szCs w:val="21"/>
        </w:rPr>
        <w:t>）因重大变故，采购任务取消的。</w:t>
      </w:r>
    </w:p>
    <w:p w14:paraId="10F1A2E3">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w:t>
      </w:r>
      <w:r>
        <w:rPr>
          <w:rFonts w:hint="eastAsia" w:ascii="Arial" w:hAnsi="Arial" w:cs="Arial"/>
          <w:kern w:val="0"/>
          <w:szCs w:val="21"/>
        </w:rPr>
        <w:t>2</w:t>
      </w:r>
      <w:r>
        <w:rPr>
          <w:rFonts w:ascii="Arial" w:hAnsi="Arial" w:cs="Arial"/>
          <w:kern w:val="0"/>
          <w:szCs w:val="21"/>
        </w:rPr>
        <w:t>.2.3</w:t>
      </w:r>
      <w:r>
        <w:rPr>
          <w:rFonts w:hint="eastAsia" w:ascii="Arial" w:hAnsi="宋体" w:cs="Arial"/>
          <w:b/>
          <w:bCs/>
          <w:kern w:val="0"/>
          <w:szCs w:val="21"/>
        </w:rPr>
        <w:t>澄清有关问题</w:t>
      </w:r>
      <w:r>
        <w:rPr>
          <w:rFonts w:hint="eastAsia" w:ascii="Arial" w:hAnsi="宋体" w:cs="Arial"/>
          <w:kern w:val="0"/>
          <w:szCs w:val="21"/>
        </w:rPr>
        <w:t>。</w:t>
      </w:r>
    </w:p>
    <w:p w14:paraId="1B0BE2C7">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w:t>
      </w:r>
      <w:r>
        <w:rPr>
          <w:rFonts w:hint="eastAsia" w:ascii="Arial" w:hAnsi="Arial" w:cs="Arial"/>
          <w:kern w:val="0"/>
          <w:szCs w:val="21"/>
        </w:rPr>
        <w:t>2</w:t>
      </w:r>
      <w:r>
        <w:rPr>
          <w:rFonts w:ascii="Arial" w:hAnsi="Arial" w:cs="Arial"/>
          <w:kern w:val="0"/>
          <w:szCs w:val="21"/>
        </w:rPr>
        <w:t>.2.3.1</w:t>
      </w:r>
      <w:r>
        <w:rPr>
          <w:rFonts w:hint="eastAsia" w:ascii="Arial" w:hAnsi="宋体" w:cs="Arial"/>
          <w:kern w:val="0"/>
          <w:szCs w:val="21"/>
        </w:rPr>
        <w:t>对于投标文件中含义不明确、同类问题表述不一致或者有明显文字和计算错误的内容，评标委员会应当以书面形式要求供应商作出必要的澄清、说明或者补正。</w:t>
      </w:r>
    </w:p>
    <w:p w14:paraId="7AEA6C22">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w:t>
      </w:r>
      <w:r>
        <w:rPr>
          <w:rFonts w:hint="eastAsia" w:ascii="Arial" w:hAnsi="Arial" w:cs="Arial"/>
          <w:kern w:val="0"/>
          <w:szCs w:val="21"/>
        </w:rPr>
        <w:t>2</w:t>
      </w:r>
      <w:r>
        <w:rPr>
          <w:rFonts w:ascii="Arial" w:hAnsi="Arial" w:cs="Arial"/>
          <w:kern w:val="0"/>
          <w:szCs w:val="21"/>
        </w:rPr>
        <w:t>.2.3.2</w:t>
      </w:r>
      <w:r>
        <w:rPr>
          <w:rFonts w:hint="eastAsia" w:ascii="Arial" w:hAnsi="宋体" w:cs="Arial"/>
          <w:kern w:val="0"/>
          <w:szCs w:val="21"/>
        </w:rPr>
        <w:t>供应商的澄清、说明或者补正应当采用书面形式，并加盖公章，或者由法定代表人或其授权代表签字。供应商的澄清、说明或者补正不得超出投标文件的范围或者改变投标文件的实质性内容。</w:t>
      </w:r>
    </w:p>
    <w:p w14:paraId="670CB17C">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2</w:t>
      </w:r>
      <w:r>
        <w:rPr>
          <w:rFonts w:ascii="Arial" w:hAnsi="Arial" w:cs="Arial"/>
          <w:kern w:val="0"/>
          <w:szCs w:val="21"/>
        </w:rPr>
        <w:t>.2.3.3</w:t>
      </w:r>
      <w:r>
        <w:rPr>
          <w:rFonts w:hint="eastAsia" w:ascii="Arial" w:hAnsi="宋体" w:cs="Arial"/>
          <w:kern w:val="0"/>
          <w:szCs w:val="21"/>
        </w:rPr>
        <w:t>投标文件报价出现前后不一致的，除招标文件另有规定外，按照下列规定修正：</w:t>
      </w:r>
    </w:p>
    <w:p w14:paraId="11A60EFF">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w:t>
      </w:r>
      <w:r>
        <w:rPr>
          <w:rFonts w:ascii="Arial" w:hAnsi="Arial" w:cs="Arial"/>
          <w:kern w:val="0"/>
          <w:szCs w:val="21"/>
        </w:rPr>
        <w:t>1</w:t>
      </w:r>
      <w:r>
        <w:rPr>
          <w:rFonts w:hint="eastAsia" w:ascii="Arial" w:hAnsi="Arial" w:cs="Arial"/>
          <w:kern w:val="0"/>
          <w:szCs w:val="21"/>
        </w:rPr>
        <w:t>）</w:t>
      </w:r>
      <w:r>
        <w:rPr>
          <w:rFonts w:hint="eastAsia" w:ascii="Arial" w:hAnsi="宋体" w:cs="Arial"/>
          <w:kern w:val="0"/>
          <w:szCs w:val="21"/>
        </w:rPr>
        <w:t>投标文件中开标一览表（报价表）内容与投标文件中相应内容不一致的，以开标一览表（报价表）为准；</w:t>
      </w:r>
    </w:p>
    <w:p w14:paraId="799CB590">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w:t>
      </w:r>
      <w:r>
        <w:rPr>
          <w:rFonts w:ascii="Arial" w:hAnsi="Arial" w:cs="Arial"/>
          <w:kern w:val="0"/>
          <w:szCs w:val="21"/>
        </w:rPr>
        <w:t>2</w:t>
      </w:r>
      <w:r>
        <w:rPr>
          <w:rFonts w:hint="eastAsia" w:ascii="Arial" w:hAnsi="Arial" w:cs="Arial"/>
          <w:kern w:val="0"/>
          <w:szCs w:val="21"/>
        </w:rPr>
        <w:t>）</w:t>
      </w:r>
      <w:r>
        <w:rPr>
          <w:rFonts w:hint="eastAsia" w:ascii="Arial" w:hAnsi="宋体" w:cs="Arial"/>
          <w:kern w:val="0"/>
          <w:szCs w:val="21"/>
        </w:rPr>
        <w:t>大写金额和小写金额不一致的，以大写金额为准；</w:t>
      </w:r>
    </w:p>
    <w:p w14:paraId="39CB4D1C">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w:t>
      </w:r>
      <w:r>
        <w:rPr>
          <w:rFonts w:ascii="Arial" w:hAnsi="Arial" w:cs="Arial"/>
          <w:kern w:val="0"/>
          <w:szCs w:val="21"/>
        </w:rPr>
        <w:t>3</w:t>
      </w:r>
      <w:r>
        <w:rPr>
          <w:rFonts w:hint="eastAsia" w:ascii="Arial" w:hAnsi="Arial" w:cs="Arial"/>
          <w:kern w:val="0"/>
          <w:szCs w:val="21"/>
        </w:rPr>
        <w:t>）</w:t>
      </w:r>
      <w:r>
        <w:rPr>
          <w:rFonts w:hint="eastAsia" w:ascii="Arial" w:hAnsi="宋体" w:cs="Arial"/>
          <w:kern w:val="0"/>
          <w:szCs w:val="21"/>
        </w:rPr>
        <w:t>单价金额小数点或者百分比有明显错位的，以开标一览表的总价为准，并修改单价；</w:t>
      </w:r>
    </w:p>
    <w:p w14:paraId="61606A1F">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w:t>
      </w:r>
      <w:r>
        <w:rPr>
          <w:rFonts w:ascii="Arial" w:hAnsi="Arial" w:cs="Arial"/>
          <w:kern w:val="0"/>
          <w:szCs w:val="21"/>
        </w:rPr>
        <w:t>4</w:t>
      </w:r>
      <w:r>
        <w:rPr>
          <w:rFonts w:hint="eastAsia" w:ascii="Arial" w:hAnsi="Arial" w:cs="Arial"/>
          <w:kern w:val="0"/>
          <w:szCs w:val="21"/>
        </w:rPr>
        <w:t>）</w:t>
      </w:r>
      <w:r>
        <w:rPr>
          <w:rFonts w:hint="eastAsia" w:ascii="Arial" w:hAnsi="宋体" w:cs="Arial"/>
          <w:kern w:val="0"/>
          <w:szCs w:val="21"/>
        </w:rPr>
        <w:t>总价金额与按单价汇总金额不一致的，以单价金额计算结果为准。</w:t>
      </w:r>
    </w:p>
    <w:p w14:paraId="4079B46F">
      <w:pPr>
        <w:widowControl/>
        <w:shd w:val="clear" w:color="auto" w:fill="FFFFFF"/>
        <w:spacing w:line="360" w:lineRule="auto"/>
        <w:ind w:firstLine="420"/>
        <w:rPr>
          <w:rFonts w:ascii="Arial" w:hAnsi="Arial" w:cs="Arial"/>
          <w:b/>
          <w:kern w:val="0"/>
          <w:szCs w:val="21"/>
        </w:rPr>
      </w:pPr>
      <w:r>
        <w:rPr>
          <w:rFonts w:hint="eastAsia" w:ascii="Arial" w:hAnsi="宋体" w:cs="Arial"/>
          <w:kern w:val="0"/>
          <w:szCs w:val="21"/>
        </w:rPr>
        <w:t>同时出现两种以上不一致的，按照前款规定的顺序修正。</w:t>
      </w:r>
      <w:r>
        <w:rPr>
          <w:rFonts w:hint="eastAsia" w:ascii="Arial" w:hAnsi="宋体" w:cs="Arial"/>
          <w:b/>
          <w:kern w:val="0"/>
          <w:szCs w:val="21"/>
        </w:rPr>
        <w:t>修正后的报价按照前款规定经供应商确认后产生约束力，供应商不确认的，其投标无效。</w:t>
      </w:r>
    </w:p>
    <w:p w14:paraId="304F69EF">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w:t>
      </w:r>
      <w:r>
        <w:rPr>
          <w:rFonts w:hint="eastAsia" w:ascii="Arial" w:hAnsi="Arial" w:cs="Arial"/>
          <w:kern w:val="0"/>
          <w:szCs w:val="21"/>
        </w:rPr>
        <w:t>2</w:t>
      </w:r>
      <w:r>
        <w:rPr>
          <w:rFonts w:ascii="Arial" w:hAnsi="Arial" w:cs="Arial"/>
          <w:kern w:val="0"/>
          <w:szCs w:val="21"/>
        </w:rPr>
        <w:t>.2.3.4</w:t>
      </w:r>
      <w:r>
        <w:rPr>
          <w:rFonts w:hint="eastAsia" w:ascii="Arial" w:hAnsi="宋体" w:cs="Arial"/>
        </w:rPr>
        <w:t>评标委员会认为供应商的报价明显低于其他通过符合性审查供应商的报价，有可能影响产品质量或者不能诚信履约的，将要求其在评标现场合理的时间内提供书面说明，必要时提交相关证明材料；</w:t>
      </w:r>
      <w:r>
        <w:rPr>
          <w:rFonts w:hint="eastAsia" w:ascii="Arial" w:hAnsi="宋体" w:cs="Arial"/>
          <w:b/>
        </w:rPr>
        <w:t>供应商不能证明其报价合理性的，评标委员会将其作为无效投标处理。</w:t>
      </w:r>
    </w:p>
    <w:p w14:paraId="33E3E258">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w:t>
      </w:r>
      <w:r>
        <w:rPr>
          <w:rFonts w:hint="eastAsia" w:ascii="Arial" w:hAnsi="Arial" w:cs="Arial"/>
          <w:kern w:val="0"/>
          <w:szCs w:val="21"/>
        </w:rPr>
        <w:t>2</w:t>
      </w:r>
      <w:r>
        <w:rPr>
          <w:rFonts w:ascii="Arial" w:hAnsi="Arial" w:cs="Arial"/>
          <w:kern w:val="0"/>
          <w:szCs w:val="21"/>
        </w:rPr>
        <w:t>.2.4</w:t>
      </w:r>
      <w:r>
        <w:rPr>
          <w:rFonts w:hint="eastAsia" w:ascii="Arial" w:hAnsi="宋体" w:cs="Arial"/>
          <w:bCs/>
          <w:kern w:val="0"/>
          <w:szCs w:val="21"/>
        </w:rPr>
        <w:t>比较与评价。</w:t>
      </w:r>
      <w:r>
        <w:rPr>
          <w:rFonts w:hint="eastAsia" w:ascii="Arial" w:hAnsi="宋体" w:cs="Arial"/>
          <w:kern w:val="0"/>
          <w:szCs w:val="21"/>
        </w:rPr>
        <w:t>评标委员会应当按照招标文件中规定的评标方法和标准，对符合性审查合格的投标文件进行商务和技术评估，综合比较与评价。</w:t>
      </w:r>
    </w:p>
    <w:p w14:paraId="4FBF8AF8">
      <w:pPr>
        <w:widowControl/>
        <w:shd w:val="clear" w:color="auto" w:fill="FFFFFF"/>
        <w:spacing w:line="360" w:lineRule="auto"/>
        <w:ind w:firstLine="420"/>
        <w:jc w:val="left"/>
        <w:rPr>
          <w:rFonts w:ascii="Arial" w:hAnsi="Arial" w:cs="Arial"/>
        </w:rPr>
      </w:pPr>
      <w:r>
        <w:rPr>
          <w:rFonts w:ascii="Arial" w:hAnsi="Arial" w:cs="Arial"/>
          <w:kern w:val="0"/>
          <w:szCs w:val="21"/>
        </w:rPr>
        <w:t>2</w:t>
      </w:r>
      <w:r>
        <w:rPr>
          <w:rFonts w:hint="eastAsia" w:ascii="Arial" w:hAnsi="Arial" w:cs="Arial"/>
          <w:kern w:val="0"/>
          <w:szCs w:val="21"/>
        </w:rPr>
        <w:t>2</w:t>
      </w:r>
      <w:r>
        <w:rPr>
          <w:rFonts w:ascii="Arial" w:hAnsi="Arial" w:cs="Arial"/>
          <w:kern w:val="0"/>
          <w:szCs w:val="21"/>
        </w:rPr>
        <w:t>.2.5</w:t>
      </w:r>
      <w:r>
        <w:rPr>
          <w:rFonts w:hint="eastAsia" w:ascii="Arial" w:hAnsi="宋体" w:cs="Arial"/>
        </w:rPr>
        <w:t>相同品牌产品的投标</w:t>
      </w:r>
    </w:p>
    <w:p w14:paraId="0C249D04">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采用最低评标价法的采购项目，提供相同品牌产品的不同供应商参加同一合同项下投标的，以其中通过资格审查、符合性审查且报价最低的参加评标；报价相同的，由采购人委托评标委员会按照招标文件规定的方式确定一个参加评标的供应商，招标文件未规定的采取随机抽取方式确定，其他投标无效。</w:t>
      </w:r>
    </w:p>
    <w:p w14:paraId="4193729C">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使用综合评分法的采购项目，提供相同品牌产品且通过资格审查、符合性审查的不同供应商参加同一合同项下投标的，按一家供应商计算，评审后得分最高的同品牌供应商获得中标人推荐资格；评审得分相同的，由采购人委托评标委员会按照招标文件规定的方式确定一个供应商获得中标人推荐资格，招标文件未规定的采取随机抽取方式确定，其他同品牌供应商不作为中标候选人。</w:t>
      </w:r>
    </w:p>
    <w:p w14:paraId="40545F69">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非单一产品采购项目，确定核心产品的方法在招标文件技术需求中载明。多家供应商提供的核心产品品牌相同的，按前两款规定处理。</w:t>
      </w:r>
    </w:p>
    <w:p w14:paraId="78132006">
      <w:pPr>
        <w:widowControl/>
        <w:shd w:val="clear" w:color="auto" w:fill="FFFFFF"/>
        <w:spacing w:line="360" w:lineRule="auto"/>
        <w:ind w:firstLine="420"/>
        <w:jc w:val="left"/>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2</w:t>
      </w:r>
      <w:r>
        <w:rPr>
          <w:rFonts w:ascii="Arial" w:hAnsi="Arial" w:cs="Arial"/>
          <w:b/>
          <w:bCs/>
          <w:kern w:val="0"/>
          <w:szCs w:val="21"/>
        </w:rPr>
        <w:t xml:space="preserve">.3 </w:t>
      </w:r>
      <w:r>
        <w:rPr>
          <w:rFonts w:hint="eastAsia" w:ascii="Arial" w:hAnsi="宋体" w:cs="Arial"/>
          <w:b/>
          <w:bCs/>
          <w:kern w:val="0"/>
          <w:szCs w:val="21"/>
        </w:rPr>
        <w:t>评标方法和标准</w:t>
      </w:r>
    </w:p>
    <w:p w14:paraId="62472B53">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w:t>
      </w:r>
      <w:r>
        <w:rPr>
          <w:rFonts w:hint="eastAsia" w:ascii="Arial" w:hAnsi="Arial" w:cs="Arial"/>
          <w:kern w:val="0"/>
          <w:szCs w:val="21"/>
        </w:rPr>
        <w:t>2</w:t>
      </w:r>
      <w:r>
        <w:rPr>
          <w:rFonts w:ascii="Arial" w:hAnsi="Arial" w:cs="Arial"/>
          <w:kern w:val="0"/>
          <w:szCs w:val="21"/>
        </w:rPr>
        <w:t>.3.1</w:t>
      </w:r>
      <w:r>
        <w:rPr>
          <w:rFonts w:hint="eastAsia" w:ascii="Arial" w:hAnsi="Arial" w:cs="Arial"/>
          <w:kern w:val="0"/>
          <w:szCs w:val="21"/>
        </w:rPr>
        <w:t>评标方法分为最低评标价法和综合评分法。本次招标的评标方法和标准，详见本招标文件第三章。</w:t>
      </w:r>
    </w:p>
    <w:p w14:paraId="6416AF56">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2</w:t>
      </w:r>
      <w:r>
        <w:rPr>
          <w:rFonts w:hint="eastAsia" w:ascii="Arial" w:hAnsi="Arial" w:cs="Arial"/>
          <w:kern w:val="0"/>
          <w:szCs w:val="21"/>
        </w:rPr>
        <w:t>2</w:t>
      </w:r>
      <w:r>
        <w:rPr>
          <w:rFonts w:ascii="Arial" w:hAnsi="Arial" w:cs="Arial"/>
          <w:kern w:val="0"/>
          <w:szCs w:val="21"/>
        </w:rPr>
        <w:t>.3.</w:t>
      </w:r>
      <w:r>
        <w:rPr>
          <w:rFonts w:hint="eastAsia" w:ascii="Arial" w:hAnsi="Arial" w:cs="Arial"/>
          <w:kern w:val="0"/>
          <w:szCs w:val="21"/>
        </w:rPr>
        <w:t>2综合评分法，是指投标文件满足招标文件全部实质性要求，且按照评审因素的量化指标评审得分最高的供应商为中标候选人的评标方法。</w:t>
      </w:r>
    </w:p>
    <w:p w14:paraId="7A96A7DE">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评审因素，包括价格、技术、商务等。</w:t>
      </w:r>
    </w:p>
    <w:p w14:paraId="773384D5">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评标时，评标委员会各成员应当独立对每个供应商的投标文件进行评价，并汇总每个供应商的得分。</w:t>
      </w:r>
    </w:p>
    <w:p w14:paraId="01EF2D62">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价格分采用低价优先法计算，即满足招标文件要求且投标价格最低的投标报价为评标基准价，其价格分为满分。</w:t>
      </w:r>
    </w:p>
    <w:p w14:paraId="5AD1018A">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评标总得分＝</w:t>
      </w:r>
      <w:r>
        <w:rPr>
          <w:rFonts w:ascii="Arial" w:hAnsi="Arial" w:cs="Arial"/>
          <w:kern w:val="0"/>
          <w:szCs w:val="21"/>
        </w:rPr>
        <w:t>F1×A1</w:t>
      </w:r>
      <w:r>
        <w:rPr>
          <w:rFonts w:hint="eastAsia" w:ascii="Arial" w:hAnsi="Arial" w:cs="Arial"/>
          <w:kern w:val="0"/>
          <w:szCs w:val="21"/>
        </w:rPr>
        <w:t>＋</w:t>
      </w:r>
      <w:r>
        <w:rPr>
          <w:rFonts w:ascii="Arial" w:hAnsi="Arial" w:cs="Arial"/>
          <w:kern w:val="0"/>
          <w:szCs w:val="21"/>
        </w:rPr>
        <w:t>F2×A2</w:t>
      </w:r>
      <w:r>
        <w:rPr>
          <w:rFonts w:hint="eastAsia" w:ascii="Arial" w:hAnsi="Arial" w:cs="Arial"/>
          <w:kern w:val="0"/>
          <w:szCs w:val="21"/>
        </w:rPr>
        <w:t>＋</w:t>
      </w:r>
      <w:r>
        <w:rPr>
          <w:rFonts w:ascii="Arial" w:hAnsi="Arial" w:cs="Arial"/>
          <w:kern w:val="0"/>
          <w:szCs w:val="21"/>
        </w:rPr>
        <w:t>……</w:t>
      </w:r>
      <w:r>
        <w:rPr>
          <w:rFonts w:hint="eastAsia" w:ascii="Arial" w:hAnsi="Arial" w:cs="Arial"/>
          <w:kern w:val="0"/>
          <w:szCs w:val="21"/>
        </w:rPr>
        <w:t>＋</w:t>
      </w:r>
      <w:r>
        <w:rPr>
          <w:rFonts w:ascii="Arial" w:hAnsi="Arial" w:cs="Arial"/>
          <w:kern w:val="0"/>
          <w:szCs w:val="21"/>
        </w:rPr>
        <w:t>Fn×An</w:t>
      </w:r>
    </w:p>
    <w:p w14:paraId="55485640">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F1</w:t>
      </w:r>
      <w:r>
        <w:rPr>
          <w:rFonts w:hint="eastAsia" w:ascii="Arial" w:hAnsi="Arial" w:cs="Arial"/>
          <w:kern w:val="0"/>
          <w:szCs w:val="21"/>
        </w:rPr>
        <w:t>、</w:t>
      </w:r>
      <w:r>
        <w:rPr>
          <w:rFonts w:ascii="Arial" w:hAnsi="Arial" w:cs="Arial"/>
          <w:kern w:val="0"/>
          <w:szCs w:val="21"/>
        </w:rPr>
        <w:t>F2……Fn</w:t>
      </w:r>
      <w:r>
        <w:rPr>
          <w:rFonts w:hint="eastAsia" w:ascii="Arial" w:hAnsi="Arial" w:cs="Arial"/>
          <w:kern w:val="0"/>
          <w:szCs w:val="21"/>
        </w:rPr>
        <w:t>分别为各项评审因素的得分；</w:t>
      </w:r>
    </w:p>
    <w:p w14:paraId="229629B3">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A1</w:t>
      </w:r>
      <w:r>
        <w:rPr>
          <w:rFonts w:hint="eastAsia" w:ascii="Arial" w:hAnsi="Arial" w:cs="Arial"/>
          <w:kern w:val="0"/>
          <w:szCs w:val="21"/>
        </w:rPr>
        <w:t>、</w:t>
      </w:r>
      <w:r>
        <w:rPr>
          <w:rFonts w:ascii="Arial" w:hAnsi="Arial" w:cs="Arial"/>
          <w:kern w:val="0"/>
          <w:szCs w:val="21"/>
        </w:rPr>
        <w:t>A2</w:t>
      </w:r>
      <w:r>
        <w:rPr>
          <w:rFonts w:hint="eastAsia" w:ascii="Arial" w:hAnsi="Arial" w:cs="Arial"/>
          <w:kern w:val="0"/>
          <w:szCs w:val="21"/>
        </w:rPr>
        <w:t>、</w:t>
      </w:r>
      <w:r>
        <w:rPr>
          <w:rFonts w:ascii="Arial" w:hAnsi="Arial" w:cs="Arial"/>
          <w:kern w:val="0"/>
          <w:szCs w:val="21"/>
        </w:rPr>
        <w:t xml:space="preserve">……An </w:t>
      </w:r>
      <w:r>
        <w:rPr>
          <w:rFonts w:hint="eastAsia" w:ascii="Arial" w:hAnsi="Arial" w:cs="Arial"/>
          <w:kern w:val="0"/>
          <w:szCs w:val="21"/>
        </w:rPr>
        <w:t>分别为各项评审因素所占的权重</w:t>
      </w:r>
      <w:r>
        <w:rPr>
          <w:rFonts w:ascii="Arial" w:hAnsi="Arial" w:cs="Arial"/>
          <w:kern w:val="0"/>
          <w:szCs w:val="21"/>
        </w:rPr>
        <w:t>(A1</w:t>
      </w:r>
      <w:r>
        <w:rPr>
          <w:rFonts w:hint="eastAsia" w:ascii="Arial" w:hAnsi="Arial" w:cs="Arial"/>
          <w:kern w:val="0"/>
          <w:szCs w:val="21"/>
        </w:rPr>
        <w:t>＋</w:t>
      </w:r>
      <w:r>
        <w:rPr>
          <w:rFonts w:ascii="Arial" w:hAnsi="Arial" w:cs="Arial"/>
          <w:kern w:val="0"/>
          <w:szCs w:val="21"/>
        </w:rPr>
        <w:t>A2</w:t>
      </w:r>
      <w:r>
        <w:rPr>
          <w:rFonts w:hint="eastAsia" w:ascii="Arial" w:hAnsi="Arial" w:cs="Arial"/>
          <w:kern w:val="0"/>
          <w:szCs w:val="21"/>
        </w:rPr>
        <w:t>＋</w:t>
      </w:r>
      <w:r>
        <w:rPr>
          <w:rFonts w:ascii="Arial" w:hAnsi="Arial" w:cs="Arial"/>
          <w:kern w:val="0"/>
          <w:szCs w:val="21"/>
        </w:rPr>
        <w:t>……</w:t>
      </w:r>
      <w:r>
        <w:rPr>
          <w:rFonts w:hint="eastAsia" w:ascii="Arial" w:hAnsi="Arial" w:cs="Arial"/>
          <w:kern w:val="0"/>
          <w:szCs w:val="21"/>
        </w:rPr>
        <w:t>＋</w:t>
      </w:r>
      <w:r>
        <w:rPr>
          <w:rFonts w:ascii="Arial" w:hAnsi="Arial" w:cs="Arial"/>
          <w:kern w:val="0"/>
          <w:szCs w:val="21"/>
        </w:rPr>
        <w:t>An</w:t>
      </w:r>
      <w:r>
        <w:rPr>
          <w:rFonts w:hint="eastAsia" w:ascii="Arial" w:hAnsi="Arial" w:cs="Arial"/>
          <w:kern w:val="0"/>
          <w:szCs w:val="21"/>
        </w:rPr>
        <w:t>＝</w:t>
      </w:r>
      <w:r>
        <w:rPr>
          <w:rFonts w:ascii="Arial" w:hAnsi="Arial" w:cs="Arial"/>
          <w:kern w:val="0"/>
          <w:szCs w:val="21"/>
        </w:rPr>
        <w:t>1)</w:t>
      </w:r>
      <w:r>
        <w:rPr>
          <w:rFonts w:hint="eastAsia" w:ascii="Arial" w:hAnsi="Arial" w:cs="Arial"/>
          <w:kern w:val="0"/>
          <w:szCs w:val="21"/>
        </w:rPr>
        <w:t>。</w:t>
      </w:r>
    </w:p>
    <w:p w14:paraId="1455CBBC">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因落实政府采购政策进行价格调整的，以调整后的价格计算评标基准价和投标报价。</w:t>
      </w:r>
    </w:p>
    <w:p w14:paraId="289E7D37">
      <w:pPr>
        <w:widowControl/>
        <w:shd w:val="clear" w:color="auto" w:fill="FFFFFF"/>
        <w:spacing w:line="360" w:lineRule="auto"/>
        <w:jc w:val="left"/>
        <w:rPr>
          <w:rFonts w:ascii="Arial" w:hAnsi="Arial" w:cs="Arial"/>
          <w:b/>
          <w:bCs/>
          <w:kern w:val="0"/>
          <w:szCs w:val="21"/>
        </w:rPr>
      </w:pPr>
      <w:r>
        <w:rPr>
          <w:rFonts w:ascii="Arial" w:hAnsi="Arial" w:cs="Arial"/>
          <w:b/>
          <w:bCs/>
          <w:kern w:val="0"/>
          <w:szCs w:val="21"/>
        </w:rPr>
        <w:t>22.4</w:t>
      </w:r>
      <w:r>
        <w:rPr>
          <w:rFonts w:hint="eastAsia" w:ascii="Arial" w:hAnsi="Arial" w:cs="Arial"/>
          <w:b/>
          <w:bCs/>
          <w:kern w:val="0"/>
          <w:szCs w:val="21"/>
        </w:rPr>
        <w:t xml:space="preserve"> </w:t>
      </w:r>
      <w:r>
        <w:rPr>
          <w:rFonts w:ascii="Arial" w:hAnsi="Arial" w:cs="Arial"/>
          <w:b/>
          <w:bCs/>
          <w:kern w:val="0"/>
          <w:szCs w:val="21"/>
        </w:rPr>
        <w:t>评标委员会启动异常低价投标审查的情形和具体要求</w:t>
      </w:r>
    </w:p>
    <w:p w14:paraId="438F8D3E">
      <w:pPr>
        <w:widowControl/>
        <w:shd w:val="clear" w:color="auto" w:fill="FFFFFF"/>
        <w:spacing w:line="360" w:lineRule="auto"/>
        <w:jc w:val="left"/>
        <w:rPr>
          <w:rFonts w:ascii="Arial" w:hAnsi="Arial" w:cs="Arial"/>
          <w:kern w:val="0"/>
          <w:szCs w:val="21"/>
        </w:rPr>
      </w:pPr>
      <w:r>
        <w:rPr>
          <w:rFonts w:hint="eastAsia" w:ascii="Arial" w:hAnsi="Arial" w:cs="Arial"/>
          <w:kern w:val="0"/>
          <w:szCs w:val="21"/>
        </w:rPr>
        <w:t>22.4.1</w:t>
      </w:r>
      <w:r>
        <w:rPr>
          <w:rFonts w:ascii="Arial" w:hAnsi="Arial" w:cs="Arial"/>
          <w:kern w:val="0"/>
          <w:szCs w:val="21"/>
        </w:rPr>
        <w:t>评</w:t>
      </w:r>
      <w:r>
        <w:rPr>
          <w:rFonts w:hint="eastAsia" w:ascii="Arial" w:hAnsi="Arial" w:cs="Arial"/>
          <w:kern w:val="0"/>
          <w:szCs w:val="21"/>
        </w:rPr>
        <w:t>标</w:t>
      </w:r>
      <w:r>
        <w:rPr>
          <w:rFonts w:ascii="Arial" w:hAnsi="Arial" w:cs="Arial"/>
          <w:kern w:val="0"/>
          <w:szCs w:val="21"/>
        </w:rPr>
        <w:t xml:space="preserve">过程中出现下列情形之一的，评标委员会应当启动异常低价投标审查程序： </w:t>
      </w:r>
    </w:p>
    <w:p w14:paraId="32FAF6F6">
      <w:pPr>
        <w:widowControl/>
        <w:shd w:val="clear" w:color="auto" w:fill="FFFFFF"/>
        <w:spacing w:line="360" w:lineRule="auto"/>
        <w:jc w:val="left"/>
        <w:rPr>
          <w:rFonts w:ascii="Arial" w:hAnsi="Arial" w:cs="Arial"/>
          <w:kern w:val="0"/>
          <w:szCs w:val="21"/>
        </w:rPr>
      </w:pPr>
      <w:r>
        <w:rPr>
          <w:rFonts w:hint="eastAsia" w:ascii="Arial" w:hAnsi="Arial" w:cs="Arial"/>
          <w:kern w:val="0"/>
          <w:szCs w:val="21"/>
        </w:rPr>
        <w:t>（1）</w:t>
      </w:r>
      <w:r>
        <w:rPr>
          <w:rFonts w:ascii="Arial" w:hAnsi="Arial" w:cs="Arial"/>
          <w:kern w:val="0"/>
          <w:szCs w:val="21"/>
        </w:rPr>
        <w:t>投标报价低于</w:t>
      </w:r>
      <w:r>
        <w:rPr>
          <w:rFonts w:hint="eastAsia" w:ascii="Arial" w:hAnsi="Arial" w:cs="Arial"/>
          <w:kern w:val="0"/>
          <w:szCs w:val="21"/>
        </w:rPr>
        <w:t>招标</w:t>
      </w:r>
      <w:r>
        <w:rPr>
          <w:rFonts w:ascii="Arial" w:hAnsi="Arial" w:cs="Arial"/>
          <w:kern w:val="0"/>
          <w:szCs w:val="21"/>
        </w:rPr>
        <w:t>项目预算50%的，即投标报价&lt;</w:t>
      </w:r>
      <w:r>
        <w:rPr>
          <w:rFonts w:hint="eastAsia" w:ascii="Arial" w:hAnsi="Arial" w:cs="Arial"/>
          <w:kern w:val="0"/>
          <w:szCs w:val="21"/>
        </w:rPr>
        <w:t>招标</w:t>
      </w:r>
      <w:r>
        <w:rPr>
          <w:rFonts w:ascii="Arial" w:hAnsi="Arial" w:cs="Arial"/>
          <w:kern w:val="0"/>
          <w:szCs w:val="21"/>
        </w:rPr>
        <w:t>项目预算×50%</w:t>
      </w:r>
      <w:r>
        <w:rPr>
          <w:rFonts w:hint="eastAsia" w:ascii="Arial" w:hAnsi="Arial" w:cs="Arial"/>
          <w:kern w:val="0"/>
          <w:szCs w:val="21"/>
        </w:rPr>
        <w:t>；</w:t>
      </w:r>
      <w:r>
        <w:rPr>
          <w:rFonts w:ascii="Arial" w:hAnsi="Arial" w:cs="Arial"/>
          <w:kern w:val="0"/>
          <w:szCs w:val="21"/>
        </w:rPr>
        <w:t xml:space="preserve"> </w:t>
      </w:r>
    </w:p>
    <w:p w14:paraId="3D0A1E67">
      <w:pPr>
        <w:widowControl/>
        <w:numPr>
          <w:ilvl w:val="0"/>
          <w:numId w:val="3"/>
        </w:numPr>
        <w:shd w:val="clear" w:color="auto" w:fill="FFFFFF"/>
        <w:spacing w:line="360" w:lineRule="auto"/>
        <w:jc w:val="left"/>
        <w:rPr>
          <w:rFonts w:ascii="Arial" w:hAnsi="Arial" w:cs="Arial"/>
          <w:kern w:val="0"/>
          <w:szCs w:val="21"/>
        </w:rPr>
      </w:pPr>
      <w:r>
        <w:rPr>
          <w:rFonts w:ascii="Arial" w:hAnsi="Arial" w:cs="Arial"/>
          <w:kern w:val="0"/>
          <w:szCs w:val="21"/>
        </w:rPr>
        <w:t>投标报价低于</w:t>
      </w:r>
      <w:r>
        <w:rPr>
          <w:rFonts w:hint="eastAsia" w:ascii="Arial" w:hAnsi="Arial" w:cs="Arial"/>
          <w:kern w:val="0"/>
          <w:szCs w:val="21"/>
        </w:rPr>
        <w:t>招标</w:t>
      </w:r>
      <w:r>
        <w:rPr>
          <w:rFonts w:ascii="Arial" w:hAnsi="Arial" w:cs="Arial"/>
          <w:kern w:val="0"/>
          <w:szCs w:val="21"/>
        </w:rPr>
        <w:t>项目最高限价45%的，即投标报价&lt;</w:t>
      </w:r>
      <w:r>
        <w:rPr>
          <w:rFonts w:hint="eastAsia" w:ascii="Arial" w:hAnsi="Arial" w:cs="Arial"/>
          <w:kern w:val="0"/>
          <w:szCs w:val="21"/>
        </w:rPr>
        <w:t>招标</w:t>
      </w:r>
      <w:r>
        <w:rPr>
          <w:rFonts w:ascii="Arial" w:hAnsi="Arial" w:cs="Arial"/>
          <w:kern w:val="0"/>
          <w:szCs w:val="21"/>
        </w:rPr>
        <w:t xml:space="preserve">项目最高限价×45% ； </w:t>
      </w:r>
    </w:p>
    <w:p w14:paraId="032B2B5C">
      <w:pPr>
        <w:widowControl/>
        <w:numPr>
          <w:ilvl w:val="0"/>
          <w:numId w:val="3"/>
        </w:numPr>
        <w:shd w:val="clear" w:color="auto" w:fill="FFFFFF"/>
        <w:spacing w:line="360" w:lineRule="auto"/>
        <w:jc w:val="left"/>
        <w:rPr>
          <w:rFonts w:ascii="Arial" w:hAnsi="Arial" w:cs="Arial"/>
          <w:kern w:val="0"/>
          <w:szCs w:val="21"/>
        </w:rPr>
      </w:pPr>
      <w:r>
        <w:rPr>
          <w:rFonts w:ascii="Arial" w:hAnsi="Arial" w:cs="Arial"/>
          <w:kern w:val="0"/>
          <w:szCs w:val="21"/>
        </w:rPr>
        <w:t>评</w:t>
      </w:r>
      <w:r>
        <w:rPr>
          <w:rFonts w:hint="eastAsia" w:ascii="Arial" w:hAnsi="Arial" w:cs="Arial"/>
          <w:kern w:val="0"/>
          <w:szCs w:val="21"/>
        </w:rPr>
        <w:t>标</w:t>
      </w:r>
      <w:r>
        <w:rPr>
          <w:rFonts w:ascii="Arial" w:hAnsi="Arial" w:cs="Arial"/>
          <w:kern w:val="0"/>
          <w:szCs w:val="21"/>
        </w:rPr>
        <w:t>委员会认定的</w:t>
      </w:r>
      <w:r>
        <w:rPr>
          <w:rFonts w:hint="eastAsia" w:ascii="Arial" w:hAnsi="Arial" w:cs="Arial"/>
          <w:kern w:val="0"/>
          <w:szCs w:val="21"/>
        </w:rPr>
        <w:t>供应商</w:t>
      </w:r>
      <w:r>
        <w:rPr>
          <w:rFonts w:ascii="Arial" w:hAnsi="Arial" w:cs="Arial"/>
          <w:kern w:val="0"/>
          <w:szCs w:val="21"/>
        </w:rPr>
        <w:t>报价过低、有可能影响产品质量或者不能诚信履约的其他情形。</w:t>
      </w:r>
    </w:p>
    <w:p w14:paraId="03AAAA02">
      <w:pPr>
        <w:widowControl/>
        <w:shd w:val="clear" w:color="auto" w:fill="FFFFFF"/>
        <w:spacing w:line="360" w:lineRule="auto"/>
        <w:jc w:val="left"/>
      </w:pPr>
      <w:r>
        <w:rPr>
          <w:rFonts w:hint="eastAsia" w:ascii="Arial" w:hAnsi="Arial" w:cs="Arial"/>
          <w:kern w:val="0"/>
          <w:szCs w:val="21"/>
        </w:rPr>
        <w:t>22.4.2 启动异常低价投标审查后，评标委员会应当要求相关供应商在评标现场合理的时间内，提供项目具体成本测算等与报价合理性相关的书面说明及相关证明材料，对投标价格作出解释，由评标委员会结合同类产品在主要电商平台的价格、该行业当地薪资水平等情况，依据专业经验对供应商报价合理性进行判断。</w:t>
      </w:r>
      <w:r>
        <w:rPr>
          <w:rFonts w:hint="eastAsia" w:ascii="Arial" w:hAnsi="Arial" w:cs="Arial"/>
          <w:b/>
          <w:bCs/>
          <w:kern w:val="0"/>
          <w:szCs w:val="21"/>
        </w:rPr>
        <w:t>供应商不提供书面说明、证明材料，或者提供的书面说明、证明材料不能证明其报价合理性的，评标委员会应当将其作为无效投标处理。审查相关情况应当在评审报告中进行记录。</w:t>
      </w:r>
    </w:p>
    <w:p w14:paraId="1A56EC8D">
      <w:pPr>
        <w:widowControl/>
        <w:shd w:val="clear" w:color="auto" w:fill="FFFFFF"/>
        <w:spacing w:line="360" w:lineRule="auto"/>
        <w:ind w:firstLine="420"/>
        <w:rPr>
          <w:rFonts w:ascii="Arial" w:hAnsi="Arial" w:cs="Arial"/>
          <w:b/>
          <w:kern w:val="0"/>
          <w:szCs w:val="21"/>
        </w:rPr>
      </w:pPr>
      <w:r>
        <w:rPr>
          <w:rFonts w:ascii="Arial" w:hAnsi="Arial" w:cs="Arial"/>
          <w:b/>
          <w:bCs/>
          <w:kern w:val="0"/>
          <w:szCs w:val="21"/>
        </w:rPr>
        <w:t>2</w:t>
      </w:r>
      <w:r>
        <w:rPr>
          <w:rFonts w:hint="eastAsia" w:ascii="Arial" w:hAnsi="Arial" w:cs="Arial"/>
          <w:b/>
          <w:bCs/>
          <w:kern w:val="0"/>
          <w:szCs w:val="21"/>
        </w:rPr>
        <w:t>3.</w:t>
      </w:r>
      <w:r>
        <w:rPr>
          <w:rFonts w:hint="eastAsia" w:ascii="Arial" w:hAnsi="Arial" w:cs="Arial"/>
          <w:b/>
          <w:kern w:val="0"/>
          <w:szCs w:val="21"/>
        </w:rPr>
        <w:t>确定中标人</w:t>
      </w:r>
    </w:p>
    <w:p w14:paraId="10D1BBFC">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3</w:t>
      </w:r>
      <w:r>
        <w:rPr>
          <w:rFonts w:ascii="Arial" w:hAnsi="Arial" w:cs="Arial"/>
          <w:kern w:val="0"/>
          <w:szCs w:val="21"/>
        </w:rPr>
        <w:t>.</w:t>
      </w:r>
      <w:r>
        <w:rPr>
          <w:rFonts w:hint="eastAsia" w:ascii="Arial" w:hAnsi="Arial" w:cs="Arial"/>
          <w:kern w:val="0"/>
          <w:szCs w:val="21"/>
        </w:rPr>
        <w:t>1采用综合评分法的，评标结果按评审后得分由高到低顺序排列。得分相同的，按投标报价得分由高到低顺序排列。得分且投标报价相同的，按</w:t>
      </w:r>
      <w:r>
        <w:rPr>
          <w:rFonts w:hint="eastAsia" w:ascii="Arial" w:hAnsi="Arial" w:cs="Arial"/>
          <w:b/>
          <w:bCs/>
          <w:kern w:val="0"/>
          <w:szCs w:val="21"/>
        </w:rPr>
        <w:t>服务方案</w:t>
      </w:r>
      <w:r>
        <w:rPr>
          <w:rFonts w:hint="eastAsia" w:ascii="Arial" w:hAnsi="Arial" w:cs="Arial"/>
          <w:kern w:val="0"/>
          <w:szCs w:val="21"/>
        </w:rPr>
        <w:t>优劣顺序排列。评标委员会根据最终排名向采购人推荐中标候选供应商。</w:t>
      </w:r>
    </w:p>
    <w:p w14:paraId="30145283">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3</w:t>
      </w:r>
      <w:r>
        <w:rPr>
          <w:rFonts w:ascii="Arial" w:hAnsi="Arial" w:cs="Arial"/>
          <w:kern w:val="0"/>
          <w:szCs w:val="21"/>
        </w:rPr>
        <w:t>.</w:t>
      </w:r>
      <w:r>
        <w:rPr>
          <w:rFonts w:hint="eastAsia" w:ascii="Arial" w:hAnsi="Arial" w:cs="Arial"/>
          <w:kern w:val="0"/>
          <w:szCs w:val="21"/>
        </w:rPr>
        <w:t>2</w:t>
      </w:r>
      <w:r>
        <w:rPr>
          <w:rFonts w:ascii="Arial" w:hAnsi="Arial" w:cs="Arial"/>
          <w:kern w:val="0"/>
          <w:szCs w:val="21"/>
        </w:rPr>
        <w:t xml:space="preserve"> </w:t>
      </w:r>
      <w:r>
        <w:rPr>
          <w:rFonts w:hint="eastAsia" w:ascii="Arial" w:hAnsi="Arial" w:cs="Arial"/>
          <w:kern w:val="0"/>
          <w:szCs w:val="21"/>
        </w:rPr>
        <w:t>中标人确定后公告中标结果，中标公告期为</w:t>
      </w:r>
      <w:r>
        <w:rPr>
          <w:rFonts w:ascii="Arial" w:hAnsi="Arial" w:cs="Arial"/>
          <w:kern w:val="0"/>
          <w:szCs w:val="21"/>
        </w:rPr>
        <w:t>1</w:t>
      </w:r>
      <w:r>
        <w:rPr>
          <w:rFonts w:hint="eastAsia" w:ascii="Arial" w:hAnsi="Arial" w:cs="Arial"/>
          <w:kern w:val="0"/>
          <w:szCs w:val="21"/>
        </w:rPr>
        <w:t>个工作日，公告的同时向中标人发出中标通知书。</w:t>
      </w:r>
    </w:p>
    <w:p w14:paraId="1E854D86">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3</w:t>
      </w:r>
      <w:r>
        <w:rPr>
          <w:rFonts w:ascii="Arial" w:hAnsi="Arial" w:cs="Arial"/>
          <w:kern w:val="0"/>
          <w:szCs w:val="21"/>
        </w:rPr>
        <w:t>.</w:t>
      </w:r>
      <w:r>
        <w:rPr>
          <w:rFonts w:hint="eastAsia" w:ascii="Arial" w:hAnsi="Arial" w:cs="Arial"/>
          <w:kern w:val="0"/>
          <w:szCs w:val="21"/>
        </w:rPr>
        <w:t>3</w:t>
      </w:r>
      <w:r>
        <w:rPr>
          <w:rFonts w:ascii="Arial" w:hAnsi="Arial" w:cs="Arial"/>
          <w:kern w:val="0"/>
          <w:szCs w:val="21"/>
        </w:rPr>
        <w:t xml:space="preserve"> </w:t>
      </w:r>
      <w:r>
        <w:rPr>
          <w:rFonts w:hint="eastAsia" w:ascii="Arial" w:hAnsi="Arial" w:cs="Arial"/>
          <w:kern w:val="0"/>
          <w:szCs w:val="21"/>
        </w:rPr>
        <w:t>中标通知书对采购人和中标人具有同等法律效力。中标通知书发出后，采购人不得违法改变中标结果，中标人无正当理由不得放弃中标。</w:t>
      </w:r>
    </w:p>
    <w:p w14:paraId="20B5A76F">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3</w:t>
      </w:r>
      <w:r>
        <w:rPr>
          <w:rFonts w:ascii="Arial" w:hAnsi="Arial" w:cs="Arial"/>
          <w:kern w:val="0"/>
          <w:szCs w:val="21"/>
        </w:rPr>
        <w:t>.</w:t>
      </w:r>
      <w:r>
        <w:rPr>
          <w:rFonts w:hint="eastAsia" w:ascii="Arial" w:hAnsi="Arial" w:cs="Arial"/>
          <w:kern w:val="0"/>
          <w:szCs w:val="21"/>
        </w:rPr>
        <w:t>4</w:t>
      </w:r>
      <w:r>
        <w:rPr>
          <w:rFonts w:ascii="Arial" w:hAnsi="Arial" w:cs="Arial"/>
          <w:kern w:val="0"/>
          <w:szCs w:val="21"/>
        </w:rPr>
        <w:t xml:space="preserve"> </w:t>
      </w:r>
      <w:r>
        <w:rPr>
          <w:rFonts w:hint="eastAsia" w:ascii="Arial" w:hAnsi="Arial" w:cs="Arial"/>
          <w:kern w:val="0"/>
          <w:szCs w:val="21"/>
        </w:rPr>
        <w:t xml:space="preserve"> 所有投标文件不论中标与否，均不退回。</w:t>
      </w:r>
    </w:p>
    <w:p w14:paraId="46A30E70">
      <w:pPr>
        <w:widowControl/>
        <w:shd w:val="clear" w:color="auto" w:fill="FFFFFF"/>
        <w:spacing w:line="360" w:lineRule="auto"/>
        <w:ind w:firstLine="412"/>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4.编写评标报告</w:t>
      </w:r>
    </w:p>
    <w:p w14:paraId="676A5974">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4</w:t>
      </w:r>
      <w:r>
        <w:rPr>
          <w:rFonts w:ascii="Arial" w:hAnsi="Arial" w:cs="Arial"/>
          <w:kern w:val="0"/>
          <w:szCs w:val="21"/>
        </w:rPr>
        <w:t>.1</w:t>
      </w:r>
      <w:r>
        <w:rPr>
          <w:rFonts w:hint="eastAsia" w:ascii="Arial" w:hAnsi="Arial" w:cs="Arial"/>
          <w:kern w:val="0"/>
          <w:szCs w:val="21"/>
        </w:rPr>
        <w:t>评标委员会根据全体评标成员签字的原始评标记录和评标结果编写评标报告。</w:t>
      </w:r>
    </w:p>
    <w:p w14:paraId="49F8DEEC">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5.评标过程的保密性</w:t>
      </w:r>
    </w:p>
    <w:p w14:paraId="4BD2666F">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5</w:t>
      </w:r>
      <w:r>
        <w:rPr>
          <w:rFonts w:ascii="Arial" w:hAnsi="Arial" w:cs="Arial"/>
          <w:kern w:val="0"/>
          <w:szCs w:val="21"/>
        </w:rPr>
        <w:t xml:space="preserve">.1 </w:t>
      </w:r>
      <w:r>
        <w:rPr>
          <w:rFonts w:hint="eastAsia" w:ascii="Arial" w:hAnsi="Arial" w:cs="Arial"/>
          <w:kern w:val="0"/>
          <w:szCs w:val="21"/>
        </w:rPr>
        <w:t>采购人和采购代理机构将采取必要措施，保证评标在严格保密的情况下进行。</w:t>
      </w:r>
    </w:p>
    <w:p w14:paraId="6C6F3111">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5</w:t>
      </w:r>
      <w:r>
        <w:rPr>
          <w:rFonts w:ascii="Arial" w:hAnsi="Arial" w:cs="Arial"/>
          <w:kern w:val="0"/>
          <w:szCs w:val="21"/>
        </w:rPr>
        <w:t xml:space="preserve">.2 </w:t>
      </w:r>
      <w:r>
        <w:rPr>
          <w:rFonts w:hint="eastAsia" w:ascii="Arial" w:hAnsi="Arial" w:cs="Arial"/>
          <w:kern w:val="0"/>
          <w:szCs w:val="21"/>
        </w:rPr>
        <w:t>任何单位和个人不得非法干预、影响评标办法的确定，以及评标过程和结果。</w:t>
      </w:r>
    </w:p>
    <w:p w14:paraId="49377AD8">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5</w:t>
      </w:r>
      <w:r>
        <w:rPr>
          <w:rFonts w:ascii="Arial" w:hAnsi="Arial" w:cs="Arial"/>
          <w:kern w:val="0"/>
          <w:szCs w:val="21"/>
        </w:rPr>
        <w:t xml:space="preserve">.3 </w:t>
      </w:r>
      <w:r>
        <w:rPr>
          <w:rFonts w:hint="eastAsia" w:ascii="Arial" w:hAnsi="Arial" w:cs="Arial"/>
          <w:kern w:val="0"/>
          <w:szCs w:val="21"/>
        </w:rPr>
        <w:t>凡是与审查、澄清、评价和比较投标的有关资料等，均不向供应商及与评标无关的其他人员透露。</w:t>
      </w:r>
    </w:p>
    <w:p w14:paraId="5E132740">
      <w:pPr>
        <w:widowControl/>
        <w:shd w:val="clear" w:color="auto" w:fill="FFFFFF"/>
        <w:spacing w:line="360" w:lineRule="auto"/>
        <w:ind w:firstLine="420"/>
        <w:rPr>
          <w:rFonts w:ascii="Arial" w:hAnsi="Arial" w:cs="Arial"/>
          <w:kern w:val="0"/>
          <w:szCs w:val="21"/>
        </w:rPr>
      </w:pPr>
      <w:r>
        <w:rPr>
          <w:rFonts w:hint="eastAsia" w:ascii="Arial" w:hAnsi="Arial" w:cs="Arial"/>
          <w:b/>
          <w:bCs/>
          <w:kern w:val="0"/>
          <w:szCs w:val="21"/>
        </w:rPr>
        <w:t>六、签订合同</w:t>
      </w:r>
    </w:p>
    <w:p w14:paraId="72BB2743">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6.签订合同</w:t>
      </w:r>
    </w:p>
    <w:p w14:paraId="453184EA">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6</w:t>
      </w:r>
      <w:r>
        <w:rPr>
          <w:rFonts w:ascii="Arial" w:hAnsi="Arial" w:cs="Arial"/>
          <w:kern w:val="0"/>
          <w:szCs w:val="21"/>
        </w:rPr>
        <w:t>.1</w:t>
      </w:r>
      <w:r>
        <w:rPr>
          <w:rFonts w:hint="eastAsia" w:ascii="Arial" w:hAnsi="Arial" w:cs="Arial"/>
          <w:kern w:val="0"/>
          <w:szCs w:val="21"/>
        </w:rPr>
        <w:t>采购人与中标人应当自中标通知书发出之日起</w:t>
      </w:r>
      <w:r>
        <w:rPr>
          <w:rFonts w:ascii="Arial" w:hAnsi="Arial" w:cs="Arial"/>
          <w:kern w:val="0"/>
          <w:szCs w:val="21"/>
        </w:rPr>
        <w:t>30</w:t>
      </w:r>
      <w:r>
        <w:rPr>
          <w:rFonts w:hint="eastAsia" w:ascii="Arial" w:hAnsi="Arial" w:cs="Arial"/>
          <w:kern w:val="0"/>
          <w:szCs w:val="21"/>
        </w:rPr>
        <w:t>日内，按照招标文件和中标人投标文件的规定，签订书面合同。所签订的合同不得对招标文件确定的事项和中标人投标文件作实质性修改。</w:t>
      </w:r>
    </w:p>
    <w:p w14:paraId="49CDBDA0">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6</w:t>
      </w:r>
      <w:r>
        <w:rPr>
          <w:rFonts w:ascii="Arial" w:hAnsi="Arial" w:cs="Arial"/>
          <w:kern w:val="0"/>
          <w:szCs w:val="21"/>
        </w:rPr>
        <w:t>.2</w:t>
      </w:r>
      <w:r>
        <w:rPr>
          <w:rFonts w:hint="eastAsia" w:ascii="Arial" w:hAnsi="Arial" w:cs="Arial"/>
          <w:kern w:val="0"/>
          <w:szCs w:val="21"/>
        </w:rPr>
        <w:t>除继续履行将损害国家利益和社会公众利益的，政府采购合同的双方当事人不得擅自变更、中止或者终止合同。放弃或拒绝签订合同的，中标人不得参加对该项目重新开展的采购活动，投标保证金不予退还，不收取投标保证金的项目，中标人应向采购人支付采购人为招标所发生的相关费用。</w:t>
      </w:r>
    </w:p>
    <w:p w14:paraId="6570ABE6">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26.3 采购人不得向中标人提出任何不合理的要求作为签订合同的条件。</w:t>
      </w:r>
    </w:p>
    <w:p w14:paraId="466930EA">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6</w:t>
      </w:r>
      <w:r>
        <w:rPr>
          <w:rFonts w:ascii="Arial" w:hAnsi="Arial" w:cs="Arial"/>
          <w:kern w:val="0"/>
          <w:szCs w:val="21"/>
        </w:rPr>
        <w:t>.</w:t>
      </w:r>
      <w:r>
        <w:rPr>
          <w:rFonts w:hint="eastAsia" w:ascii="Arial" w:hAnsi="Arial" w:cs="Arial"/>
          <w:kern w:val="0"/>
          <w:szCs w:val="21"/>
        </w:rPr>
        <w:t>4 中标人拒绝与采购人签订合同的，采购人可以按照评审报告推荐的中标或者成交候选人名单排序，确定下一候选人为中标或者成交供应商，也可以重新开展政府采购活动。</w:t>
      </w:r>
    </w:p>
    <w:p w14:paraId="705F6B30">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6</w:t>
      </w:r>
      <w:r>
        <w:rPr>
          <w:rFonts w:ascii="Arial" w:hAnsi="Arial" w:cs="Arial"/>
          <w:kern w:val="0"/>
          <w:szCs w:val="21"/>
        </w:rPr>
        <w:t>.</w:t>
      </w:r>
      <w:r>
        <w:rPr>
          <w:rFonts w:hint="eastAsia" w:ascii="Arial" w:hAnsi="Arial" w:cs="Arial"/>
          <w:kern w:val="0"/>
          <w:szCs w:val="21"/>
        </w:rPr>
        <w:t>5</w:t>
      </w:r>
      <w:r>
        <w:rPr>
          <w:rFonts w:ascii="Arial" w:hAnsi="Arial" w:cs="Arial"/>
          <w:kern w:val="0"/>
          <w:szCs w:val="21"/>
        </w:rPr>
        <w:t xml:space="preserve"> </w:t>
      </w:r>
      <w:r>
        <w:rPr>
          <w:rFonts w:hint="eastAsia" w:ascii="Arial" w:hAnsi="Arial" w:cs="Arial"/>
          <w:kern w:val="0"/>
          <w:szCs w:val="21"/>
        </w:rPr>
        <w:t>政府采购合同履行中，采购人需追加与合同标的相同的货物或者服务的，在不改变合同其他条款的前提下，可以与供应商协商签订补充合同，但所有补充合同的采购金额不得超过原合同采购金额的百分之十。</w:t>
      </w:r>
    </w:p>
    <w:p w14:paraId="5E870908">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6</w:t>
      </w:r>
      <w:r>
        <w:rPr>
          <w:rFonts w:ascii="Arial" w:hAnsi="Arial" w:cs="Arial"/>
          <w:kern w:val="0"/>
          <w:szCs w:val="21"/>
        </w:rPr>
        <w:t>.</w:t>
      </w:r>
      <w:r>
        <w:rPr>
          <w:rFonts w:hint="eastAsia" w:ascii="Arial" w:hAnsi="Arial" w:cs="Arial"/>
          <w:kern w:val="0"/>
          <w:szCs w:val="21"/>
        </w:rPr>
        <w:t>6</w:t>
      </w:r>
      <w:r>
        <w:rPr>
          <w:rFonts w:ascii="Arial" w:hAnsi="Arial" w:cs="Arial"/>
          <w:kern w:val="0"/>
          <w:szCs w:val="21"/>
        </w:rPr>
        <w:t xml:space="preserve"> </w:t>
      </w:r>
      <w:r>
        <w:rPr>
          <w:rFonts w:hint="eastAsia" w:ascii="Arial" w:hAnsi="Arial" w:cs="Arial"/>
          <w:kern w:val="0"/>
          <w:szCs w:val="21"/>
        </w:rPr>
        <w:t>采购人与中标人应当根据合同的约定依法履行合同义务。</w:t>
      </w:r>
    </w:p>
    <w:p w14:paraId="1E52396B">
      <w:pPr>
        <w:widowControl/>
        <w:shd w:val="clear" w:color="auto" w:fill="FFFFFF"/>
        <w:spacing w:line="360" w:lineRule="auto"/>
        <w:ind w:firstLine="420"/>
        <w:rPr>
          <w:rFonts w:ascii="Arial" w:hAnsi="Arial" w:cs="Arial"/>
          <w:kern w:val="0"/>
          <w:szCs w:val="21"/>
        </w:rPr>
      </w:pPr>
      <w:r>
        <w:rPr>
          <w:rFonts w:hint="eastAsia" w:ascii="Arial" w:hAnsi="Arial" w:cs="Arial"/>
          <w:b/>
          <w:bCs/>
          <w:kern w:val="0"/>
          <w:szCs w:val="21"/>
        </w:rPr>
        <w:t>七、质疑和投诉</w:t>
      </w:r>
    </w:p>
    <w:p w14:paraId="04AD2D9E">
      <w:pPr>
        <w:widowControl/>
        <w:shd w:val="clear" w:color="auto" w:fill="FFFFFF"/>
        <w:spacing w:line="360" w:lineRule="auto"/>
        <w:ind w:firstLine="420"/>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7.质疑</w:t>
      </w:r>
    </w:p>
    <w:p w14:paraId="20C4BF8E">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7</w:t>
      </w:r>
      <w:r>
        <w:rPr>
          <w:rFonts w:ascii="Arial" w:hAnsi="Arial" w:cs="Arial"/>
          <w:kern w:val="0"/>
          <w:szCs w:val="21"/>
        </w:rPr>
        <w:t>.1</w:t>
      </w:r>
      <w:r>
        <w:rPr>
          <w:rFonts w:hint="eastAsia" w:ascii="Arial" w:hAnsi="Arial" w:cs="Arial"/>
          <w:kern w:val="0"/>
          <w:szCs w:val="21"/>
        </w:rPr>
        <w:t>供应商对招标活动事项有疑问的，可以向采购代理机构提出询问，采购代理机构将依法作出答复，但答复的内容不涉及商业秘密</w:t>
      </w:r>
      <w:r>
        <w:rPr>
          <w:rFonts w:hint="eastAsia" w:ascii="Arial" w:hAnsi="Arial" w:cs="Arial"/>
          <w:b/>
          <w:bCs/>
          <w:kern w:val="0"/>
          <w:szCs w:val="21"/>
        </w:rPr>
        <w:t>。</w:t>
      </w:r>
    </w:p>
    <w:p w14:paraId="3022F6F9">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7</w:t>
      </w:r>
      <w:r>
        <w:rPr>
          <w:rFonts w:ascii="Arial" w:hAnsi="Arial" w:cs="Arial"/>
          <w:kern w:val="0"/>
          <w:szCs w:val="21"/>
        </w:rPr>
        <w:t>.2</w:t>
      </w:r>
      <w:r>
        <w:rPr>
          <w:rFonts w:hint="eastAsia" w:ascii="Arial" w:hAnsi="Arial" w:cs="Arial"/>
          <w:kern w:val="0"/>
          <w:szCs w:val="21"/>
        </w:rPr>
        <w:t>提出质疑的供应商应当是参与所质疑项目采购活动的供应商。潜在供应商已依法获取其可质疑的采购文件的，可以对该文件提出质疑。</w:t>
      </w:r>
    </w:p>
    <w:p w14:paraId="33E51630">
      <w:pPr>
        <w:widowControl/>
        <w:shd w:val="clear" w:color="auto" w:fill="FFFFFF"/>
        <w:spacing w:line="360" w:lineRule="auto"/>
        <w:ind w:firstLine="420"/>
        <w:rPr>
          <w:rFonts w:ascii="Arial" w:hAnsi="Arial" w:cs="Arial"/>
          <w:kern w:val="0"/>
          <w:szCs w:val="21"/>
        </w:rPr>
      </w:pPr>
      <w:r>
        <w:rPr>
          <w:rFonts w:hint="eastAsia" w:ascii="Arial" w:hAnsi="Arial" w:cs="Arial"/>
          <w:szCs w:val="21"/>
        </w:rPr>
        <w:t>以联合体形式参加政府采购活动的，其质疑应当由组成联合体的所有供应商共同提出。</w:t>
      </w:r>
    </w:p>
    <w:p w14:paraId="67494A20">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27</w:t>
      </w:r>
      <w:r>
        <w:rPr>
          <w:rFonts w:ascii="Arial" w:hAnsi="Arial" w:cs="Arial"/>
          <w:kern w:val="0"/>
          <w:szCs w:val="21"/>
        </w:rPr>
        <w:t>.3</w:t>
      </w:r>
      <w:r>
        <w:rPr>
          <w:rFonts w:hint="eastAsia" w:ascii="Arial" w:hAnsi="Arial" w:cs="Arial"/>
          <w:kern w:val="0"/>
          <w:szCs w:val="21"/>
        </w:rPr>
        <w:t>供应商认为采购文件、采购过程和中标结果使自己的合法权益受到损害的，可以在知道或者应知其权益受到损害之日起七个工作日内，将质疑文件原件送达采购人或采购代理机构。</w:t>
      </w:r>
    </w:p>
    <w:p w14:paraId="131495FA">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供应商应知其权益受到损害之日，是指：对采购文件提出质疑的，应当在获取采购文件或者采购文件公告期限届满之日起</w:t>
      </w:r>
      <w:r>
        <w:rPr>
          <w:rFonts w:ascii="Arial" w:hAnsi="Arial" w:cs="Arial"/>
          <w:kern w:val="0"/>
          <w:szCs w:val="21"/>
        </w:rPr>
        <w:t>7</w:t>
      </w:r>
      <w:r>
        <w:rPr>
          <w:rFonts w:hint="eastAsia" w:ascii="Arial" w:hAnsi="Arial" w:cs="Arial"/>
          <w:kern w:val="0"/>
          <w:szCs w:val="21"/>
        </w:rPr>
        <w:t>个工作日内提出；对采购过程提出质疑的，为各采购程序环节结束之日；对中标或者成交结果提出质疑的，为中标或者成交结果公告期限届满之日。</w:t>
      </w:r>
    </w:p>
    <w:p w14:paraId="0E1214BB">
      <w:pPr>
        <w:widowControl/>
        <w:shd w:val="clear" w:color="auto" w:fill="FFFFFF"/>
        <w:spacing w:line="360" w:lineRule="auto"/>
        <w:ind w:firstLine="420"/>
        <w:rPr>
          <w:rFonts w:ascii="Arial" w:hAnsi="Arial" w:cs="Arial"/>
          <w:b/>
          <w:bCs/>
          <w:kern w:val="0"/>
          <w:szCs w:val="21"/>
        </w:rPr>
      </w:pPr>
      <w:r>
        <w:rPr>
          <w:rFonts w:hint="eastAsia" w:ascii="Arial" w:hAnsi="Arial" w:cs="Arial"/>
          <w:b/>
          <w:bCs/>
        </w:rPr>
        <w:t>供应商必须在法定质疑期内一次性提出针对同一采购程序环节的质疑。</w:t>
      </w:r>
    </w:p>
    <w:p w14:paraId="791A5ABB">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7</w:t>
      </w:r>
      <w:r>
        <w:rPr>
          <w:rFonts w:ascii="Arial" w:hAnsi="Arial" w:cs="Arial"/>
          <w:kern w:val="0"/>
          <w:szCs w:val="21"/>
        </w:rPr>
        <w:t xml:space="preserve">.4 </w:t>
      </w:r>
      <w:r>
        <w:rPr>
          <w:rFonts w:hint="eastAsia" w:ascii="Arial" w:hAnsi="Arial" w:cs="Arial"/>
          <w:kern w:val="0"/>
          <w:szCs w:val="21"/>
        </w:rPr>
        <w:t>供应商提出质疑应当提交质疑函和必要的证明材料。质疑函应当包括下列内容：</w:t>
      </w:r>
    </w:p>
    <w:p w14:paraId="7E98AC8B">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　　（一）供应商的姓名或者名称、地址、邮编、联系人及联系电话；</w:t>
      </w:r>
    </w:p>
    <w:p w14:paraId="76E94A99">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　　（二）质疑项目的名称、编号；</w:t>
      </w:r>
    </w:p>
    <w:p w14:paraId="27C6047C">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　　（三）具体、明确的质疑事项和与质疑事项相关的请求（具体条款）；</w:t>
      </w:r>
    </w:p>
    <w:p w14:paraId="432E16AA">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　　（四）事实依据（具体条款）；</w:t>
      </w:r>
    </w:p>
    <w:p w14:paraId="1B7E0675">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　　（五）必要的法律依据（具体条款）；</w:t>
      </w:r>
    </w:p>
    <w:p w14:paraId="6D90504C">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　　（六）提出质疑的日期。</w:t>
      </w:r>
    </w:p>
    <w:p w14:paraId="4DEF76F8">
      <w:pPr>
        <w:widowControl/>
        <w:shd w:val="clear" w:color="auto" w:fill="FFFFFF"/>
        <w:spacing w:line="360" w:lineRule="auto"/>
        <w:ind w:firstLine="420"/>
        <w:rPr>
          <w:rFonts w:ascii="Arial" w:hAnsi="Arial" w:cs="Arial"/>
          <w:szCs w:val="21"/>
        </w:rPr>
      </w:pPr>
      <w:r>
        <w:rPr>
          <w:rFonts w:hint="eastAsia" w:ascii="Arial" w:hAnsi="Arial" w:cs="Arial"/>
          <w:szCs w:val="21"/>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14:paraId="31DAF212">
      <w:pPr>
        <w:widowControl/>
        <w:shd w:val="clear" w:color="auto" w:fill="FFFFFF"/>
        <w:spacing w:line="360" w:lineRule="auto"/>
        <w:ind w:firstLine="420"/>
        <w:rPr>
          <w:rFonts w:ascii="Arial" w:hAnsi="Arial" w:cs="Arial"/>
          <w:szCs w:val="21"/>
        </w:rPr>
      </w:pPr>
      <w:r>
        <w:rPr>
          <w:rFonts w:hint="eastAsia" w:ascii="Arial" w:hAnsi="Arial" w:cs="Arial"/>
          <w:szCs w:val="21"/>
        </w:rPr>
        <w:t>质疑函应当使用中文。相关当事人提供外文书证或者外国语视听资料的，应当附有中文译本，由翻译机构盖章或者翻译人员签名。</w:t>
      </w:r>
    </w:p>
    <w:p w14:paraId="485D8D22">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7</w:t>
      </w:r>
      <w:r>
        <w:rPr>
          <w:rFonts w:ascii="Arial" w:hAnsi="Arial" w:cs="Arial"/>
          <w:kern w:val="0"/>
          <w:szCs w:val="21"/>
        </w:rPr>
        <w:t>.5</w:t>
      </w:r>
      <w:r>
        <w:rPr>
          <w:rFonts w:hint="eastAsia" w:ascii="Arial" w:hAnsi="Arial" w:cs="Arial"/>
          <w:kern w:val="0"/>
          <w:szCs w:val="21"/>
        </w:rPr>
        <w:t>质疑函应当现场提交至采购代理机构联系人处，提交时应出示有效身份证明。未按上述要求提交质疑函的，质疑不予受理。</w:t>
      </w:r>
    </w:p>
    <w:p w14:paraId="423528A1">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7</w:t>
      </w:r>
      <w:r>
        <w:rPr>
          <w:rFonts w:ascii="Arial" w:hAnsi="Arial" w:cs="Arial"/>
          <w:kern w:val="0"/>
          <w:szCs w:val="21"/>
        </w:rPr>
        <w:t xml:space="preserve">.6 </w:t>
      </w:r>
      <w:r>
        <w:rPr>
          <w:rFonts w:hint="eastAsia" w:ascii="Arial" w:hAnsi="Arial" w:cs="Arial"/>
          <w:kern w:val="0"/>
          <w:szCs w:val="21"/>
        </w:rPr>
        <w:t>供应商不得虚假质疑和恶意质疑，并对质疑内容的真实性承担责任。供应商或者其他利害关系人通过捏造事实、伪造证明材料等方式提出异议或投诉，阻碍招投标活动正常进行的。</w:t>
      </w:r>
    </w:p>
    <w:p w14:paraId="65B06250">
      <w:pPr>
        <w:widowControl/>
        <w:shd w:val="clear" w:color="auto" w:fill="FFFFFF"/>
        <w:spacing w:line="360" w:lineRule="auto"/>
        <w:ind w:firstLine="420"/>
        <w:rPr>
          <w:rFonts w:ascii="Arial" w:hAnsi="Arial" w:cs="Arial"/>
          <w:kern w:val="0"/>
          <w:szCs w:val="21"/>
        </w:rPr>
      </w:pPr>
      <w:r>
        <w:rPr>
          <w:rFonts w:ascii="Arial" w:hAnsi="Arial" w:cs="Arial"/>
          <w:kern w:val="0"/>
          <w:szCs w:val="21"/>
        </w:rPr>
        <w:t>2</w:t>
      </w:r>
      <w:r>
        <w:rPr>
          <w:rFonts w:hint="eastAsia" w:ascii="Arial" w:hAnsi="Arial" w:cs="Arial"/>
          <w:kern w:val="0"/>
          <w:szCs w:val="21"/>
        </w:rPr>
        <w:t>7</w:t>
      </w:r>
      <w:r>
        <w:rPr>
          <w:rFonts w:ascii="Arial" w:hAnsi="Arial" w:cs="Arial"/>
          <w:kern w:val="0"/>
          <w:szCs w:val="21"/>
        </w:rPr>
        <w:t>.7</w:t>
      </w:r>
      <w:r>
        <w:rPr>
          <w:rFonts w:hint="eastAsia" w:ascii="Arial" w:hAnsi="Arial" w:cs="Arial"/>
          <w:kern w:val="0"/>
          <w:szCs w:val="21"/>
        </w:rPr>
        <w:t>采购代理机构在收到供应商的书面质疑后将及时组织调查核实，在</w:t>
      </w:r>
      <w:r>
        <w:rPr>
          <w:rFonts w:hint="eastAsia" w:ascii="Arial" w:hAnsi="Arial" w:cs="Arial"/>
          <w:b/>
          <w:bCs/>
          <w:kern w:val="0"/>
          <w:szCs w:val="21"/>
        </w:rPr>
        <w:t>七个工作日内</w:t>
      </w:r>
      <w:r>
        <w:rPr>
          <w:rFonts w:hint="eastAsia" w:ascii="Arial" w:hAnsi="Arial" w:cs="Arial"/>
          <w:kern w:val="0"/>
          <w:szCs w:val="21"/>
        </w:rPr>
        <w:t>作出答复，并以书面或在网站公告形式通知质疑供应商和其他有关供应商，答复的内容不涉及商业秘密。</w:t>
      </w:r>
    </w:p>
    <w:p w14:paraId="069518CF">
      <w:pPr>
        <w:widowControl/>
        <w:shd w:val="clear" w:color="auto" w:fill="FFFFFF"/>
        <w:spacing w:line="360" w:lineRule="auto"/>
        <w:ind w:firstLine="420"/>
        <w:rPr>
          <w:rFonts w:ascii="Arial" w:hAnsi="Arial" w:cs="Arial"/>
          <w:kern w:val="0"/>
          <w:szCs w:val="21"/>
        </w:rPr>
      </w:pPr>
      <w:r>
        <w:rPr>
          <w:rFonts w:hint="eastAsia" w:ascii="Arial" w:hAnsi="Arial" w:cs="Arial"/>
          <w:kern w:val="0"/>
          <w:szCs w:val="21"/>
        </w:rPr>
        <w:t>任何单位和个人对代理机构在招标采购活动中的违法行为，有权控告和检举，联系电话：025-86636139（采购代理机构质量管理部门）、025-86636853（采购代理机构纪检监察部门）。</w:t>
      </w:r>
    </w:p>
    <w:p w14:paraId="40775774">
      <w:pPr>
        <w:widowControl/>
        <w:shd w:val="clear" w:color="auto" w:fill="FFFFFF"/>
        <w:spacing w:line="420" w:lineRule="exact"/>
        <w:ind w:firstLine="420"/>
        <w:rPr>
          <w:rFonts w:ascii="Arial" w:hAnsi="Arial" w:cs="Arial"/>
          <w:kern w:val="0"/>
          <w:szCs w:val="21"/>
        </w:rPr>
      </w:pPr>
      <w:r>
        <w:rPr>
          <w:rFonts w:ascii="Arial" w:hAnsi="Arial" w:cs="Arial"/>
          <w:b/>
          <w:bCs/>
          <w:kern w:val="0"/>
          <w:szCs w:val="21"/>
        </w:rPr>
        <w:t>2</w:t>
      </w:r>
      <w:r>
        <w:rPr>
          <w:rFonts w:hint="eastAsia" w:ascii="Arial" w:hAnsi="Arial" w:cs="Arial"/>
          <w:b/>
          <w:bCs/>
          <w:kern w:val="0"/>
          <w:szCs w:val="21"/>
        </w:rPr>
        <w:t>8.投诉</w:t>
      </w:r>
    </w:p>
    <w:p w14:paraId="523A4B05">
      <w:pPr>
        <w:spacing w:line="420" w:lineRule="exact"/>
        <w:ind w:firstLine="420" w:firstLineChars="200"/>
        <w:rPr>
          <w:rFonts w:ascii="Arial" w:hAnsi="Arial" w:cs="Arial"/>
        </w:rPr>
      </w:pPr>
      <w:r>
        <w:rPr>
          <w:rFonts w:ascii="Arial" w:hAnsi="Arial" w:cs="Arial"/>
        </w:rPr>
        <w:t>2</w:t>
      </w:r>
      <w:r>
        <w:rPr>
          <w:rFonts w:hint="eastAsia" w:ascii="Arial" w:hAnsi="Arial" w:cs="Arial"/>
        </w:rPr>
        <w:t>8</w:t>
      </w:r>
      <w:r>
        <w:rPr>
          <w:rFonts w:ascii="Arial" w:hAnsi="Arial" w:cs="Arial"/>
        </w:rPr>
        <w:t>.1</w:t>
      </w:r>
      <w:r>
        <w:rPr>
          <w:rFonts w:hint="eastAsia" w:ascii="Arial" w:hAnsi="Arial" w:cs="Arial"/>
          <w:szCs w:val="21"/>
        </w:rPr>
        <w:t>供应商投诉应当有明确的请求和必要的证明材料。供应商投诉的事项不得超出已质疑事项的范围。</w:t>
      </w:r>
    </w:p>
    <w:p w14:paraId="3A5F2C96">
      <w:pPr>
        <w:widowControl/>
        <w:shd w:val="clear" w:color="auto" w:fill="FFFFFF"/>
        <w:spacing w:line="360" w:lineRule="auto"/>
        <w:ind w:left="420"/>
        <w:rPr>
          <w:rFonts w:ascii="Arial" w:hAnsi="Arial" w:cs="Arial"/>
          <w:b/>
          <w:bCs/>
          <w:kern w:val="0"/>
          <w:szCs w:val="21"/>
        </w:rPr>
      </w:pPr>
      <w:r>
        <w:rPr>
          <w:rFonts w:hint="eastAsia" w:ascii="Arial" w:hAnsi="Arial" w:cs="Arial"/>
          <w:b/>
          <w:bCs/>
          <w:kern w:val="0"/>
          <w:szCs w:val="21"/>
        </w:rPr>
        <w:t>29.其它</w:t>
      </w:r>
    </w:p>
    <w:p w14:paraId="744CBFBD">
      <w:pPr>
        <w:spacing w:line="420" w:lineRule="exact"/>
        <w:ind w:firstLine="420" w:firstLineChars="200"/>
      </w:pPr>
      <w:r>
        <w:rPr>
          <w:rFonts w:ascii="Arial" w:hAnsi="Arial" w:cs="Arial"/>
        </w:rPr>
        <w:t>29.1</w:t>
      </w:r>
      <w:r>
        <w:rPr>
          <w:rFonts w:hint="eastAsia"/>
        </w:rPr>
        <w:t>本项目根据江苏省财政厅关于加强政府绿色采购有关事项的通知（苏财购</w:t>
      </w:r>
      <w:r>
        <w:rPr>
          <w:rFonts w:ascii="Arial" w:hAnsi="Arial" w:cs="Arial"/>
          <w:kern w:val="0"/>
          <w:szCs w:val="21"/>
        </w:rPr>
        <w:t>〔202</w:t>
      </w:r>
      <w:r>
        <w:rPr>
          <w:rFonts w:hint="eastAsia" w:ascii="Arial" w:hAnsi="Arial" w:cs="Arial"/>
          <w:kern w:val="0"/>
          <w:szCs w:val="21"/>
        </w:rPr>
        <w:t>3</w:t>
      </w:r>
      <w:r>
        <w:rPr>
          <w:rFonts w:ascii="Arial" w:hAnsi="Arial" w:cs="Arial"/>
          <w:kern w:val="0"/>
          <w:szCs w:val="21"/>
        </w:rPr>
        <w:t>〕</w:t>
      </w:r>
      <w:r>
        <w:rPr>
          <w:rFonts w:hint="eastAsia" w:ascii="Arial" w:hAnsi="Arial" w:cs="Arial"/>
          <w:kern w:val="0"/>
          <w:szCs w:val="21"/>
        </w:rPr>
        <w:t>65号</w:t>
      </w:r>
      <w:r>
        <w:rPr>
          <w:rFonts w:hint="eastAsia"/>
        </w:rPr>
        <w:t>）规定，执行绿色采购需求标准。</w:t>
      </w:r>
    </w:p>
    <w:p w14:paraId="1FCA5742">
      <w:pPr>
        <w:pStyle w:val="3"/>
        <w:numPr>
          <w:ilvl w:val="0"/>
          <w:numId w:val="0"/>
        </w:numPr>
        <w:spacing w:line="360" w:lineRule="auto"/>
        <w:rPr>
          <w:rFonts w:hint="eastAsia" w:ascii="宋体" w:hAnsi="宋体" w:cs="宋体"/>
        </w:rPr>
      </w:pPr>
      <w:r>
        <w:rPr>
          <w:rFonts w:hint="eastAsia" w:ascii="宋体" w:hAnsi="宋体" w:cs="宋体"/>
          <w:kern w:val="0"/>
        </w:rPr>
        <w:br w:type="page"/>
      </w:r>
      <w:bookmarkEnd w:id="25"/>
      <w:bookmarkEnd w:id="26"/>
      <w:bookmarkEnd w:id="27"/>
      <w:bookmarkStart w:id="29" w:name="_Toc30431"/>
      <w:bookmarkStart w:id="30" w:name="_Hlk178514771"/>
      <w:r>
        <w:rPr>
          <w:rFonts w:hint="eastAsia" w:ascii="宋体" w:hAnsi="宋体" w:cs="宋体"/>
        </w:rPr>
        <w:t>第三章 评分标准</w:t>
      </w:r>
      <w:bookmarkEnd w:id="29"/>
    </w:p>
    <w:bookmarkEnd w:id="28"/>
    <w:p w14:paraId="53B4FD3B">
      <w:pPr>
        <w:spacing w:line="360" w:lineRule="auto"/>
        <w:ind w:firstLine="420" w:firstLineChars="200"/>
        <w:rPr>
          <w:rFonts w:hint="eastAsia" w:ascii="宋体" w:hAnsi="宋体" w:cs="宋体"/>
        </w:rPr>
      </w:pPr>
      <w:r>
        <w:rPr>
          <w:rFonts w:hint="eastAsia" w:ascii="宋体" w:hAnsi="宋体" w:cs="宋体"/>
        </w:rPr>
        <w:t>本项目采用综合评分法，评分统计方法采用百分制（满分100分），将全部评委评分直接进行算术平均，小数点后保留2位。按评审后得分由高到低顺序排列，得分相同的，按投标报价得分由高到低顺序排列，得分且投标报价相同的，</w:t>
      </w:r>
      <w:r>
        <w:rPr>
          <w:rFonts w:hint="eastAsia" w:ascii="Arial" w:hAnsi="Arial" w:cs="Arial"/>
          <w:kern w:val="0"/>
          <w:szCs w:val="21"/>
        </w:rPr>
        <w:t>按</w:t>
      </w:r>
      <w:r>
        <w:rPr>
          <w:rFonts w:hint="eastAsia" w:ascii="Arial" w:hAnsi="Arial" w:cs="Arial"/>
          <w:b/>
          <w:bCs/>
          <w:kern w:val="0"/>
          <w:szCs w:val="21"/>
        </w:rPr>
        <w:t>服务方案</w:t>
      </w:r>
      <w:r>
        <w:rPr>
          <w:rFonts w:hint="eastAsia" w:ascii="Arial" w:hAnsi="Arial" w:cs="Arial"/>
          <w:kern w:val="0"/>
          <w:szCs w:val="21"/>
        </w:rPr>
        <w:t>优劣顺序排列</w:t>
      </w:r>
      <w:r>
        <w:rPr>
          <w:rFonts w:hint="eastAsia" w:ascii="宋体" w:hAnsi="宋体" w:cs="宋体"/>
        </w:rPr>
        <w: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192"/>
        <w:gridCol w:w="900"/>
        <w:gridCol w:w="4873"/>
      </w:tblGrid>
      <w:tr w14:paraId="374C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6CFA65BA">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评分类别</w:t>
            </w:r>
          </w:p>
        </w:tc>
        <w:tc>
          <w:tcPr>
            <w:tcW w:w="1192" w:type="dxa"/>
          </w:tcPr>
          <w:p w14:paraId="74663C6C">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评分项</w:t>
            </w:r>
          </w:p>
        </w:tc>
        <w:tc>
          <w:tcPr>
            <w:tcW w:w="900" w:type="dxa"/>
          </w:tcPr>
          <w:p w14:paraId="16C9ACF5">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分值</w:t>
            </w:r>
          </w:p>
        </w:tc>
        <w:tc>
          <w:tcPr>
            <w:tcW w:w="4873" w:type="dxa"/>
          </w:tcPr>
          <w:p w14:paraId="40063A84">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评分标准</w:t>
            </w:r>
          </w:p>
        </w:tc>
      </w:tr>
      <w:tr w14:paraId="595D2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restart"/>
          </w:tcPr>
          <w:p w14:paraId="39E3FCF3">
            <w:pPr>
              <w:numPr>
                <w:ilvl w:val="0"/>
                <w:numId w:val="0"/>
              </w:num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sz w:val="21"/>
                <w:szCs w:val="21"/>
                <w:vertAlign w:val="baseline"/>
                <w:lang w:val="en-US" w:eastAsia="zh-CN"/>
              </w:rPr>
              <w:t>技术指标与方案 (30分)</w:t>
            </w:r>
          </w:p>
        </w:tc>
        <w:tc>
          <w:tcPr>
            <w:tcW w:w="1192" w:type="dxa"/>
          </w:tcPr>
          <w:p w14:paraId="1487888C">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硬件性能</w:t>
            </w:r>
          </w:p>
        </w:tc>
        <w:tc>
          <w:tcPr>
            <w:tcW w:w="900" w:type="dxa"/>
          </w:tcPr>
          <w:p w14:paraId="5CB7AAFA">
            <w:pPr>
              <w:numPr>
                <w:ilvl w:val="0"/>
                <w:numId w:val="0"/>
              </w:numP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22</w:t>
            </w:r>
          </w:p>
        </w:tc>
        <w:tc>
          <w:tcPr>
            <w:tcW w:w="4873" w:type="dxa"/>
          </w:tcPr>
          <w:p w14:paraId="0015FA04">
            <w:pPr>
              <w:numPr>
                <w:ilvl w:val="0"/>
                <w:numId w:val="0"/>
              </w:numP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根据投标供应商所投产品的技术参数及性能与采购文件要求的响应程度进行比较，投标供应商所投产品的设备技术参数及功能全部满足采购要求的得满分22分。有一项不满足扣1分，扣完为止。</w:t>
            </w:r>
          </w:p>
          <w:p w14:paraId="4A4E5488">
            <w:pPr>
              <w:numPr>
                <w:ilvl w:val="0"/>
                <w:numId w:val="0"/>
              </w:numP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标注“★”为实质性技术指标，若不满足按无效投标处理。</w:t>
            </w:r>
          </w:p>
        </w:tc>
      </w:tr>
      <w:tr w14:paraId="6A575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3C486B25">
            <w:pPr>
              <w:numPr>
                <w:ilvl w:val="0"/>
                <w:numId w:val="0"/>
              </w:numPr>
              <w:rPr>
                <w:rFonts w:hint="eastAsia" w:asciiTheme="minorEastAsia" w:hAnsiTheme="minorEastAsia" w:eastAsiaTheme="minorEastAsia" w:cstheme="minorEastAsia"/>
                <w:sz w:val="21"/>
                <w:szCs w:val="21"/>
                <w:vertAlign w:val="baseline"/>
              </w:rPr>
            </w:pPr>
          </w:p>
        </w:tc>
        <w:tc>
          <w:tcPr>
            <w:tcW w:w="1192" w:type="dxa"/>
          </w:tcPr>
          <w:p w14:paraId="401C701C">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技术文档</w:t>
            </w:r>
          </w:p>
        </w:tc>
        <w:tc>
          <w:tcPr>
            <w:tcW w:w="900" w:type="dxa"/>
          </w:tcPr>
          <w:p w14:paraId="29723F51">
            <w:pPr>
              <w:numPr>
                <w:ilvl w:val="0"/>
                <w:numId w:val="0"/>
              </w:numP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4873" w:type="dxa"/>
          </w:tcPr>
          <w:p w14:paraId="442C39CB">
            <w:pPr>
              <w:numPr>
                <w:ilvl w:val="0"/>
                <w:numId w:val="0"/>
              </w:numP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提供的中文技术文档、用户手册、实验指导书、</w:t>
            </w:r>
            <w:r>
              <w:rPr>
                <w:rFonts w:hint="eastAsia" w:asciiTheme="minorEastAsia" w:hAnsiTheme="minorEastAsia" w:eastAsiaTheme="minorEastAsia" w:cstheme="minorEastAsia"/>
                <w:b w:val="0"/>
                <w:bCs/>
                <w:color w:val="000000"/>
                <w:kern w:val="2"/>
                <w:sz w:val="21"/>
                <w:szCs w:val="21"/>
                <w:lang w:val="en-US" w:eastAsia="zh-CN" w:bidi="ar"/>
              </w:rPr>
              <w:t>课程资源包</w:t>
            </w:r>
            <w:r>
              <w:rPr>
                <w:rFonts w:hint="eastAsia" w:asciiTheme="minorEastAsia" w:hAnsiTheme="minorEastAsia" w:eastAsiaTheme="minorEastAsia" w:cstheme="minorEastAsia"/>
                <w:kern w:val="0"/>
                <w:sz w:val="21"/>
                <w:szCs w:val="21"/>
                <w:lang w:val="en-US" w:eastAsia="zh-CN" w:bidi="ar"/>
              </w:rPr>
              <w:t>等是否详尽、清晰、易于理解。</w:t>
            </w:r>
          </w:p>
          <w:p w14:paraId="3C5F9E01">
            <w:pPr>
              <w:numPr>
                <w:ilvl w:val="0"/>
                <w:numId w:val="0"/>
              </w:numPr>
              <w:rPr>
                <w:rFonts w:hint="default" w:asciiTheme="minorEastAsia" w:hAnsiTheme="minorEastAsia" w:eastAsiaTheme="minorEastAsia" w:cstheme="minorEastAsia"/>
                <w:sz w:val="21"/>
                <w:szCs w:val="21"/>
                <w:vertAlign w:val="baseline"/>
                <w:lang w:val="en-US"/>
              </w:rPr>
            </w:pPr>
            <w:r>
              <w:rPr>
                <w:rFonts w:hint="eastAsia" w:asciiTheme="minorEastAsia" w:hAnsiTheme="minorEastAsia" w:eastAsiaTheme="minorEastAsia" w:cstheme="minorEastAsia"/>
                <w:kern w:val="0"/>
                <w:sz w:val="21"/>
                <w:szCs w:val="21"/>
                <w:lang w:val="en-US" w:eastAsia="zh-CN" w:bidi="ar"/>
              </w:rPr>
              <w:t>提供资料完整、详细，易于理解得8分，资料较完整、详细，较易于理解得5分，有缺漏、不详细或不易于理解得2分，不提供不得分。</w:t>
            </w:r>
          </w:p>
        </w:tc>
      </w:tr>
      <w:tr w14:paraId="5A397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restart"/>
          </w:tcPr>
          <w:p w14:paraId="696B7B58">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企业综合能力(40分)</w:t>
            </w:r>
          </w:p>
        </w:tc>
        <w:tc>
          <w:tcPr>
            <w:tcW w:w="1192" w:type="dxa"/>
          </w:tcPr>
          <w:p w14:paraId="4854A7EB">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业绩</w:t>
            </w:r>
          </w:p>
        </w:tc>
        <w:tc>
          <w:tcPr>
            <w:tcW w:w="900" w:type="dxa"/>
          </w:tcPr>
          <w:p w14:paraId="40A50D40">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6</w:t>
            </w:r>
          </w:p>
        </w:tc>
        <w:tc>
          <w:tcPr>
            <w:tcW w:w="4873" w:type="dxa"/>
          </w:tcPr>
          <w:p w14:paraId="3AC3F656">
            <w:pPr>
              <w:numPr>
                <w:ilvl w:val="0"/>
                <w:numId w:val="0"/>
              </w:numPr>
              <w:rPr>
                <w:rFonts w:hint="eastAsia" w:asciiTheme="minorEastAsia" w:hAnsiTheme="minorEastAsia" w:eastAsiaTheme="minorEastAsia" w:cstheme="minorEastAsia"/>
                <w:sz w:val="21"/>
                <w:szCs w:val="21"/>
                <w:vertAlign w:val="baseline"/>
              </w:rPr>
            </w:pPr>
            <w:r>
              <w:rPr>
                <w:rStyle w:val="51"/>
                <w:rFonts w:hint="eastAsia" w:asciiTheme="minorEastAsia" w:hAnsiTheme="minorEastAsia" w:eastAsiaTheme="minorEastAsia" w:cstheme="minorEastAsia"/>
                <w:b/>
                <w:bCs/>
                <w:kern w:val="0"/>
                <w:sz w:val="21"/>
                <w:szCs w:val="21"/>
                <w:lang w:val="en-US" w:eastAsia="zh-CN" w:bidi="ar"/>
              </w:rPr>
              <w:t>提供2022年11月份以来类似供货业绩</w:t>
            </w:r>
            <w:r>
              <w:rPr>
                <w:rFonts w:hint="eastAsia" w:asciiTheme="minorEastAsia" w:hAnsiTheme="minorEastAsia" w:eastAsiaTheme="minorEastAsia" w:cstheme="minorEastAsia"/>
                <w:kern w:val="0"/>
                <w:sz w:val="21"/>
                <w:szCs w:val="21"/>
                <w:lang w:val="en-US" w:eastAsia="zh-CN" w:bidi="ar"/>
              </w:rPr>
              <w:t>。提供合同复印件加盖公章与发票复印件，时间以合同签订时间为准，每提供一个有效合同复印与发票复印件得2分，满分6分，原件备查。</w:t>
            </w:r>
            <w:r>
              <w:rPr>
                <w:rFonts w:hint="eastAsia" w:asciiTheme="minorEastAsia" w:hAnsiTheme="minorEastAsia" w:eastAsiaTheme="minorEastAsia" w:cstheme="minorEastAsia"/>
                <w:kern w:val="0"/>
                <w:sz w:val="21"/>
                <w:szCs w:val="21"/>
                <w:lang w:val="en-US" w:eastAsia="zh-CN" w:bidi="ar"/>
              </w:rPr>
              <w:br w:type="textWrapping"/>
            </w:r>
            <w:r>
              <w:rPr>
                <w:rStyle w:val="51"/>
                <w:rFonts w:hint="eastAsia" w:asciiTheme="minorEastAsia" w:hAnsiTheme="minorEastAsia" w:eastAsiaTheme="minorEastAsia" w:cstheme="minorEastAsia"/>
                <w:b/>
                <w:bCs/>
                <w:kern w:val="0"/>
                <w:sz w:val="21"/>
                <w:szCs w:val="21"/>
                <w:lang w:val="en-US" w:eastAsia="zh-CN" w:bidi="ar"/>
              </w:rPr>
              <w:t>需提供案例中合作方的联系人及电话以供核实。</w:t>
            </w:r>
          </w:p>
        </w:tc>
      </w:tr>
      <w:tr w14:paraId="73993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3FD4CE2F">
            <w:pPr>
              <w:numPr>
                <w:ilvl w:val="0"/>
                <w:numId w:val="0"/>
              </w:numPr>
              <w:rPr>
                <w:rFonts w:hint="eastAsia" w:asciiTheme="minorEastAsia" w:hAnsiTheme="minorEastAsia" w:eastAsiaTheme="minorEastAsia" w:cstheme="minorEastAsia"/>
                <w:sz w:val="21"/>
                <w:szCs w:val="21"/>
                <w:vertAlign w:val="baseline"/>
                <w:lang w:val="en-US" w:eastAsia="zh-CN"/>
              </w:rPr>
            </w:pPr>
          </w:p>
        </w:tc>
        <w:tc>
          <w:tcPr>
            <w:tcW w:w="1192" w:type="dxa"/>
          </w:tcPr>
          <w:p w14:paraId="74668D4E">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企业实力</w:t>
            </w:r>
          </w:p>
        </w:tc>
        <w:tc>
          <w:tcPr>
            <w:tcW w:w="900" w:type="dxa"/>
          </w:tcPr>
          <w:p w14:paraId="00776A72">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8</w:t>
            </w:r>
          </w:p>
        </w:tc>
        <w:tc>
          <w:tcPr>
            <w:tcW w:w="4873" w:type="dxa"/>
          </w:tcPr>
          <w:p w14:paraId="56D068EE">
            <w:pPr>
              <w:numPr>
                <w:ilvl w:val="0"/>
                <w:numId w:val="4"/>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val="en-US" w:eastAsia="zh-CN"/>
              </w:rPr>
              <w:t>机械臂</w:t>
            </w:r>
            <w:r>
              <w:rPr>
                <w:rFonts w:hint="eastAsia" w:asciiTheme="minorEastAsia" w:hAnsiTheme="minorEastAsia" w:eastAsiaTheme="minorEastAsia" w:cstheme="minorEastAsia"/>
                <w:sz w:val="21"/>
                <w:szCs w:val="21"/>
              </w:rPr>
              <w:t>相关自主知识产权专利授权证书证明材料，每提供1份得</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分，最多得</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分，未提供得0分</w:t>
            </w:r>
            <w:r>
              <w:rPr>
                <w:rFonts w:hint="eastAsia" w:asciiTheme="minorEastAsia" w:hAnsiTheme="minorEastAsia" w:eastAsiaTheme="minorEastAsia" w:cstheme="minorEastAsia"/>
                <w:sz w:val="21"/>
                <w:szCs w:val="21"/>
                <w:lang w:val="en-US" w:eastAsia="zh-CN"/>
              </w:rPr>
              <w:t>（提供相关材料复印件加盖公章）</w:t>
            </w:r>
            <w:r>
              <w:rPr>
                <w:rFonts w:hint="eastAsia" w:asciiTheme="minorEastAsia" w:hAnsiTheme="minorEastAsia" w:eastAsiaTheme="minorEastAsia" w:cstheme="minorEastAsia"/>
                <w:sz w:val="21"/>
                <w:szCs w:val="21"/>
              </w:rPr>
              <w:t>。</w:t>
            </w:r>
          </w:p>
          <w:p w14:paraId="21930FC3">
            <w:pPr>
              <w:numPr>
                <w:ilvl w:val="0"/>
                <w:numId w:val="4"/>
              </w:numP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指导设备安装人员和现场调试人员具有电气类或者机械类工程师中级及以上职称的得2分/人，满分4分。（提供相关证书复印件加盖公章）。</w:t>
            </w:r>
          </w:p>
        </w:tc>
      </w:tr>
      <w:tr w14:paraId="0876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31606504">
            <w:pPr>
              <w:numPr>
                <w:ilvl w:val="0"/>
                <w:numId w:val="0"/>
              </w:numPr>
              <w:rPr>
                <w:rFonts w:hint="eastAsia" w:asciiTheme="minorEastAsia" w:hAnsiTheme="minorEastAsia" w:eastAsiaTheme="minorEastAsia" w:cstheme="minorEastAsia"/>
                <w:sz w:val="21"/>
                <w:szCs w:val="21"/>
                <w:vertAlign w:val="baseline"/>
              </w:rPr>
            </w:pPr>
          </w:p>
        </w:tc>
        <w:tc>
          <w:tcPr>
            <w:tcW w:w="1192" w:type="dxa"/>
            <w:vAlign w:val="top"/>
          </w:tcPr>
          <w:p w14:paraId="740EEA0E">
            <w:pPr>
              <w:numPr>
                <w:ilvl w:val="0"/>
                <w:numId w:val="0"/>
              </w:numPr>
              <w:ind w:left="0" w:leftChars="0" w:firstLine="0" w:firstLineChars="0"/>
              <w:rPr>
                <w:rFonts w:hint="eastAsia" w:asciiTheme="minorEastAsia" w:hAnsiTheme="minorEastAsia" w:eastAsiaTheme="minorEastAsia" w:cstheme="minorEastAsia"/>
                <w:sz w:val="21"/>
                <w:szCs w:val="21"/>
                <w:vertAlign w:val="baseline"/>
              </w:rPr>
            </w:pPr>
            <w:r>
              <w:rPr>
                <w:rStyle w:val="51"/>
                <w:rFonts w:hint="eastAsia" w:asciiTheme="minorEastAsia" w:hAnsiTheme="minorEastAsia" w:eastAsiaTheme="minorEastAsia" w:cstheme="minorEastAsia"/>
                <w:b w:val="0"/>
                <w:bCs w:val="0"/>
                <w:kern w:val="0"/>
                <w:sz w:val="21"/>
                <w:szCs w:val="21"/>
                <w:lang w:val="en-US" w:eastAsia="zh-CN" w:bidi="ar"/>
              </w:rPr>
              <w:t>培训与技术支持</w:t>
            </w:r>
          </w:p>
        </w:tc>
        <w:tc>
          <w:tcPr>
            <w:tcW w:w="900" w:type="dxa"/>
            <w:vAlign w:val="top"/>
          </w:tcPr>
          <w:p w14:paraId="07F8C77C">
            <w:pPr>
              <w:numPr>
                <w:ilvl w:val="0"/>
                <w:numId w:val="0"/>
              </w:numPr>
              <w:ind w:left="0" w:leftChars="0" w:firstLine="0" w:firstLineChars="0"/>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4873" w:type="dxa"/>
            <w:vAlign w:val="top"/>
          </w:tcPr>
          <w:p w14:paraId="50174E04">
            <w:pPr>
              <w:numPr>
                <w:ilvl w:val="0"/>
                <w:numId w:val="0"/>
              </w:num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根据人员培训方案（包括但不限于：①培训时间安排；②培训内容；③培训资料等）进行综合评分。</w:t>
            </w:r>
          </w:p>
          <w:p w14:paraId="42C5A6C8">
            <w:pPr>
              <w:numPr>
                <w:ilvl w:val="0"/>
                <w:numId w:val="0"/>
              </w:numPr>
              <w:ind w:left="0" w:leftChars="0" w:firstLine="0" w:firstLineChars="0"/>
              <w:rPr>
                <w:rFonts w:hint="eastAsia"/>
              </w:rPr>
            </w:pPr>
            <w:r>
              <w:rPr>
                <w:rFonts w:hint="eastAsia" w:asciiTheme="minorEastAsia" w:hAnsiTheme="minorEastAsia" w:eastAsiaTheme="minorEastAsia" w:cstheme="minorEastAsia"/>
                <w:sz w:val="21"/>
                <w:szCs w:val="21"/>
              </w:rPr>
              <w:t>培训计划详细、内容充实的得</w:t>
            </w:r>
            <w:r>
              <w:rPr>
                <w:rFonts w:hint="eastAsia" w:asciiTheme="minorEastAsia" w:hAnsiTheme="minorEastAsia" w:eastAsiaTheme="minorEastAsia" w:cstheme="minorEastAsia"/>
                <w:sz w:val="21"/>
                <w:szCs w:val="21"/>
                <w:lang w:val="en-US" w:eastAsia="zh-CN"/>
              </w:rPr>
              <w:t>10</w:t>
            </w:r>
            <w:r>
              <w:rPr>
                <w:rFonts w:hint="eastAsia" w:asciiTheme="minorEastAsia" w:hAnsiTheme="minorEastAsia" w:eastAsiaTheme="minorEastAsia" w:cstheme="minorEastAsia"/>
                <w:sz w:val="21"/>
                <w:szCs w:val="21"/>
              </w:rPr>
              <w:t>分；培训计划较为详细、内容一般的得</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分；培训计划不具体、内容不太符合项目要求的得</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分；无不得分。</w:t>
            </w:r>
          </w:p>
        </w:tc>
      </w:tr>
      <w:tr w14:paraId="218EC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75DF9376">
            <w:pPr>
              <w:numPr>
                <w:ilvl w:val="0"/>
                <w:numId w:val="0"/>
              </w:numPr>
              <w:rPr>
                <w:rFonts w:hint="eastAsia" w:asciiTheme="minorEastAsia" w:hAnsiTheme="minorEastAsia" w:eastAsiaTheme="minorEastAsia" w:cstheme="minorEastAsia"/>
                <w:sz w:val="21"/>
                <w:szCs w:val="21"/>
                <w:vertAlign w:val="baseline"/>
              </w:rPr>
            </w:pPr>
          </w:p>
        </w:tc>
        <w:tc>
          <w:tcPr>
            <w:tcW w:w="1192" w:type="dxa"/>
          </w:tcPr>
          <w:p w14:paraId="158E1D64">
            <w:pPr>
              <w:numPr>
                <w:ilvl w:val="0"/>
                <w:numId w:val="0"/>
              </w:numPr>
              <w:rPr>
                <w:rFonts w:hint="eastAsia" w:asciiTheme="minorEastAsia" w:hAnsiTheme="minorEastAsia" w:eastAsiaTheme="minorEastAsia" w:cstheme="minorEastAsia"/>
                <w:sz w:val="21"/>
                <w:szCs w:val="21"/>
                <w:vertAlign w:val="baseline"/>
              </w:rPr>
            </w:pPr>
            <w:r>
              <w:rPr>
                <w:rStyle w:val="51"/>
                <w:rFonts w:hint="eastAsia" w:asciiTheme="minorEastAsia" w:hAnsiTheme="minorEastAsia" w:eastAsiaTheme="minorEastAsia" w:cstheme="minorEastAsia"/>
                <w:b w:val="0"/>
                <w:bCs w:val="0"/>
                <w:kern w:val="0"/>
                <w:sz w:val="21"/>
                <w:szCs w:val="21"/>
                <w:lang w:val="en-US" w:eastAsia="zh-CN" w:bidi="ar"/>
              </w:rPr>
              <w:t>售后服务</w:t>
            </w:r>
          </w:p>
        </w:tc>
        <w:tc>
          <w:tcPr>
            <w:tcW w:w="900" w:type="dxa"/>
          </w:tcPr>
          <w:p w14:paraId="5DE8EC6D">
            <w:pPr>
              <w:numPr>
                <w:ilvl w:val="0"/>
                <w:numId w:val="0"/>
              </w:numP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10</w:t>
            </w:r>
          </w:p>
        </w:tc>
        <w:tc>
          <w:tcPr>
            <w:tcW w:w="4873" w:type="dxa"/>
          </w:tcPr>
          <w:p w14:paraId="6C24E6F6">
            <w:pPr>
              <w:numPr>
                <w:ilvl w:val="0"/>
                <w:numId w:val="0"/>
              </w:numP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售后服务方案：售后人员培训、服务咨询、远程支持、现场支持、售后服务承诺、质保期内的售后服务范围、质保期满后的售后服务范围和收费情况、备品备件的承诺。</w:t>
            </w:r>
          </w:p>
          <w:p w14:paraId="2DDB8A1B">
            <w:pPr>
              <w:numPr>
                <w:ilvl w:val="0"/>
                <w:numId w:val="0"/>
              </w:num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kern w:val="0"/>
                <w:sz w:val="21"/>
                <w:szCs w:val="21"/>
                <w:lang w:val="en-US" w:eastAsia="zh-CN" w:bidi="ar"/>
              </w:rPr>
              <w:t>服务体系完整、详细、提供的故障解决方案合理可行，售后应答及时得10分；服务体系较完整、详细、提供的故障解决方案较合理可行，售后应答较及时得6分；服务方案有缺漏、不详细、售后应答不够及时得2分；未提供方案不得分。</w:t>
            </w:r>
          </w:p>
        </w:tc>
      </w:tr>
      <w:tr w14:paraId="0735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vMerge w:val="continue"/>
          </w:tcPr>
          <w:p w14:paraId="6FFC9B59">
            <w:pPr>
              <w:numPr>
                <w:ilvl w:val="0"/>
                <w:numId w:val="0"/>
              </w:numPr>
              <w:rPr>
                <w:rFonts w:hint="eastAsia" w:asciiTheme="minorEastAsia" w:hAnsiTheme="minorEastAsia" w:eastAsiaTheme="minorEastAsia" w:cstheme="minorEastAsia"/>
                <w:sz w:val="21"/>
                <w:szCs w:val="21"/>
                <w:vertAlign w:val="baseline"/>
              </w:rPr>
            </w:pPr>
          </w:p>
        </w:tc>
        <w:tc>
          <w:tcPr>
            <w:tcW w:w="1192" w:type="dxa"/>
          </w:tcPr>
          <w:p w14:paraId="6944AD3D">
            <w:pPr>
              <w:numPr>
                <w:ilvl w:val="0"/>
                <w:numId w:val="0"/>
              </w:numPr>
              <w:rPr>
                <w:rStyle w:val="51"/>
                <w:rFonts w:hint="eastAsia" w:asciiTheme="minorEastAsia" w:hAnsiTheme="minorEastAsia" w:eastAsiaTheme="minorEastAsia" w:cstheme="minorEastAsia"/>
                <w:b w:val="0"/>
                <w:bCs w:val="0"/>
                <w:kern w:val="0"/>
                <w:sz w:val="21"/>
                <w:szCs w:val="21"/>
                <w:lang w:val="en-US" w:eastAsia="zh-CN" w:bidi="ar"/>
              </w:rPr>
            </w:pPr>
            <w:r>
              <w:rPr>
                <w:rStyle w:val="51"/>
                <w:rFonts w:hint="eastAsia" w:asciiTheme="minorEastAsia" w:hAnsiTheme="minorEastAsia" w:eastAsiaTheme="minorEastAsia" w:cstheme="minorEastAsia"/>
                <w:b w:val="0"/>
                <w:bCs w:val="0"/>
                <w:kern w:val="0"/>
                <w:sz w:val="21"/>
                <w:szCs w:val="21"/>
                <w:lang w:val="en-US" w:eastAsia="zh-CN" w:bidi="ar"/>
              </w:rPr>
              <w:t>免费质保期</w:t>
            </w:r>
          </w:p>
        </w:tc>
        <w:tc>
          <w:tcPr>
            <w:tcW w:w="900" w:type="dxa"/>
          </w:tcPr>
          <w:p w14:paraId="5EB0F594">
            <w:pPr>
              <w:numPr>
                <w:ilvl w:val="0"/>
                <w:numId w:val="0"/>
              </w:numP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6</w:t>
            </w:r>
          </w:p>
        </w:tc>
        <w:tc>
          <w:tcPr>
            <w:tcW w:w="4873" w:type="dxa"/>
          </w:tcPr>
          <w:p w14:paraId="44ECC89C">
            <w:pPr>
              <w:numPr>
                <w:ilvl w:val="0"/>
                <w:numId w:val="0"/>
              </w:numPr>
              <w:rPr>
                <w:rFonts w:hint="eastAsia" w:asciiTheme="minorEastAsia" w:hAnsiTheme="minorEastAsia" w:eastAsiaTheme="minorEastAsia" w:cstheme="minorEastAsia"/>
                <w:kern w:val="0"/>
                <w:sz w:val="21"/>
                <w:szCs w:val="21"/>
                <w:lang w:val="en-US" w:eastAsia="zh-CN" w:bidi="ar"/>
              </w:rPr>
            </w:pPr>
            <w:r>
              <w:rPr>
                <w:rFonts w:hint="eastAsia" w:asciiTheme="minorEastAsia" w:hAnsiTheme="minorEastAsia" w:eastAsiaTheme="minorEastAsia" w:cstheme="minorEastAsia"/>
                <w:kern w:val="0"/>
                <w:sz w:val="21"/>
                <w:szCs w:val="21"/>
                <w:lang w:val="en-US" w:eastAsia="zh-CN" w:bidi="ar"/>
              </w:rPr>
              <w:t>质保期在招标文件要求的基础上每增加1年（基础三年的不得分）的得3分，满分6分。（提供加盖公章的承诺书原件，格式自拟）</w:t>
            </w:r>
          </w:p>
        </w:tc>
      </w:tr>
      <w:tr w14:paraId="1379F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7" w:type="dxa"/>
          </w:tcPr>
          <w:p w14:paraId="7A62F76F">
            <w:pPr>
              <w:numPr>
                <w:ilvl w:val="0"/>
                <w:numId w:val="0"/>
              </w:numPr>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报价 (30分)</w:t>
            </w:r>
          </w:p>
        </w:tc>
        <w:tc>
          <w:tcPr>
            <w:tcW w:w="1192" w:type="dxa"/>
          </w:tcPr>
          <w:p w14:paraId="5758AEDD">
            <w:pPr>
              <w:numPr>
                <w:ilvl w:val="0"/>
                <w:numId w:val="0"/>
              </w:numPr>
              <w:rPr>
                <w:rStyle w:val="51"/>
                <w:rFonts w:hint="eastAsia" w:asciiTheme="minorEastAsia" w:hAnsiTheme="minorEastAsia" w:eastAsiaTheme="minorEastAsia" w:cstheme="minorEastAsia"/>
                <w:b w:val="0"/>
                <w:bCs w:val="0"/>
                <w:kern w:val="0"/>
                <w:sz w:val="21"/>
                <w:szCs w:val="21"/>
                <w:lang w:val="en-US" w:eastAsia="zh-CN" w:bidi="ar"/>
              </w:rPr>
            </w:pPr>
            <w:r>
              <w:rPr>
                <w:rStyle w:val="51"/>
                <w:rFonts w:hint="eastAsia" w:asciiTheme="minorEastAsia" w:hAnsiTheme="minorEastAsia" w:eastAsiaTheme="minorEastAsia" w:cstheme="minorEastAsia"/>
                <w:b w:val="0"/>
                <w:bCs w:val="0"/>
                <w:kern w:val="0"/>
                <w:sz w:val="21"/>
                <w:szCs w:val="21"/>
                <w:lang w:val="en-US" w:eastAsia="zh-CN" w:bidi="ar"/>
              </w:rPr>
              <w:t>投标报价</w:t>
            </w:r>
          </w:p>
        </w:tc>
        <w:tc>
          <w:tcPr>
            <w:tcW w:w="900" w:type="dxa"/>
          </w:tcPr>
          <w:p w14:paraId="1946E735">
            <w:pPr>
              <w:numPr>
                <w:ilvl w:val="0"/>
                <w:numId w:val="0"/>
              </w:numPr>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30</w:t>
            </w:r>
          </w:p>
        </w:tc>
        <w:tc>
          <w:tcPr>
            <w:tcW w:w="4873" w:type="dxa"/>
          </w:tcPr>
          <w:p w14:paraId="5C6A9A5A">
            <w:pPr>
              <w:numPr>
                <w:ilvl w:val="0"/>
                <w:numId w:val="0"/>
              </w:numPr>
              <w:rPr>
                <w:rFonts w:hint="eastAsia" w:asciiTheme="minorEastAsia" w:hAnsiTheme="minorEastAsia" w:eastAsiaTheme="minorEastAsia" w:cstheme="minorEastAsia"/>
                <w:sz w:val="21"/>
                <w:szCs w:val="21"/>
                <w:vertAlign w:val="baseline"/>
              </w:rPr>
            </w:pPr>
            <w:r>
              <w:rPr>
                <w:rFonts w:hint="eastAsia" w:asciiTheme="minorEastAsia" w:hAnsiTheme="minorEastAsia" w:eastAsiaTheme="minorEastAsia" w:cstheme="minorEastAsia"/>
                <w:kern w:val="0"/>
                <w:sz w:val="21"/>
                <w:szCs w:val="21"/>
                <w:lang w:val="en-US" w:eastAsia="zh-CN" w:bidi="ar"/>
              </w:rPr>
              <w:t>以满足招标文件要求且投标价格最低的评标价为基准价，其价格分为满分30分。</w:t>
            </w:r>
            <w:r>
              <w:rPr>
                <w:rFonts w:hint="eastAsia" w:asciiTheme="minorEastAsia" w:hAnsiTheme="minorEastAsia" w:eastAsiaTheme="minorEastAsia" w:cstheme="minorEastAsia"/>
                <w:kern w:val="0"/>
                <w:sz w:val="21"/>
                <w:szCs w:val="21"/>
                <w:lang w:val="en-US" w:eastAsia="zh-CN" w:bidi="ar"/>
              </w:rPr>
              <w:br w:type="textWrapping"/>
            </w:r>
            <w:r>
              <w:rPr>
                <w:rFonts w:hint="eastAsia" w:asciiTheme="minorEastAsia" w:hAnsiTheme="minorEastAsia" w:eastAsiaTheme="minorEastAsia" w:cstheme="minorEastAsia"/>
                <w:kern w:val="0"/>
                <w:sz w:val="21"/>
                <w:szCs w:val="21"/>
                <w:lang w:val="en-US" w:eastAsia="zh-CN" w:bidi="ar"/>
              </w:rPr>
              <w:t>其他投标人的价格分统一按照下列公式计算：</w:t>
            </w:r>
            <w:r>
              <w:rPr>
                <w:rFonts w:hint="eastAsia" w:asciiTheme="minorEastAsia" w:hAnsiTheme="minorEastAsia" w:eastAsiaTheme="minorEastAsia" w:cstheme="minorEastAsia"/>
                <w:kern w:val="0"/>
                <w:sz w:val="21"/>
                <w:szCs w:val="21"/>
                <w:lang w:val="en-US" w:eastAsia="zh-CN" w:bidi="ar"/>
              </w:rPr>
              <w:br w:type="textWrapping"/>
            </w:r>
            <w:r>
              <w:rPr>
                <w:rStyle w:val="51"/>
                <w:rFonts w:hint="eastAsia" w:asciiTheme="minorEastAsia" w:hAnsiTheme="minorEastAsia" w:eastAsiaTheme="minorEastAsia" w:cstheme="minorEastAsia"/>
                <w:b/>
                <w:bCs/>
                <w:kern w:val="0"/>
                <w:sz w:val="21"/>
                <w:szCs w:val="21"/>
                <w:lang w:val="en-US" w:eastAsia="zh-CN" w:bidi="ar"/>
              </w:rPr>
              <w:t>投标报价得分 = (基准价 / 投标报价) × 30</w:t>
            </w:r>
          </w:p>
        </w:tc>
      </w:tr>
    </w:tbl>
    <w:p w14:paraId="2F948843">
      <w:pPr>
        <w:spacing w:line="360" w:lineRule="auto"/>
        <w:ind w:firstLine="440" w:firstLineChars="200"/>
        <w:rPr>
          <w:rFonts w:hint="eastAsia" w:ascii="宋体" w:hAnsi="宋体" w:cs="宋体"/>
          <w:bCs/>
          <w:sz w:val="22"/>
          <w:szCs w:val="28"/>
        </w:rPr>
      </w:pPr>
    </w:p>
    <w:p w14:paraId="61BE7931">
      <w:pPr>
        <w:spacing w:line="360" w:lineRule="auto"/>
        <w:ind w:firstLine="442" w:firstLineChars="200"/>
        <w:rPr>
          <w:rFonts w:hint="eastAsia" w:ascii="宋体" w:hAnsi="宋体" w:cs="宋体"/>
          <w:b/>
          <w:sz w:val="22"/>
          <w:szCs w:val="28"/>
          <w:highlight w:val="none"/>
        </w:rPr>
      </w:pPr>
      <w:r>
        <w:rPr>
          <w:rFonts w:hint="eastAsia" w:ascii="宋体" w:hAnsi="宋体" w:cs="宋体"/>
          <w:b/>
          <w:sz w:val="22"/>
          <w:szCs w:val="28"/>
          <w:highlight w:val="none"/>
        </w:rPr>
        <w:t>说明：</w:t>
      </w:r>
    </w:p>
    <w:p w14:paraId="430B85AB">
      <w:pPr>
        <w:spacing w:line="360" w:lineRule="auto"/>
        <w:ind w:left="420"/>
        <w:rPr>
          <w:rFonts w:hint="eastAsia" w:ascii="宋体" w:hAnsi="宋体" w:cs="宋体"/>
          <w:szCs w:val="21"/>
          <w:highlight w:val="none"/>
        </w:rPr>
      </w:pPr>
      <w:r>
        <w:rPr>
          <w:rFonts w:hint="eastAsia" w:ascii="宋体" w:hAnsi="宋体" w:cs="宋体"/>
          <w:szCs w:val="21"/>
          <w:highlight w:val="none"/>
        </w:rPr>
        <w:t>1、所有证明和业绩均以有效清晰的证明文件的复印件为依据，原件备查。</w:t>
      </w:r>
    </w:p>
    <w:p w14:paraId="0DE215DF">
      <w:pPr>
        <w:rPr>
          <w:rFonts w:hint="eastAsia" w:ascii="宋体" w:hAnsi="宋体" w:cs="宋体"/>
          <w:szCs w:val="22"/>
        </w:rPr>
      </w:pPr>
      <w:r>
        <w:rPr>
          <w:rFonts w:hint="eastAsia" w:ascii="Arial" w:hAnsi="Arial"/>
          <w:bCs/>
          <w:sz w:val="24"/>
        </w:rPr>
        <w:br w:type="page"/>
      </w:r>
    </w:p>
    <w:p w14:paraId="728AED28">
      <w:pPr>
        <w:pStyle w:val="3"/>
        <w:numPr>
          <w:ilvl w:val="0"/>
          <w:numId w:val="0"/>
        </w:numPr>
        <w:spacing w:line="360" w:lineRule="auto"/>
        <w:rPr>
          <w:rFonts w:hint="eastAsia" w:ascii="宋体" w:hAnsi="宋体" w:cs="宋体"/>
        </w:rPr>
      </w:pPr>
      <w:bookmarkStart w:id="31" w:name="_Toc2739"/>
      <w:bookmarkStart w:id="32" w:name="_Toc15837"/>
      <w:bookmarkStart w:id="33" w:name="_Toc17374"/>
      <w:bookmarkStart w:id="34" w:name="_Toc24247"/>
      <w:bookmarkStart w:id="35" w:name="_Toc1916"/>
      <w:bookmarkStart w:id="36" w:name="_Toc11975"/>
      <w:r>
        <w:rPr>
          <w:rFonts w:hint="eastAsia" w:ascii="宋体" w:hAnsi="宋体" w:cs="宋体"/>
        </w:rPr>
        <w:t>第四章 采购需求</w:t>
      </w:r>
      <w:bookmarkEnd w:id="31"/>
      <w:bookmarkEnd w:id="32"/>
      <w:bookmarkEnd w:id="33"/>
      <w:bookmarkEnd w:id="34"/>
      <w:bookmarkEnd w:id="35"/>
      <w:bookmarkEnd w:id="36"/>
      <w:bookmarkStart w:id="37" w:name="_Toc481057147"/>
    </w:p>
    <w:bookmarkEnd w:id="37"/>
    <w:p w14:paraId="1D303520">
      <w:pPr>
        <w:spacing w:line="460" w:lineRule="exact"/>
        <w:ind w:firstLine="482" w:firstLineChars="200"/>
        <w:rPr>
          <w:rFonts w:hint="eastAsia" w:ascii="宋体" w:hAnsi="宋体" w:cs="宋体"/>
          <w:b/>
          <w:sz w:val="24"/>
        </w:rPr>
      </w:pPr>
      <w:bookmarkStart w:id="38" w:name="_Toc9251"/>
      <w:bookmarkStart w:id="39" w:name="_Toc12584"/>
      <w:bookmarkStart w:id="40" w:name="_Toc228"/>
      <w:r>
        <w:rPr>
          <w:rFonts w:hint="eastAsia" w:ascii="宋体" w:hAnsi="宋体" w:cs="宋体"/>
          <w:b/>
          <w:sz w:val="24"/>
        </w:rPr>
        <w:t>一、项目背景</w:t>
      </w:r>
    </w:p>
    <w:p w14:paraId="7F375666">
      <w:pPr>
        <w:spacing w:line="460" w:lineRule="exact"/>
        <w:ind w:firstLine="480" w:firstLineChars="200"/>
        <w:rPr>
          <w:rFonts w:hint="eastAsia" w:ascii="宋体" w:hAnsi="宋体" w:cs="宋体"/>
          <w:kern w:val="0"/>
          <w:sz w:val="24"/>
        </w:rPr>
      </w:pPr>
      <w:r>
        <w:rPr>
          <w:rFonts w:hint="eastAsia" w:ascii="宋体" w:hAnsi="宋体" w:cs="宋体"/>
          <w:kern w:val="0"/>
          <w:sz w:val="24"/>
        </w:rPr>
        <w:t>在工业自动化与智能制造快速发展的背景下，机械臂作为核心执行单元，已广泛应用于汽车制造、航天航空、物流分拣及医疗辅助等多个领域。掌握其控制原理与编程技术，已成为工科类专业人才培养的必备要求。为提升实践教学质量，增强学生对现代工业控制系统的理解与应用能力，现计划采购一批六轴机械臂，并同步引入协作机器人设备，实现人机协同作业的真实场景模拟。协作机器人具备安全交互、灵活部署和易于编程等优势，能够与传统机械臂形成互补，拓展教学内容的广度与深度。通过构建集运动控制、路径规划、传感器融合与人机协作于一体的实训平台，学生可在真实工业环境中掌握PLC控制、机器人编程、视觉识别等关键技术，有效提升工程实践能力和创新意识。</w:t>
      </w:r>
    </w:p>
    <w:p w14:paraId="4A35F2B1">
      <w:pPr>
        <w:spacing w:line="460" w:lineRule="exact"/>
        <w:ind w:firstLine="480" w:firstLineChars="200"/>
        <w:rPr>
          <w:rFonts w:hint="eastAsia" w:ascii="宋体" w:hAnsi="宋体" w:cs="宋体"/>
          <w:b/>
          <w:sz w:val="24"/>
        </w:rPr>
      </w:pPr>
      <w:r>
        <w:rPr>
          <w:rFonts w:hint="eastAsia" w:ascii="宋体" w:hAnsi="宋体" w:cs="宋体"/>
          <w:kern w:val="0"/>
          <w:sz w:val="24"/>
        </w:rPr>
        <w:t>此举不仅是响应新工科建设的重要举措，更是对接产业需求、培养高素质应用型人才的关键支撑。采购该批设备将极大改善现有实训条件，满足自动化、机器人工程、智能制造等相关专业的教学与科研需要，为培养适应未来智能制造发展的人才提供坚实保障。</w:t>
      </w:r>
    </w:p>
    <w:p w14:paraId="397282BC">
      <w:pPr>
        <w:spacing w:before="156" w:beforeLines="50" w:line="420" w:lineRule="exact"/>
        <w:ind w:firstLine="482" w:firstLineChars="200"/>
        <w:rPr>
          <w:rFonts w:hint="eastAsia" w:ascii="宋体" w:hAnsi="宋体" w:cs="宋体"/>
          <w:b/>
          <w:sz w:val="24"/>
        </w:rPr>
      </w:pPr>
      <w:r>
        <w:rPr>
          <w:rFonts w:hint="eastAsia" w:ascii="宋体" w:hAnsi="宋体" w:cs="宋体"/>
          <w:b/>
          <w:sz w:val="24"/>
        </w:rPr>
        <w:t>二、主要功能及技术参数要求</w:t>
      </w:r>
    </w:p>
    <w:tbl>
      <w:tblPr>
        <w:tblStyle w:val="2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572"/>
        <w:gridCol w:w="566"/>
        <w:gridCol w:w="702"/>
        <w:gridCol w:w="674"/>
        <w:gridCol w:w="5531"/>
      </w:tblGrid>
      <w:tr w14:paraId="35719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477" w:type="dxa"/>
            <w:vMerge w:val="restart"/>
            <w:vAlign w:val="center"/>
          </w:tcPr>
          <w:p w14:paraId="03F98748">
            <w:pPr>
              <w:spacing w:line="0" w:lineRule="atLeast"/>
              <w:rPr>
                <w:rFonts w:hint="eastAsia" w:ascii="宋体" w:hAnsi="宋体" w:cs="宋体"/>
                <w:bCs/>
                <w:color w:val="000000"/>
                <w:szCs w:val="21"/>
              </w:rPr>
            </w:pPr>
            <w:r>
              <w:rPr>
                <w:rFonts w:hint="eastAsia" w:ascii="宋体" w:hAnsi="宋体" w:cs="宋体"/>
                <w:bCs/>
                <w:color w:val="000000"/>
                <w:szCs w:val="21"/>
              </w:rPr>
              <w:t>1</w:t>
            </w:r>
          </w:p>
        </w:tc>
        <w:tc>
          <w:tcPr>
            <w:tcW w:w="572" w:type="dxa"/>
            <w:vMerge w:val="restart"/>
            <w:vAlign w:val="center"/>
          </w:tcPr>
          <w:p w14:paraId="09FE93CE">
            <w:pPr>
              <w:spacing w:line="0" w:lineRule="atLeast"/>
              <w:rPr>
                <w:rFonts w:hint="eastAsia" w:ascii="宋体" w:hAnsi="宋体" w:cs="宋体"/>
                <w:bCs/>
                <w:color w:val="000000"/>
                <w:szCs w:val="21"/>
              </w:rPr>
            </w:pPr>
            <w:r>
              <w:rPr>
                <w:rFonts w:hint="eastAsia" w:ascii="宋体" w:hAnsi="宋体" w:cs="宋体"/>
                <w:bCs/>
                <w:color w:val="000000"/>
                <w:szCs w:val="21"/>
              </w:rPr>
              <w:t>协作机器人系统</w:t>
            </w:r>
          </w:p>
        </w:tc>
        <w:tc>
          <w:tcPr>
            <w:tcW w:w="566" w:type="dxa"/>
            <w:vMerge w:val="restart"/>
            <w:textDirection w:val="tbLrV"/>
            <w:vAlign w:val="center"/>
          </w:tcPr>
          <w:p w14:paraId="1B43D92C">
            <w:pPr>
              <w:ind w:left="113" w:right="113"/>
              <w:jc w:val="center"/>
              <w:rPr>
                <w:rFonts w:hint="eastAsia" w:ascii="宋体" w:hAnsi="宋体" w:cs="宋体"/>
                <w:bCs/>
                <w:color w:val="000000"/>
                <w:szCs w:val="21"/>
              </w:rPr>
            </w:pPr>
            <w:r>
              <w:rPr>
                <w:rFonts w:hint="eastAsia" w:ascii="宋体" w:hAnsi="宋体" w:cs="宋体"/>
                <w:bCs/>
                <w:color w:val="000000"/>
                <w:szCs w:val="21"/>
              </w:rPr>
              <w:t>功能要求</w:t>
            </w:r>
          </w:p>
        </w:tc>
        <w:tc>
          <w:tcPr>
            <w:tcW w:w="702" w:type="dxa"/>
            <w:textDirection w:val="tbLrV"/>
            <w:vAlign w:val="center"/>
          </w:tcPr>
          <w:p w14:paraId="2B86F4BB">
            <w:pPr>
              <w:spacing w:line="0" w:lineRule="atLeast"/>
              <w:ind w:left="113" w:right="113"/>
              <w:jc w:val="center"/>
              <w:rPr>
                <w:rFonts w:hint="eastAsia" w:ascii="宋体" w:hAnsi="宋体" w:cs="宋体"/>
                <w:bCs/>
                <w:color w:val="000000"/>
                <w:szCs w:val="21"/>
              </w:rPr>
            </w:pPr>
            <w:r>
              <w:rPr>
                <w:rFonts w:hint="eastAsia" w:ascii="宋体" w:hAnsi="宋体" w:cs="宋体"/>
                <w:bCs/>
                <w:color w:val="000000"/>
                <w:szCs w:val="21"/>
              </w:rPr>
              <w:t>协作机器人</w:t>
            </w:r>
          </w:p>
        </w:tc>
        <w:tc>
          <w:tcPr>
            <w:tcW w:w="6205" w:type="dxa"/>
            <w:gridSpan w:val="2"/>
            <w:vAlign w:val="center"/>
          </w:tcPr>
          <w:p w14:paraId="17DBA785">
            <w:pPr>
              <w:numPr>
                <w:ilvl w:val="255"/>
                <w:numId w:val="0"/>
              </w:numPr>
              <w:spacing w:line="0" w:lineRule="atLeast"/>
              <w:rPr>
                <w:rFonts w:hint="eastAsia" w:ascii="宋体" w:hAnsi="宋体" w:cs="宋体"/>
                <w:bCs/>
                <w:color w:val="000000"/>
                <w:szCs w:val="21"/>
              </w:rPr>
            </w:pPr>
            <w:r>
              <w:rPr>
                <w:rFonts w:hint="eastAsia" w:ascii="Calibri" w:hAnsi="Calibri" w:cs="宋体"/>
                <w:kern w:val="0"/>
                <w:szCs w:val="21"/>
              </w:rPr>
              <w:t>★</w:t>
            </w:r>
            <w:r>
              <w:rPr>
                <w:rFonts w:hint="eastAsia" w:ascii="宋体" w:hAnsi="宋体" w:cs="宋体"/>
                <w:bCs/>
                <w:color w:val="000000"/>
                <w:szCs w:val="21"/>
              </w:rPr>
              <w:t>1.支持图形化编程界面、手持PAD编程、lua脚本编程，C/C++ 编程接口、Python编程、SDK库等多种编程方式，支持ROS系统。</w:t>
            </w:r>
          </w:p>
          <w:p w14:paraId="1511EE70">
            <w:pPr>
              <w:numPr>
                <w:ilvl w:val="0"/>
                <w:numId w:val="5"/>
              </w:numPr>
              <w:spacing w:line="0" w:lineRule="atLeast"/>
              <w:rPr>
                <w:rFonts w:hint="eastAsia" w:ascii="宋体" w:hAnsi="宋体" w:cs="宋体"/>
                <w:bCs/>
                <w:color w:val="000000"/>
                <w:szCs w:val="21"/>
                <w:highlight w:val="none"/>
              </w:rPr>
            </w:pPr>
            <w:r>
              <w:rPr>
                <w:rFonts w:hint="eastAsia" w:ascii="宋体" w:hAnsi="宋体" w:cs="宋体"/>
                <w:bCs/>
                <w:color w:val="000000"/>
                <w:szCs w:val="21"/>
                <w:highlight w:val="none"/>
              </w:rPr>
              <w:t>安全认证：符合《机器人安全总则》（GB/T 38244-2019）要求，须具备5项安全配置，包括：碰撞保护、紧急停止、故障自检和报警、电源保护，以及数据加密和身份验证。</w:t>
            </w:r>
          </w:p>
          <w:p w14:paraId="0B340B90">
            <w:pPr>
              <w:numPr>
                <w:ilvl w:val="0"/>
                <w:numId w:val="5"/>
              </w:numPr>
              <w:spacing w:line="0" w:lineRule="atLeast"/>
              <w:rPr>
                <w:rFonts w:hint="eastAsia" w:ascii="宋体" w:hAnsi="宋体" w:cs="宋体"/>
                <w:bCs/>
                <w:color w:val="000000"/>
                <w:szCs w:val="21"/>
              </w:rPr>
            </w:pPr>
            <w:r>
              <w:rPr>
                <w:rFonts w:hint="eastAsia" w:ascii="宋体" w:hAnsi="宋体" w:cs="宋体"/>
                <w:kern w:val="0"/>
                <w:szCs w:val="21"/>
                <w:lang w:bidi="ar"/>
              </w:rPr>
              <w:t>提供完善的技术文档、用户手册、实验指导书。</w:t>
            </w:r>
            <w:r>
              <w:rPr>
                <w:rFonts w:hint="eastAsia" w:ascii="宋体" w:hAnsi="宋体" w:cs="宋体"/>
                <w:bCs/>
                <w:color w:val="000000"/>
                <w:szCs w:val="21"/>
                <w:lang w:bidi="ar"/>
              </w:rPr>
              <w:t>提供完整的、围绕协作机器人平台的课程资源包（如PPT课件、实验项目、代码库等）</w:t>
            </w:r>
          </w:p>
          <w:p w14:paraId="36F4869C">
            <w:pPr>
              <w:numPr>
                <w:ilvl w:val="0"/>
                <w:numId w:val="5"/>
              </w:numPr>
              <w:spacing w:line="0" w:lineRule="atLeast"/>
              <w:rPr>
                <w:rFonts w:hint="eastAsia" w:ascii="宋体" w:hAnsi="宋体" w:cs="宋体"/>
                <w:bCs/>
                <w:color w:val="000000"/>
                <w:szCs w:val="21"/>
              </w:rPr>
            </w:pPr>
            <w:r>
              <w:rPr>
                <w:rFonts w:hint="eastAsia" w:ascii="宋体" w:hAnsi="宋体" w:cs="宋体"/>
                <w:kern w:val="0"/>
                <w:szCs w:val="21"/>
                <w:lang w:bidi="ar"/>
              </w:rPr>
              <w:t>提供完善的SDK（软件开发工具包）、API接口文档、驱动及示例代码。</w:t>
            </w:r>
          </w:p>
        </w:tc>
      </w:tr>
      <w:tr w14:paraId="25727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 w:type="dxa"/>
            <w:vMerge w:val="continue"/>
            <w:vAlign w:val="center"/>
          </w:tcPr>
          <w:p w14:paraId="597FC3AC">
            <w:pPr>
              <w:spacing w:line="0" w:lineRule="atLeast"/>
              <w:rPr>
                <w:rFonts w:hint="eastAsia" w:ascii="宋体" w:hAnsi="宋体" w:cs="宋体"/>
                <w:bCs/>
                <w:color w:val="000000"/>
                <w:szCs w:val="21"/>
              </w:rPr>
            </w:pPr>
          </w:p>
        </w:tc>
        <w:tc>
          <w:tcPr>
            <w:tcW w:w="572" w:type="dxa"/>
            <w:vMerge w:val="continue"/>
            <w:vAlign w:val="center"/>
          </w:tcPr>
          <w:p w14:paraId="507A722E">
            <w:pPr>
              <w:spacing w:line="0" w:lineRule="atLeast"/>
              <w:rPr>
                <w:rFonts w:hint="eastAsia" w:ascii="宋体" w:hAnsi="宋体" w:cs="宋体"/>
                <w:bCs/>
                <w:color w:val="000000"/>
                <w:szCs w:val="21"/>
              </w:rPr>
            </w:pPr>
          </w:p>
        </w:tc>
        <w:tc>
          <w:tcPr>
            <w:tcW w:w="566" w:type="dxa"/>
            <w:vMerge w:val="continue"/>
            <w:textDirection w:val="tbLrV"/>
            <w:vAlign w:val="center"/>
          </w:tcPr>
          <w:p w14:paraId="0051380E">
            <w:pPr>
              <w:ind w:left="113" w:right="113"/>
              <w:jc w:val="center"/>
              <w:rPr>
                <w:rFonts w:hint="eastAsia" w:ascii="宋体" w:hAnsi="宋体" w:cs="宋体"/>
                <w:bCs/>
                <w:color w:val="000000"/>
                <w:szCs w:val="21"/>
              </w:rPr>
            </w:pPr>
          </w:p>
        </w:tc>
        <w:tc>
          <w:tcPr>
            <w:tcW w:w="702" w:type="dxa"/>
            <w:textDirection w:val="tbLrV"/>
            <w:vAlign w:val="center"/>
          </w:tcPr>
          <w:p w14:paraId="4F25FFEF">
            <w:pPr>
              <w:spacing w:line="0" w:lineRule="atLeast"/>
              <w:ind w:left="113" w:right="113"/>
              <w:jc w:val="center"/>
              <w:rPr>
                <w:rFonts w:hint="eastAsia" w:ascii="宋体" w:hAnsi="宋体" w:cs="宋体"/>
                <w:bCs/>
                <w:color w:val="000000"/>
                <w:szCs w:val="21"/>
              </w:rPr>
            </w:pPr>
            <w:r>
              <w:rPr>
                <w:rFonts w:hint="eastAsia" w:ascii="宋体" w:hAnsi="宋体" w:cs="宋体"/>
                <w:bCs/>
                <w:color w:val="000000"/>
                <w:szCs w:val="21"/>
              </w:rPr>
              <w:t>数字孪生虚拟仿真平台</w:t>
            </w:r>
          </w:p>
        </w:tc>
        <w:tc>
          <w:tcPr>
            <w:tcW w:w="6205" w:type="dxa"/>
            <w:gridSpan w:val="2"/>
            <w:vAlign w:val="center"/>
          </w:tcPr>
          <w:p w14:paraId="1A0FDA63">
            <w:pPr>
              <w:spacing w:line="0" w:lineRule="atLeast"/>
              <w:rPr>
                <w:rFonts w:hint="eastAsia" w:ascii="宋体" w:hAnsi="宋体" w:cs="宋体"/>
                <w:bCs/>
                <w:color w:val="000000"/>
                <w:szCs w:val="21"/>
              </w:rPr>
            </w:pPr>
            <w:r>
              <w:rPr>
                <w:rFonts w:hint="eastAsia" w:ascii="宋体" w:hAnsi="宋体" w:cs="宋体"/>
                <w:bCs/>
                <w:color w:val="000000"/>
                <w:szCs w:val="21"/>
              </w:rPr>
              <w:t>1、软件基础功能</w:t>
            </w:r>
          </w:p>
          <w:p w14:paraId="1299DF24">
            <w:pPr>
              <w:spacing w:line="0" w:lineRule="atLeast"/>
              <w:rPr>
                <w:rFonts w:hint="eastAsia" w:ascii="宋体" w:hAnsi="宋体" w:cs="宋体"/>
                <w:bCs/>
                <w:color w:val="000000"/>
                <w:szCs w:val="21"/>
              </w:rPr>
            </w:pPr>
            <w:r>
              <w:rPr>
                <w:rFonts w:hint="eastAsia" w:ascii="宋体" w:hAnsi="宋体" w:cs="宋体"/>
                <w:bCs/>
                <w:color w:val="000000"/>
                <w:szCs w:val="21"/>
              </w:rPr>
              <w:t>（1）基于3D的智能制造仿真平台，软件具有机械设计、电路仿真、模拟控制、虚拟仿真、以及系统集成仿真的综合软件平台；</w:t>
            </w:r>
          </w:p>
          <w:p w14:paraId="5C068DD6">
            <w:pPr>
              <w:spacing w:line="0" w:lineRule="atLeast"/>
              <w:rPr>
                <w:rFonts w:hint="eastAsia" w:ascii="宋体" w:hAnsi="宋体" w:cs="宋体"/>
                <w:bCs/>
                <w:color w:val="000000"/>
                <w:szCs w:val="21"/>
              </w:rPr>
            </w:pPr>
            <w:r>
              <w:rPr>
                <w:rFonts w:hint="eastAsia" w:ascii="宋体" w:hAnsi="宋体" w:cs="宋体"/>
                <w:bCs/>
                <w:color w:val="000000"/>
                <w:szCs w:val="21"/>
              </w:rPr>
              <w:t>（2）软件具有较好的交互性和兼容性，能够根据电脑性能，设置画面的高、中、低显示画面质量，支持中文、英文切换；（提供原厂盖章软件功能截屏证明）</w:t>
            </w:r>
          </w:p>
          <w:p w14:paraId="1936E9A4">
            <w:pPr>
              <w:spacing w:line="0" w:lineRule="atLeast"/>
              <w:rPr>
                <w:rFonts w:hint="eastAsia" w:ascii="宋体" w:hAnsi="宋体" w:cs="宋体"/>
                <w:bCs/>
                <w:color w:val="000000"/>
                <w:szCs w:val="21"/>
              </w:rPr>
            </w:pPr>
            <w:r>
              <w:rPr>
                <w:rFonts w:hint="eastAsia" w:ascii="宋体" w:hAnsi="宋体" w:cs="宋体"/>
                <w:bCs/>
                <w:color w:val="000000"/>
                <w:szCs w:val="21"/>
              </w:rPr>
              <w:t>（3）软件具有支持鼠标拖拽操作视图功能，具有三维交互、第一人称交互、模型三视图功能，具有三维导航球；</w:t>
            </w:r>
          </w:p>
          <w:p w14:paraId="519C25AC">
            <w:pPr>
              <w:spacing w:line="0" w:lineRule="atLeast"/>
              <w:rPr>
                <w:rFonts w:hint="eastAsia" w:ascii="宋体" w:hAnsi="宋体" w:cs="宋体"/>
                <w:bCs/>
                <w:color w:val="000000"/>
                <w:szCs w:val="21"/>
              </w:rPr>
            </w:pPr>
            <w:r>
              <w:rPr>
                <w:rFonts w:hint="eastAsia" w:ascii="宋体" w:hAnsi="宋体" w:cs="宋体"/>
                <w:bCs/>
                <w:color w:val="000000"/>
                <w:szCs w:val="21"/>
              </w:rPr>
              <w:t>（4）录屏功能：软件自带截图与录屏功能，支持用户自定义录制视频，以及生成无背景的png效果图；</w:t>
            </w:r>
          </w:p>
          <w:p w14:paraId="5E8337A0">
            <w:pPr>
              <w:spacing w:line="0" w:lineRule="atLeast"/>
              <w:rPr>
                <w:rFonts w:hint="eastAsia" w:ascii="宋体" w:hAnsi="宋体" w:cs="宋体"/>
                <w:bCs/>
                <w:color w:val="000000"/>
                <w:szCs w:val="21"/>
              </w:rPr>
            </w:pPr>
            <w:r>
              <w:rPr>
                <w:rFonts w:hint="eastAsia" w:ascii="宋体" w:hAnsi="宋体" w:cs="宋体"/>
                <w:bCs/>
                <w:color w:val="000000"/>
                <w:szCs w:val="21"/>
              </w:rPr>
              <w:t>2、三维设计及仿真功能</w:t>
            </w:r>
          </w:p>
          <w:p w14:paraId="05E5702B">
            <w:pPr>
              <w:spacing w:line="0" w:lineRule="atLeast"/>
              <w:rPr>
                <w:rFonts w:hint="eastAsia" w:ascii="宋体" w:hAnsi="宋体" w:cs="宋体"/>
                <w:bCs/>
                <w:color w:val="000000"/>
                <w:szCs w:val="21"/>
              </w:rPr>
            </w:pPr>
            <w:r>
              <w:rPr>
                <w:rFonts w:hint="eastAsia" w:ascii="宋体" w:hAnsi="宋体" w:cs="宋体"/>
                <w:bCs/>
                <w:color w:val="000000"/>
                <w:szCs w:val="21"/>
              </w:rPr>
              <w:t>（1）软件具有≥300个的模型库，包含工业机器人、数控、输送带、气动等组件，每个模型支持物理特征参数设置、电气特征参数设置；</w:t>
            </w:r>
          </w:p>
          <w:p w14:paraId="33DA3FF3">
            <w:pPr>
              <w:spacing w:line="0" w:lineRule="atLeast"/>
              <w:rPr>
                <w:rFonts w:hint="eastAsia" w:ascii="宋体" w:hAnsi="宋体" w:cs="宋体"/>
                <w:bCs/>
                <w:color w:val="000000"/>
                <w:szCs w:val="21"/>
              </w:rPr>
            </w:pPr>
            <w:r>
              <w:rPr>
                <w:rFonts w:hint="eastAsia" w:ascii="Calibri" w:hAnsi="Calibri" w:cs="宋体"/>
                <w:kern w:val="0"/>
                <w:szCs w:val="21"/>
              </w:rPr>
              <w:t>★</w:t>
            </w:r>
            <w:r>
              <w:rPr>
                <w:rFonts w:hint="eastAsia" w:ascii="宋体" w:hAnsi="宋体" w:cs="宋体"/>
                <w:bCs/>
                <w:color w:val="000000"/>
                <w:szCs w:val="21"/>
              </w:rPr>
              <w:t>（2）具有自定义模型库，自持自定义命名和排列，支持导入自定义模型，STP、STEP、IGS、IGES、FBX模型导入编辑，模型的一键简化功能，对模型的尺寸、中心点、材质、模型树修改、用户自定义贴图纹理功能；（提供软件功能截屏证明）</w:t>
            </w:r>
          </w:p>
          <w:p w14:paraId="60433607">
            <w:pPr>
              <w:spacing w:line="0" w:lineRule="atLeast"/>
              <w:rPr>
                <w:rFonts w:hint="eastAsia" w:ascii="宋体" w:hAnsi="宋体" w:cs="宋体"/>
                <w:bCs/>
                <w:color w:val="000000"/>
                <w:szCs w:val="21"/>
              </w:rPr>
            </w:pPr>
            <w:r>
              <w:rPr>
                <w:rFonts w:hint="eastAsia" w:ascii="宋体" w:hAnsi="宋体" w:cs="宋体"/>
                <w:bCs/>
                <w:color w:val="000000"/>
                <w:szCs w:val="21"/>
              </w:rPr>
              <w:t>3、虚拟电气电路仿真功能</w:t>
            </w:r>
          </w:p>
          <w:p w14:paraId="417294AB">
            <w:pPr>
              <w:spacing w:line="0" w:lineRule="atLeast"/>
              <w:rPr>
                <w:rFonts w:hint="eastAsia" w:ascii="宋体" w:hAnsi="宋体" w:cs="宋体"/>
                <w:bCs/>
                <w:color w:val="000000"/>
                <w:szCs w:val="21"/>
              </w:rPr>
            </w:pPr>
            <w:r>
              <w:rPr>
                <w:rFonts w:hint="eastAsia" w:ascii="宋体" w:hAnsi="宋体" w:cs="宋体"/>
                <w:bCs/>
                <w:color w:val="000000"/>
                <w:szCs w:val="21"/>
              </w:rPr>
              <w:t>（1）软件可自定义添加多款PLC、工业机器人、嵌入式、运动控制器、数控、机器视觉等虚拟控制器，并配置有拖拽式电气配线面板，可自定义配置控制接口，并能够导出电气Excel配线表；</w:t>
            </w:r>
          </w:p>
          <w:p w14:paraId="7907AC5F">
            <w:pPr>
              <w:spacing w:line="0" w:lineRule="atLeast"/>
              <w:rPr>
                <w:rFonts w:hint="eastAsia" w:ascii="宋体" w:hAnsi="宋体" w:cs="宋体"/>
                <w:bCs/>
                <w:color w:val="000000"/>
                <w:szCs w:val="21"/>
              </w:rPr>
            </w:pPr>
            <w:r>
              <w:rPr>
                <w:rFonts w:hint="eastAsia" w:ascii="Calibri" w:hAnsi="Calibri" w:cs="宋体"/>
                <w:kern w:val="0"/>
                <w:szCs w:val="21"/>
              </w:rPr>
              <w:t>★</w:t>
            </w:r>
            <w:r>
              <w:rPr>
                <w:rFonts w:hint="eastAsia" w:ascii="宋体" w:hAnsi="宋体" w:cs="宋体"/>
                <w:bCs/>
                <w:color w:val="000000"/>
                <w:szCs w:val="21"/>
              </w:rPr>
              <w:t>（2）虚拟传感器仿真：软件中具有温湿度、光照度、噪音、大气压力、风速风向传感器模型，并能够设置随机数传感数据，支持PLC通讯控制以及modbus-tcp通讯数据采集；（提供软件功能截屏证明）</w:t>
            </w:r>
          </w:p>
          <w:p w14:paraId="67F45050">
            <w:pPr>
              <w:spacing w:line="0" w:lineRule="atLeast"/>
              <w:rPr>
                <w:rFonts w:hint="eastAsia" w:ascii="宋体" w:hAnsi="宋体" w:cs="宋体"/>
                <w:bCs/>
                <w:color w:val="000000"/>
                <w:szCs w:val="21"/>
              </w:rPr>
            </w:pPr>
            <w:r>
              <w:rPr>
                <w:rFonts w:hint="eastAsia" w:ascii="宋体" w:hAnsi="宋体" w:cs="宋体"/>
                <w:bCs/>
                <w:color w:val="000000"/>
                <w:szCs w:val="21"/>
              </w:rPr>
              <w:t>4、工业机器人示教与编程</w:t>
            </w:r>
          </w:p>
          <w:p w14:paraId="3A71E034">
            <w:pPr>
              <w:spacing w:line="0" w:lineRule="atLeast"/>
              <w:rPr>
                <w:rFonts w:hint="eastAsia" w:ascii="宋体" w:hAnsi="宋体" w:cs="宋体"/>
                <w:bCs/>
                <w:color w:val="000000"/>
                <w:szCs w:val="21"/>
              </w:rPr>
            </w:pPr>
            <w:r>
              <w:rPr>
                <w:rFonts w:hint="eastAsia" w:ascii="宋体" w:hAnsi="宋体" w:cs="宋体"/>
                <w:bCs/>
                <w:color w:val="000000"/>
                <w:szCs w:val="21"/>
              </w:rPr>
              <w:t>（1）软件能够接入≥5款工业机器人虚拟示教器，至少包含ABB、埃夫特、KEBA、纳博特等；</w:t>
            </w:r>
          </w:p>
          <w:p w14:paraId="77D4D175">
            <w:pPr>
              <w:spacing w:line="0" w:lineRule="atLeast"/>
              <w:rPr>
                <w:rFonts w:hint="eastAsia" w:ascii="宋体" w:hAnsi="宋体" w:cs="宋体"/>
                <w:bCs/>
                <w:color w:val="000000"/>
                <w:szCs w:val="21"/>
              </w:rPr>
            </w:pPr>
            <w:r>
              <w:rPr>
                <w:rFonts w:hint="eastAsia" w:ascii="Calibri" w:hAnsi="Calibri" w:cs="宋体"/>
                <w:kern w:val="0"/>
                <w:szCs w:val="21"/>
              </w:rPr>
              <w:t>★</w:t>
            </w:r>
            <w:r>
              <w:rPr>
                <w:rFonts w:hint="eastAsia" w:ascii="宋体" w:hAnsi="宋体" w:cs="宋体"/>
                <w:bCs/>
                <w:color w:val="000000"/>
                <w:szCs w:val="21"/>
              </w:rPr>
              <w:t>（2）软件内置图形化机器人示教编程软件，支持Python及Blockly编程，具有急停、手动/自动切换、IO、机器人示教等功能面板、集成SCARA、Delta、六轴串联、四轴码垛多种机器人控制，支持modbus-tcp通讯、MQTT通讯功能；（提供软件功能截屏证明）</w:t>
            </w:r>
          </w:p>
          <w:p w14:paraId="04F657C0">
            <w:pPr>
              <w:numPr>
                <w:ilvl w:val="0"/>
                <w:numId w:val="6"/>
              </w:numPr>
              <w:spacing w:line="0" w:lineRule="atLeast"/>
              <w:rPr>
                <w:rFonts w:hint="eastAsia" w:ascii="宋体" w:hAnsi="宋体" w:cs="宋体"/>
                <w:bCs/>
                <w:color w:val="000000"/>
                <w:szCs w:val="21"/>
              </w:rPr>
            </w:pPr>
            <w:r>
              <w:rPr>
                <w:rFonts w:hint="eastAsia" w:ascii="宋体" w:hAnsi="宋体" w:cs="宋体"/>
                <w:bCs/>
                <w:color w:val="000000"/>
                <w:szCs w:val="21"/>
              </w:rPr>
              <w:t>软件支持≥2款协作型工业机器人虚拟示教编程，且能够实现协作机器人的虚拟示教、虚实互动的仿真功能；</w:t>
            </w:r>
          </w:p>
          <w:p w14:paraId="14783E73">
            <w:pPr>
              <w:spacing w:line="0" w:lineRule="atLeast"/>
              <w:rPr>
                <w:rFonts w:hint="eastAsia" w:ascii="宋体" w:hAnsi="宋体" w:cs="宋体"/>
                <w:bCs/>
                <w:color w:val="000000"/>
                <w:szCs w:val="21"/>
              </w:rPr>
            </w:pPr>
            <w:r>
              <w:rPr>
                <w:rFonts w:hint="eastAsia" w:ascii="宋体" w:hAnsi="宋体" w:cs="宋体"/>
                <w:bCs/>
                <w:color w:val="000000"/>
                <w:szCs w:val="21"/>
              </w:rPr>
              <w:t>5、数控加工与仿真功能</w:t>
            </w:r>
          </w:p>
          <w:p w14:paraId="279A1424">
            <w:pPr>
              <w:spacing w:line="0" w:lineRule="atLeast"/>
              <w:rPr>
                <w:rFonts w:hint="eastAsia" w:ascii="宋体" w:hAnsi="宋体" w:cs="宋体"/>
                <w:bCs/>
                <w:color w:val="000000"/>
                <w:szCs w:val="21"/>
              </w:rPr>
            </w:pPr>
            <w:r>
              <w:rPr>
                <w:rFonts w:hint="eastAsia" w:ascii="Calibri" w:hAnsi="Calibri" w:cs="宋体"/>
                <w:kern w:val="0"/>
                <w:szCs w:val="21"/>
              </w:rPr>
              <w:t>★</w:t>
            </w:r>
            <w:r>
              <w:rPr>
                <w:rFonts w:hint="eastAsia" w:ascii="宋体" w:hAnsi="宋体" w:cs="宋体"/>
                <w:bCs/>
                <w:color w:val="000000"/>
                <w:szCs w:val="21"/>
              </w:rPr>
              <w:t>（1）软件中具有数控铣床、数控车床仿真，具有虚拟数控面板、支持数控刀具设置、具有毛坯设置、配置G代码运行器，支持modbus-tcp数据采集，能够与工业机器人完成数控机床上下料加工自动化仿真；（提供软件功能截屏证明）</w:t>
            </w:r>
          </w:p>
          <w:p w14:paraId="0ECD1F6D">
            <w:pPr>
              <w:spacing w:line="0" w:lineRule="atLeast"/>
              <w:rPr>
                <w:rFonts w:hint="eastAsia" w:ascii="宋体" w:hAnsi="宋体" w:cs="宋体"/>
                <w:bCs/>
                <w:color w:val="000000"/>
                <w:szCs w:val="21"/>
              </w:rPr>
            </w:pPr>
            <w:r>
              <w:rPr>
                <w:rFonts w:hint="eastAsia" w:ascii="宋体" w:hAnsi="宋体" w:cs="宋体"/>
                <w:bCs/>
                <w:color w:val="000000"/>
                <w:szCs w:val="21"/>
              </w:rPr>
              <w:t>（2）数控机床可实现数控切削加工、内置自定义刀库、支持用户自定义刀具配置，加工中支持G代码控制换刀；</w:t>
            </w:r>
          </w:p>
          <w:p w14:paraId="737AE8A2">
            <w:pPr>
              <w:spacing w:line="0" w:lineRule="atLeast"/>
              <w:rPr>
                <w:rFonts w:hint="eastAsia" w:ascii="宋体" w:hAnsi="宋体" w:cs="宋体"/>
                <w:bCs/>
                <w:color w:val="000000"/>
                <w:szCs w:val="21"/>
              </w:rPr>
            </w:pPr>
            <w:r>
              <w:rPr>
                <w:rFonts w:hint="eastAsia" w:ascii="宋体" w:hAnsi="宋体" w:cs="宋体"/>
                <w:bCs/>
                <w:color w:val="000000"/>
                <w:szCs w:val="21"/>
              </w:rPr>
              <w:t>6、机器视觉仿真功能</w:t>
            </w:r>
          </w:p>
          <w:p w14:paraId="359566B4">
            <w:pPr>
              <w:spacing w:line="0" w:lineRule="atLeast"/>
              <w:rPr>
                <w:rFonts w:hint="eastAsia" w:ascii="宋体" w:hAnsi="宋体" w:cs="宋体"/>
                <w:bCs/>
                <w:color w:val="000000"/>
                <w:szCs w:val="21"/>
              </w:rPr>
            </w:pPr>
            <w:r>
              <w:rPr>
                <w:rFonts w:hint="eastAsia" w:ascii="宋体" w:hAnsi="宋体" w:cs="宋体"/>
                <w:bCs/>
                <w:color w:val="000000"/>
                <w:szCs w:val="21"/>
              </w:rPr>
              <w:t>（1）支持机器视觉仿真功能，内置单目、双目、调焦等多种视觉控件，能够实现虚拟工厂视觉检测仿真；</w:t>
            </w:r>
          </w:p>
          <w:p w14:paraId="2FCF35E3">
            <w:pPr>
              <w:spacing w:line="0" w:lineRule="atLeast"/>
              <w:rPr>
                <w:rFonts w:hint="eastAsia" w:ascii="宋体" w:hAnsi="宋体" w:cs="宋体"/>
                <w:bCs/>
                <w:color w:val="000000"/>
                <w:szCs w:val="21"/>
              </w:rPr>
            </w:pPr>
            <w:r>
              <w:rPr>
                <w:rFonts w:hint="eastAsia" w:ascii="宋体" w:hAnsi="宋体" w:cs="宋体"/>
                <w:bCs/>
                <w:color w:val="000000"/>
                <w:szCs w:val="21"/>
              </w:rPr>
              <w:t>（2）配置基于OpenCV的虚拟视觉组态编程软件，具有流程图拖拽式编程，具有图像处理、二维码、文字识别、形状识别、图像标定、通讯管理功能块，能够实现虚拟视觉的编程与控制仿真；</w:t>
            </w:r>
          </w:p>
          <w:p w14:paraId="03FB2837">
            <w:pPr>
              <w:spacing w:line="0" w:lineRule="atLeast"/>
              <w:rPr>
                <w:rFonts w:hint="eastAsia" w:ascii="宋体" w:hAnsi="宋体" w:cs="宋体"/>
                <w:bCs/>
                <w:color w:val="000000"/>
                <w:szCs w:val="21"/>
              </w:rPr>
            </w:pPr>
            <w:r>
              <w:rPr>
                <w:rFonts w:hint="eastAsia" w:ascii="宋体" w:hAnsi="宋体" w:cs="宋体"/>
                <w:bCs/>
                <w:color w:val="000000"/>
                <w:szCs w:val="21"/>
              </w:rPr>
              <w:t>（3）虚拟视觉控制器：配置虚拟机器视觉运动控制软件，支持Basic语言及梯形图编程，具有视觉检测以及PLC运动控制功能，软件种内置虚拟HMI组态触摸屏功能，虚拟示波器功能；（提供软件功能截屏证明）</w:t>
            </w:r>
          </w:p>
        </w:tc>
      </w:tr>
      <w:tr w14:paraId="4A0D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477" w:type="dxa"/>
            <w:vMerge w:val="continue"/>
            <w:vAlign w:val="center"/>
          </w:tcPr>
          <w:p w14:paraId="13F4606A">
            <w:pPr>
              <w:spacing w:line="0" w:lineRule="atLeast"/>
              <w:rPr>
                <w:rFonts w:hint="eastAsia" w:ascii="宋体" w:hAnsi="宋体" w:cs="宋体"/>
                <w:bCs/>
                <w:color w:val="000000"/>
                <w:szCs w:val="21"/>
              </w:rPr>
            </w:pPr>
          </w:p>
        </w:tc>
        <w:tc>
          <w:tcPr>
            <w:tcW w:w="572" w:type="dxa"/>
            <w:vMerge w:val="continue"/>
            <w:vAlign w:val="center"/>
          </w:tcPr>
          <w:p w14:paraId="2CCBDCD7">
            <w:pPr>
              <w:spacing w:line="0" w:lineRule="atLeast"/>
              <w:rPr>
                <w:rFonts w:hint="eastAsia" w:ascii="宋体" w:hAnsi="宋体" w:cs="宋体"/>
                <w:bCs/>
                <w:color w:val="000000"/>
                <w:szCs w:val="21"/>
              </w:rPr>
            </w:pPr>
          </w:p>
        </w:tc>
        <w:tc>
          <w:tcPr>
            <w:tcW w:w="566" w:type="dxa"/>
            <w:vMerge w:val="restart"/>
            <w:textDirection w:val="tbLrV"/>
            <w:vAlign w:val="center"/>
          </w:tcPr>
          <w:p w14:paraId="2E8A9077">
            <w:pPr>
              <w:ind w:left="113" w:right="113"/>
              <w:jc w:val="center"/>
              <w:rPr>
                <w:rFonts w:hint="eastAsia" w:ascii="宋体" w:hAnsi="宋体" w:cs="宋体"/>
                <w:bCs/>
                <w:color w:val="000000"/>
                <w:szCs w:val="21"/>
              </w:rPr>
            </w:pPr>
            <w:r>
              <w:rPr>
                <w:rFonts w:hint="eastAsia" w:ascii="宋体" w:hAnsi="宋体" w:cs="宋体"/>
                <w:bCs/>
                <w:color w:val="000000"/>
                <w:szCs w:val="21"/>
              </w:rPr>
              <w:t>技术指标</w:t>
            </w:r>
          </w:p>
        </w:tc>
        <w:tc>
          <w:tcPr>
            <w:tcW w:w="702" w:type="dxa"/>
            <w:vMerge w:val="restart"/>
            <w:textDirection w:val="tbLrV"/>
            <w:vAlign w:val="center"/>
          </w:tcPr>
          <w:p w14:paraId="3336F1BC">
            <w:pPr>
              <w:spacing w:line="0" w:lineRule="atLeast"/>
              <w:ind w:left="113" w:right="113"/>
              <w:jc w:val="center"/>
              <w:rPr>
                <w:rFonts w:hint="eastAsia" w:ascii="宋体" w:hAnsi="宋体" w:cs="宋体"/>
                <w:bCs/>
                <w:color w:val="000000"/>
                <w:szCs w:val="21"/>
              </w:rPr>
            </w:pPr>
            <w:r>
              <w:rPr>
                <w:rFonts w:hint="eastAsia" w:ascii="宋体" w:hAnsi="宋体" w:cs="宋体"/>
                <w:bCs/>
                <w:color w:val="000000"/>
                <w:szCs w:val="21"/>
              </w:rPr>
              <w:t>协作机器人</w:t>
            </w:r>
          </w:p>
        </w:tc>
        <w:tc>
          <w:tcPr>
            <w:tcW w:w="674" w:type="dxa"/>
            <w:textDirection w:val="tbLrV"/>
            <w:vAlign w:val="center"/>
          </w:tcPr>
          <w:p w14:paraId="33A6822F">
            <w:pPr>
              <w:spacing w:line="0" w:lineRule="atLeast"/>
              <w:ind w:left="113" w:right="113"/>
              <w:rPr>
                <w:rFonts w:hint="eastAsia" w:ascii="宋体" w:hAnsi="宋体" w:cs="宋体"/>
                <w:bCs/>
                <w:color w:val="000000"/>
                <w:szCs w:val="21"/>
              </w:rPr>
            </w:pPr>
            <w:r>
              <w:rPr>
                <w:rFonts w:hint="eastAsia" w:ascii="宋体" w:hAnsi="宋体" w:cs="宋体"/>
                <w:bCs/>
                <w:color w:val="000000"/>
                <w:szCs w:val="21"/>
              </w:rPr>
              <w:t>协作机器人系统</w:t>
            </w:r>
          </w:p>
        </w:tc>
        <w:tc>
          <w:tcPr>
            <w:tcW w:w="5531" w:type="dxa"/>
            <w:vAlign w:val="center"/>
          </w:tcPr>
          <w:p w14:paraId="0C76A6FF">
            <w:pPr>
              <w:spacing w:line="0" w:lineRule="atLeast"/>
              <w:rPr>
                <w:rFonts w:hint="eastAsia" w:ascii="宋体" w:hAnsi="宋体" w:cs="宋体"/>
                <w:bCs/>
                <w:color w:val="000000"/>
                <w:szCs w:val="21"/>
              </w:rPr>
            </w:pPr>
            <w:r>
              <w:rPr>
                <w:rFonts w:hint="eastAsia" w:ascii="宋体" w:hAnsi="宋体" w:cs="宋体"/>
                <w:bCs/>
                <w:color w:val="000000"/>
                <w:szCs w:val="21"/>
              </w:rPr>
              <w:t>1.有效负载：≥5kg；</w:t>
            </w:r>
          </w:p>
          <w:p w14:paraId="27A2BA5A">
            <w:pPr>
              <w:spacing w:line="0" w:lineRule="atLeast"/>
              <w:rPr>
                <w:rFonts w:hint="eastAsia" w:ascii="宋体" w:hAnsi="宋体" w:cs="宋体"/>
                <w:bCs/>
                <w:color w:val="000000"/>
                <w:szCs w:val="21"/>
              </w:rPr>
            </w:pPr>
            <w:r>
              <w:rPr>
                <w:rFonts w:hint="eastAsia" w:ascii="宋体" w:hAnsi="宋体" w:cs="宋体"/>
                <w:bCs/>
                <w:color w:val="000000"/>
                <w:szCs w:val="21"/>
              </w:rPr>
              <w:t>2.有效工作半径：≥900mm；</w:t>
            </w:r>
          </w:p>
          <w:p w14:paraId="35D5B48B">
            <w:pPr>
              <w:spacing w:line="0" w:lineRule="atLeast"/>
              <w:rPr>
                <w:rFonts w:hint="eastAsia" w:ascii="宋体" w:hAnsi="宋体" w:cs="宋体"/>
                <w:bCs/>
                <w:color w:val="000000"/>
                <w:szCs w:val="21"/>
              </w:rPr>
            </w:pPr>
            <w:r>
              <w:rPr>
                <w:rFonts w:hint="eastAsia" w:ascii="宋体" w:hAnsi="宋体" w:cs="宋体"/>
                <w:bCs/>
                <w:color w:val="000000"/>
                <w:szCs w:val="21"/>
              </w:rPr>
              <w:t>3.自重：≤20.4kg；</w:t>
            </w:r>
          </w:p>
          <w:p w14:paraId="7288B361">
            <w:pPr>
              <w:spacing w:line="0" w:lineRule="atLeast"/>
              <w:rPr>
                <w:rFonts w:hint="eastAsia" w:ascii="宋体" w:hAnsi="宋体" w:cs="宋体"/>
                <w:bCs/>
                <w:color w:val="000000"/>
                <w:szCs w:val="21"/>
              </w:rPr>
            </w:pPr>
            <w:r>
              <w:rPr>
                <w:rFonts w:hint="eastAsia" w:ascii="宋体" w:hAnsi="宋体" w:cs="宋体"/>
                <w:bCs/>
                <w:color w:val="000000"/>
                <w:szCs w:val="21"/>
              </w:rPr>
              <w:t>4.速度：关节最大速度≥ 180°/s，工具端平均速度：≥ 2.5m/s；</w:t>
            </w:r>
          </w:p>
          <w:p w14:paraId="41455240">
            <w:pPr>
              <w:spacing w:line="0" w:lineRule="atLeast"/>
              <w:rPr>
                <w:rFonts w:hint="eastAsia" w:ascii="宋体" w:hAnsi="宋体" w:cs="宋体"/>
                <w:bCs/>
                <w:color w:val="000000"/>
                <w:szCs w:val="21"/>
              </w:rPr>
            </w:pPr>
            <w:r>
              <w:rPr>
                <w:rFonts w:hint="eastAsia" w:ascii="Calibri" w:hAnsi="Calibri" w:cs="宋体"/>
                <w:kern w:val="0"/>
                <w:szCs w:val="21"/>
              </w:rPr>
              <w:t>★</w:t>
            </w:r>
            <w:r>
              <w:rPr>
                <w:rFonts w:hint="eastAsia" w:ascii="宋体" w:hAnsi="宋体" w:cs="宋体"/>
                <w:bCs/>
                <w:color w:val="000000"/>
                <w:szCs w:val="21"/>
              </w:rPr>
              <w:t>5.可重复定位精度：≤±0.02mm；绝对定位精度：＜1.8mm</w:t>
            </w:r>
          </w:p>
          <w:p w14:paraId="27327367">
            <w:pPr>
              <w:spacing w:line="0" w:lineRule="atLeast"/>
              <w:rPr>
                <w:rFonts w:hint="eastAsia" w:ascii="宋体" w:hAnsi="宋体" w:cs="宋体"/>
                <w:bCs/>
                <w:color w:val="000000"/>
                <w:szCs w:val="21"/>
              </w:rPr>
            </w:pPr>
            <w:r>
              <w:rPr>
                <w:rFonts w:hint="eastAsia" w:ascii="宋体" w:hAnsi="宋体" w:cs="宋体"/>
                <w:bCs/>
                <w:color w:val="000000"/>
                <w:szCs w:val="21"/>
              </w:rPr>
              <w:t>6.可检测最小碰撞力：≤30N；</w:t>
            </w:r>
          </w:p>
          <w:p w14:paraId="645E535B">
            <w:pPr>
              <w:spacing w:line="0" w:lineRule="atLeast"/>
              <w:rPr>
                <w:rFonts w:hint="eastAsia" w:ascii="宋体" w:hAnsi="宋体" w:cs="宋体"/>
                <w:bCs/>
                <w:color w:val="000000"/>
                <w:szCs w:val="21"/>
              </w:rPr>
            </w:pPr>
            <w:r>
              <w:rPr>
                <w:rFonts w:hint="eastAsia" w:ascii="宋体" w:hAnsi="宋体" w:cs="宋体"/>
                <w:bCs/>
                <w:color w:val="000000"/>
                <w:szCs w:val="21"/>
              </w:rPr>
              <w:t>7.碰撞后响应延长时间：≤ 0.1s；</w:t>
            </w:r>
          </w:p>
          <w:p w14:paraId="4E41A34F">
            <w:pPr>
              <w:spacing w:line="0" w:lineRule="atLeast"/>
              <w:rPr>
                <w:rFonts w:hint="eastAsia" w:ascii="宋体" w:hAnsi="宋体" w:cs="宋体"/>
                <w:bCs/>
                <w:color w:val="000000"/>
                <w:szCs w:val="21"/>
              </w:rPr>
            </w:pPr>
            <w:r>
              <w:rPr>
                <w:rFonts w:hint="eastAsia" w:ascii="宋体" w:hAnsi="宋体" w:cs="宋体"/>
                <w:bCs/>
                <w:color w:val="000000"/>
                <w:szCs w:val="21"/>
              </w:rPr>
              <w:t>8.自由度：6个旋转关节；</w:t>
            </w:r>
          </w:p>
          <w:p w14:paraId="5A76F576">
            <w:pPr>
              <w:spacing w:line="0" w:lineRule="atLeast"/>
              <w:rPr>
                <w:rFonts w:hint="eastAsia" w:ascii="宋体" w:hAnsi="宋体" w:cs="宋体"/>
                <w:bCs/>
                <w:color w:val="000000"/>
                <w:szCs w:val="21"/>
              </w:rPr>
            </w:pPr>
            <w:r>
              <w:rPr>
                <w:rFonts w:hint="eastAsia" w:ascii="宋体" w:hAnsi="宋体" w:cs="宋体"/>
                <w:bCs/>
                <w:color w:val="000000"/>
                <w:szCs w:val="21"/>
              </w:rPr>
              <w:t>9.支持通信协议：TCP/IP 100Mbit,ModbusTCP，485通信。</w:t>
            </w:r>
          </w:p>
        </w:tc>
      </w:tr>
      <w:tr w14:paraId="6D34B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 w:type="dxa"/>
            <w:vMerge w:val="continue"/>
            <w:vAlign w:val="center"/>
          </w:tcPr>
          <w:p w14:paraId="13646EB5">
            <w:pPr>
              <w:spacing w:line="0" w:lineRule="atLeast"/>
              <w:rPr>
                <w:rFonts w:hint="eastAsia" w:ascii="宋体" w:hAnsi="宋体" w:cs="宋体"/>
                <w:bCs/>
                <w:color w:val="000000"/>
                <w:szCs w:val="21"/>
              </w:rPr>
            </w:pPr>
          </w:p>
        </w:tc>
        <w:tc>
          <w:tcPr>
            <w:tcW w:w="572" w:type="dxa"/>
            <w:vMerge w:val="continue"/>
            <w:vAlign w:val="center"/>
          </w:tcPr>
          <w:p w14:paraId="2293F13B">
            <w:pPr>
              <w:spacing w:line="0" w:lineRule="atLeast"/>
              <w:rPr>
                <w:rFonts w:hint="eastAsia" w:ascii="宋体" w:hAnsi="宋体" w:cs="宋体"/>
                <w:bCs/>
                <w:color w:val="000000"/>
                <w:szCs w:val="21"/>
              </w:rPr>
            </w:pPr>
          </w:p>
        </w:tc>
        <w:tc>
          <w:tcPr>
            <w:tcW w:w="566" w:type="dxa"/>
            <w:vMerge w:val="continue"/>
            <w:vAlign w:val="center"/>
          </w:tcPr>
          <w:p w14:paraId="38E600A3">
            <w:pPr>
              <w:spacing w:line="0" w:lineRule="atLeast"/>
              <w:rPr>
                <w:rFonts w:hint="eastAsia" w:ascii="宋体" w:hAnsi="宋体" w:cs="宋体"/>
                <w:bCs/>
                <w:color w:val="000000"/>
                <w:szCs w:val="21"/>
              </w:rPr>
            </w:pPr>
          </w:p>
        </w:tc>
        <w:tc>
          <w:tcPr>
            <w:tcW w:w="702" w:type="dxa"/>
            <w:vMerge w:val="continue"/>
            <w:vAlign w:val="center"/>
          </w:tcPr>
          <w:p w14:paraId="7287C531">
            <w:pPr>
              <w:spacing w:line="0" w:lineRule="atLeast"/>
              <w:rPr>
                <w:rFonts w:hint="eastAsia" w:ascii="宋体" w:hAnsi="宋体" w:cs="宋体"/>
                <w:bCs/>
                <w:color w:val="000000"/>
                <w:szCs w:val="21"/>
              </w:rPr>
            </w:pPr>
          </w:p>
        </w:tc>
        <w:tc>
          <w:tcPr>
            <w:tcW w:w="674" w:type="dxa"/>
            <w:textDirection w:val="tbLrV"/>
            <w:vAlign w:val="center"/>
          </w:tcPr>
          <w:p w14:paraId="634F0993">
            <w:pPr>
              <w:spacing w:line="0" w:lineRule="atLeast"/>
              <w:ind w:left="113" w:right="113"/>
              <w:rPr>
                <w:rFonts w:hint="eastAsia" w:ascii="宋体" w:hAnsi="宋体" w:cs="宋体"/>
                <w:bCs/>
                <w:color w:val="000000"/>
                <w:szCs w:val="21"/>
              </w:rPr>
            </w:pPr>
            <w:r>
              <w:rPr>
                <w:rFonts w:hint="eastAsia" w:ascii="宋体" w:hAnsi="宋体" w:cs="宋体"/>
                <w:bCs/>
                <w:color w:val="000000"/>
                <w:szCs w:val="21"/>
              </w:rPr>
              <w:t>机器人柔性夹爪</w:t>
            </w:r>
          </w:p>
        </w:tc>
        <w:tc>
          <w:tcPr>
            <w:tcW w:w="5531" w:type="dxa"/>
            <w:vAlign w:val="center"/>
          </w:tcPr>
          <w:p w14:paraId="3E83B842">
            <w:pPr>
              <w:spacing w:line="0" w:lineRule="atLeast"/>
              <w:rPr>
                <w:rFonts w:hint="eastAsia" w:ascii="宋体" w:hAnsi="宋体" w:cs="宋体"/>
                <w:bCs/>
                <w:color w:val="000000"/>
                <w:szCs w:val="21"/>
              </w:rPr>
            </w:pPr>
            <w:r>
              <w:rPr>
                <w:rFonts w:hint="eastAsia" w:ascii="宋体" w:hAnsi="宋体" w:cs="宋体"/>
                <w:bCs/>
                <w:color w:val="000000"/>
                <w:szCs w:val="21"/>
              </w:rPr>
              <w:t>1.行程≥50mm；</w:t>
            </w:r>
          </w:p>
          <w:p w14:paraId="7A0D4A6E">
            <w:pPr>
              <w:spacing w:line="0" w:lineRule="atLeast"/>
              <w:rPr>
                <w:rFonts w:hint="eastAsia" w:ascii="宋体" w:hAnsi="宋体" w:cs="宋体"/>
                <w:bCs/>
                <w:color w:val="000000"/>
                <w:szCs w:val="21"/>
              </w:rPr>
            </w:pPr>
            <w:r>
              <w:rPr>
                <w:rFonts w:hint="eastAsia" w:ascii="宋体" w:hAnsi="宋体" w:cs="宋体"/>
                <w:bCs/>
                <w:color w:val="000000"/>
                <w:szCs w:val="21"/>
              </w:rPr>
              <w:t>2.夹持力≥50N</w:t>
            </w:r>
          </w:p>
        </w:tc>
      </w:tr>
      <w:tr w14:paraId="4492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 w:type="dxa"/>
            <w:vMerge w:val="continue"/>
            <w:vAlign w:val="center"/>
          </w:tcPr>
          <w:p w14:paraId="71EA20E9">
            <w:pPr>
              <w:spacing w:line="0" w:lineRule="atLeast"/>
              <w:rPr>
                <w:rFonts w:hint="eastAsia" w:ascii="宋体" w:hAnsi="宋体" w:cs="宋体"/>
                <w:bCs/>
                <w:color w:val="000000"/>
                <w:szCs w:val="21"/>
              </w:rPr>
            </w:pPr>
          </w:p>
        </w:tc>
        <w:tc>
          <w:tcPr>
            <w:tcW w:w="572" w:type="dxa"/>
            <w:vMerge w:val="continue"/>
            <w:vAlign w:val="center"/>
          </w:tcPr>
          <w:p w14:paraId="7AD88CF3">
            <w:pPr>
              <w:spacing w:line="0" w:lineRule="atLeast"/>
              <w:rPr>
                <w:rFonts w:hint="eastAsia" w:ascii="宋体" w:hAnsi="宋体" w:cs="宋体"/>
                <w:bCs/>
                <w:color w:val="000000"/>
                <w:szCs w:val="21"/>
              </w:rPr>
            </w:pPr>
          </w:p>
        </w:tc>
        <w:tc>
          <w:tcPr>
            <w:tcW w:w="566" w:type="dxa"/>
            <w:vMerge w:val="continue"/>
            <w:vAlign w:val="center"/>
          </w:tcPr>
          <w:p w14:paraId="1C590801">
            <w:pPr>
              <w:spacing w:line="0" w:lineRule="atLeast"/>
              <w:rPr>
                <w:rFonts w:hint="eastAsia" w:ascii="宋体" w:hAnsi="宋体" w:cs="宋体"/>
                <w:bCs/>
                <w:color w:val="000000"/>
                <w:szCs w:val="21"/>
              </w:rPr>
            </w:pPr>
          </w:p>
        </w:tc>
        <w:tc>
          <w:tcPr>
            <w:tcW w:w="702" w:type="dxa"/>
            <w:vMerge w:val="continue"/>
            <w:vAlign w:val="center"/>
          </w:tcPr>
          <w:p w14:paraId="7C94ADA8">
            <w:pPr>
              <w:spacing w:line="0" w:lineRule="atLeast"/>
              <w:rPr>
                <w:rFonts w:hint="eastAsia" w:ascii="宋体" w:hAnsi="宋体" w:cs="宋体"/>
                <w:bCs/>
                <w:color w:val="000000"/>
                <w:szCs w:val="21"/>
              </w:rPr>
            </w:pPr>
          </w:p>
        </w:tc>
        <w:tc>
          <w:tcPr>
            <w:tcW w:w="674" w:type="dxa"/>
            <w:textDirection w:val="tbLrV"/>
            <w:vAlign w:val="center"/>
          </w:tcPr>
          <w:p w14:paraId="49BC3298">
            <w:pPr>
              <w:spacing w:line="0" w:lineRule="atLeast"/>
              <w:ind w:left="113" w:right="113"/>
              <w:rPr>
                <w:rFonts w:hint="eastAsia" w:ascii="宋体" w:hAnsi="宋体" w:cs="宋体"/>
                <w:bCs/>
                <w:color w:val="000000"/>
                <w:szCs w:val="21"/>
              </w:rPr>
            </w:pPr>
            <w:r>
              <w:rPr>
                <w:rFonts w:hint="eastAsia" w:ascii="宋体" w:hAnsi="宋体" w:cs="宋体"/>
                <w:bCs/>
                <w:color w:val="000000"/>
                <w:szCs w:val="21"/>
              </w:rPr>
              <w:t>六维力传感器</w:t>
            </w:r>
          </w:p>
        </w:tc>
        <w:tc>
          <w:tcPr>
            <w:tcW w:w="5531" w:type="dxa"/>
            <w:vAlign w:val="center"/>
          </w:tcPr>
          <w:p w14:paraId="3FAC97D6">
            <w:pPr>
              <w:spacing w:line="0" w:lineRule="atLeast"/>
              <w:rPr>
                <w:rFonts w:hint="eastAsia" w:ascii="宋体" w:hAnsi="宋体" w:cs="宋体"/>
                <w:bCs/>
                <w:color w:val="000000"/>
                <w:szCs w:val="21"/>
              </w:rPr>
            </w:pPr>
            <w:r>
              <w:rPr>
                <w:rFonts w:hint="eastAsia" w:ascii="宋体" w:hAnsi="宋体" w:cs="宋体"/>
                <w:bCs/>
                <w:color w:val="000000"/>
                <w:szCs w:val="21"/>
              </w:rPr>
              <w:t>1.量程：Fxy≥±2000N， Fz≥±400N；Mxy≥±8Nm， Mz≥±8Nm；</w:t>
            </w:r>
          </w:p>
          <w:p w14:paraId="54353EE3">
            <w:pPr>
              <w:spacing w:line="0" w:lineRule="atLeast"/>
              <w:rPr>
                <w:rFonts w:hint="eastAsia" w:ascii="宋体" w:hAnsi="宋体" w:cs="宋体"/>
                <w:bCs/>
                <w:color w:val="000000"/>
                <w:szCs w:val="21"/>
              </w:rPr>
            </w:pPr>
            <w:r>
              <w:rPr>
                <w:rFonts w:hint="eastAsia" w:ascii="宋体" w:hAnsi="宋体" w:cs="宋体"/>
                <w:bCs/>
                <w:color w:val="000000"/>
                <w:szCs w:val="21"/>
              </w:rPr>
              <w:t>2.分辨率：≥0.05%FS；</w:t>
            </w:r>
          </w:p>
          <w:p w14:paraId="0F70257D">
            <w:pPr>
              <w:spacing w:line="0" w:lineRule="atLeast"/>
              <w:rPr>
                <w:rFonts w:hint="eastAsia" w:ascii="宋体" w:hAnsi="宋体" w:cs="宋体"/>
                <w:bCs/>
                <w:color w:val="000000"/>
                <w:szCs w:val="21"/>
              </w:rPr>
            </w:pPr>
            <w:r>
              <w:rPr>
                <w:rFonts w:hint="eastAsia" w:ascii="宋体" w:hAnsi="宋体" w:cs="宋体"/>
                <w:bCs/>
                <w:color w:val="000000"/>
                <w:szCs w:val="21"/>
              </w:rPr>
              <w:t>3.过载水平：≥300%FS；</w:t>
            </w:r>
          </w:p>
          <w:p w14:paraId="6D129918">
            <w:pPr>
              <w:spacing w:line="0" w:lineRule="atLeast"/>
              <w:rPr>
                <w:rFonts w:hint="eastAsia" w:ascii="宋体" w:hAnsi="宋体" w:cs="宋体"/>
                <w:bCs/>
                <w:color w:val="000000"/>
                <w:szCs w:val="21"/>
              </w:rPr>
            </w:pPr>
            <w:r>
              <w:rPr>
                <w:rFonts w:hint="eastAsia" w:ascii="宋体" w:hAnsi="宋体" w:cs="宋体"/>
                <w:bCs/>
                <w:color w:val="000000"/>
                <w:szCs w:val="21"/>
              </w:rPr>
              <w:t>4.重复精度：≤0.2%FS；</w:t>
            </w:r>
          </w:p>
          <w:p w14:paraId="68FF2B30">
            <w:pPr>
              <w:spacing w:line="0" w:lineRule="atLeast"/>
              <w:rPr>
                <w:rFonts w:hint="eastAsia" w:ascii="宋体" w:hAnsi="宋体" w:cs="宋体"/>
                <w:bCs/>
                <w:color w:val="000000"/>
                <w:szCs w:val="21"/>
              </w:rPr>
            </w:pPr>
            <w:r>
              <w:rPr>
                <w:rFonts w:hint="eastAsia" w:ascii="宋体" w:hAnsi="宋体" w:cs="宋体"/>
                <w:bCs/>
                <w:color w:val="000000"/>
                <w:szCs w:val="21"/>
              </w:rPr>
              <w:t>5.准度：≤1.5%FS；</w:t>
            </w:r>
          </w:p>
          <w:p w14:paraId="13C1BB68">
            <w:pPr>
              <w:spacing w:line="0" w:lineRule="atLeast"/>
              <w:rPr>
                <w:rFonts w:hint="eastAsia" w:ascii="宋体" w:hAnsi="宋体" w:cs="宋体"/>
                <w:bCs/>
                <w:color w:val="000000"/>
                <w:szCs w:val="21"/>
              </w:rPr>
            </w:pPr>
            <w:r>
              <w:rPr>
                <w:rFonts w:hint="eastAsia" w:ascii="宋体" w:hAnsi="宋体" w:cs="宋体"/>
                <w:bCs/>
                <w:color w:val="000000"/>
                <w:szCs w:val="21"/>
              </w:rPr>
              <w:t>6.防护等级：IP64。</w:t>
            </w:r>
          </w:p>
        </w:tc>
      </w:tr>
      <w:tr w14:paraId="2E6A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1" w:hRule="atLeast"/>
        </w:trPr>
        <w:tc>
          <w:tcPr>
            <w:tcW w:w="477" w:type="dxa"/>
            <w:vMerge w:val="restart"/>
            <w:vAlign w:val="center"/>
          </w:tcPr>
          <w:p w14:paraId="3500643F">
            <w:pPr>
              <w:spacing w:line="0" w:lineRule="atLeast"/>
              <w:rPr>
                <w:rFonts w:hint="eastAsia" w:ascii="宋体" w:hAnsi="宋体" w:cs="宋体"/>
                <w:bCs/>
                <w:color w:val="000000"/>
                <w:szCs w:val="21"/>
              </w:rPr>
            </w:pPr>
            <w:r>
              <w:rPr>
                <w:rFonts w:hint="eastAsia" w:ascii="宋体" w:hAnsi="宋体" w:cs="宋体"/>
                <w:bCs/>
                <w:color w:val="000000"/>
                <w:szCs w:val="21"/>
              </w:rPr>
              <w:t>2</w:t>
            </w:r>
          </w:p>
        </w:tc>
        <w:tc>
          <w:tcPr>
            <w:tcW w:w="572" w:type="dxa"/>
            <w:vMerge w:val="restart"/>
            <w:vAlign w:val="center"/>
          </w:tcPr>
          <w:p w14:paraId="1CB1E10F">
            <w:pPr>
              <w:spacing w:line="0" w:lineRule="atLeast"/>
              <w:jc w:val="left"/>
              <w:rPr>
                <w:rFonts w:hint="eastAsia" w:ascii="宋体" w:hAnsi="宋体" w:cs="宋体"/>
                <w:bCs/>
                <w:color w:val="000000"/>
                <w:szCs w:val="21"/>
              </w:rPr>
            </w:pPr>
            <w:r>
              <w:rPr>
                <w:rFonts w:hint="eastAsia" w:ascii="宋体" w:hAnsi="宋体" w:cs="宋体"/>
                <w:bCs/>
                <w:color w:val="000000"/>
                <w:szCs w:val="21"/>
              </w:rPr>
              <w:t>六轴机械臂</w:t>
            </w:r>
          </w:p>
        </w:tc>
        <w:tc>
          <w:tcPr>
            <w:tcW w:w="1268" w:type="dxa"/>
            <w:gridSpan w:val="2"/>
            <w:textDirection w:val="tbLrV"/>
            <w:vAlign w:val="center"/>
          </w:tcPr>
          <w:p w14:paraId="255F54AC">
            <w:pPr>
              <w:spacing w:line="0" w:lineRule="atLeast"/>
              <w:ind w:left="113" w:right="113"/>
              <w:jc w:val="center"/>
              <w:rPr>
                <w:rFonts w:hint="eastAsia" w:ascii="宋体" w:hAnsi="宋体" w:cs="宋体"/>
                <w:bCs/>
                <w:color w:val="000000"/>
                <w:szCs w:val="21"/>
              </w:rPr>
            </w:pPr>
            <w:r>
              <w:rPr>
                <w:rFonts w:hint="eastAsia" w:ascii="宋体" w:hAnsi="宋体" w:cs="宋体"/>
                <w:bCs/>
                <w:color w:val="000000"/>
                <w:szCs w:val="21"/>
              </w:rPr>
              <w:t>功能要求</w:t>
            </w:r>
          </w:p>
        </w:tc>
        <w:tc>
          <w:tcPr>
            <w:tcW w:w="6205" w:type="dxa"/>
            <w:gridSpan w:val="2"/>
            <w:vAlign w:val="center"/>
          </w:tcPr>
          <w:p w14:paraId="6BAABE10">
            <w:pPr>
              <w:spacing w:line="0" w:lineRule="atLeast"/>
              <w:rPr>
                <w:rFonts w:hint="eastAsia" w:ascii="宋体" w:hAnsi="宋体" w:cs="宋体"/>
                <w:bCs/>
                <w:color w:val="000000"/>
                <w:szCs w:val="21"/>
              </w:rPr>
            </w:pPr>
            <w:r>
              <w:rPr>
                <w:rFonts w:hint="eastAsia" w:ascii="宋体" w:hAnsi="宋体" w:cs="宋体"/>
                <w:bCs/>
                <w:color w:val="000000"/>
                <w:szCs w:val="21"/>
              </w:rPr>
              <w:t>1.要求支持堵转保护和温度保护；</w:t>
            </w:r>
          </w:p>
          <w:p w14:paraId="1755871B">
            <w:pPr>
              <w:spacing w:line="0" w:lineRule="atLeast"/>
              <w:rPr>
                <w:rFonts w:hint="eastAsia" w:ascii="宋体" w:hAnsi="宋体" w:cs="宋体"/>
                <w:bCs/>
                <w:color w:val="000000"/>
                <w:szCs w:val="21"/>
              </w:rPr>
            </w:pPr>
            <w:r>
              <w:rPr>
                <w:rFonts w:hint="eastAsia" w:ascii="宋体" w:hAnsi="宋体" w:cs="宋体"/>
                <w:bCs/>
                <w:color w:val="000000"/>
                <w:szCs w:val="21"/>
              </w:rPr>
              <w:t>2.支持运动学结算和逆运动学结算；</w:t>
            </w:r>
          </w:p>
          <w:p w14:paraId="1827DBAA">
            <w:pPr>
              <w:spacing w:line="0" w:lineRule="atLeast"/>
              <w:rPr>
                <w:rFonts w:hint="eastAsia" w:ascii="宋体" w:hAnsi="宋体" w:cs="宋体"/>
                <w:bCs/>
                <w:color w:val="000000"/>
                <w:szCs w:val="21"/>
              </w:rPr>
            </w:pPr>
            <w:r>
              <w:rPr>
                <w:rFonts w:hint="eastAsia" w:ascii="宋体" w:hAnsi="宋体" w:cs="宋体"/>
                <w:bCs/>
                <w:color w:val="000000"/>
                <w:szCs w:val="21"/>
              </w:rPr>
              <w:t>3.支持多种传感器的扩展，传感器包括但不限于：视觉传感器、红外传感器、超声传感器、光敏传感器等，并提供相应代码；</w:t>
            </w:r>
          </w:p>
          <w:p w14:paraId="198007F6">
            <w:pPr>
              <w:spacing w:line="0" w:lineRule="atLeast"/>
              <w:rPr>
                <w:rFonts w:hint="eastAsia" w:ascii="宋体" w:hAnsi="宋体" w:cs="宋体"/>
                <w:bCs/>
                <w:color w:val="000000"/>
                <w:szCs w:val="21"/>
              </w:rPr>
            </w:pPr>
            <w:r>
              <w:rPr>
                <w:rFonts w:hint="eastAsia" w:ascii="宋体" w:hAnsi="宋体" w:cs="宋体"/>
                <w:bCs/>
                <w:color w:val="000000"/>
                <w:szCs w:val="21"/>
              </w:rPr>
              <w:t>4.丰富的代码库资源、电子文档资源和视频资源；</w:t>
            </w:r>
          </w:p>
          <w:p w14:paraId="665923D7">
            <w:pPr>
              <w:spacing w:line="0" w:lineRule="atLeast"/>
              <w:rPr>
                <w:rFonts w:hint="eastAsia" w:ascii="宋体" w:hAnsi="宋体" w:cs="宋体"/>
                <w:bCs/>
                <w:color w:val="000000"/>
                <w:szCs w:val="21"/>
              </w:rPr>
            </w:pPr>
            <w:r>
              <w:rPr>
                <w:rFonts w:hint="eastAsia" w:ascii="宋体" w:hAnsi="宋体" w:cs="宋体"/>
                <w:bCs/>
                <w:color w:val="000000"/>
                <w:szCs w:val="21"/>
              </w:rPr>
              <w:t>5.机械臂至少包括夹爪、气动吸盘末端结构；</w:t>
            </w:r>
          </w:p>
          <w:p w14:paraId="71415397">
            <w:pPr>
              <w:spacing w:line="0" w:lineRule="atLeast"/>
              <w:rPr>
                <w:rFonts w:hint="eastAsia" w:ascii="宋体" w:hAnsi="宋体" w:cs="宋体"/>
                <w:bCs/>
                <w:color w:val="000000"/>
                <w:szCs w:val="21"/>
              </w:rPr>
            </w:pPr>
            <w:r>
              <w:rPr>
                <w:rFonts w:hint="eastAsia" w:ascii="宋体" w:hAnsi="宋体" w:cs="宋体"/>
                <w:bCs/>
                <w:color w:val="000000"/>
                <w:szCs w:val="21"/>
              </w:rPr>
              <w:t>6.至少支持手柄、手机操控方式。</w:t>
            </w:r>
          </w:p>
        </w:tc>
      </w:tr>
      <w:tr w14:paraId="4F000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477" w:type="dxa"/>
            <w:vMerge w:val="continue"/>
            <w:vAlign w:val="center"/>
          </w:tcPr>
          <w:p w14:paraId="668F1FDE">
            <w:pPr>
              <w:spacing w:line="0" w:lineRule="atLeast"/>
              <w:rPr>
                <w:rFonts w:hint="eastAsia" w:ascii="宋体" w:hAnsi="宋体" w:cs="宋体"/>
                <w:bCs/>
                <w:color w:val="000000"/>
                <w:szCs w:val="21"/>
              </w:rPr>
            </w:pPr>
          </w:p>
        </w:tc>
        <w:tc>
          <w:tcPr>
            <w:tcW w:w="572" w:type="dxa"/>
            <w:vMerge w:val="continue"/>
            <w:vAlign w:val="center"/>
          </w:tcPr>
          <w:p w14:paraId="414D0AE2">
            <w:pPr>
              <w:spacing w:line="0" w:lineRule="atLeast"/>
              <w:rPr>
                <w:rFonts w:hint="eastAsia" w:ascii="宋体" w:hAnsi="宋体" w:cs="宋体"/>
                <w:bCs/>
                <w:color w:val="000000"/>
                <w:szCs w:val="21"/>
              </w:rPr>
            </w:pPr>
          </w:p>
        </w:tc>
        <w:tc>
          <w:tcPr>
            <w:tcW w:w="566" w:type="dxa"/>
            <w:vMerge w:val="restart"/>
            <w:textDirection w:val="tbLrV"/>
            <w:vAlign w:val="center"/>
          </w:tcPr>
          <w:p w14:paraId="11433652">
            <w:pPr>
              <w:spacing w:line="0" w:lineRule="atLeast"/>
              <w:ind w:left="113" w:right="113"/>
              <w:jc w:val="center"/>
              <w:rPr>
                <w:rFonts w:hint="eastAsia" w:ascii="宋体" w:hAnsi="宋体" w:cs="宋体"/>
                <w:bCs/>
                <w:color w:val="000000"/>
                <w:szCs w:val="21"/>
              </w:rPr>
            </w:pPr>
            <w:r>
              <w:rPr>
                <w:rFonts w:hint="eastAsia" w:ascii="宋体" w:hAnsi="宋体" w:cs="宋体"/>
                <w:bCs/>
                <w:color w:val="000000"/>
                <w:szCs w:val="21"/>
              </w:rPr>
              <w:t>技术参数</w:t>
            </w:r>
          </w:p>
        </w:tc>
        <w:tc>
          <w:tcPr>
            <w:tcW w:w="702" w:type="dxa"/>
            <w:textDirection w:val="tbLrV"/>
            <w:vAlign w:val="center"/>
          </w:tcPr>
          <w:p w14:paraId="4FA5B037">
            <w:pPr>
              <w:spacing w:line="0" w:lineRule="atLeast"/>
              <w:ind w:left="113" w:right="113"/>
              <w:jc w:val="center"/>
              <w:rPr>
                <w:rFonts w:hint="eastAsia" w:ascii="宋体" w:hAnsi="宋体" w:cs="宋体"/>
                <w:bCs/>
                <w:color w:val="000000"/>
                <w:szCs w:val="21"/>
              </w:rPr>
            </w:pPr>
            <w:r>
              <w:rPr>
                <w:rFonts w:hint="eastAsia" w:ascii="宋体" w:hAnsi="宋体" w:cs="宋体"/>
                <w:bCs/>
                <w:color w:val="000000"/>
                <w:szCs w:val="21"/>
              </w:rPr>
              <w:t>外观</w:t>
            </w:r>
          </w:p>
        </w:tc>
        <w:tc>
          <w:tcPr>
            <w:tcW w:w="6205" w:type="dxa"/>
            <w:gridSpan w:val="2"/>
            <w:vAlign w:val="center"/>
          </w:tcPr>
          <w:p w14:paraId="4CDD0E40">
            <w:pPr>
              <w:spacing w:line="0" w:lineRule="atLeast"/>
              <w:rPr>
                <w:rFonts w:hint="eastAsia" w:ascii="宋体" w:hAnsi="宋体" w:cs="宋体"/>
                <w:bCs/>
                <w:color w:val="000000"/>
                <w:szCs w:val="21"/>
              </w:rPr>
            </w:pPr>
            <w:r>
              <w:rPr>
                <w:rFonts w:hint="eastAsia" w:ascii="宋体" w:hAnsi="宋体" w:cs="宋体"/>
                <w:bCs/>
                <w:color w:val="000000"/>
                <w:szCs w:val="21"/>
              </w:rPr>
              <w:t>1.六轴机械臂采用舵机设计，关节采用总线舵机；</w:t>
            </w:r>
          </w:p>
          <w:p w14:paraId="4CEA5566">
            <w:pPr>
              <w:spacing w:line="0" w:lineRule="atLeast"/>
              <w:rPr>
                <w:rFonts w:hint="eastAsia" w:ascii="宋体" w:hAnsi="宋体" w:cs="宋体"/>
                <w:bCs/>
                <w:color w:val="000000"/>
                <w:szCs w:val="21"/>
              </w:rPr>
            </w:pPr>
            <w:r>
              <w:rPr>
                <w:rFonts w:hint="eastAsia" w:ascii="宋体" w:hAnsi="宋体" w:cs="宋体"/>
                <w:bCs/>
                <w:color w:val="000000"/>
                <w:szCs w:val="21"/>
              </w:rPr>
              <w:t>2.尺寸≤长300*宽150*高500mm；</w:t>
            </w:r>
          </w:p>
          <w:p w14:paraId="52291583">
            <w:pPr>
              <w:spacing w:line="0" w:lineRule="atLeast"/>
              <w:rPr>
                <w:rFonts w:hint="eastAsia" w:ascii="宋体" w:hAnsi="宋体" w:cs="宋体"/>
                <w:bCs/>
                <w:color w:val="000000"/>
                <w:szCs w:val="21"/>
              </w:rPr>
            </w:pPr>
            <w:r>
              <w:rPr>
                <w:rFonts w:hint="eastAsia" w:ascii="宋体" w:hAnsi="宋体" w:cs="宋体"/>
                <w:bCs/>
                <w:color w:val="000000"/>
                <w:szCs w:val="21"/>
              </w:rPr>
              <w:t>3.重量≤3kg；</w:t>
            </w:r>
          </w:p>
          <w:p w14:paraId="4EB926EA">
            <w:pPr>
              <w:spacing w:line="0" w:lineRule="atLeast"/>
              <w:rPr>
                <w:rFonts w:hint="eastAsia" w:ascii="宋体" w:hAnsi="宋体" w:cs="宋体"/>
                <w:bCs/>
                <w:color w:val="000000"/>
                <w:szCs w:val="21"/>
              </w:rPr>
            </w:pPr>
            <w:r>
              <w:rPr>
                <w:rFonts w:hint="eastAsia" w:ascii="宋体" w:hAnsi="宋体" w:cs="宋体"/>
                <w:bCs/>
                <w:color w:val="000000"/>
                <w:szCs w:val="21"/>
              </w:rPr>
              <w:t>4.材质：铝合金+有机玻璃或铝合金材质。</w:t>
            </w:r>
          </w:p>
        </w:tc>
      </w:tr>
      <w:tr w14:paraId="7528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9" w:hRule="atLeast"/>
        </w:trPr>
        <w:tc>
          <w:tcPr>
            <w:tcW w:w="477" w:type="dxa"/>
            <w:vMerge w:val="continue"/>
            <w:vAlign w:val="center"/>
          </w:tcPr>
          <w:p w14:paraId="25FB8A16">
            <w:pPr>
              <w:spacing w:line="0" w:lineRule="atLeast"/>
              <w:rPr>
                <w:rFonts w:hint="eastAsia" w:ascii="宋体" w:hAnsi="宋体" w:cs="宋体"/>
                <w:bCs/>
                <w:color w:val="000000"/>
                <w:szCs w:val="21"/>
              </w:rPr>
            </w:pPr>
          </w:p>
        </w:tc>
        <w:tc>
          <w:tcPr>
            <w:tcW w:w="572" w:type="dxa"/>
            <w:vMerge w:val="continue"/>
            <w:vAlign w:val="center"/>
          </w:tcPr>
          <w:p w14:paraId="2CC9BE29">
            <w:pPr>
              <w:spacing w:line="0" w:lineRule="atLeast"/>
              <w:rPr>
                <w:rFonts w:hint="eastAsia" w:ascii="宋体" w:hAnsi="宋体" w:cs="宋体"/>
                <w:bCs/>
                <w:color w:val="000000"/>
                <w:szCs w:val="21"/>
              </w:rPr>
            </w:pPr>
          </w:p>
        </w:tc>
        <w:tc>
          <w:tcPr>
            <w:tcW w:w="566" w:type="dxa"/>
            <w:vMerge w:val="continue"/>
            <w:textDirection w:val="tbLrV"/>
            <w:vAlign w:val="center"/>
          </w:tcPr>
          <w:p w14:paraId="5189898B">
            <w:pPr>
              <w:spacing w:line="0" w:lineRule="atLeast"/>
              <w:ind w:left="113" w:right="113"/>
              <w:jc w:val="center"/>
              <w:rPr>
                <w:rFonts w:hint="eastAsia" w:ascii="宋体" w:hAnsi="宋体" w:cs="宋体"/>
                <w:bCs/>
                <w:color w:val="000000"/>
                <w:szCs w:val="21"/>
              </w:rPr>
            </w:pPr>
          </w:p>
        </w:tc>
        <w:tc>
          <w:tcPr>
            <w:tcW w:w="702" w:type="dxa"/>
            <w:textDirection w:val="tbLrV"/>
            <w:vAlign w:val="center"/>
          </w:tcPr>
          <w:p w14:paraId="2309D033">
            <w:pPr>
              <w:spacing w:line="0" w:lineRule="atLeast"/>
              <w:ind w:left="113" w:right="113"/>
              <w:jc w:val="center"/>
              <w:rPr>
                <w:rFonts w:hint="eastAsia" w:ascii="宋体" w:hAnsi="宋体" w:cs="宋体"/>
                <w:bCs/>
                <w:color w:val="000000"/>
                <w:szCs w:val="21"/>
              </w:rPr>
            </w:pPr>
            <w:r>
              <w:rPr>
                <w:rFonts w:hint="eastAsia" w:ascii="宋体" w:hAnsi="宋体" w:cs="宋体"/>
                <w:bCs/>
                <w:color w:val="000000"/>
                <w:szCs w:val="21"/>
              </w:rPr>
              <w:t>主控板卡</w:t>
            </w:r>
          </w:p>
        </w:tc>
        <w:tc>
          <w:tcPr>
            <w:tcW w:w="6205" w:type="dxa"/>
            <w:gridSpan w:val="2"/>
            <w:vAlign w:val="center"/>
          </w:tcPr>
          <w:p w14:paraId="24D0A42F">
            <w:pPr>
              <w:spacing w:line="0" w:lineRule="atLeast"/>
              <w:rPr>
                <w:rFonts w:hint="eastAsia" w:ascii="宋体" w:hAnsi="宋体" w:cs="宋体"/>
                <w:bCs/>
                <w:color w:val="000000"/>
                <w:szCs w:val="21"/>
              </w:rPr>
            </w:pPr>
            <w:r>
              <w:rPr>
                <w:rFonts w:hint="eastAsia" w:ascii="宋体" w:hAnsi="宋体" w:cs="宋体"/>
                <w:bCs/>
                <w:color w:val="000000"/>
                <w:szCs w:val="21"/>
              </w:rPr>
              <w:t>1.STM32芯片：STM32F103C8T6；</w:t>
            </w:r>
          </w:p>
          <w:p w14:paraId="735B3A6F">
            <w:pPr>
              <w:spacing w:line="0" w:lineRule="atLeast"/>
              <w:rPr>
                <w:rFonts w:hint="eastAsia" w:ascii="宋体" w:hAnsi="宋体" w:cs="宋体"/>
                <w:bCs/>
                <w:color w:val="000000"/>
                <w:szCs w:val="21"/>
              </w:rPr>
            </w:pPr>
            <w:r>
              <w:rPr>
                <w:rFonts w:hint="eastAsia" w:ascii="宋体" w:hAnsi="宋体" w:cs="宋体"/>
                <w:bCs/>
                <w:color w:val="000000"/>
                <w:szCs w:val="21"/>
              </w:rPr>
              <w:t>2.板卡包含红外遥控器接口、手柄接口；支持蓝牙和无线模块同时接入控制板并同时工作；板载复位按键、至少一个测试按键和蜂鸣器；</w:t>
            </w:r>
          </w:p>
          <w:p w14:paraId="266F159E">
            <w:pPr>
              <w:spacing w:line="0" w:lineRule="atLeast"/>
              <w:rPr>
                <w:rFonts w:hint="eastAsia" w:ascii="宋体" w:hAnsi="宋体" w:cs="宋体"/>
                <w:bCs/>
                <w:color w:val="000000"/>
                <w:szCs w:val="21"/>
              </w:rPr>
            </w:pPr>
            <w:r>
              <w:rPr>
                <w:rFonts w:hint="eastAsia" w:ascii="宋体" w:hAnsi="宋体" w:cs="宋体"/>
                <w:bCs/>
                <w:color w:val="000000"/>
                <w:szCs w:val="21"/>
              </w:rPr>
              <w:t>3.板卡包含总线接口至少6组；可拓展传感器接口至少6组；可支持PWM舵机控制接口至少6组。</w:t>
            </w:r>
          </w:p>
        </w:tc>
      </w:tr>
      <w:tr w14:paraId="39BB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477" w:type="dxa"/>
            <w:vMerge w:val="continue"/>
            <w:vAlign w:val="center"/>
          </w:tcPr>
          <w:p w14:paraId="7D1C801E">
            <w:pPr>
              <w:spacing w:line="0" w:lineRule="atLeast"/>
              <w:rPr>
                <w:rFonts w:hint="eastAsia" w:ascii="宋体" w:hAnsi="宋体" w:cs="宋体"/>
                <w:bCs/>
                <w:color w:val="000000"/>
                <w:szCs w:val="21"/>
              </w:rPr>
            </w:pPr>
          </w:p>
        </w:tc>
        <w:tc>
          <w:tcPr>
            <w:tcW w:w="572" w:type="dxa"/>
            <w:vMerge w:val="continue"/>
            <w:vAlign w:val="center"/>
          </w:tcPr>
          <w:p w14:paraId="2214254A">
            <w:pPr>
              <w:spacing w:line="0" w:lineRule="atLeast"/>
              <w:rPr>
                <w:rFonts w:hint="eastAsia" w:ascii="宋体" w:hAnsi="宋体" w:cs="宋体"/>
                <w:bCs/>
                <w:color w:val="000000"/>
                <w:szCs w:val="21"/>
              </w:rPr>
            </w:pPr>
          </w:p>
        </w:tc>
        <w:tc>
          <w:tcPr>
            <w:tcW w:w="566" w:type="dxa"/>
            <w:vMerge w:val="continue"/>
            <w:textDirection w:val="tbLrV"/>
            <w:vAlign w:val="center"/>
          </w:tcPr>
          <w:p w14:paraId="26DAC4B4">
            <w:pPr>
              <w:spacing w:line="0" w:lineRule="atLeast"/>
              <w:ind w:left="113" w:right="113"/>
              <w:jc w:val="center"/>
              <w:rPr>
                <w:rFonts w:hint="eastAsia" w:ascii="宋体" w:hAnsi="宋体" w:cs="宋体"/>
                <w:bCs/>
                <w:color w:val="000000"/>
                <w:szCs w:val="21"/>
              </w:rPr>
            </w:pPr>
          </w:p>
        </w:tc>
        <w:tc>
          <w:tcPr>
            <w:tcW w:w="702" w:type="dxa"/>
            <w:textDirection w:val="tbLrV"/>
            <w:vAlign w:val="center"/>
          </w:tcPr>
          <w:p w14:paraId="25D60632">
            <w:pPr>
              <w:spacing w:line="0" w:lineRule="atLeast"/>
              <w:ind w:left="113" w:right="113"/>
              <w:jc w:val="center"/>
              <w:rPr>
                <w:rFonts w:hint="eastAsia" w:ascii="宋体" w:hAnsi="宋体" w:cs="宋体"/>
                <w:bCs/>
                <w:color w:val="000000"/>
                <w:szCs w:val="21"/>
              </w:rPr>
            </w:pPr>
            <w:r>
              <w:rPr>
                <w:rFonts w:hint="eastAsia" w:ascii="宋体" w:hAnsi="宋体" w:cs="宋体"/>
                <w:bCs/>
                <w:color w:val="000000"/>
                <w:szCs w:val="21"/>
              </w:rPr>
              <w:t>总线舵机</w:t>
            </w:r>
          </w:p>
        </w:tc>
        <w:tc>
          <w:tcPr>
            <w:tcW w:w="6205" w:type="dxa"/>
            <w:gridSpan w:val="2"/>
            <w:vAlign w:val="center"/>
          </w:tcPr>
          <w:p w14:paraId="665BA34A">
            <w:pPr>
              <w:spacing w:line="0" w:lineRule="atLeast"/>
              <w:rPr>
                <w:rFonts w:hint="eastAsia" w:ascii="宋体" w:hAnsi="宋体" w:cs="宋体"/>
                <w:bCs/>
                <w:color w:val="000000"/>
                <w:szCs w:val="21"/>
              </w:rPr>
            </w:pPr>
            <w:r>
              <w:rPr>
                <w:rFonts w:hint="eastAsia" w:ascii="宋体" w:hAnsi="宋体" w:cs="宋体"/>
                <w:bCs/>
                <w:color w:val="000000"/>
                <w:szCs w:val="21"/>
              </w:rPr>
              <w:t>1.重量（g）：≥50g；</w:t>
            </w:r>
          </w:p>
          <w:p w14:paraId="6AE1692E">
            <w:pPr>
              <w:spacing w:line="0" w:lineRule="atLeast"/>
              <w:rPr>
                <w:rFonts w:hint="eastAsia" w:ascii="宋体" w:hAnsi="宋体" w:cs="宋体"/>
                <w:bCs/>
                <w:color w:val="000000"/>
                <w:szCs w:val="21"/>
              </w:rPr>
            </w:pPr>
            <w:r>
              <w:rPr>
                <w:rFonts w:hint="eastAsia" w:ascii="宋体" w:hAnsi="宋体" w:cs="宋体"/>
                <w:bCs/>
                <w:color w:val="000000"/>
                <w:szCs w:val="21"/>
              </w:rPr>
              <w:t>2.输出扭矩（≥12kg）：≥6.5V:8kg*cm；8.5V:8kg*cm；</w:t>
            </w:r>
          </w:p>
          <w:p w14:paraId="78B99B9B">
            <w:pPr>
              <w:spacing w:line="0" w:lineRule="atLeast"/>
              <w:rPr>
                <w:rFonts w:hint="eastAsia" w:ascii="宋体" w:hAnsi="宋体" w:cs="宋体"/>
                <w:bCs/>
                <w:color w:val="000000"/>
                <w:szCs w:val="21"/>
              </w:rPr>
            </w:pPr>
            <w:r>
              <w:rPr>
                <w:rFonts w:hint="eastAsia" w:ascii="宋体" w:hAnsi="宋体" w:cs="宋体"/>
                <w:bCs/>
                <w:color w:val="000000"/>
                <w:szCs w:val="21"/>
              </w:rPr>
              <w:t>3.齿轮减速比：≥1/333；</w:t>
            </w:r>
          </w:p>
          <w:p w14:paraId="01AD20F2">
            <w:pPr>
              <w:spacing w:line="0" w:lineRule="atLeast"/>
              <w:rPr>
                <w:rFonts w:hint="eastAsia" w:ascii="宋体" w:hAnsi="宋体" w:cs="宋体"/>
                <w:bCs/>
                <w:color w:val="000000"/>
                <w:szCs w:val="21"/>
              </w:rPr>
            </w:pPr>
            <w:r>
              <w:rPr>
                <w:rFonts w:hint="eastAsia" w:ascii="宋体" w:hAnsi="宋体" w:cs="宋体"/>
                <w:bCs/>
                <w:color w:val="000000"/>
                <w:szCs w:val="21"/>
              </w:rPr>
              <w:t>4.角度范围：≥180°（加上偏移正负30°）；</w:t>
            </w:r>
          </w:p>
          <w:p w14:paraId="2C90201F">
            <w:pPr>
              <w:spacing w:line="0" w:lineRule="atLeast"/>
              <w:rPr>
                <w:rFonts w:hint="eastAsia" w:ascii="宋体" w:hAnsi="宋体" w:cs="宋体"/>
                <w:bCs/>
                <w:color w:val="000000"/>
                <w:szCs w:val="21"/>
              </w:rPr>
            </w:pPr>
            <w:r>
              <w:rPr>
                <w:rFonts w:hint="eastAsia" w:ascii="宋体" w:hAnsi="宋体" w:cs="宋体"/>
                <w:bCs/>
                <w:color w:val="000000"/>
                <w:szCs w:val="21"/>
              </w:rPr>
              <w:t>5.输出电压：6V～9V（典型值：7.4V）；</w:t>
            </w:r>
          </w:p>
          <w:p w14:paraId="3C49AA56">
            <w:pPr>
              <w:spacing w:line="0" w:lineRule="atLeast"/>
              <w:rPr>
                <w:rFonts w:hint="eastAsia" w:ascii="宋体" w:hAnsi="宋体" w:cs="宋体"/>
                <w:bCs/>
                <w:color w:val="000000"/>
                <w:szCs w:val="21"/>
              </w:rPr>
            </w:pPr>
            <w:r>
              <w:rPr>
                <w:rFonts w:hint="eastAsia" w:ascii="宋体" w:hAnsi="宋体" w:cs="宋体"/>
                <w:bCs/>
                <w:color w:val="000000"/>
                <w:szCs w:val="21"/>
              </w:rPr>
              <w:t>6.转速（秒/60°）：0.238sec/60°；8.5V：≥0.198sec/60°；</w:t>
            </w:r>
          </w:p>
          <w:p w14:paraId="60C6BB87">
            <w:pPr>
              <w:spacing w:line="0" w:lineRule="atLeast"/>
              <w:rPr>
                <w:rFonts w:hint="eastAsia" w:ascii="宋体" w:hAnsi="宋体" w:cs="宋体"/>
                <w:bCs/>
                <w:color w:val="000000"/>
                <w:szCs w:val="21"/>
              </w:rPr>
            </w:pPr>
            <w:r>
              <w:rPr>
                <w:rFonts w:hint="eastAsia" w:ascii="宋体" w:hAnsi="宋体" w:cs="宋体"/>
                <w:bCs/>
                <w:color w:val="000000"/>
                <w:szCs w:val="21"/>
              </w:rPr>
              <w:t>7.采用串行总线舵机，多个舵机可串联，通信波特率115200，通过字符串发送控制指令；带有堵转保护和温度保护。</w:t>
            </w:r>
          </w:p>
        </w:tc>
      </w:tr>
    </w:tbl>
    <w:p w14:paraId="367A6CAD">
      <w:pPr>
        <w:spacing w:line="420" w:lineRule="exact"/>
        <w:ind w:firstLine="482" w:firstLineChars="200"/>
        <w:rPr>
          <w:rFonts w:hint="eastAsia" w:ascii="宋体" w:hAnsi="宋体" w:cs="宋体"/>
          <w:b/>
          <w:color w:val="000000"/>
          <w:sz w:val="24"/>
        </w:rPr>
      </w:pPr>
      <w:r>
        <w:rPr>
          <w:rFonts w:hint="eastAsia" w:ascii="宋体" w:hAnsi="宋体" w:cs="宋体"/>
          <w:b/>
          <w:color w:val="000000"/>
          <w:sz w:val="24"/>
        </w:rPr>
        <w:t>二、设备清单</w:t>
      </w:r>
    </w:p>
    <w:tbl>
      <w:tblPr>
        <w:tblStyle w:val="48"/>
        <w:tblW w:w="7961" w:type="dxa"/>
        <w:tblInd w:w="4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46"/>
        <w:gridCol w:w="1560"/>
        <w:gridCol w:w="3004"/>
      </w:tblGrid>
      <w:tr w14:paraId="4BB2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51" w:type="dxa"/>
            <w:vAlign w:val="center"/>
          </w:tcPr>
          <w:p w14:paraId="5E631D51">
            <w:pPr>
              <w:spacing w:line="420" w:lineRule="exact"/>
              <w:jc w:val="center"/>
              <w:rPr>
                <w:rFonts w:hint="eastAsia" w:ascii="宋体" w:hAnsi="宋体" w:cs="宋体"/>
                <w:sz w:val="24"/>
              </w:rPr>
            </w:pPr>
            <w:r>
              <w:rPr>
                <w:rFonts w:hint="eastAsia" w:ascii="宋体" w:hAnsi="宋体" w:cs="宋体"/>
                <w:sz w:val="24"/>
              </w:rPr>
              <w:t>序号</w:t>
            </w:r>
          </w:p>
        </w:tc>
        <w:tc>
          <w:tcPr>
            <w:tcW w:w="2546" w:type="dxa"/>
            <w:vAlign w:val="center"/>
          </w:tcPr>
          <w:p w14:paraId="0799F044">
            <w:pPr>
              <w:spacing w:line="420" w:lineRule="exact"/>
              <w:jc w:val="center"/>
              <w:rPr>
                <w:rFonts w:hint="eastAsia" w:ascii="宋体" w:hAnsi="宋体" w:cs="宋体"/>
                <w:sz w:val="24"/>
              </w:rPr>
            </w:pPr>
            <w:r>
              <w:rPr>
                <w:rFonts w:hint="eastAsia" w:ascii="宋体" w:hAnsi="宋体" w:cs="宋体"/>
                <w:sz w:val="24"/>
              </w:rPr>
              <w:t>设备名称</w:t>
            </w:r>
          </w:p>
        </w:tc>
        <w:tc>
          <w:tcPr>
            <w:tcW w:w="1560" w:type="dxa"/>
            <w:vAlign w:val="center"/>
          </w:tcPr>
          <w:p w14:paraId="6638FA0C">
            <w:pPr>
              <w:spacing w:line="420" w:lineRule="exact"/>
              <w:jc w:val="center"/>
              <w:rPr>
                <w:rFonts w:hint="eastAsia" w:ascii="宋体" w:hAnsi="宋体" w:cs="宋体"/>
                <w:sz w:val="24"/>
              </w:rPr>
            </w:pPr>
            <w:r>
              <w:rPr>
                <w:rFonts w:hint="eastAsia" w:ascii="宋体" w:hAnsi="宋体" w:cs="宋体"/>
                <w:sz w:val="24"/>
              </w:rPr>
              <w:t>数量（台）</w:t>
            </w:r>
          </w:p>
        </w:tc>
        <w:tc>
          <w:tcPr>
            <w:tcW w:w="3004" w:type="dxa"/>
            <w:vAlign w:val="center"/>
          </w:tcPr>
          <w:p w14:paraId="5A7DB78D">
            <w:pPr>
              <w:spacing w:line="420" w:lineRule="exact"/>
              <w:jc w:val="center"/>
              <w:rPr>
                <w:rFonts w:hint="eastAsia" w:ascii="宋体" w:hAnsi="宋体" w:cs="宋体"/>
                <w:sz w:val="24"/>
              </w:rPr>
            </w:pPr>
            <w:r>
              <w:rPr>
                <w:rFonts w:hint="eastAsia" w:ascii="宋体" w:hAnsi="宋体" w:cs="宋体"/>
                <w:sz w:val="24"/>
              </w:rPr>
              <w:t>备注</w:t>
            </w:r>
          </w:p>
        </w:tc>
      </w:tr>
      <w:tr w14:paraId="59A88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vAlign w:val="center"/>
          </w:tcPr>
          <w:p w14:paraId="0E6E20BA">
            <w:pPr>
              <w:spacing w:line="420" w:lineRule="exact"/>
              <w:jc w:val="center"/>
              <w:rPr>
                <w:rFonts w:hint="eastAsia" w:ascii="宋体" w:hAnsi="宋体" w:cs="宋体"/>
                <w:sz w:val="24"/>
              </w:rPr>
            </w:pPr>
            <w:r>
              <w:rPr>
                <w:rFonts w:hint="eastAsia" w:ascii="宋体" w:hAnsi="宋体" w:cs="宋体"/>
                <w:sz w:val="24"/>
              </w:rPr>
              <w:t>1</w:t>
            </w:r>
          </w:p>
        </w:tc>
        <w:tc>
          <w:tcPr>
            <w:tcW w:w="2546" w:type="dxa"/>
            <w:vAlign w:val="center"/>
          </w:tcPr>
          <w:p w14:paraId="153E9A23">
            <w:pPr>
              <w:spacing w:line="420" w:lineRule="exact"/>
              <w:jc w:val="center"/>
              <w:rPr>
                <w:rFonts w:hint="eastAsia" w:ascii="宋体" w:hAnsi="宋体" w:cs="宋体"/>
                <w:sz w:val="24"/>
              </w:rPr>
            </w:pPr>
            <w:r>
              <w:rPr>
                <w:rFonts w:hint="eastAsia" w:ascii="宋体" w:hAnsi="宋体" w:cs="宋体"/>
                <w:sz w:val="24"/>
              </w:rPr>
              <w:t>协作机器人系统</w:t>
            </w:r>
          </w:p>
        </w:tc>
        <w:tc>
          <w:tcPr>
            <w:tcW w:w="1560" w:type="dxa"/>
            <w:vAlign w:val="center"/>
          </w:tcPr>
          <w:p w14:paraId="7F7E5069">
            <w:pPr>
              <w:spacing w:line="420" w:lineRule="exact"/>
              <w:jc w:val="center"/>
              <w:rPr>
                <w:rFonts w:hint="eastAsia" w:ascii="宋体" w:hAnsi="宋体" w:cs="宋体"/>
                <w:sz w:val="24"/>
              </w:rPr>
            </w:pPr>
            <w:r>
              <w:rPr>
                <w:rFonts w:hint="eastAsia" w:ascii="宋体" w:hAnsi="宋体" w:cs="宋体"/>
                <w:sz w:val="24"/>
              </w:rPr>
              <w:t>2</w:t>
            </w:r>
          </w:p>
        </w:tc>
        <w:tc>
          <w:tcPr>
            <w:tcW w:w="3004" w:type="dxa"/>
            <w:vAlign w:val="center"/>
          </w:tcPr>
          <w:p w14:paraId="01C6AD2A">
            <w:pPr>
              <w:spacing w:line="420" w:lineRule="exact"/>
              <w:jc w:val="center"/>
              <w:rPr>
                <w:rFonts w:hint="eastAsia" w:ascii="宋体" w:hAnsi="宋体" w:cs="宋体"/>
                <w:sz w:val="24"/>
              </w:rPr>
            </w:pPr>
          </w:p>
        </w:tc>
      </w:tr>
      <w:tr w14:paraId="4004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vAlign w:val="center"/>
          </w:tcPr>
          <w:p w14:paraId="5B7A16E5">
            <w:pPr>
              <w:spacing w:line="420" w:lineRule="exact"/>
              <w:jc w:val="center"/>
              <w:rPr>
                <w:rFonts w:hint="eastAsia" w:ascii="宋体" w:hAnsi="宋体" w:cs="宋体"/>
                <w:sz w:val="24"/>
              </w:rPr>
            </w:pPr>
            <w:r>
              <w:rPr>
                <w:rFonts w:hint="eastAsia" w:ascii="宋体" w:hAnsi="宋体" w:cs="宋体"/>
                <w:sz w:val="24"/>
              </w:rPr>
              <w:t>2</w:t>
            </w:r>
          </w:p>
        </w:tc>
        <w:tc>
          <w:tcPr>
            <w:tcW w:w="2546" w:type="dxa"/>
            <w:vAlign w:val="center"/>
          </w:tcPr>
          <w:p w14:paraId="46BC0347">
            <w:pPr>
              <w:spacing w:line="420" w:lineRule="exact"/>
              <w:jc w:val="center"/>
              <w:rPr>
                <w:rFonts w:hint="eastAsia" w:ascii="宋体" w:hAnsi="宋体" w:cs="宋体"/>
                <w:sz w:val="24"/>
              </w:rPr>
            </w:pPr>
            <w:r>
              <w:rPr>
                <w:rFonts w:hint="eastAsia" w:ascii="宋体" w:hAnsi="宋体" w:cs="宋体"/>
                <w:sz w:val="24"/>
              </w:rPr>
              <w:t>六轴机械臂</w:t>
            </w:r>
          </w:p>
        </w:tc>
        <w:tc>
          <w:tcPr>
            <w:tcW w:w="1560" w:type="dxa"/>
            <w:vAlign w:val="center"/>
          </w:tcPr>
          <w:p w14:paraId="4351B853">
            <w:pPr>
              <w:spacing w:line="420" w:lineRule="exact"/>
              <w:jc w:val="center"/>
              <w:rPr>
                <w:rFonts w:hint="eastAsia" w:ascii="宋体" w:hAnsi="宋体" w:cs="宋体"/>
                <w:sz w:val="24"/>
              </w:rPr>
            </w:pPr>
            <w:r>
              <w:rPr>
                <w:rFonts w:hint="eastAsia" w:ascii="宋体" w:hAnsi="宋体" w:cs="宋体"/>
                <w:sz w:val="24"/>
              </w:rPr>
              <w:t>25</w:t>
            </w:r>
          </w:p>
        </w:tc>
        <w:tc>
          <w:tcPr>
            <w:tcW w:w="3004" w:type="dxa"/>
            <w:vAlign w:val="center"/>
          </w:tcPr>
          <w:p w14:paraId="01AC16F5">
            <w:pPr>
              <w:spacing w:line="420" w:lineRule="exact"/>
              <w:jc w:val="center"/>
              <w:rPr>
                <w:rFonts w:hint="eastAsia" w:ascii="宋体" w:hAnsi="宋体" w:cs="宋体"/>
                <w:sz w:val="24"/>
              </w:rPr>
            </w:pPr>
          </w:p>
        </w:tc>
      </w:tr>
      <w:tr w14:paraId="5A40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851" w:type="dxa"/>
            <w:vAlign w:val="center"/>
          </w:tcPr>
          <w:p w14:paraId="761E9418">
            <w:pPr>
              <w:spacing w:line="420" w:lineRule="exact"/>
              <w:jc w:val="center"/>
              <w:rPr>
                <w:rFonts w:hint="eastAsia" w:ascii="宋体" w:hAnsi="宋体" w:cs="宋体"/>
                <w:sz w:val="24"/>
              </w:rPr>
            </w:pPr>
            <w:r>
              <w:rPr>
                <w:rFonts w:hint="eastAsia" w:ascii="宋体" w:hAnsi="宋体" w:cs="宋体"/>
                <w:sz w:val="24"/>
              </w:rPr>
              <w:t>3</w:t>
            </w:r>
          </w:p>
        </w:tc>
        <w:tc>
          <w:tcPr>
            <w:tcW w:w="2546" w:type="dxa"/>
            <w:vAlign w:val="center"/>
          </w:tcPr>
          <w:p w14:paraId="672A5729">
            <w:pPr>
              <w:spacing w:line="420" w:lineRule="exact"/>
              <w:jc w:val="center"/>
              <w:rPr>
                <w:rFonts w:hint="eastAsia" w:ascii="宋体" w:hAnsi="宋体" w:cs="宋体"/>
                <w:sz w:val="24"/>
              </w:rPr>
            </w:pPr>
            <w:r>
              <w:rPr>
                <w:rFonts w:hint="eastAsia" w:ascii="宋体" w:hAnsi="宋体" w:cs="宋体"/>
                <w:sz w:val="24"/>
              </w:rPr>
              <w:t>六维力传感器</w:t>
            </w:r>
          </w:p>
        </w:tc>
        <w:tc>
          <w:tcPr>
            <w:tcW w:w="1560" w:type="dxa"/>
            <w:vAlign w:val="center"/>
          </w:tcPr>
          <w:p w14:paraId="4E73F655">
            <w:pPr>
              <w:spacing w:line="420" w:lineRule="exact"/>
              <w:jc w:val="center"/>
              <w:rPr>
                <w:rFonts w:hint="eastAsia" w:ascii="宋体" w:hAnsi="宋体" w:cs="宋体"/>
                <w:sz w:val="24"/>
              </w:rPr>
            </w:pPr>
            <w:r>
              <w:rPr>
                <w:rFonts w:hint="eastAsia" w:ascii="宋体" w:hAnsi="宋体" w:cs="宋体"/>
                <w:sz w:val="24"/>
              </w:rPr>
              <w:t>1</w:t>
            </w:r>
          </w:p>
        </w:tc>
        <w:tc>
          <w:tcPr>
            <w:tcW w:w="3004" w:type="dxa"/>
            <w:vAlign w:val="center"/>
          </w:tcPr>
          <w:p w14:paraId="1A99D9CE">
            <w:pPr>
              <w:spacing w:line="420" w:lineRule="exact"/>
              <w:jc w:val="center"/>
              <w:rPr>
                <w:rFonts w:hint="eastAsia" w:ascii="宋体" w:hAnsi="宋体" w:cs="宋体"/>
                <w:sz w:val="24"/>
              </w:rPr>
            </w:pPr>
          </w:p>
        </w:tc>
      </w:tr>
    </w:tbl>
    <w:p w14:paraId="0F8FB6DC">
      <w:pPr>
        <w:spacing w:before="156" w:beforeLines="50" w:line="420" w:lineRule="exact"/>
        <w:ind w:firstLine="482" w:firstLineChars="200"/>
        <w:rPr>
          <w:rFonts w:hint="eastAsia" w:ascii="宋体" w:hAnsi="宋体" w:cs="宋体"/>
          <w:b/>
          <w:color w:val="000000"/>
          <w:sz w:val="24"/>
        </w:rPr>
      </w:pPr>
      <w:r>
        <w:rPr>
          <w:rFonts w:hint="eastAsia" w:ascii="宋体" w:hAnsi="宋体" w:cs="宋体"/>
          <w:b/>
          <w:color w:val="000000"/>
          <w:sz w:val="24"/>
        </w:rPr>
        <w:t>三、商务条款</w:t>
      </w:r>
    </w:p>
    <w:p w14:paraId="014780A1">
      <w:pPr>
        <w:spacing w:line="420" w:lineRule="exact"/>
        <w:ind w:firstLine="480" w:firstLineChars="200"/>
        <w:rPr>
          <w:rFonts w:hint="eastAsia" w:ascii="宋体" w:hAnsi="宋体" w:cs="宋体"/>
          <w:sz w:val="24"/>
        </w:rPr>
      </w:pPr>
      <w:r>
        <w:rPr>
          <w:rFonts w:hint="eastAsia" w:ascii="宋体" w:hAnsi="宋体" w:cs="宋体"/>
          <w:sz w:val="24"/>
        </w:rPr>
        <w:t>1.本项目所采购设备，中标方必须承诺免费运送至南邮通达学院扬州校区（扬州市润扬南路33号）指定地点，按要求安装到位。</w:t>
      </w:r>
    </w:p>
    <w:p w14:paraId="14C06F60">
      <w:pPr>
        <w:spacing w:line="420" w:lineRule="exact"/>
        <w:ind w:firstLine="480" w:firstLineChars="200"/>
        <w:rPr>
          <w:rFonts w:hint="eastAsia" w:ascii="宋体" w:hAnsi="宋体" w:cs="宋体"/>
          <w:sz w:val="24"/>
        </w:rPr>
      </w:pPr>
      <w:r>
        <w:rPr>
          <w:rFonts w:hint="eastAsia" w:ascii="宋体" w:hAnsi="宋体" w:cs="宋体"/>
          <w:sz w:val="24"/>
        </w:rPr>
        <w:t>2.产品应为厂家成熟产品，在中标结果公示后三个工作日内，采购人有权要求中标人提供样机到用户现场验证，功能需与技术要求一致，否则视为虚假应标，采购人有权取消中标人中标资格并追究其相应法律责任。</w:t>
      </w:r>
    </w:p>
    <w:p w14:paraId="2F919960">
      <w:pPr>
        <w:spacing w:line="420" w:lineRule="exact"/>
        <w:ind w:firstLine="480" w:firstLineChars="200"/>
        <w:rPr>
          <w:rFonts w:hint="eastAsia" w:ascii="宋体" w:hAnsi="宋体" w:cs="宋体"/>
          <w:sz w:val="24"/>
        </w:rPr>
      </w:pPr>
      <w:r>
        <w:rPr>
          <w:rFonts w:hint="eastAsia" w:ascii="宋体" w:hAnsi="宋体" w:cs="宋体"/>
          <w:sz w:val="24"/>
        </w:rPr>
        <w:t>3.质保期及售后服务要</w:t>
      </w:r>
      <w:r>
        <w:rPr>
          <w:rFonts w:hint="eastAsia" w:ascii="宋体" w:hAnsi="宋体" w:cs="宋体"/>
          <w:sz w:val="24"/>
          <w:highlight w:val="none"/>
        </w:rPr>
        <w:t>求：原厂质保3年。质保</w:t>
      </w:r>
      <w:r>
        <w:rPr>
          <w:rFonts w:hint="eastAsia" w:ascii="宋体" w:hAnsi="宋体" w:cs="宋体"/>
          <w:sz w:val="24"/>
        </w:rPr>
        <w:t>期内因维修产生的一切费用均由中标人承担。</w:t>
      </w:r>
    </w:p>
    <w:p w14:paraId="4FA864FE">
      <w:pPr>
        <w:spacing w:line="420" w:lineRule="exact"/>
        <w:ind w:firstLine="480" w:firstLineChars="200"/>
        <w:rPr>
          <w:rFonts w:hint="eastAsia" w:ascii="宋体" w:hAnsi="宋体" w:cs="宋体"/>
          <w:sz w:val="24"/>
        </w:rPr>
      </w:pPr>
      <w:r>
        <w:rPr>
          <w:rFonts w:hint="eastAsia" w:ascii="宋体" w:hAnsi="宋体" w:cs="宋体"/>
          <w:sz w:val="24"/>
        </w:rPr>
        <w:t>4.供货时限：合同签订后10个工作日内送至项目指定地点并完成安装。</w:t>
      </w:r>
    </w:p>
    <w:p w14:paraId="45929C36">
      <w:pPr>
        <w:spacing w:line="360" w:lineRule="auto"/>
        <w:ind w:firstLine="480" w:firstLineChars="200"/>
        <w:rPr>
          <w:rFonts w:hint="eastAsia" w:ascii="宋体" w:hAnsi="宋体" w:cs="宋体"/>
          <w:szCs w:val="21"/>
        </w:rPr>
      </w:pPr>
      <w:r>
        <w:rPr>
          <w:rFonts w:hint="eastAsia" w:ascii="宋体" w:hAnsi="宋体" w:cs="宋体"/>
          <w:sz w:val="24"/>
        </w:rPr>
        <w:t>5.付款方式：本采购项目无预付款，安装结束，经甲乙双方共同验收合格后，付至合同总额的90%，一年后付合同总额的10%。甲方付款前乙方需提供合法、有效、等额的增值税专用发票，否则，甲方有权拒付相应款项。</w:t>
      </w:r>
    </w:p>
    <w:p w14:paraId="5CD6E04E">
      <w:pPr>
        <w:spacing w:line="360" w:lineRule="auto"/>
        <w:ind w:firstLine="420" w:firstLineChars="200"/>
        <w:rPr>
          <w:rFonts w:hint="eastAsia" w:ascii="宋体" w:hAnsi="宋体" w:cs="宋体"/>
        </w:rPr>
      </w:pPr>
      <w:r>
        <w:rPr>
          <w:rFonts w:hint="eastAsia" w:ascii="宋体" w:hAnsi="宋体" w:cs="宋体"/>
        </w:rPr>
        <w:br w:type="page"/>
      </w:r>
    </w:p>
    <w:bookmarkEnd w:id="30"/>
    <w:p w14:paraId="7B1C8C5A">
      <w:pPr>
        <w:pStyle w:val="3"/>
        <w:numPr>
          <w:ilvl w:val="0"/>
          <w:numId w:val="0"/>
        </w:numPr>
        <w:spacing w:before="0" w:after="0"/>
        <w:rPr>
          <w:rFonts w:hint="eastAsia" w:ascii="宋体" w:hAnsi="宋体" w:cs="宋体"/>
        </w:rPr>
      </w:pPr>
      <w:bookmarkStart w:id="41" w:name="_Toc31098"/>
      <w:bookmarkStart w:id="42" w:name="_Toc5371"/>
      <w:bookmarkStart w:id="43" w:name="_Toc30962"/>
      <w:r>
        <w:rPr>
          <w:rFonts w:hint="eastAsia" w:ascii="宋体" w:hAnsi="宋体" w:cs="宋体"/>
        </w:rPr>
        <w:t xml:space="preserve">第五章 </w:t>
      </w:r>
      <w:bookmarkEnd w:id="38"/>
      <w:bookmarkEnd w:id="39"/>
      <w:bookmarkEnd w:id="40"/>
      <w:r>
        <w:rPr>
          <w:rFonts w:hint="eastAsia" w:ascii="宋体" w:hAnsi="宋体" w:cs="宋体"/>
        </w:rPr>
        <w:t>合同主要条款</w:t>
      </w:r>
      <w:bookmarkEnd w:id="41"/>
      <w:bookmarkEnd w:id="42"/>
      <w:bookmarkEnd w:id="43"/>
    </w:p>
    <w:p w14:paraId="1CC20CDD">
      <w:pPr>
        <w:spacing w:line="360" w:lineRule="auto"/>
      </w:pPr>
      <w:bookmarkStart w:id="44" w:name="_Toc25661"/>
      <w:r>
        <w:rPr>
          <w:rFonts w:hint="eastAsia" w:ascii="Calibri" w:hAnsi="Calibri"/>
          <w:b/>
          <w:sz w:val="44"/>
          <w:szCs w:val="44"/>
        </w:rPr>
        <w:t xml:space="preserve"> </w:t>
      </w:r>
    </w:p>
    <w:bookmarkEnd w:id="44"/>
    <w:p w14:paraId="4A12E0DE">
      <w:pPr>
        <w:pStyle w:val="250"/>
        <w:keepNext w:val="0"/>
        <w:keepLines w:val="0"/>
        <w:pageBreakBefore w:val="0"/>
        <w:kinsoku/>
        <w:overflowPunct/>
        <w:topLinePunct w:val="0"/>
        <w:bidi w:val="0"/>
        <w:spacing w:line="360" w:lineRule="auto"/>
        <w:jc w:val="both"/>
        <w:rPr>
          <w:color w:val="000000" w:themeColor="text1"/>
          <w:sz w:val="24"/>
          <w:szCs w:val="24"/>
          <w:highlight w:val="none"/>
          <w14:textFill>
            <w14:solidFill>
              <w14:schemeClr w14:val="tx1"/>
            </w14:solidFill>
          </w14:textFill>
        </w:rPr>
      </w:pPr>
      <w:bookmarkStart w:id="45" w:name="_Toc16938559"/>
      <w:bookmarkStart w:id="46" w:name="_Toc20823315"/>
      <w:bookmarkStart w:id="47" w:name="_Toc513029243"/>
      <w:bookmarkStart w:id="48" w:name="_Toc24300"/>
      <w:r>
        <w:rPr>
          <w:color w:val="000000" w:themeColor="text1"/>
          <w:sz w:val="24"/>
          <w:szCs w:val="24"/>
          <w:highlight w:val="none"/>
          <w14:textFill>
            <w14:solidFill>
              <w14:schemeClr w14:val="tx1"/>
            </w14:solidFill>
          </w14:textFill>
        </w:rPr>
        <w:t>以下为成交后签订本项目合同的通用条款，成交人不得提出实质性的修改，关于专用条款将由采购人与成交人结合本项目具体情况协商后签订。</w:t>
      </w:r>
    </w:p>
    <w:bookmarkEnd w:id="45"/>
    <w:bookmarkEnd w:id="46"/>
    <w:bookmarkEnd w:id="47"/>
    <w:p w14:paraId="7F727327">
      <w:pPr>
        <w:spacing w:before="19"/>
        <w:ind w:left="-358" w:leftChars="-255" w:right="-334" w:rightChars="-159" w:hanging="177" w:hangingChars="49"/>
        <w:jc w:val="center"/>
        <w:rPr>
          <w:rFonts w:ascii="仿宋_GB2312" w:hAnsi="Times New Roman" w:eastAsia="仿宋_GB2312" w:cs="Times New Roman"/>
          <w:b/>
          <w:snapToGrid/>
          <w:color w:val="auto"/>
          <w:sz w:val="36"/>
          <w:szCs w:val="36"/>
          <w:lang w:eastAsia="zh-CN"/>
        </w:rPr>
      </w:pPr>
      <w:bookmarkStart w:id="49" w:name="_Hlt16619369"/>
      <w:bookmarkEnd w:id="49"/>
      <w:r>
        <w:rPr>
          <w:rFonts w:hint="eastAsia" w:ascii="仿宋_GB2312" w:eastAsia="仿宋_GB2312"/>
          <w:b/>
          <w:sz w:val="36"/>
          <w:szCs w:val="36"/>
          <w:lang w:eastAsia="zh-CN"/>
        </w:rPr>
        <w:t>南京邮电大学通达学院采购合同</w:t>
      </w:r>
    </w:p>
    <w:p w14:paraId="1AB32F94">
      <w:pPr>
        <w:spacing w:before="19" w:line="360" w:lineRule="auto"/>
        <w:rPr>
          <w:rFonts w:hint="eastAsia" w:ascii="微软雅黑" w:hAnsi="微软雅黑" w:eastAsia="微软雅黑" w:cs="微软雅黑"/>
          <w:lang w:eastAsia="zh-CN"/>
        </w:rPr>
      </w:pPr>
      <w:r>
        <w:rPr>
          <w:rFonts w:hint="eastAsia" w:ascii="微软雅黑" w:hAnsi="微软雅黑" w:eastAsia="微软雅黑" w:cs="微软雅黑"/>
          <w:lang w:eastAsia="zh-CN"/>
        </w:rPr>
        <w:t>甲方：南京邮电大学通达学院                       项目编号：</w:t>
      </w:r>
    </w:p>
    <w:p w14:paraId="6E9860F0">
      <w:pPr>
        <w:spacing w:before="19" w:line="360" w:lineRule="auto"/>
        <w:rPr>
          <w:rFonts w:hint="eastAsia" w:ascii="宋体" w:hAnsi="宋体"/>
          <w:lang w:eastAsia="zh-CN"/>
        </w:rPr>
      </w:pPr>
      <w:r>
        <w:rPr>
          <w:rFonts w:hint="eastAsia" w:ascii="微软雅黑" w:hAnsi="微软雅黑" w:eastAsia="微软雅黑" w:cs="微软雅黑"/>
          <w:lang w:eastAsia="zh-CN"/>
        </w:rPr>
        <w:t>乙方：</w:t>
      </w:r>
      <w:r>
        <w:rPr>
          <w:rFonts w:hint="eastAsia" w:ascii="宋体" w:hAnsi="宋体"/>
          <w:lang w:eastAsia="zh-CN"/>
        </w:rPr>
        <w:t xml:space="preserve">                                          </w:t>
      </w:r>
    </w:p>
    <w:p w14:paraId="130920AE">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lang w:eastAsia="zh-CN"/>
        </w:rPr>
      </w:pPr>
      <w:r>
        <w:rPr>
          <w:rFonts w:hint="eastAsia" w:ascii="宋体" w:hAnsi="宋体"/>
          <w:lang w:eastAsia="zh-CN"/>
        </w:rPr>
        <w:t xml:space="preserve">    </w:t>
      </w:r>
      <w:r>
        <w:rPr>
          <w:rFonts w:hint="eastAsia" w:ascii="微软雅黑" w:hAnsi="微软雅黑" w:eastAsia="微软雅黑" w:cs="微软雅黑"/>
          <w:lang w:eastAsia="zh-CN"/>
        </w:rPr>
        <w:t>甲乙双方根据</w:t>
      </w:r>
      <w:r>
        <w:rPr>
          <w:rFonts w:hint="eastAsia" w:ascii="宋体" w:hAnsi="宋体"/>
          <w:u w:val="single"/>
          <w:lang w:eastAsia="zh-CN"/>
        </w:rPr>
        <w:t xml:space="preserve">                  </w:t>
      </w:r>
      <w:r>
        <w:rPr>
          <w:rFonts w:hint="eastAsia" w:ascii="微软雅黑" w:hAnsi="微软雅黑" w:eastAsia="微软雅黑" w:cs="微软雅黑"/>
          <w:lang w:eastAsia="zh-CN"/>
        </w:rPr>
        <w:t>项目招标（谈判、询价）采购结果，依据《中华人民共和国民法典》合同编及相关法律规定，达成如下货物购销合同：</w:t>
      </w:r>
    </w:p>
    <w:p w14:paraId="1B00DF79">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b/>
          <w:bCs/>
          <w:lang w:eastAsia="zh-CN"/>
        </w:rPr>
      </w:pPr>
      <w:r>
        <w:rPr>
          <w:rFonts w:hint="eastAsia" w:ascii="微软雅黑" w:hAnsi="微软雅黑" w:eastAsia="微软雅黑" w:cs="微软雅黑"/>
          <w:b/>
          <w:bCs/>
          <w:lang w:eastAsia="zh-CN"/>
        </w:rPr>
        <w:t>一、货物及其数量、金额：</w:t>
      </w:r>
    </w:p>
    <w:tbl>
      <w:tblPr>
        <w:tblStyle w:val="48"/>
        <w:tblW w:w="9720" w:type="dxa"/>
        <w:tblInd w:w="-432" w:type="dxa"/>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0"/>
        <w:gridCol w:w="4320"/>
        <w:gridCol w:w="1080"/>
        <w:gridCol w:w="1080"/>
        <w:gridCol w:w="1260"/>
      </w:tblGrid>
      <w:tr w14:paraId="6FC08F3B">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20" w:type="dxa"/>
            <w:tcBorders>
              <w:top w:val="single" w:color="auto" w:sz="4" w:space="0"/>
              <w:left w:val="single" w:color="auto" w:sz="4" w:space="0"/>
              <w:bottom w:val="single" w:color="auto" w:sz="4" w:space="0"/>
              <w:right w:val="single" w:color="auto" w:sz="4" w:space="0"/>
            </w:tcBorders>
            <w:shd w:val="clear" w:color="auto" w:fill="7F7F7F"/>
            <w:vAlign w:val="center"/>
          </w:tcPr>
          <w:p w14:paraId="18FF528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rPr>
            </w:pPr>
            <w:r>
              <w:rPr>
                <w:rFonts w:hint="eastAsia" w:ascii="微软雅黑" w:hAnsi="微软雅黑" w:eastAsia="微软雅黑" w:cs="微软雅黑"/>
                <w:b/>
              </w:rPr>
              <w:t>编号</w:t>
            </w:r>
          </w:p>
        </w:tc>
        <w:tc>
          <w:tcPr>
            <w:tcW w:w="1260" w:type="dxa"/>
            <w:tcBorders>
              <w:top w:val="single" w:color="auto" w:sz="4" w:space="0"/>
              <w:left w:val="single" w:color="auto" w:sz="4" w:space="0"/>
              <w:bottom w:val="single" w:color="auto" w:sz="4" w:space="0"/>
              <w:right w:val="single" w:color="auto" w:sz="4" w:space="0"/>
            </w:tcBorders>
            <w:shd w:val="clear" w:color="auto" w:fill="7F7F7F"/>
            <w:vAlign w:val="center"/>
          </w:tcPr>
          <w:p w14:paraId="71DA2669">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rPr>
            </w:pPr>
            <w:r>
              <w:rPr>
                <w:rFonts w:hint="eastAsia" w:ascii="微软雅黑" w:hAnsi="微软雅黑" w:eastAsia="微软雅黑" w:cs="微软雅黑"/>
                <w:b/>
              </w:rPr>
              <w:t>货物名称</w:t>
            </w:r>
          </w:p>
        </w:tc>
        <w:tc>
          <w:tcPr>
            <w:tcW w:w="4320" w:type="dxa"/>
            <w:tcBorders>
              <w:top w:val="single" w:color="auto" w:sz="4" w:space="0"/>
              <w:left w:val="single" w:color="auto" w:sz="4" w:space="0"/>
              <w:bottom w:val="single" w:color="auto" w:sz="4" w:space="0"/>
              <w:right w:val="single" w:color="auto" w:sz="4" w:space="0"/>
            </w:tcBorders>
            <w:shd w:val="clear" w:color="auto" w:fill="7F7F7F"/>
            <w:vAlign w:val="center"/>
          </w:tcPr>
          <w:p w14:paraId="381481A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rPr>
            </w:pPr>
            <w:r>
              <w:rPr>
                <w:rFonts w:hint="eastAsia" w:ascii="微软雅黑" w:hAnsi="微软雅黑" w:eastAsia="微软雅黑" w:cs="微软雅黑"/>
                <w:b/>
              </w:rPr>
              <w:t>规</w:t>
            </w:r>
            <w:r>
              <w:rPr>
                <w:rFonts w:hint="eastAsia" w:ascii="宋体" w:hAnsi="宋体"/>
                <w:b/>
              </w:rPr>
              <w:t xml:space="preserve"> </w:t>
            </w:r>
            <w:r>
              <w:rPr>
                <w:rFonts w:hint="eastAsia" w:ascii="微软雅黑" w:hAnsi="微软雅黑" w:eastAsia="微软雅黑" w:cs="微软雅黑"/>
                <w:b/>
              </w:rPr>
              <w:t>格</w:t>
            </w:r>
            <w:r>
              <w:rPr>
                <w:rFonts w:hint="eastAsia" w:ascii="宋体" w:hAnsi="宋体"/>
                <w:b/>
              </w:rPr>
              <w:t xml:space="preserve"> </w:t>
            </w:r>
            <w:r>
              <w:rPr>
                <w:rFonts w:hint="eastAsia" w:ascii="微软雅黑" w:hAnsi="微软雅黑" w:eastAsia="微软雅黑" w:cs="微软雅黑"/>
                <w:b/>
              </w:rPr>
              <w:t>型</w:t>
            </w:r>
            <w:r>
              <w:rPr>
                <w:rFonts w:hint="eastAsia" w:ascii="宋体" w:hAnsi="宋体"/>
                <w:b/>
              </w:rPr>
              <w:t xml:space="preserve"> </w:t>
            </w:r>
            <w:r>
              <w:rPr>
                <w:rFonts w:hint="eastAsia" w:ascii="微软雅黑" w:hAnsi="微软雅黑" w:eastAsia="微软雅黑" w:cs="微软雅黑"/>
                <w:b/>
              </w:rPr>
              <w:t>号（品牌）</w:t>
            </w:r>
          </w:p>
        </w:tc>
        <w:tc>
          <w:tcPr>
            <w:tcW w:w="1080" w:type="dxa"/>
            <w:tcBorders>
              <w:top w:val="single" w:color="auto" w:sz="4" w:space="0"/>
              <w:left w:val="single" w:color="auto" w:sz="4" w:space="0"/>
              <w:bottom w:val="single" w:color="auto" w:sz="4" w:space="0"/>
              <w:right w:val="single" w:color="auto" w:sz="4" w:space="0"/>
            </w:tcBorders>
            <w:shd w:val="clear" w:color="auto" w:fill="7F7F7F"/>
            <w:vAlign w:val="center"/>
          </w:tcPr>
          <w:p w14:paraId="17F166D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rPr>
            </w:pPr>
            <w:r>
              <w:rPr>
                <w:rFonts w:hint="eastAsia" w:ascii="微软雅黑" w:hAnsi="微软雅黑" w:eastAsia="微软雅黑" w:cs="微软雅黑"/>
                <w:b/>
              </w:rPr>
              <w:t>数量</w:t>
            </w:r>
          </w:p>
        </w:tc>
        <w:tc>
          <w:tcPr>
            <w:tcW w:w="1080" w:type="dxa"/>
            <w:tcBorders>
              <w:top w:val="single" w:color="auto" w:sz="4" w:space="0"/>
              <w:left w:val="single" w:color="auto" w:sz="4" w:space="0"/>
              <w:bottom w:val="single" w:color="auto" w:sz="4" w:space="0"/>
              <w:right w:val="single" w:color="auto" w:sz="4" w:space="0"/>
            </w:tcBorders>
            <w:shd w:val="clear" w:color="auto" w:fill="7F7F7F"/>
            <w:vAlign w:val="center"/>
          </w:tcPr>
          <w:p w14:paraId="73DFF26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rPr>
            </w:pPr>
            <w:r>
              <w:rPr>
                <w:rFonts w:hint="eastAsia" w:ascii="微软雅黑" w:hAnsi="微软雅黑" w:eastAsia="微软雅黑" w:cs="微软雅黑"/>
                <w:b/>
              </w:rPr>
              <w:t>单价（元）</w:t>
            </w:r>
          </w:p>
        </w:tc>
        <w:tc>
          <w:tcPr>
            <w:tcW w:w="1260" w:type="dxa"/>
            <w:tcBorders>
              <w:top w:val="single" w:color="auto" w:sz="4" w:space="0"/>
              <w:left w:val="nil"/>
              <w:bottom w:val="single" w:color="auto" w:sz="4" w:space="0"/>
              <w:right w:val="single" w:color="auto" w:sz="4" w:space="0"/>
            </w:tcBorders>
            <w:shd w:val="clear" w:color="auto" w:fill="7F7F7F"/>
            <w:vAlign w:val="center"/>
          </w:tcPr>
          <w:p w14:paraId="6E2B4AE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rPr>
            </w:pPr>
            <w:r>
              <w:rPr>
                <w:rFonts w:hint="eastAsia" w:ascii="微软雅黑" w:hAnsi="微软雅黑" w:eastAsia="微软雅黑" w:cs="微软雅黑"/>
                <w:b/>
              </w:rPr>
              <w:t>总价（元）</w:t>
            </w:r>
          </w:p>
        </w:tc>
      </w:tr>
      <w:tr w14:paraId="50B6DF5D">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677" w:hRule="atLeast"/>
        </w:trPr>
        <w:tc>
          <w:tcPr>
            <w:tcW w:w="720" w:type="dxa"/>
            <w:tcBorders>
              <w:top w:val="single" w:color="auto" w:sz="4" w:space="0"/>
              <w:left w:val="single" w:color="auto" w:sz="4" w:space="0"/>
              <w:bottom w:val="single" w:color="auto" w:sz="4" w:space="0"/>
              <w:right w:val="single" w:color="auto" w:sz="4" w:space="0"/>
            </w:tcBorders>
            <w:vAlign w:val="center"/>
          </w:tcPr>
          <w:p w14:paraId="6A21DA9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rPr>
            </w:pPr>
            <w:r>
              <w:rPr>
                <w:rFonts w:hint="eastAsia" w:ascii="宋体" w:hAnsi="宋体"/>
                <w:b/>
              </w:rPr>
              <w:t>1</w:t>
            </w:r>
          </w:p>
        </w:tc>
        <w:tc>
          <w:tcPr>
            <w:tcW w:w="1260" w:type="dxa"/>
            <w:tcBorders>
              <w:top w:val="single" w:color="auto" w:sz="4" w:space="0"/>
              <w:left w:val="single" w:color="auto" w:sz="4" w:space="0"/>
              <w:bottom w:val="single" w:color="auto" w:sz="4" w:space="0"/>
              <w:right w:val="single" w:color="auto" w:sz="4" w:space="0"/>
            </w:tcBorders>
            <w:vAlign w:val="center"/>
          </w:tcPr>
          <w:p w14:paraId="4C7BA6F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kern w:val="2"/>
              </w:rPr>
            </w:pPr>
          </w:p>
        </w:tc>
        <w:tc>
          <w:tcPr>
            <w:tcW w:w="4320" w:type="dxa"/>
            <w:tcBorders>
              <w:top w:val="single" w:color="auto" w:sz="4" w:space="0"/>
              <w:left w:val="single" w:color="auto" w:sz="4" w:space="0"/>
              <w:bottom w:val="single" w:color="auto" w:sz="4" w:space="0"/>
              <w:right w:val="single" w:color="auto" w:sz="4" w:space="0"/>
            </w:tcBorders>
            <w:vAlign w:val="center"/>
          </w:tcPr>
          <w:p w14:paraId="07AFA27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rPr>
            </w:pPr>
          </w:p>
        </w:tc>
        <w:tc>
          <w:tcPr>
            <w:tcW w:w="1080" w:type="dxa"/>
            <w:tcBorders>
              <w:top w:val="single" w:color="auto" w:sz="4" w:space="0"/>
              <w:left w:val="single" w:color="auto" w:sz="4" w:space="0"/>
              <w:bottom w:val="single" w:color="auto" w:sz="4" w:space="0"/>
              <w:right w:val="single" w:color="auto" w:sz="4" w:space="0"/>
            </w:tcBorders>
            <w:vAlign w:val="center"/>
          </w:tcPr>
          <w:p w14:paraId="04FEE2CB">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b/>
              </w:rPr>
            </w:pPr>
          </w:p>
        </w:tc>
        <w:tc>
          <w:tcPr>
            <w:tcW w:w="1080" w:type="dxa"/>
            <w:tcBorders>
              <w:top w:val="single" w:color="auto" w:sz="4" w:space="0"/>
              <w:left w:val="single" w:color="auto" w:sz="4" w:space="0"/>
              <w:bottom w:val="single" w:color="auto" w:sz="4" w:space="0"/>
              <w:right w:val="single" w:color="auto" w:sz="4" w:space="0"/>
            </w:tcBorders>
            <w:vAlign w:val="center"/>
          </w:tcPr>
          <w:p w14:paraId="27613A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b/>
                <w:kern w:val="2"/>
              </w:rPr>
            </w:pPr>
          </w:p>
        </w:tc>
        <w:tc>
          <w:tcPr>
            <w:tcW w:w="1260" w:type="dxa"/>
            <w:tcBorders>
              <w:top w:val="single" w:color="auto" w:sz="4" w:space="0"/>
              <w:left w:val="nil"/>
              <w:bottom w:val="single" w:color="auto" w:sz="4" w:space="0"/>
              <w:right w:val="single" w:color="auto" w:sz="4" w:space="0"/>
            </w:tcBorders>
            <w:vAlign w:val="center"/>
          </w:tcPr>
          <w:p w14:paraId="6B7F18A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rPr>
            </w:pPr>
          </w:p>
        </w:tc>
      </w:tr>
      <w:tr w14:paraId="0F6F9D6A">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Borders>
              <w:top w:val="single" w:color="auto" w:sz="4" w:space="0"/>
              <w:left w:val="single" w:color="auto" w:sz="4" w:space="0"/>
              <w:bottom w:val="single" w:color="auto" w:sz="4" w:space="0"/>
              <w:right w:val="single" w:color="auto" w:sz="4" w:space="0"/>
            </w:tcBorders>
            <w:vAlign w:val="center"/>
          </w:tcPr>
          <w:p w14:paraId="36D9082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rPr>
            </w:pPr>
            <w:r>
              <w:rPr>
                <w:rFonts w:hint="eastAsia" w:ascii="宋体" w:hAnsi="宋体"/>
                <w:b/>
              </w:rPr>
              <w:t>2</w:t>
            </w:r>
          </w:p>
        </w:tc>
        <w:tc>
          <w:tcPr>
            <w:tcW w:w="1260" w:type="dxa"/>
            <w:tcBorders>
              <w:top w:val="single" w:color="auto" w:sz="4" w:space="0"/>
              <w:left w:val="single" w:color="auto" w:sz="4" w:space="0"/>
              <w:bottom w:val="single" w:color="auto" w:sz="4" w:space="0"/>
              <w:right w:val="single" w:color="auto" w:sz="4" w:space="0"/>
            </w:tcBorders>
            <w:vAlign w:val="center"/>
          </w:tcPr>
          <w:p w14:paraId="34165F6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kern w:val="2"/>
              </w:rPr>
            </w:pPr>
          </w:p>
        </w:tc>
        <w:tc>
          <w:tcPr>
            <w:tcW w:w="4320" w:type="dxa"/>
            <w:tcBorders>
              <w:top w:val="single" w:color="auto" w:sz="4" w:space="0"/>
              <w:left w:val="single" w:color="auto" w:sz="4" w:space="0"/>
              <w:bottom w:val="single" w:color="auto" w:sz="4" w:space="0"/>
              <w:right w:val="single" w:color="auto" w:sz="4" w:space="0"/>
            </w:tcBorders>
            <w:vAlign w:val="center"/>
          </w:tcPr>
          <w:p w14:paraId="1B4F7A7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rPr>
            </w:pPr>
          </w:p>
        </w:tc>
        <w:tc>
          <w:tcPr>
            <w:tcW w:w="1080" w:type="dxa"/>
            <w:tcBorders>
              <w:top w:val="single" w:color="auto" w:sz="4" w:space="0"/>
              <w:left w:val="single" w:color="auto" w:sz="4" w:space="0"/>
              <w:bottom w:val="single" w:color="auto" w:sz="4" w:space="0"/>
              <w:right w:val="single" w:color="auto" w:sz="4" w:space="0"/>
            </w:tcBorders>
            <w:vAlign w:val="center"/>
          </w:tcPr>
          <w:p w14:paraId="55213242">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b/>
              </w:rPr>
            </w:pPr>
          </w:p>
        </w:tc>
        <w:tc>
          <w:tcPr>
            <w:tcW w:w="1080" w:type="dxa"/>
            <w:tcBorders>
              <w:top w:val="single" w:color="auto" w:sz="4" w:space="0"/>
              <w:left w:val="single" w:color="auto" w:sz="4" w:space="0"/>
              <w:bottom w:val="single" w:color="auto" w:sz="4" w:space="0"/>
              <w:right w:val="single" w:color="auto" w:sz="4" w:space="0"/>
            </w:tcBorders>
            <w:vAlign w:val="center"/>
          </w:tcPr>
          <w:p w14:paraId="01415069">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b/>
              </w:rPr>
            </w:pPr>
          </w:p>
        </w:tc>
        <w:tc>
          <w:tcPr>
            <w:tcW w:w="1260" w:type="dxa"/>
            <w:tcBorders>
              <w:top w:val="single" w:color="auto" w:sz="4" w:space="0"/>
              <w:left w:val="nil"/>
              <w:bottom w:val="single" w:color="auto" w:sz="4" w:space="0"/>
              <w:right w:val="single" w:color="auto" w:sz="4" w:space="0"/>
            </w:tcBorders>
            <w:vAlign w:val="center"/>
          </w:tcPr>
          <w:p w14:paraId="3162F8E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kern w:val="2"/>
              </w:rPr>
            </w:pPr>
          </w:p>
        </w:tc>
      </w:tr>
      <w:tr w14:paraId="77F50F28">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720" w:type="dxa"/>
            <w:tcBorders>
              <w:top w:val="single" w:color="auto" w:sz="4" w:space="0"/>
              <w:left w:val="single" w:color="auto" w:sz="4" w:space="0"/>
              <w:bottom w:val="single" w:color="auto" w:sz="4" w:space="0"/>
              <w:right w:val="single" w:color="auto" w:sz="4" w:space="0"/>
            </w:tcBorders>
            <w:vAlign w:val="center"/>
          </w:tcPr>
          <w:p w14:paraId="4D9C14A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rPr>
            </w:pPr>
            <w:r>
              <w:rPr>
                <w:rFonts w:hint="eastAsia" w:ascii="宋体" w:hAnsi="宋体"/>
                <w:b/>
              </w:rPr>
              <w:t>3</w:t>
            </w:r>
          </w:p>
        </w:tc>
        <w:tc>
          <w:tcPr>
            <w:tcW w:w="1260" w:type="dxa"/>
            <w:tcBorders>
              <w:top w:val="single" w:color="auto" w:sz="4" w:space="0"/>
              <w:left w:val="single" w:color="auto" w:sz="4" w:space="0"/>
              <w:bottom w:val="single" w:color="auto" w:sz="4" w:space="0"/>
              <w:right w:val="single" w:color="auto" w:sz="4" w:space="0"/>
            </w:tcBorders>
            <w:vAlign w:val="center"/>
          </w:tcPr>
          <w:p w14:paraId="61FB214C">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kern w:val="2"/>
              </w:rPr>
            </w:pPr>
          </w:p>
        </w:tc>
        <w:tc>
          <w:tcPr>
            <w:tcW w:w="4320" w:type="dxa"/>
            <w:tcBorders>
              <w:top w:val="single" w:color="auto" w:sz="4" w:space="0"/>
              <w:left w:val="single" w:color="auto" w:sz="4" w:space="0"/>
              <w:bottom w:val="single" w:color="auto" w:sz="4" w:space="0"/>
              <w:right w:val="single" w:color="auto" w:sz="4" w:space="0"/>
            </w:tcBorders>
            <w:vAlign w:val="center"/>
          </w:tcPr>
          <w:p w14:paraId="738C57E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b/>
              </w:rPr>
            </w:pPr>
          </w:p>
        </w:tc>
        <w:tc>
          <w:tcPr>
            <w:tcW w:w="1080" w:type="dxa"/>
            <w:tcBorders>
              <w:top w:val="single" w:color="auto" w:sz="4" w:space="0"/>
              <w:left w:val="single" w:color="auto" w:sz="4" w:space="0"/>
              <w:bottom w:val="single" w:color="auto" w:sz="4" w:space="0"/>
              <w:right w:val="single" w:color="auto" w:sz="4" w:space="0"/>
            </w:tcBorders>
            <w:vAlign w:val="center"/>
          </w:tcPr>
          <w:p w14:paraId="13B140F9">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b/>
              </w:rPr>
            </w:pPr>
          </w:p>
        </w:tc>
        <w:tc>
          <w:tcPr>
            <w:tcW w:w="1080" w:type="dxa"/>
            <w:tcBorders>
              <w:top w:val="single" w:color="auto" w:sz="4" w:space="0"/>
              <w:left w:val="single" w:color="auto" w:sz="4" w:space="0"/>
              <w:bottom w:val="single" w:color="auto" w:sz="4" w:space="0"/>
              <w:right w:val="single" w:color="auto" w:sz="4" w:space="0"/>
            </w:tcBorders>
            <w:vAlign w:val="center"/>
          </w:tcPr>
          <w:p w14:paraId="19B61F52">
            <w:pPr>
              <w:keepNext w:val="0"/>
              <w:keepLines w:val="0"/>
              <w:pageBreakBefore w:val="0"/>
              <w:widowControl w:val="0"/>
              <w:kinsoku/>
              <w:wordWrap/>
              <w:overflowPunct/>
              <w:topLinePunct w:val="0"/>
              <w:autoSpaceDE/>
              <w:autoSpaceDN/>
              <w:bidi w:val="0"/>
              <w:adjustRightInd/>
              <w:snapToGrid/>
              <w:spacing w:line="480" w:lineRule="exact"/>
              <w:ind w:firstLine="103" w:firstLineChars="49"/>
              <w:textAlignment w:val="auto"/>
              <w:rPr>
                <w:rFonts w:hint="eastAsia" w:ascii="宋体" w:hAnsi="宋体"/>
                <w:b/>
              </w:rPr>
            </w:pPr>
          </w:p>
        </w:tc>
        <w:tc>
          <w:tcPr>
            <w:tcW w:w="1260" w:type="dxa"/>
            <w:tcBorders>
              <w:top w:val="single" w:color="auto" w:sz="4" w:space="0"/>
              <w:left w:val="nil"/>
              <w:bottom w:val="single" w:color="auto" w:sz="4" w:space="0"/>
              <w:right w:val="single" w:color="auto" w:sz="4" w:space="0"/>
            </w:tcBorders>
            <w:vAlign w:val="center"/>
          </w:tcPr>
          <w:p w14:paraId="5DD9E8C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kern w:val="2"/>
              </w:rPr>
            </w:pPr>
          </w:p>
        </w:tc>
      </w:tr>
      <w:tr w14:paraId="410EF6AC">
        <w:tblPrEx>
          <w:tblBorders>
            <w:top w:val="single" w:color="auto" w:sz="18" w:space="0"/>
            <w:left w:val="single" w:color="auto" w:sz="18" w:space="0"/>
            <w:bottom w:val="single" w:color="auto" w:sz="18" w:space="0"/>
            <w:right w:val="single" w:color="auto" w:sz="18"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9720" w:type="dxa"/>
            <w:gridSpan w:val="6"/>
            <w:tcBorders>
              <w:top w:val="single" w:color="auto" w:sz="4" w:space="0"/>
              <w:left w:val="single" w:color="auto" w:sz="4" w:space="0"/>
              <w:bottom w:val="single" w:color="auto" w:sz="4" w:space="0"/>
              <w:right w:val="single" w:color="auto" w:sz="4" w:space="0"/>
            </w:tcBorders>
            <w:vAlign w:val="center"/>
          </w:tcPr>
          <w:p w14:paraId="5F0330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lang w:eastAsia="zh-CN"/>
              </w:rPr>
            </w:pPr>
            <w:r>
              <w:rPr>
                <w:rFonts w:hint="eastAsia" w:ascii="微软雅黑" w:hAnsi="微软雅黑" w:eastAsia="微软雅黑" w:cs="微软雅黑"/>
                <w:b/>
                <w:lang w:eastAsia="zh-CN"/>
              </w:rPr>
              <w:t>总价（人民币大写）：</w:t>
            </w:r>
            <w:r>
              <w:rPr>
                <w:rFonts w:hint="eastAsia" w:ascii="宋体" w:hAnsi="宋体"/>
                <w:b/>
                <w:lang w:eastAsia="zh-CN"/>
              </w:rPr>
              <w:t xml:space="preserve">                                     </w:t>
            </w:r>
            <w:r>
              <w:rPr>
                <w:rFonts w:hint="eastAsia" w:ascii="微软雅黑" w:hAnsi="微软雅黑" w:eastAsia="微软雅黑" w:cs="微软雅黑"/>
                <w:lang w:eastAsia="zh-CN"/>
              </w:rPr>
              <w:t>合计（小写）：</w:t>
            </w:r>
            <w:r>
              <w:rPr>
                <w:rFonts w:hint="eastAsia" w:ascii="宋体" w:hAnsi="宋体"/>
                <w:lang w:eastAsia="zh-CN"/>
              </w:rPr>
              <w:t xml:space="preserve">        </w:t>
            </w:r>
            <w:r>
              <w:rPr>
                <w:rFonts w:hint="eastAsia" w:ascii="微软雅黑" w:hAnsi="微软雅黑" w:eastAsia="微软雅黑" w:cs="微软雅黑"/>
                <w:lang w:eastAsia="zh-CN"/>
              </w:rPr>
              <w:t>元</w:t>
            </w:r>
          </w:p>
          <w:p w14:paraId="3D43189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lang w:eastAsia="zh-CN"/>
              </w:rPr>
            </w:pPr>
            <w:r>
              <w:rPr>
                <w:rFonts w:hint="eastAsia" w:ascii="微软雅黑" w:hAnsi="微软雅黑" w:eastAsia="微软雅黑" w:cs="微软雅黑"/>
                <w:lang w:eastAsia="zh-CN"/>
              </w:rPr>
              <w:t>本合同总价款是货物设计、制造、包装、仓储、运输、安装及验收合格之前以及</w:t>
            </w:r>
            <w:r>
              <w:rPr>
                <w:rFonts w:hint="eastAsia" w:ascii="微软雅黑" w:hAnsi="微软雅黑" w:eastAsia="微软雅黑" w:cs="微软雅黑"/>
                <w:lang w:val="en-US" w:eastAsia="zh-CN"/>
              </w:rPr>
              <w:t>质保</w:t>
            </w:r>
            <w:r>
              <w:rPr>
                <w:rFonts w:hint="eastAsia" w:ascii="微软雅黑" w:hAnsi="微软雅黑" w:eastAsia="微软雅黑" w:cs="微软雅黑"/>
                <w:lang w:eastAsia="zh-CN"/>
              </w:rPr>
              <w:t>期内备品备件发生的所有含税费用。本合同总价款还包含乙方应当提供的伴随服务</w:t>
            </w:r>
            <w:r>
              <w:rPr>
                <w:rFonts w:hint="eastAsia" w:ascii="宋体" w:hAnsi="宋体"/>
                <w:lang w:eastAsia="zh-CN"/>
              </w:rPr>
              <w:t>/</w:t>
            </w:r>
            <w:r>
              <w:rPr>
                <w:rFonts w:hint="eastAsia" w:ascii="微软雅黑" w:hAnsi="微软雅黑" w:eastAsia="微软雅黑" w:cs="微软雅黑"/>
                <w:lang w:eastAsia="zh-CN"/>
              </w:rPr>
              <w:t>售后服务费用。</w:t>
            </w:r>
          </w:p>
        </w:tc>
      </w:tr>
    </w:tbl>
    <w:p w14:paraId="02DAE9F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b/>
          <w:bCs/>
          <w:lang w:eastAsia="zh-CN"/>
        </w:rPr>
        <w:t>二、交货时间：</w:t>
      </w:r>
      <w:r>
        <w:rPr>
          <w:rFonts w:hint="eastAsia" w:ascii="微软雅黑" w:hAnsi="微软雅黑" w:eastAsia="微软雅黑" w:cs="微软雅黑"/>
          <w:lang w:eastAsia="zh-CN"/>
        </w:rPr>
        <w:t>合同签订后</w:t>
      </w:r>
      <w:r>
        <w:rPr>
          <w:rFonts w:hint="eastAsia" w:ascii="微软雅黑" w:hAnsi="微软雅黑" w:eastAsia="微软雅黑" w:cs="微软雅黑"/>
          <w:u w:val="single"/>
          <w:lang w:val="en-US" w:eastAsia="zh-CN"/>
        </w:rPr>
        <w:t xml:space="preserve">       </w:t>
      </w:r>
      <w:r>
        <w:rPr>
          <w:rFonts w:hint="eastAsia" w:ascii="微软雅黑" w:hAnsi="微软雅黑" w:eastAsia="微软雅黑" w:cs="微软雅黑"/>
          <w:lang w:eastAsia="zh-CN"/>
        </w:rPr>
        <w:t>个工作日内按照甲方要求完成项目生产、安装、调试。如因</w:t>
      </w:r>
      <w:r>
        <w:rPr>
          <w:rFonts w:hint="eastAsia" w:ascii="微软雅黑" w:hAnsi="微软雅黑" w:eastAsia="微软雅黑" w:cs="微软雅黑"/>
          <w:lang w:val="en-US" w:eastAsia="zh-CN"/>
        </w:rPr>
        <w:t>乙方</w:t>
      </w:r>
      <w:r>
        <w:rPr>
          <w:rFonts w:hint="eastAsia" w:ascii="微软雅黑" w:hAnsi="微软雅黑" w:eastAsia="微软雅黑" w:cs="微软雅黑"/>
          <w:lang w:eastAsia="zh-CN"/>
        </w:rPr>
        <w:t>责任而造成安装调试的延期，因延期而产生的所有费用由</w:t>
      </w:r>
      <w:r>
        <w:rPr>
          <w:rFonts w:hint="eastAsia" w:ascii="微软雅黑" w:hAnsi="微软雅黑" w:eastAsia="微软雅黑" w:cs="微软雅黑"/>
          <w:lang w:val="en-US" w:eastAsia="zh-CN"/>
        </w:rPr>
        <w:t>乙方</w:t>
      </w:r>
      <w:r>
        <w:rPr>
          <w:rFonts w:hint="eastAsia" w:ascii="微软雅黑" w:hAnsi="微软雅黑" w:eastAsia="微软雅黑" w:cs="微软雅黑"/>
          <w:lang w:eastAsia="zh-CN"/>
        </w:rPr>
        <w:t>承担。</w:t>
      </w:r>
    </w:p>
    <w:p w14:paraId="497FE45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b/>
          <w:bCs/>
          <w:lang w:eastAsia="zh-CN"/>
        </w:rPr>
        <w:t>三、交货地点：</w:t>
      </w:r>
      <w:r>
        <w:rPr>
          <w:rFonts w:hint="eastAsia" w:ascii="微软雅黑" w:hAnsi="微软雅黑" w:eastAsia="微软雅黑" w:cs="微软雅黑"/>
          <w:lang w:eastAsia="zh-CN"/>
        </w:rPr>
        <w:t>由乙方负责运输，送至甲方校区内指定地点，</w:t>
      </w:r>
      <w:r>
        <w:rPr>
          <w:rFonts w:hint="eastAsia" w:ascii="微软雅黑" w:hAnsi="微软雅黑" w:eastAsia="微软雅黑" w:cs="微软雅黑"/>
          <w:lang w:val="en-US" w:eastAsia="zh-CN"/>
        </w:rPr>
        <w:t>运输费用由乙方承担</w:t>
      </w:r>
      <w:r>
        <w:rPr>
          <w:rFonts w:hint="eastAsia" w:ascii="微软雅黑" w:hAnsi="微软雅黑" w:eastAsia="微软雅黑" w:cs="微软雅黑"/>
          <w:lang w:eastAsia="zh-CN"/>
        </w:rPr>
        <w:t>。货物运输至甲方校区前的灭失风险由乙方承担。</w:t>
      </w:r>
    </w:p>
    <w:p w14:paraId="3168BB6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u w:val="single"/>
          <w:lang w:eastAsia="zh-CN"/>
        </w:rPr>
      </w:pPr>
      <w:r>
        <w:rPr>
          <w:rFonts w:hint="eastAsia" w:ascii="微软雅黑" w:hAnsi="微软雅黑" w:eastAsia="微软雅黑" w:cs="微软雅黑"/>
          <w:b/>
          <w:bCs/>
          <w:lang w:eastAsia="zh-CN"/>
        </w:rPr>
        <w:t>四、付款方式：</w:t>
      </w:r>
      <w:r>
        <w:rPr>
          <w:rFonts w:hint="eastAsia" w:ascii="微软雅黑" w:hAnsi="微软雅黑" w:eastAsia="微软雅黑" w:cs="微软雅黑"/>
          <w:u w:val="single"/>
          <w:lang w:eastAsia="zh-CN"/>
        </w:rPr>
        <w:t>本采购项目无预付款，安装结束，经甲乙双方共同验收合格后，付至合同总额的90%。壹年后无质量问题，余额无息结清。甲方付款前乙方需提供合法、有效、等额的增值税专用发票，否则，甲方有权拒付相应款项。</w:t>
      </w:r>
      <w:r>
        <w:rPr>
          <w:rFonts w:ascii="微软雅黑" w:hAnsi="微软雅黑" w:eastAsia="微软雅黑" w:cs="微软雅黑"/>
          <w:u w:val="single"/>
          <w:lang w:eastAsia="zh-CN"/>
        </w:rPr>
        <w:t xml:space="preserve">                                                                </w:t>
      </w:r>
      <w:r>
        <w:rPr>
          <w:rFonts w:hint="eastAsia" w:ascii="宋体" w:hAnsi="宋体"/>
          <w:u w:val="single"/>
          <w:lang w:eastAsia="zh-CN"/>
        </w:rPr>
        <w:t xml:space="preserve"> </w:t>
      </w:r>
    </w:p>
    <w:p w14:paraId="48CEA676">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lang w:eastAsia="zh-CN"/>
        </w:rPr>
      </w:pPr>
      <w:r>
        <w:rPr>
          <w:rFonts w:hint="eastAsia" w:ascii="微软雅黑" w:hAnsi="微软雅黑" w:eastAsia="微软雅黑" w:cs="微软雅黑"/>
          <w:b/>
          <w:bCs/>
          <w:lang w:eastAsia="zh-CN"/>
        </w:rPr>
        <w:t>五、质保期：</w:t>
      </w:r>
      <w:r>
        <w:rPr>
          <w:rFonts w:hint="eastAsia" w:ascii="宋体" w:hAnsi="宋体"/>
          <w:u w:val="single"/>
          <w:lang w:eastAsia="zh-CN"/>
        </w:rPr>
        <w:t xml:space="preserve">    </w:t>
      </w:r>
      <w:r>
        <w:rPr>
          <w:rFonts w:hint="eastAsia" w:ascii="微软雅黑" w:hAnsi="微软雅黑" w:eastAsia="微软雅黑" w:cs="微软雅黑"/>
          <w:lang w:eastAsia="zh-CN"/>
        </w:rPr>
        <w:t>年（自验收合格之日起计。所有货物保修服务方式均为乙方派员到货物使用现场维修，由此产生的一切费用均由乙方承担。）</w:t>
      </w:r>
    </w:p>
    <w:p w14:paraId="600C91A6">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b/>
          <w:bCs/>
          <w:lang w:eastAsia="zh-CN"/>
        </w:rPr>
      </w:pPr>
      <w:r>
        <w:rPr>
          <w:rFonts w:hint="eastAsia" w:ascii="微软雅黑" w:hAnsi="微软雅黑" w:eastAsia="微软雅黑" w:cs="微软雅黑"/>
          <w:b/>
          <w:bCs/>
          <w:lang w:eastAsia="zh-CN"/>
        </w:rPr>
        <w:t>六、质量要求、技术标准、乙方对质量负责的条件和期限：</w:t>
      </w:r>
    </w:p>
    <w:p w14:paraId="1E09D91D">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宋体" w:hAnsi="宋体"/>
          <w:lang w:eastAsia="zh-CN"/>
        </w:rPr>
        <w:t>1.</w:t>
      </w:r>
      <w:r>
        <w:rPr>
          <w:rFonts w:hint="eastAsia" w:ascii="微软雅黑" w:hAnsi="微软雅黑" w:eastAsia="微软雅黑" w:cs="微软雅黑"/>
          <w:lang w:eastAsia="zh-CN"/>
        </w:rPr>
        <w:t>乙方所提供的货物，若技术性能无特殊说明，则按生产企业或国家有关部门最新颁布的标准及规范为准。</w:t>
      </w:r>
    </w:p>
    <w:p w14:paraId="09D6DA28">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宋体" w:hAnsi="宋体"/>
          <w:lang w:eastAsia="zh-CN"/>
        </w:rPr>
        <w:t>2.</w:t>
      </w:r>
      <w:r>
        <w:rPr>
          <w:rFonts w:hint="eastAsia" w:ascii="微软雅黑" w:hAnsi="微软雅黑" w:eastAsia="微软雅黑" w:cs="微软雅黑"/>
          <w:lang w:eastAsia="zh-CN"/>
        </w:rPr>
        <w:t>乙方应保证货物是全新、未使用过的原装合格正品，并完全符合生产企业或国家规定的质量、规格和性能的要求。货物验收后，在质量保证期内，乙方应对由于设计、工艺或材料的缺陷所发生的任何不足或故障负责，所需费用由乙方承担。</w:t>
      </w:r>
    </w:p>
    <w:p w14:paraId="6F5C596D">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微软雅黑" w:hAnsi="微软雅黑" w:eastAsia="微软雅黑" w:cs="微软雅黑"/>
          <w:b/>
          <w:bCs/>
          <w:lang w:eastAsia="zh-CN"/>
        </w:rPr>
      </w:pPr>
      <w:r>
        <w:rPr>
          <w:rFonts w:hint="eastAsia" w:ascii="微软雅黑" w:hAnsi="微软雅黑" w:eastAsia="微软雅黑" w:cs="微软雅黑"/>
          <w:b/>
          <w:bCs/>
          <w:lang w:eastAsia="zh-CN"/>
        </w:rPr>
        <w:t>七、验收标准：</w:t>
      </w:r>
    </w:p>
    <w:p w14:paraId="6742445C">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微软雅黑" w:hAnsi="微软雅黑" w:eastAsia="微软雅黑" w:cs="微软雅黑"/>
          <w:lang w:eastAsia="zh-CN"/>
        </w:rPr>
        <w:t>乙方送货至甲方指定地点，甲方依据招标文件要求、乙方投标文件响应内容及有关质量标准进行验收。验收合格方可安装，验收不合格乙方须重新供货直至验收合格。</w:t>
      </w:r>
    </w:p>
    <w:p w14:paraId="3C0763CC">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b/>
          <w:bCs/>
          <w:lang w:eastAsia="zh-CN"/>
        </w:rPr>
      </w:pPr>
      <w:r>
        <w:rPr>
          <w:rFonts w:hint="eastAsia" w:ascii="微软雅黑" w:hAnsi="微软雅黑" w:eastAsia="微软雅黑" w:cs="微软雅黑"/>
          <w:b/>
          <w:bCs/>
          <w:lang w:eastAsia="zh-CN"/>
        </w:rPr>
        <w:t>八、工程部分（两万元以上）需按南京邮电大学审计相关规定执行。</w:t>
      </w:r>
    </w:p>
    <w:p w14:paraId="47EEB925">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b/>
          <w:bCs/>
          <w:lang w:eastAsia="zh-CN"/>
        </w:rPr>
      </w:pPr>
      <w:r>
        <w:rPr>
          <w:rFonts w:hint="eastAsia" w:ascii="微软雅黑" w:hAnsi="微软雅黑" w:eastAsia="微软雅黑" w:cs="微软雅黑"/>
          <w:b/>
          <w:bCs/>
          <w:lang w:eastAsia="zh-CN"/>
        </w:rPr>
        <w:t>九、招投标文件为本合同的附件，与本合同具有同等法律效力（本条款适用于招投标项目）。甲乙双方商定的其他必要文件，附件与本合同不相符合之处，以本合同内容为准。上述文件内容互为补充。</w:t>
      </w:r>
    </w:p>
    <w:p w14:paraId="160D8A2C">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b/>
          <w:bCs/>
          <w:lang w:eastAsia="zh-CN"/>
        </w:rPr>
      </w:pPr>
      <w:r>
        <w:rPr>
          <w:rFonts w:hint="eastAsia" w:ascii="微软雅黑" w:hAnsi="微软雅黑" w:eastAsia="微软雅黑" w:cs="微软雅黑"/>
          <w:b/>
          <w:bCs/>
          <w:lang w:eastAsia="zh-CN"/>
        </w:rPr>
        <w:t>十、违约责任</w:t>
      </w:r>
    </w:p>
    <w:p w14:paraId="1071422C">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宋体" w:hAnsi="宋体"/>
          <w:lang w:eastAsia="zh-CN"/>
        </w:rPr>
        <w:t>1.</w:t>
      </w:r>
      <w:r>
        <w:rPr>
          <w:rFonts w:hint="eastAsia" w:ascii="微软雅黑" w:hAnsi="微软雅黑" w:eastAsia="微软雅黑" w:cs="微软雅黑"/>
          <w:lang w:eastAsia="zh-CN"/>
        </w:rPr>
        <w:t>甲方无正当理由拒收货物、拒付货物款的，由甲方向乙方偿付合同总价的</w:t>
      </w:r>
      <w:r>
        <w:rPr>
          <w:rFonts w:hint="eastAsia" w:ascii="宋体" w:hAnsi="宋体"/>
          <w:lang w:eastAsia="zh-CN"/>
        </w:rPr>
        <w:t>5%</w:t>
      </w:r>
      <w:r>
        <w:rPr>
          <w:rFonts w:hint="eastAsia" w:ascii="微软雅黑" w:hAnsi="微软雅黑" w:eastAsia="微软雅黑" w:cs="微软雅黑"/>
          <w:lang w:eastAsia="zh-CN"/>
        </w:rPr>
        <w:t>违约金。如乙方不能交付货物，乙方应向甲方支付合同总价5％的违约金。</w:t>
      </w:r>
    </w:p>
    <w:p w14:paraId="1FB1AC0E">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宋体" w:hAnsi="宋体"/>
          <w:lang w:eastAsia="zh-CN"/>
        </w:rPr>
        <w:t>2.</w:t>
      </w:r>
      <w:r>
        <w:rPr>
          <w:rFonts w:hint="eastAsia" w:ascii="微软雅黑" w:hAnsi="微软雅黑" w:eastAsia="微软雅黑" w:cs="微软雅黑"/>
          <w:lang w:eastAsia="zh-CN"/>
        </w:rPr>
        <w:t>乙方逾期交付货物的，乙方应按逾期交货总额每日千分之五向甲方支付违约金，由甲方从待付货款中扣除。逾期超过约定日期</w:t>
      </w:r>
      <w:r>
        <w:rPr>
          <w:rFonts w:hint="eastAsia" w:ascii="宋体" w:hAnsi="宋体"/>
          <w:lang w:eastAsia="zh-CN"/>
        </w:rPr>
        <w:t>30</w:t>
      </w:r>
      <w:r>
        <w:rPr>
          <w:rFonts w:hint="eastAsia" w:ascii="微软雅黑" w:hAnsi="微软雅黑" w:eastAsia="微软雅黑" w:cs="微软雅黑"/>
          <w:lang w:eastAsia="zh-CN"/>
        </w:rPr>
        <w:t>个工作日不能交货的，甲方可解除本合同。乙方因逾期交货或因其他违约行为导致甲方解除合同的，乙方应向甲方支付合同总值</w:t>
      </w:r>
      <w:r>
        <w:rPr>
          <w:rFonts w:hint="eastAsia" w:ascii="宋体" w:hAnsi="宋体"/>
          <w:lang w:eastAsia="zh-CN"/>
        </w:rPr>
        <w:t>5%</w:t>
      </w:r>
      <w:r>
        <w:rPr>
          <w:rFonts w:hint="eastAsia" w:ascii="微软雅黑" w:hAnsi="微软雅黑" w:eastAsia="微软雅黑" w:cs="微软雅黑"/>
          <w:lang w:eastAsia="zh-CN"/>
        </w:rPr>
        <w:t>的违约金，如造成甲方损失超过违约金的，超出部分由乙方继续承担赔偿责任。</w:t>
      </w:r>
      <w:r>
        <w:rPr>
          <w:rFonts w:hint="eastAsia" w:ascii="宋体" w:hAnsi="宋体"/>
          <w:lang w:eastAsia="zh-CN"/>
        </w:rPr>
        <w:t xml:space="preserve"> </w:t>
      </w:r>
    </w:p>
    <w:p w14:paraId="0157F4BE">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宋体" w:hAnsi="宋体"/>
          <w:lang w:eastAsia="zh-CN"/>
        </w:rPr>
        <w:t>3.</w:t>
      </w:r>
      <w:r>
        <w:rPr>
          <w:rFonts w:hint="eastAsia" w:ascii="微软雅黑" w:hAnsi="微软雅黑" w:eastAsia="微软雅黑" w:cs="微软雅黑"/>
          <w:lang w:eastAsia="zh-CN"/>
        </w:rPr>
        <w:t>乙方所交的货物品种、型号、规格、技术参数、质量不符合合同规定及招标文件规定标准的，甲方有权拒收该货物，乙方愿意更换货物但逾期交货的，按乙方逾期交货处理。乙方拒绝更换货物的，甲方可单方面解除合同。</w:t>
      </w:r>
    </w:p>
    <w:p w14:paraId="2F7CF2AE">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宋体" w:hAnsi="宋体"/>
          <w:lang w:eastAsia="zh-CN"/>
        </w:rPr>
        <w:t>4.</w:t>
      </w:r>
      <w:r>
        <w:rPr>
          <w:rFonts w:hint="eastAsia" w:ascii="微软雅黑" w:hAnsi="微软雅黑" w:eastAsia="微软雅黑" w:cs="微软雅黑"/>
          <w:lang w:eastAsia="zh-CN"/>
        </w:rPr>
        <w:t>在乙方承诺的或国家规定的质量保证期内（取两者中最长的期限），如经乙方两次维修或更换，货物仍不能达到合同约定的质量标准，甲方有权退货，乙方应退回全部货款。同时，乙方还须赔偿甲方因此遭受的损失。</w:t>
      </w:r>
    </w:p>
    <w:p w14:paraId="7F6AAD80">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ascii="宋体" w:hAnsi="宋体" w:eastAsiaTheme="minorEastAsia"/>
          <w:b/>
          <w:bCs/>
          <w:lang w:eastAsia="zh-CN"/>
        </w:rPr>
      </w:pPr>
      <w:r>
        <w:rPr>
          <w:rFonts w:hint="eastAsia" w:ascii="微软雅黑" w:hAnsi="微软雅黑" w:eastAsia="微软雅黑" w:cs="微软雅黑"/>
          <w:b/>
          <w:bCs/>
          <w:lang w:eastAsia="zh-CN"/>
        </w:rPr>
        <w:t>十一、</w:t>
      </w:r>
      <w:r>
        <w:rPr>
          <w:rFonts w:hint="eastAsia" w:ascii="宋体" w:hAnsi="宋体"/>
          <w:b/>
          <w:bCs/>
          <w:lang w:eastAsia="zh-CN"/>
        </w:rPr>
        <w:t xml:space="preserve"> </w:t>
      </w:r>
      <w:r>
        <w:rPr>
          <w:rFonts w:hint="eastAsia" w:ascii="微软雅黑" w:hAnsi="微软雅黑" w:eastAsia="微软雅黑" w:cs="微软雅黑"/>
          <w:b/>
          <w:bCs/>
          <w:lang w:eastAsia="zh-CN"/>
        </w:rPr>
        <w:t>合同的变更和终止</w:t>
      </w:r>
    </w:p>
    <w:p w14:paraId="68EE343B">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微软雅黑" w:hAnsi="微软雅黑" w:eastAsia="微软雅黑" w:cs="微软雅黑"/>
          <w:lang w:eastAsia="zh-CN"/>
        </w:rPr>
        <w:t>依据《政府采购法》第五十条，本合同一经签订，甲乙双方不得擅自变更、中止或终止合同。</w:t>
      </w:r>
    </w:p>
    <w:p w14:paraId="10CC09C3">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b/>
          <w:bCs/>
          <w:lang w:eastAsia="zh-CN"/>
        </w:rPr>
      </w:pPr>
      <w:r>
        <w:rPr>
          <w:rFonts w:hint="eastAsia" w:ascii="微软雅黑" w:hAnsi="微软雅黑" w:eastAsia="微软雅黑" w:cs="微软雅黑"/>
          <w:b/>
          <w:bCs/>
          <w:lang w:eastAsia="zh-CN"/>
        </w:rPr>
        <w:t>十二、合同的转让</w:t>
      </w:r>
    </w:p>
    <w:p w14:paraId="4E79C072">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微软雅黑" w:hAnsi="微软雅黑" w:eastAsia="微软雅黑" w:cs="微软雅黑"/>
          <w:lang w:eastAsia="zh-CN"/>
        </w:rPr>
        <w:t>乙方不得擅自部分或全部转让其应履行的合同义务。</w:t>
      </w:r>
    </w:p>
    <w:p w14:paraId="355F7116">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b/>
          <w:bCs/>
          <w:lang w:eastAsia="zh-CN"/>
        </w:rPr>
      </w:pPr>
      <w:r>
        <w:rPr>
          <w:rFonts w:hint="eastAsia" w:ascii="微软雅黑" w:hAnsi="微软雅黑" w:eastAsia="微软雅黑" w:cs="微软雅黑"/>
          <w:b/>
          <w:bCs/>
          <w:lang w:eastAsia="zh-CN"/>
        </w:rPr>
        <w:t>十三、</w:t>
      </w:r>
      <w:r>
        <w:rPr>
          <w:rFonts w:hint="eastAsia" w:ascii="宋体" w:hAnsi="宋体"/>
          <w:b/>
          <w:bCs/>
          <w:lang w:eastAsia="zh-CN"/>
        </w:rPr>
        <w:t xml:space="preserve"> </w:t>
      </w:r>
      <w:r>
        <w:rPr>
          <w:rFonts w:hint="eastAsia" w:ascii="微软雅黑" w:hAnsi="微软雅黑" w:eastAsia="微软雅黑" w:cs="微软雅黑"/>
          <w:b/>
          <w:bCs/>
          <w:lang w:eastAsia="zh-CN"/>
        </w:rPr>
        <w:t>争议的解决</w:t>
      </w:r>
    </w:p>
    <w:p w14:paraId="6C04B575">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宋体" w:hAnsi="宋体"/>
          <w:lang w:eastAsia="zh-CN"/>
        </w:rPr>
        <w:t>1.</w:t>
      </w:r>
      <w:r>
        <w:rPr>
          <w:rFonts w:hint="eastAsia" w:ascii="微软雅黑" w:hAnsi="微软雅黑" w:eastAsia="微软雅黑" w:cs="微软雅黑"/>
          <w:lang w:eastAsia="zh-CN"/>
        </w:rPr>
        <w:t>因货物的质量问题发生争议的，应当邀请国家认可的质量检测机构对货物质量进行鉴定。货物符合标准的，鉴定费由甲方承担；货物不符合质量标准的，鉴定费由乙方承担、并更换有问题商品或部件。</w:t>
      </w:r>
    </w:p>
    <w:p w14:paraId="3796CE9B">
      <w:pPr>
        <w:keepNext w:val="0"/>
        <w:keepLines w:val="0"/>
        <w:pageBreakBefore w:val="0"/>
        <w:widowControl w:val="0"/>
        <w:kinsoku/>
        <w:wordWrap/>
        <w:overflowPunct/>
        <w:topLinePunct w:val="0"/>
        <w:autoSpaceDE/>
        <w:autoSpaceDN/>
        <w:bidi w:val="0"/>
        <w:adjustRightInd/>
        <w:snapToGrid/>
        <w:spacing w:before="19" w:line="480" w:lineRule="exact"/>
        <w:ind w:firstLine="420" w:firstLineChars="200"/>
        <w:textAlignment w:val="auto"/>
        <w:rPr>
          <w:rFonts w:hint="eastAsia" w:ascii="宋体" w:hAnsi="宋体"/>
          <w:lang w:eastAsia="zh-CN"/>
        </w:rPr>
      </w:pPr>
      <w:r>
        <w:rPr>
          <w:rFonts w:hint="eastAsia" w:ascii="宋体" w:hAnsi="宋体"/>
          <w:lang w:eastAsia="zh-CN"/>
        </w:rPr>
        <w:t>2.</w:t>
      </w:r>
      <w:r>
        <w:rPr>
          <w:rFonts w:hint="eastAsia" w:ascii="微软雅黑" w:hAnsi="微软雅黑" w:eastAsia="微软雅黑" w:cs="微软雅黑"/>
          <w:lang w:eastAsia="zh-CN"/>
        </w:rPr>
        <w:t>因履行本合同引起的或与本合同有关的争议，甲、乙双方应首先通过友好协商解决，如果协商不能解决争议，任何一方均可向甲方所在地人民法院起诉解决。</w:t>
      </w:r>
    </w:p>
    <w:p w14:paraId="4E2C1FD0">
      <w:pPr>
        <w:keepNext w:val="0"/>
        <w:keepLines w:val="0"/>
        <w:pageBreakBefore w:val="0"/>
        <w:widowControl w:val="0"/>
        <w:kinsoku/>
        <w:wordWrap/>
        <w:overflowPunct/>
        <w:topLinePunct w:val="0"/>
        <w:autoSpaceDE/>
        <w:autoSpaceDN/>
        <w:bidi w:val="0"/>
        <w:adjustRightInd/>
        <w:snapToGrid/>
        <w:spacing w:before="19" w:line="480" w:lineRule="exact"/>
        <w:textAlignment w:val="auto"/>
        <w:rPr>
          <w:rFonts w:hint="eastAsia" w:ascii="宋体" w:hAnsi="宋体"/>
          <w:b/>
          <w:bCs/>
          <w:lang w:eastAsia="zh-CN"/>
        </w:rPr>
      </w:pPr>
      <w:r>
        <w:rPr>
          <w:rFonts w:hint="eastAsia" w:ascii="微软雅黑" w:hAnsi="微软雅黑" w:eastAsia="微软雅黑" w:cs="微软雅黑"/>
          <w:b/>
          <w:bCs/>
          <w:lang w:eastAsia="zh-CN"/>
        </w:rPr>
        <w:t>十</w:t>
      </w:r>
      <w:r>
        <w:rPr>
          <w:rFonts w:hint="eastAsia" w:ascii="微软雅黑" w:hAnsi="微软雅黑" w:eastAsia="微软雅黑" w:cs="微软雅黑"/>
          <w:b/>
          <w:bCs/>
          <w:lang w:val="en-US" w:eastAsia="zh-CN"/>
        </w:rPr>
        <w:t>四</w:t>
      </w:r>
      <w:r>
        <w:rPr>
          <w:rFonts w:hint="eastAsia" w:ascii="微软雅黑" w:hAnsi="微软雅黑" w:eastAsia="微软雅黑" w:cs="微软雅黑"/>
          <w:b/>
          <w:bCs/>
          <w:lang w:eastAsia="zh-CN"/>
        </w:rPr>
        <w:t>、本合同由甲、乙双方共同签订，合同一式陆份，甲方伍份、乙方壹份。自双方签字、盖章之日起生效。</w:t>
      </w:r>
    </w:p>
    <w:tbl>
      <w:tblPr>
        <w:tblStyle w:val="48"/>
        <w:tblW w:w="0" w:type="auto"/>
        <w:tblInd w:w="-108" w:type="dxa"/>
        <w:tblLayout w:type="autofit"/>
        <w:tblCellMar>
          <w:top w:w="0" w:type="dxa"/>
          <w:left w:w="108" w:type="dxa"/>
          <w:bottom w:w="0" w:type="dxa"/>
          <w:right w:w="108" w:type="dxa"/>
        </w:tblCellMar>
      </w:tblPr>
      <w:tblGrid>
        <w:gridCol w:w="4801"/>
        <w:gridCol w:w="3829"/>
      </w:tblGrid>
      <w:tr w14:paraId="2BACF294">
        <w:tblPrEx>
          <w:tblCellMar>
            <w:top w:w="0" w:type="dxa"/>
            <w:left w:w="108" w:type="dxa"/>
            <w:bottom w:w="0" w:type="dxa"/>
            <w:right w:w="108" w:type="dxa"/>
          </w:tblCellMar>
        </w:tblPrEx>
        <w:tc>
          <w:tcPr>
            <w:tcW w:w="5074" w:type="dxa"/>
          </w:tcPr>
          <w:p w14:paraId="0964614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甲方                                        </w:t>
            </w:r>
          </w:p>
          <w:p w14:paraId="30B3C1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单位名称：南京邮电大学通达学院              </w:t>
            </w:r>
          </w:p>
          <w:p w14:paraId="24F9D8C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单位地址：扬州市润扬南路33号               </w:t>
            </w:r>
          </w:p>
          <w:p w14:paraId="48CB54D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法定代表人：                                </w:t>
            </w:r>
          </w:p>
          <w:p w14:paraId="6747153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委托代理人（签字）：                         </w:t>
            </w:r>
          </w:p>
          <w:p w14:paraId="1EFFA01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联系电话：                                  </w:t>
            </w:r>
          </w:p>
          <w:p w14:paraId="03444AB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开户银行：</w:t>
            </w:r>
            <w:r>
              <w:rPr>
                <w:rFonts w:hint="eastAsia" w:ascii="微软雅黑" w:hAnsi="微软雅黑" w:eastAsia="微软雅黑" w:cs="微软雅黑"/>
                <w:lang w:val="en-US" w:eastAsia="zh-CN"/>
              </w:rPr>
              <w:t>江苏银行扬州东城支行</w:t>
            </w:r>
            <w:r>
              <w:rPr>
                <w:rFonts w:hint="eastAsia" w:ascii="微软雅黑" w:hAnsi="微软雅黑" w:eastAsia="微软雅黑" w:cs="微软雅黑"/>
                <w:lang w:eastAsia="zh-CN"/>
              </w:rPr>
              <w:t xml:space="preserve"> </w:t>
            </w:r>
          </w:p>
          <w:p w14:paraId="21572A96">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户名：南京邮电大学通达学院                  </w:t>
            </w:r>
          </w:p>
          <w:p w14:paraId="18834E31">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账号：</w:t>
            </w:r>
            <w:r>
              <w:rPr>
                <w:rFonts w:hint="eastAsia" w:ascii="微软雅黑" w:hAnsi="微软雅黑" w:eastAsia="微软雅黑" w:cs="微软雅黑"/>
                <w:lang w:val="en-US" w:eastAsia="zh-CN"/>
              </w:rPr>
              <w:t>90150188000177163</w:t>
            </w:r>
          </w:p>
          <w:p w14:paraId="0BDC3D0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税号：52320000509200179F                    </w:t>
            </w:r>
          </w:p>
          <w:p w14:paraId="216E9502">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电话：0514-8971608</w:t>
            </w:r>
            <w:r>
              <w:rPr>
                <w:rFonts w:hint="eastAsia" w:ascii="微软雅黑" w:hAnsi="微软雅黑" w:eastAsia="微软雅黑" w:cs="微软雅黑"/>
                <w:lang w:val="en-US" w:eastAsia="zh-CN"/>
              </w:rPr>
              <w:t>3</w:t>
            </w:r>
            <w:r>
              <w:rPr>
                <w:rFonts w:hint="eastAsia" w:ascii="微软雅黑" w:hAnsi="微软雅黑" w:eastAsia="微软雅黑" w:cs="微软雅黑"/>
                <w:lang w:eastAsia="zh-CN"/>
              </w:rPr>
              <w:t xml:space="preserve">                         </w:t>
            </w:r>
          </w:p>
          <w:p w14:paraId="035410E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p>
          <w:p w14:paraId="348851B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签约日期（即合同生效日期）：    年   月    日</w:t>
            </w:r>
          </w:p>
        </w:tc>
        <w:tc>
          <w:tcPr>
            <w:tcW w:w="4183" w:type="dxa"/>
          </w:tcPr>
          <w:p w14:paraId="6F5DBBC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乙方</w:t>
            </w:r>
          </w:p>
          <w:p w14:paraId="2902BA9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单位名称：</w:t>
            </w:r>
          </w:p>
          <w:p w14:paraId="36F52D1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单位地址：</w:t>
            </w:r>
          </w:p>
          <w:p w14:paraId="7C29A14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法定代表人：</w:t>
            </w:r>
          </w:p>
          <w:p w14:paraId="473C5D6E">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委托代理人（签字）：</w:t>
            </w:r>
          </w:p>
          <w:p w14:paraId="0F02DCF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联系电话：       </w:t>
            </w:r>
          </w:p>
          <w:p w14:paraId="0A7364F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开户银行： </w:t>
            </w:r>
          </w:p>
          <w:p w14:paraId="69100A4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户名： </w:t>
            </w:r>
          </w:p>
          <w:p w14:paraId="7216A6B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账号： </w:t>
            </w:r>
          </w:p>
          <w:p w14:paraId="05C4790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 xml:space="preserve">行号：  </w:t>
            </w:r>
          </w:p>
          <w:p w14:paraId="605C858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项目联系人：</w:t>
            </w:r>
          </w:p>
          <w:p w14:paraId="4DDBCD9C">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微软雅黑" w:hAnsi="微软雅黑" w:eastAsia="微软雅黑" w:cs="微软雅黑"/>
                <w:lang w:eastAsia="zh-CN"/>
              </w:rPr>
            </w:pPr>
            <w:r>
              <w:rPr>
                <w:rFonts w:hint="eastAsia" w:ascii="微软雅黑" w:hAnsi="微软雅黑" w:eastAsia="微软雅黑" w:cs="微软雅黑"/>
                <w:lang w:eastAsia="zh-CN"/>
              </w:rPr>
              <w:t>联系电话：</w:t>
            </w:r>
          </w:p>
        </w:tc>
      </w:tr>
    </w:tbl>
    <w:p w14:paraId="73676167">
      <w:pPr>
        <w:rPr>
          <w:rFonts w:hint="eastAsia" w:ascii="宋体" w:hAnsi="宋体" w:cs="宋体"/>
        </w:rPr>
      </w:pPr>
    </w:p>
    <w:p w14:paraId="149A6A1E">
      <w:pPr>
        <w:pStyle w:val="3"/>
        <w:numPr>
          <w:ilvl w:val="0"/>
          <w:numId w:val="0"/>
        </w:numPr>
        <w:spacing w:before="0" w:after="0"/>
        <w:rPr>
          <w:rFonts w:hint="eastAsia" w:ascii="宋体" w:hAnsi="宋体" w:cs="宋体"/>
        </w:rPr>
      </w:pPr>
    </w:p>
    <w:p w14:paraId="04AA56F5">
      <w:pPr>
        <w:pStyle w:val="3"/>
        <w:numPr>
          <w:ilvl w:val="0"/>
          <w:numId w:val="0"/>
        </w:numPr>
        <w:spacing w:before="0" w:after="0"/>
        <w:rPr>
          <w:rFonts w:hint="eastAsia" w:ascii="宋体" w:hAnsi="宋体" w:cs="宋体"/>
        </w:rPr>
      </w:pPr>
      <w:r>
        <w:rPr>
          <w:rFonts w:hint="eastAsia" w:ascii="宋体" w:hAnsi="宋体" w:cs="宋体"/>
        </w:rPr>
        <w:t>第六章 附件</w:t>
      </w:r>
      <w:bookmarkEnd w:id="48"/>
    </w:p>
    <w:p w14:paraId="6E81D98E">
      <w:pPr>
        <w:jc w:val="center"/>
        <w:rPr>
          <w:rFonts w:hint="eastAsia" w:ascii="宋体" w:hAnsi="宋体" w:cs="宋体"/>
          <w:sz w:val="28"/>
          <w:szCs w:val="28"/>
        </w:rPr>
      </w:pPr>
    </w:p>
    <w:p w14:paraId="7A64C1A4">
      <w:pPr>
        <w:pStyle w:val="23"/>
        <w:ind w:left="1260"/>
        <w:rPr>
          <w:rFonts w:hint="eastAsia" w:ascii="宋体" w:hAnsi="宋体" w:cs="宋体"/>
        </w:rPr>
      </w:pPr>
    </w:p>
    <w:p w14:paraId="6D32CD02">
      <w:pPr>
        <w:pStyle w:val="23"/>
        <w:ind w:left="1260"/>
        <w:rPr>
          <w:rFonts w:hint="eastAsia" w:ascii="宋体" w:hAnsi="宋体" w:cs="宋体"/>
          <w:sz w:val="28"/>
          <w:szCs w:val="28"/>
        </w:rPr>
      </w:pPr>
    </w:p>
    <w:p w14:paraId="0EA16618">
      <w:pPr>
        <w:rPr>
          <w:rFonts w:hint="eastAsia" w:ascii="宋体" w:hAnsi="宋体" w:cs="宋体"/>
        </w:rPr>
      </w:pPr>
    </w:p>
    <w:p w14:paraId="692FC2E3">
      <w:pPr>
        <w:jc w:val="center"/>
        <w:rPr>
          <w:rFonts w:hint="eastAsia" w:ascii="宋体" w:hAnsi="宋体" w:cs="宋体"/>
          <w:sz w:val="28"/>
          <w:szCs w:val="28"/>
        </w:rPr>
      </w:pPr>
    </w:p>
    <w:p w14:paraId="58AF4486">
      <w:pPr>
        <w:jc w:val="center"/>
        <w:rPr>
          <w:rFonts w:hint="eastAsia" w:ascii="宋体" w:hAnsi="宋体" w:cs="宋体"/>
          <w:sz w:val="20"/>
          <w:szCs w:val="20"/>
        </w:rPr>
      </w:pPr>
      <w:r>
        <w:rPr>
          <w:rFonts w:hint="eastAsia" w:ascii="宋体" w:hAnsi="宋体" w:cs="宋体"/>
          <w:sz w:val="28"/>
          <w:szCs w:val="28"/>
        </w:rPr>
        <w:t>（项目名称）</w:t>
      </w:r>
    </w:p>
    <w:p w14:paraId="5D2591B3">
      <w:pPr>
        <w:jc w:val="center"/>
        <w:rPr>
          <w:rFonts w:hint="eastAsia" w:ascii="宋体" w:hAnsi="宋体" w:cs="宋体"/>
          <w:sz w:val="20"/>
          <w:szCs w:val="20"/>
        </w:rPr>
      </w:pPr>
    </w:p>
    <w:p w14:paraId="745FAEBC">
      <w:pPr>
        <w:rPr>
          <w:rFonts w:hint="eastAsia" w:ascii="宋体" w:hAnsi="宋体" w:cs="宋体"/>
          <w:sz w:val="20"/>
          <w:szCs w:val="20"/>
        </w:rPr>
      </w:pPr>
    </w:p>
    <w:p w14:paraId="114286D2">
      <w:pPr>
        <w:jc w:val="center"/>
        <w:rPr>
          <w:rFonts w:hint="eastAsia" w:ascii="宋体" w:hAnsi="宋体" w:cs="宋体"/>
          <w:sz w:val="44"/>
          <w:szCs w:val="44"/>
        </w:rPr>
      </w:pPr>
      <w:r>
        <w:rPr>
          <w:rFonts w:hint="eastAsia" w:ascii="宋体" w:hAnsi="宋体" w:cs="宋体"/>
          <w:sz w:val="44"/>
          <w:szCs w:val="44"/>
        </w:rPr>
        <w:t>投标文件</w:t>
      </w:r>
    </w:p>
    <w:p w14:paraId="22246AFD">
      <w:pPr>
        <w:rPr>
          <w:rFonts w:hint="eastAsia" w:ascii="宋体" w:hAnsi="宋体" w:cs="宋体"/>
          <w:sz w:val="28"/>
          <w:szCs w:val="28"/>
        </w:rPr>
      </w:pPr>
    </w:p>
    <w:p w14:paraId="3A20E54B">
      <w:pPr>
        <w:rPr>
          <w:rFonts w:hint="eastAsia" w:ascii="宋体" w:hAnsi="宋体" w:cs="宋体"/>
          <w:sz w:val="28"/>
          <w:szCs w:val="28"/>
        </w:rPr>
      </w:pPr>
    </w:p>
    <w:p w14:paraId="2523BFBB">
      <w:pPr>
        <w:rPr>
          <w:rFonts w:hint="eastAsia" w:ascii="宋体" w:hAnsi="宋体" w:cs="宋体"/>
          <w:sz w:val="28"/>
          <w:szCs w:val="28"/>
        </w:rPr>
      </w:pPr>
    </w:p>
    <w:p w14:paraId="4FFA427B">
      <w:pPr>
        <w:rPr>
          <w:rFonts w:hint="eastAsia" w:ascii="宋体" w:hAnsi="宋体" w:cs="宋体"/>
          <w:sz w:val="28"/>
          <w:szCs w:val="28"/>
        </w:rPr>
      </w:pPr>
    </w:p>
    <w:p w14:paraId="1B7DEE7B">
      <w:pPr>
        <w:rPr>
          <w:rFonts w:hint="eastAsia" w:ascii="宋体" w:hAnsi="宋体" w:cs="宋体"/>
          <w:sz w:val="28"/>
          <w:szCs w:val="28"/>
        </w:rPr>
      </w:pPr>
    </w:p>
    <w:p w14:paraId="58639CBD">
      <w:pPr>
        <w:rPr>
          <w:rFonts w:hint="eastAsia" w:ascii="宋体" w:hAnsi="宋体" w:cs="宋体"/>
          <w:sz w:val="28"/>
          <w:szCs w:val="28"/>
        </w:rPr>
      </w:pPr>
    </w:p>
    <w:p w14:paraId="6C1060D7">
      <w:pPr>
        <w:pStyle w:val="23"/>
        <w:ind w:left="1260"/>
        <w:rPr>
          <w:rFonts w:hint="eastAsia" w:ascii="宋体" w:hAnsi="宋体" w:cs="宋体"/>
        </w:rPr>
      </w:pPr>
    </w:p>
    <w:p w14:paraId="4811FA2A">
      <w:pPr>
        <w:rPr>
          <w:rFonts w:hint="eastAsia" w:ascii="宋体" w:hAnsi="宋体" w:cs="宋体"/>
        </w:rPr>
      </w:pPr>
    </w:p>
    <w:p w14:paraId="61607CF1">
      <w:pPr>
        <w:rPr>
          <w:rFonts w:hint="eastAsia" w:ascii="宋体" w:hAnsi="宋体" w:cs="宋体"/>
          <w:sz w:val="28"/>
          <w:szCs w:val="28"/>
        </w:rPr>
      </w:pPr>
    </w:p>
    <w:p w14:paraId="60C8D6AD">
      <w:pPr>
        <w:jc w:val="center"/>
        <w:rPr>
          <w:rFonts w:hint="eastAsia" w:ascii="宋体" w:hAnsi="宋体" w:cs="宋体"/>
          <w:sz w:val="28"/>
          <w:szCs w:val="28"/>
          <w:u w:val="single"/>
        </w:rPr>
      </w:pPr>
      <w:r>
        <w:rPr>
          <w:rFonts w:hint="eastAsia" w:ascii="宋体" w:hAnsi="宋体" w:cs="宋体"/>
          <w:sz w:val="28"/>
          <w:szCs w:val="28"/>
        </w:rPr>
        <w:t>供应商：（盖单位章）</w:t>
      </w:r>
    </w:p>
    <w:p w14:paraId="6D80CFC6">
      <w:pPr>
        <w:jc w:val="center"/>
        <w:rPr>
          <w:rFonts w:hint="eastAsia" w:ascii="宋体" w:hAnsi="宋体" w:cs="宋体"/>
          <w:sz w:val="28"/>
          <w:szCs w:val="28"/>
        </w:rPr>
      </w:pPr>
      <w:r>
        <w:rPr>
          <w:rFonts w:hint="eastAsia" w:ascii="宋体" w:hAnsi="宋体" w:cs="宋体"/>
          <w:sz w:val="28"/>
          <w:szCs w:val="28"/>
        </w:rPr>
        <w:t>法定代表人或其委托代理人：（签字）</w:t>
      </w:r>
    </w:p>
    <w:p w14:paraId="4DCC5724">
      <w:pPr>
        <w:jc w:val="center"/>
        <w:rPr>
          <w:rFonts w:hint="eastAsia" w:ascii="宋体" w:hAnsi="宋体" w:cs="宋体"/>
          <w:sz w:val="28"/>
          <w:szCs w:val="28"/>
        </w:rPr>
      </w:pPr>
      <w:r>
        <w:rPr>
          <w:rFonts w:hint="eastAsia" w:ascii="宋体" w:hAnsi="宋体" w:cs="宋体"/>
          <w:sz w:val="28"/>
          <w:szCs w:val="28"/>
        </w:rPr>
        <w:t>年月日</w:t>
      </w:r>
    </w:p>
    <w:p w14:paraId="0583C0F7">
      <w:pPr>
        <w:widowControl/>
        <w:jc w:val="center"/>
        <w:rPr>
          <w:rFonts w:hint="eastAsia" w:ascii="宋体" w:hAnsi="宋体" w:cs="宋体"/>
          <w:sz w:val="32"/>
          <w:szCs w:val="32"/>
        </w:rPr>
      </w:pPr>
      <w:r>
        <w:rPr>
          <w:rFonts w:hint="eastAsia" w:ascii="宋体" w:hAnsi="宋体" w:cs="宋体"/>
          <w:sz w:val="28"/>
          <w:szCs w:val="28"/>
        </w:rPr>
        <w:br w:type="page"/>
      </w:r>
      <w:r>
        <w:rPr>
          <w:rFonts w:hint="eastAsia" w:ascii="宋体" w:hAnsi="宋体" w:cs="宋体"/>
          <w:sz w:val="32"/>
          <w:szCs w:val="32"/>
        </w:rPr>
        <w:t>目录</w:t>
      </w:r>
    </w:p>
    <w:p w14:paraId="14808908">
      <w:pPr>
        <w:jc w:val="center"/>
        <w:rPr>
          <w:rFonts w:hint="eastAsia" w:ascii="宋体" w:hAnsi="宋体" w:cs="宋体"/>
          <w:szCs w:val="21"/>
        </w:rPr>
      </w:pPr>
      <w:r>
        <w:rPr>
          <w:rFonts w:hint="eastAsia" w:ascii="宋体" w:hAnsi="宋体" w:cs="宋体"/>
          <w:szCs w:val="21"/>
        </w:rPr>
        <w:t>（注：供应商根据附件顺序编制投标文件并制作目录（须生成页码）</w:t>
      </w:r>
    </w:p>
    <w:p w14:paraId="42AB8067">
      <w:pPr>
        <w:pStyle w:val="2"/>
        <w:keepLines w:val="0"/>
        <w:widowControl/>
        <w:numPr>
          <w:ilvl w:val="1"/>
          <w:numId w:val="0"/>
        </w:numPr>
        <w:spacing w:line="360" w:lineRule="auto"/>
        <w:jc w:val="center"/>
        <w:rPr>
          <w:rFonts w:hint="eastAsia" w:ascii="宋体" w:hAnsi="宋体" w:cs="宋体"/>
          <w:sz w:val="21"/>
          <w:szCs w:val="21"/>
        </w:rPr>
      </w:pPr>
      <w:r>
        <w:rPr>
          <w:rFonts w:hint="eastAsia" w:ascii="宋体" w:hAnsi="宋体" w:cs="宋体"/>
        </w:rPr>
        <w:br w:type="page"/>
      </w:r>
      <w:bookmarkStart w:id="50" w:name="_Toc8572"/>
      <w:r>
        <w:rPr>
          <w:rFonts w:hint="eastAsia" w:ascii="宋体" w:hAnsi="宋体" w:cs="宋体"/>
          <w:sz w:val="21"/>
          <w:szCs w:val="21"/>
        </w:rPr>
        <w:t>评审索引表</w:t>
      </w:r>
      <w:bookmarkEnd w:id="50"/>
    </w:p>
    <w:tbl>
      <w:tblPr>
        <w:tblStyle w:val="48"/>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6"/>
        <w:gridCol w:w="6604"/>
        <w:gridCol w:w="1524"/>
      </w:tblGrid>
      <w:tr w14:paraId="0220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6" w:type="dxa"/>
            <w:vAlign w:val="center"/>
          </w:tcPr>
          <w:p w14:paraId="3829B8E3">
            <w:pPr>
              <w:widowControl/>
              <w:jc w:val="center"/>
              <w:rPr>
                <w:rFonts w:hint="eastAsia" w:ascii="宋体" w:hAnsi="宋体" w:cs="宋体"/>
                <w:b/>
                <w:bCs/>
                <w:szCs w:val="21"/>
              </w:rPr>
            </w:pPr>
            <w:r>
              <w:rPr>
                <w:rFonts w:hint="eastAsia" w:ascii="宋体" w:hAnsi="宋体" w:cs="宋体"/>
                <w:b/>
                <w:bCs/>
              </w:rPr>
              <w:t>评审项目</w:t>
            </w:r>
          </w:p>
        </w:tc>
        <w:tc>
          <w:tcPr>
            <w:tcW w:w="6604" w:type="dxa"/>
            <w:tcBorders>
              <w:left w:val="nil"/>
            </w:tcBorders>
          </w:tcPr>
          <w:p w14:paraId="5DE38B27">
            <w:pPr>
              <w:jc w:val="center"/>
              <w:rPr>
                <w:rFonts w:hint="eastAsia" w:ascii="宋体" w:hAnsi="宋体" w:cs="宋体"/>
                <w:b/>
                <w:bCs/>
                <w:szCs w:val="21"/>
              </w:rPr>
            </w:pPr>
            <w:r>
              <w:rPr>
                <w:rFonts w:hint="eastAsia" w:ascii="宋体" w:hAnsi="宋体" w:cs="宋体"/>
                <w:b/>
                <w:bCs/>
              </w:rPr>
              <w:t>评分要求</w:t>
            </w:r>
          </w:p>
        </w:tc>
        <w:tc>
          <w:tcPr>
            <w:tcW w:w="1524" w:type="dxa"/>
            <w:tcBorders>
              <w:left w:val="nil"/>
            </w:tcBorders>
          </w:tcPr>
          <w:p w14:paraId="712990F8">
            <w:pPr>
              <w:jc w:val="center"/>
              <w:rPr>
                <w:rFonts w:hint="eastAsia" w:ascii="宋体" w:hAnsi="宋体" w:cs="宋体"/>
                <w:b/>
                <w:bCs/>
                <w:szCs w:val="21"/>
              </w:rPr>
            </w:pPr>
            <w:r>
              <w:rPr>
                <w:rFonts w:hint="eastAsia" w:ascii="宋体" w:hAnsi="宋体" w:cs="宋体"/>
                <w:b/>
                <w:bCs/>
              </w:rPr>
              <w:t>所在页码</w:t>
            </w:r>
          </w:p>
        </w:tc>
      </w:tr>
      <w:tr w14:paraId="574E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26" w:type="dxa"/>
            <w:vAlign w:val="center"/>
          </w:tcPr>
          <w:p w14:paraId="46094CAE">
            <w:pPr>
              <w:widowControl/>
              <w:rPr>
                <w:rFonts w:hint="eastAsia" w:ascii="宋体" w:hAnsi="宋体" w:cs="宋体"/>
                <w:szCs w:val="21"/>
              </w:rPr>
            </w:pPr>
          </w:p>
        </w:tc>
        <w:tc>
          <w:tcPr>
            <w:tcW w:w="6604" w:type="dxa"/>
            <w:tcBorders>
              <w:left w:val="nil"/>
            </w:tcBorders>
            <w:vAlign w:val="center"/>
          </w:tcPr>
          <w:p w14:paraId="4E6F11D8">
            <w:pPr>
              <w:rPr>
                <w:rFonts w:hint="eastAsia" w:ascii="宋体" w:hAnsi="宋体" w:cs="宋体"/>
                <w:szCs w:val="21"/>
              </w:rPr>
            </w:pPr>
          </w:p>
        </w:tc>
        <w:tc>
          <w:tcPr>
            <w:tcW w:w="1524" w:type="dxa"/>
            <w:tcBorders>
              <w:left w:val="nil"/>
            </w:tcBorders>
          </w:tcPr>
          <w:p w14:paraId="369F4DD3">
            <w:pPr>
              <w:widowControl/>
              <w:ind w:left="613"/>
              <w:rPr>
                <w:rFonts w:hint="eastAsia" w:ascii="宋体" w:hAnsi="宋体" w:cs="宋体"/>
                <w:szCs w:val="21"/>
              </w:rPr>
            </w:pPr>
          </w:p>
        </w:tc>
      </w:tr>
      <w:tr w14:paraId="35403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26" w:type="dxa"/>
            <w:vAlign w:val="center"/>
          </w:tcPr>
          <w:p w14:paraId="7A880A46">
            <w:pPr>
              <w:rPr>
                <w:rFonts w:hint="eastAsia" w:ascii="宋体" w:hAnsi="宋体" w:cs="宋体"/>
                <w:szCs w:val="21"/>
              </w:rPr>
            </w:pPr>
          </w:p>
        </w:tc>
        <w:tc>
          <w:tcPr>
            <w:tcW w:w="6604" w:type="dxa"/>
            <w:tcBorders>
              <w:left w:val="nil"/>
            </w:tcBorders>
            <w:vAlign w:val="center"/>
          </w:tcPr>
          <w:p w14:paraId="5F2D080C">
            <w:pPr>
              <w:rPr>
                <w:rFonts w:hint="eastAsia" w:ascii="宋体" w:hAnsi="宋体" w:cs="宋体"/>
                <w:szCs w:val="21"/>
              </w:rPr>
            </w:pPr>
          </w:p>
        </w:tc>
        <w:tc>
          <w:tcPr>
            <w:tcW w:w="1524" w:type="dxa"/>
            <w:tcBorders>
              <w:left w:val="nil"/>
            </w:tcBorders>
          </w:tcPr>
          <w:p w14:paraId="22B28A7F">
            <w:pPr>
              <w:rPr>
                <w:rFonts w:hint="eastAsia" w:ascii="宋体" w:hAnsi="宋体" w:cs="宋体"/>
                <w:szCs w:val="21"/>
              </w:rPr>
            </w:pPr>
          </w:p>
        </w:tc>
      </w:tr>
      <w:tr w14:paraId="2EA2B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26" w:type="dxa"/>
            <w:vAlign w:val="center"/>
          </w:tcPr>
          <w:p w14:paraId="3ACF7563">
            <w:pPr>
              <w:rPr>
                <w:rFonts w:hint="eastAsia" w:ascii="宋体" w:hAnsi="宋体" w:cs="宋体"/>
                <w:szCs w:val="21"/>
              </w:rPr>
            </w:pPr>
          </w:p>
        </w:tc>
        <w:tc>
          <w:tcPr>
            <w:tcW w:w="6604" w:type="dxa"/>
            <w:tcBorders>
              <w:left w:val="nil"/>
            </w:tcBorders>
            <w:vAlign w:val="center"/>
          </w:tcPr>
          <w:p w14:paraId="73E125DC">
            <w:pPr>
              <w:rPr>
                <w:rFonts w:hint="eastAsia" w:ascii="宋体" w:hAnsi="宋体" w:cs="宋体"/>
                <w:szCs w:val="21"/>
              </w:rPr>
            </w:pPr>
          </w:p>
        </w:tc>
        <w:tc>
          <w:tcPr>
            <w:tcW w:w="1524" w:type="dxa"/>
            <w:tcBorders>
              <w:left w:val="nil"/>
            </w:tcBorders>
          </w:tcPr>
          <w:p w14:paraId="051AE8AC">
            <w:pPr>
              <w:rPr>
                <w:rFonts w:hint="eastAsia" w:ascii="宋体" w:hAnsi="宋体" w:cs="宋体"/>
                <w:szCs w:val="21"/>
              </w:rPr>
            </w:pPr>
          </w:p>
        </w:tc>
      </w:tr>
      <w:tr w14:paraId="5A2D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26" w:type="dxa"/>
            <w:vAlign w:val="center"/>
          </w:tcPr>
          <w:p w14:paraId="37CF8C0E">
            <w:pPr>
              <w:rPr>
                <w:rFonts w:hint="eastAsia" w:ascii="宋体" w:hAnsi="宋体" w:cs="宋体"/>
                <w:szCs w:val="21"/>
              </w:rPr>
            </w:pPr>
          </w:p>
        </w:tc>
        <w:tc>
          <w:tcPr>
            <w:tcW w:w="6604" w:type="dxa"/>
            <w:tcBorders>
              <w:left w:val="nil"/>
            </w:tcBorders>
            <w:vAlign w:val="center"/>
          </w:tcPr>
          <w:p w14:paraId="65D96125">
            <w:pPr>
              <w:rPr>
                <w:rFonts w:hint="eastAsia" w:ascii="宋体" w:hAnsi="宋体" w:cs="宋体"/>
                <w:szCs w:val="21"/>
              </w:rPr>
            </w:pPr>
          </w:p>
        </w:tc>
        <w:tc>
          <w:tcPr>
            <w:tcW w:w="1524" w:type="dxa"/>
            <w:tcBorders>
              <w:left w:val="nil"/>
            </w:tcBorders>
          </w:tcPr>
          <w:p w14:paraId="097C2FB4">
            <w:pPr>
              <w:rPr>
                <w:rFonts w:hint="eastAsia" w:ascii="宋体" w:hAnsi="宋体" w:cs="宋体"/>
                <w:szCs w:val="21"/>
              </w:rPr>
            </w:pPr>
          </w:p>
        </w:tc>
      </w:tr>
      <w:tr w14:paraId="7369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726" w:type="dxa"/>
            <w:vAlign w:val="center"/>
          </w:tcPr>
          <w:p w14:paraId="2D21732F">
            <w:pPr>
              <w:rPr>
                <w:rFonts w:hint="eastAsia" w:ascii="宋体" w:hAnsi="宋体" w:cs="宋体"/>
                <w:szCs w:val="21"/>
              </w:rPr>
            </w:pPr>
          </w:p>
        </w:tc>
        <w:tc>
          <w:tcPr>
            <w:tcW w:w="6604" w:type="dxa"/>
            <w:tcBorders>
              <w:left w:val="nil"/>
            </w:tcBorders>
            <w:vAlign w:val="center"/>
          </w:tcPr>
          <w:p w14:paraId="31E7389B">
            <w:pPr>
              <w:rPr>
                <w:rFonts w:hint="eastAsia" w:ascii="宋体" w:hAnsi="宋体" w:cs="宋体"/>
                <w:szCs w:val="21"/>
              </w:rPr>
            </w:pPr>
          </w:p>
        </w:tc>
        <w:tc>
          <w:tcPr>
            <w:tcW w:w="1524" w:type="dxa"/>
            <w:tcBorders>
              <w:left w:val="nil"/>
            </w:tcBorders>
          </w:tcPr>
          <w:p w14:paraId="39BFBACF">
            <w:pPr>
              <w:rPr>
                <w:rFonts w:hint="eastAsia" w:ascii="宋体" w:hAnsi="宋体" w:cs="宋体"/>
                <w:szCs w:val="21"/>
              </w:rPr>
            </w:pPr>
          </w:p>
        </w:tc>
      </w:tr>
    </w:tbl>
    <w:p w14:paraId="55FCA6E9">
      <w:pPr>
        <w:spacing w:line="440" w:lineRule="exact"/>
        <w:rPr>
          <w:rFonts w:hint="eastAsia" w:ascii="宋体" w:hAnsi="宋体" w:cs="宋体"/>
        </w:rPr>
      </w:pPr>
    </w:p>
    <w:p w14:paraId="76C3D624">
      <w:pPr>
        <w:pStyle w:val="41"/>
        <w:rPr>
          <w:rFonts w:hint="eastAsia" w:ascii="宋体" w:hAnsi="宋体" w:cs="宋体"/>
        </w:rPr>
      </w:pPr>
    </w:p>
    <w:p w14:paraId="5E383FBA">
      <w:pPr>
        <w:pStyle w:val="41"/>
        <w:rPr>
          <w:rFonts w:hint="eastAsia" w:ascii="宋体" w:hAnsi="宋体" w:cs="宋体"/>
        </w:rPr>
      </w:pPr>
    </w:p>
    <w:p w14:paraId="1900A09C">
      <w:pPr>
        <w:pStyle w:val="41"/>
        <w:rPr>
          <w:rFonts w:hint="eastAsia" w:ascii="宋体" w:hAnsi="宋体" w:cs="宋体"/>
        </w:rPr>
      </w:pPr>
    </w:p>
    <w:p w14:paraId="542DB384">
      <w:pPr>
        <w:pStyle w:val="41"/>
        <w:rPr>
          <w:rFonts w:hint="eastAsia" w:ascii="宋体" w:hAnsi="宋体" w:cs="宋体"/>
        </w:rPr>
      </w:pPr>
    </w:p>
    <w:p w14:paraId="3A6575CB">
      <w:pPr>
        <w:pStyle w:val="41"/>
        <w:rPr>
          <w:rFonts w:hint="eastAsia" w:ascii="宋体" w:hAnsi="宋体" w:cs="宋体"/>
        </w:rPr>
      </w:pPr>
    </w:p>
    <w:p w14:paraId="5BA1DF65">
      <w:pPr>
        <w:pStyle w:val="41"/>
        <w:rPr>
          <w:rFonts w:hint="eastAsia" w:ascii="宋体" w:hAnsi="宋体" w:cs="宋体"/>
        </w:rPr>
      </w:pPr>
    </w:p>
    <w:p w14:paraId="55C756DB">
      <w:pPr>
        <w:pStyle w:val="41"/>
        <w:rPr>
          <w:rFonts w:hint="eastAsia" w:ascii="宋体" w:hAnsi="宋体" w:cs="宋体"/>
        </w:rPr>
      </w:pPr>
    </w:p>
    <w:p w14:paraId="20E2A1AD">
      <w:pPr>
        <w:pStyle w:val="41"/>
        <w:rPr>
          <w:rFonts w:hint="eastAsia" w:ascii="宋体" w:hAnsi="宋体" w:cs="宋体"/>
        </w:rPr>
      </w:pPr>
    </w:p>
    <w:p w14:paraId="3E5E2468">
      <w:pPr>
        <w:pStyle w:val="41"/>
        <w:rPr>
          <w:rFonts w:hint="eastAsia" w:ascii="宋体" w:hAnsi="宋体" w:cs="宋体"/>
        </w:rPr>
      </w:pPr>
    </w:p>
    <w:p w14:paraId="2F8087F7">
      <w:pPr>
        <w:pStyle w:val="41"/>
        <w:rPr>
          <w:rFonts w:hint="eastAsia" w:ascii="宋体" w:hAnsi="宋体" w:cs="宋体"/>
        </w:rPr>
      </w:pPr>
    </w:p>
    <w:p w14:paraId="7FC621FF">
      <w:pPr>
        <w:pStyle w:val="41"/>
        <w:rPr>
          <w:rFonts w:hint="eastAsia" w:ascii="宋体" w:hAnsi="宋体" w:cs="宋体"/>
        </w:rPr>
      </w:pPr>
    </w:p>
    <w:p w14:paraId="6A650949">
      <w:pPr>
        <w:pStyle w:val="41"/>
        <w:rPr>
          <w:rFonts w:hint="eastAsia" w:ascii="宋体" w:hAnsi="宋体" w:cs="宋体"/>
        </w:rPr>
      </w:pPr>
    </w:p>
    <w:p w14:paraId="5E0D1778">
      <w:pPr>
        <w:pStyle w:val="41"/>
        <w:rPr>
          <w:rFonts w:hint="eastAsia" w:ascii="宋体" w:hAnsi="宋体" w:cs="宋体"/>
        </w:rPr>
      </w:pPr>
    </w:p>
    <w:p w14:paraId="60C7F697">
      <w:pPr>
        <w:pStyle w:val="41"/>
        <w:rPr>
          <w:rFonts w:hint="eastAsia" w:ascii="宋体" w:hAnsi="宋体" w:cs="宋体"/>
        </w:rPr>
      </w:pPr>
    </w:p>
    <w:p w14:paraId="5C0A6261">
      <w:pPr>
        <w:pStyle w:val="41"/>
        <w:rPr>
          <w:rFonts w:hint="eastAsia" w:ascii="宋体" w:hAnsi="宋体" w:cs="宋体"/>
        </w:rPr>
      </w:pPr>
    </w:p>
    <w:p w14:paraId="341F795A">
      <w:pPr>
        <w:pStyle w:val="41"/>
        <w:rPr>
          <w:rFonts w:hint="eastAsia" w:ascii="宋体" w:hAnsi="宋体" w:cs="宋体"/>
        </w:rPr>
      </w:pPr>
    </w:p>
    <w:p w14:paraId="472E60D3">
      <w:pPr>
        <w:pStyle w:val="41"/>
        <w:rPr>
          <w:rFonts w:hint="eastAsia" w:ascii="宋体" w:hAnsi="宋体" w:cs="宋体"/>
        </w:rPr>
      </w:pPr>
    </w:p>
    <w:p w14:paraId="4F96A92C">
      <w:pPr>
        <w:pStyle w:val="41"/>
        <w:rPr>
          <w:rFonts w:hint="eastAsia" w:ascii="宋体" w:hAnsi="宋体" w:cs="宋体"/>
        </w:rPr>
      </w:pPr>
    </w:p>
    <w:p w14:paraId="6A0CFF1B">
      <w:pPr>
        <w:pStyle w:val="41"/>
        <w:rPr>
          <w:rFonts w:hint="eastAsia" w:ascii="宋体" w:hAnsi="宋体" w:cs="宋体"/>
        </w:rPr>
      </w:pPr>
    </w:p>
    <w:p w14:paraId="5CE151BD">
      <w:pPr>
        <w:pStyle w:val="41"/>
        <w:rPr>
          <w:rFonts w:hint="eastAsia" w:ascii="宋体" w:hAnsi="宋体" w:cs="宋体"/>
        </w:rPr>
      </w:pPr>
    </w:p>
    <w:p w14:paraId="7A5319BA">
      <w:pPr>
        <w:pStyle w:val="41"/>
        <w:rPr>
          <w:rFonts w:hint="eastAsia" w:ascii="宋体" w:hAnsi="宋体" w:cs="宋体"/>
        </w:rPr>
      </w:pPr>
    </w:p>
    <w:p w14:paraId="52D7D527">
      <w:pPr>
        <w:pStyle w:val="41"/>
        <w:rPr>
          <w:rFonts w:hint="eastAsia" w:ascii="宋体" w:hAnsi="宋体" w:cs="宋体"/>
        </w:rPr>
      </w:pPr>
    </w:p>
    <w:p w14:paraId="4122A73B">
      <w:pPr>
        <w:pStyle w:val="41"/>
        <w:rPr>
          <w:rFonts w:hint="eastAsia" w:ascii="宋体" w:hAnsi="宋体" w:cs="宋体"/>
        </w:rPr>
      </w:pPr>
    </w:p>
    <w:p w14:paraId="591CB939">
      <w:pPr>
        <w:pStyle w:val="41"/>
        <w:rPr>
          <w:rFonts w:hint="eastAsia" w:ascii="宋体" w:hAnsi="宋体" w:cs="宋体"/>
        </w:rPr>
      </w:pPr>
    </w:p>
    <w:p w14:paraId="4705147A">
      <w:pPr>
        <w:pStyle w:val="41"/>
        <w:rPr>
          <w:rFonts w:hint="eastAsia" w:ascii="宋体" w:hAnsi="宋体" w:cs="宋体"/>
        </w:rPr>
      </w:pPr>
    </w:p>
    <w:p w14:paraId="41A5FC53">
      <w:pPr>
        <w:pStyle w:val="41"/>
        <w:rPr>
          <w:rFonts w:hint="eastAsia" w:ascii="宋体" w:hAnsi="宋体" w:cs="宋体"/>
        </w:rPr>
      </w:pPr>
    </w:p>
    <w:p w14:paraId="45FE400C">
      <w:pPr>
        <w:pStyle w:val="41"/>
        <w:rPr>
          <w:rFonts w:hint="eastAsia" w:ascii="宋体" w:hAnsi="宋体" w:cs="宋体"/>
        </w:rPr>
      </w:pPr>
    </w:p>
    <w:p w14:paraId="5AF40F64">
      <w:pPr>
        <w:pStyle w:val="41"/>
        <w:rPr>
          <w:rFonts w:hint="eastAsia" w:ascii="宋体" w:hAnsi="宋体" w:cs="宋体"/>
        </w:rPr>
      </w:pPr>
    </w:p>
    <w:p w14:paraId="0A337190">
      <w:pPr>
        <w:pStyle w:val="41"/>
        <w:rPr>
          <w:rFonts w:hint="eastAsia" w:ascii="宋体" w:hAnsi="宋体" w:cs="宋体"/>
        </w:rPr>
      </w:pPr>
    </w:p>
    <w:p w14:paraId="6006EB16">
      <w:pPr>
        <w:spacing w:line="440" w:lineRule="exact"/>
        <w:rPr>
          <w:rFonts w:ascii="Arial" w:hAnsi="Arial" w:cs="Arial"/>
          <w:kern w:val="0"/>
          <w:szCs w:val="21"/>
        </w:rPr>
      </w:pPr>
      <w:bookmarkStart w:id="51" w:name="_Toc6058"/>
      <w:r>
        <w:rPr>
          <w:rFonts w:hint="eastAsia" w:ascii="Arial" w:hAnsi="Arial" w:cs="Arial"/>
          <w:b/>
          <w:bCs/>
          <w:kern w:val="0"/>
          <w:szCs w:val="21"/>
        </w:rPr>
        <w:t>附件一、投标申请及声明格式</w:t>
      </w:r>
    </w:p>
    <w:p w14:paraId="2D4A9DC2">
      <w:pPr>
        <w:widowControl/>
        <w:shd w:val="clear" w:color="auto" w:fill="FFFFFF"/>
        <w:spacing w:line="360" w:lineRule="auto"/>
        <w:jc w:val="center"/>
        <w:rPr>
          <w:rFonts w:ascii="Arial" w:hAnsi="Arial" w:cs="Arial"/>
          <w:b/>
          <w:kern w:val="0"/>
          <w:szCs w:val="21"/>
        </w:rPr>
      </w:pPr>
      <w:r>
        <w:rPr>
          <w:rFonts w:hint="eastAsia" w:ascii="Arial" w:hAnsi="Arial" w:cs="Arial"/>
          <w:b/>
          <w:kern w:val="0"/>
          <w:sz w:val="36"/>
          <w:szCs w:val="36"/>
        </w:rPr>
        <w:t>投标申请及声明</w:t>
      </w:r>
    </w:p>
    <w:p w14:paraId="5D6DEA94">
      <w:pPr>
        <w:widowControl/>
        <w:shd w:val="clear" w:color="auto" w:fill="FFFFFF"/>
        <w:spacing w:line="400" w:lineRule="exact"/>
        <w:rPr>
          <w:rFonts w:ascii="Arial" w:hAnsi="Arial" w:cs="Arial"/>
          <w:kern w:val="0"/>
          <w:szCs w:val="21"/>
        </w:rPr>
      </w:pPr>
      <w:r>
        <w:rPr>
          <w:rFonts w:ascii="Arial" w:hAnsi="Arial" w:cs="Arial"/>
          <w:kern w:val="0"/>
          <w:szCs w:val="21"/>
        </w:rPr>
        <w:t> </w:t>
      </w:r>
      <w:r>
        <w:rPr>
          <w:rFonts w:hint="eastAsia" w:ascii="Arial" w:hAnsi="Arial" w:cs="Arial"/>
          <w:kern w:val="0"/>
          <w:szCs w:val="21"/>
        </w:rPr>
        <w:t>致：江苏省设备成套股份有限公司</w:t>
      </w:r>
    </w:p>
    <w:p w14:paraId="3E99B4A1">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根据贵方</w:t>
      </w:r>
      <w:r>
        <w:rPr>
          <w:rFonts w:ascii="Arial" w:hAnsi="Arial" w:cs="Arial"/>
          <w:kern w:val="0"/>
          <w:szCs w:val="21"/>
          <w:u w:val="single"/>
        </w:rPr>
        <w:t>           </w:t>
      </w:r>
      <w:r>
        <w:rPr>
          <w:rFonts w:hint="eastAsia" w:ascii="Arial" w:hAnsi="Arial" w:cs="Arial"/>
          <w:kern w:val="0"/>
          <w:szCs w:val="21"/>
        </w:rPr>
        <w:t>（项目名称）</w:t>
      </w:r>
      <w:r>
        <w:rPr>
          <w:rFonts w:ascii="Arial" w:hAnsi="Arial" w:cs="Arial"/>
          <w:kern w:val="0"/>
          <w:szCs w:val="21"/>
          <w:u w:val="single"/>
        </w:rPr>
        <w:t>           </w:t>
      </w:r>
      <w:r>
        <w:rPr>
          <w:rFonts w:hint="eastAsia" w:ascii="Arial" w:hAnsi="Arial" w:cs="Arial"/>
          <w:kern w:val="0"/>
          <w:szCs w:val="21"/>
        </w:rPr>
        <w:t>（项目编号）投标邀请，正式授权下述签字人</w:t>
      </w:r>
      <w:r>
        <w:rPr>
          <w:rFonts w:ascii="Arial" w:hAnsi="Arial" w:cs="Arial"/>
          <w:kern w:val="0"/>
          <w:szCs w:val="21"/>
          <w:u w:val="single"/>
        </w:rPr>
        <w:t>           </w:t>
      </w:r>
      <w:r>
        <w:rPr>
          <w:rFonts w:hint="eastAsia" w:ascii="Arial" w:hAnsi="Arial" w:cs="Arial"/>
          <w:kern w:val="0"/>
          <w:szCs w:val="21"/>
        </w:rPr>
        <w:t>（姓名和职务）代表供应商</w:t>
      </w:r>
      <w:r>
        <w:rPr>
          <w:rFonts w:ascii="Arial" w:hAnsi="Arial" w:cs="Arial"/>
          <w:kern w:val="0"/>
          <w:szCs w:val="21"/>
          <w:u w:val="single"/>
        </w:rPr>
        <w:t>           </w:t>
      </w:r>
      <w:r>
        <w:rPr>
          <w:rFonts w:hint="eastAsia" w:ascii="Arial" w:hAnsi="Arial" w:cs="Arial"/>
          <w:kern w:val="0"/>
          <w:szCs w:val="21"/>
        </w:rPr>
        <w:t>（供应商名称），提交投标文件。</w:t>
      </w:r>
    </w:p>
    <w:p w14:paraId="456636EF">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据此函，签字人兹宣布声明和承诺如下：</w:t>
      </w:r>
    </w:p>
    <w:p w14:paraId="2E09D498">
      <w:pPr>
        <w:widowControl/>
        <w:shd w:val="clear" w:color="auto" w:fill="FFFFFF"/>
        <w:spacing w:line="400" w:lineRule="exact"/>
        <w:ind w:firstLine="420"/>
        <w:rPr>
          <w:rFonts w:ascii="Arial" w:hAnsi="Arial" w:cs="Arial"/>
          <w:kern w:val="0"/>
          <w:szCs w:val="21"/>
        </w:rPr>
      </w:pPr>
      <w:r>
        <w:rPr>
          <w:rFonts w:ascii="Arial" w:hAnsi="Arial" w:cs="Arial"/>
          <w:kern w:val="0"/>
          <w:szCs w:val="21"/>
        </w:rPr>
        <w:t>1</w:t>
      </w:r>
      <w:r>
        <w:rPr>
          <w:rFonts w:hint="eastAsia" w:ascii="Arial" w:hAnsi="Arial" w:cs="Arial"/>
          <w:kern w:val="0"/>
          <w:szCs w:val="21"/>
        </w:rPr>
        <w:t>、</w:t>
      </w:r>
      <w:r>
        <w:rPr>
          <w:rFonts w:hint="eastAsia" w:ascii="Arial" w:hAnsi="Arial" w:cs="Arial"/>
          <w:b/>
          <w:bCs/>
          <w:kern w:val="0"/>
          <w:szCs w:val="21"/>
        </w:rPr>
        <w:t>我们的资格条件完全符合政府采购法和本次招标要求</w:t>
      </w:r>
      <w:r>
        <w:rPr>
          <w:rFonts w:hint="eastAsia" w:ascii="Arial" w:hAnsi="Arial" w:cs="Arial"/>
          <w:kern w:val="0"/>
          <w:szCs w:val="21"/>
        </w:rPr>
        <w:t>，我们同意并向贵方提供了与投标有关的所有证据和资料。</w:t>
      </w:r>
    </w:p>
    <w:p w14:paraId="72B49057">
      <w:pPr>
        <w:widowControl/>
        <w:shd w:val="clear" w:color="auto" w:fill="FFFFFF"/>
        <w:spacing w:line="400" w:lineRule="exact"/>
        <w:ind w:left="1470" w:hanging="1050"/>
        <w:rPr>
          <w:rFonts w:ascii="Arial" w:hAnsi="Arial" w:cs="Arial"/>
          <w:kern w:val="0"/>
          <w:szCs w:val="21"/>
        </w:rPr>
      </w:pPr>
      <w:r>
        <w:rPr>
          <w:rFonts w:ascii="Arial" w:hAnsi="Arial" w:cs="Arial"/>
          <w:kern w:val="0"/>
          <w:szCs w:val="21"/>
        </w:rPr>
        <w:t>2</w:t>
      </w:r>
      <w:r>
        <w:rPr>
          <w:rFonts w:hint="eastAsia" w:ascii="Arial" w:hAnsi="Arial" w:cs="Arial"/>
          <w:kern w:val="0"/>
          <w:szCs w:val="21"/>
        </w:rPr>
        <w:t>、按招标要求，我们的报价详见开标一览表。</w:t>
      </w:r>
    </w:p>
    <w:p w14:paraId="397C6CA2">
      <w:pPr>
        <w:widowControl/>
        <w:shd w:val="clear" w:color="auto" w:fill="FFFFFF"/>
        <w:spacing w:line="400" w:lineRule="exact"/>
        <w:ind w:firstLine="420"/>
        <w:rPr>
          <w:rFonts w:ascii="Arial" w:hAnsi="Arial" w:cs="Arial"/>
          <w:kern w:val="0"/>
          <w:szCs w:val="21"/>
        </w:rPr>
      </w:pPr>
      <w:r>
        <w:rPr>
          <w:rFonts w:ascii="Arial" w:hAnsi="Arial" w:cs="Arial"/>
          <w:kern w:val="0"/>
          <w:szCs w:val="21"/>
        </w:rPr>
        <w:t>3</w:t>
      </w:r>
      <w:r>
        <w:rPr>
          <w:rFonts w:hint="eastAsia" w:ascii="Arial" w:hAnsi="Arial" w:cs="Arial"/>
          <w:kern w:val="0"/>
          <w:szCs w:val="21"/>
        </w:rPr>
        <w:t>、本项目服务时间为：</w:t>
      </w:r>
      <w:r>
        <w:rPr>
          <w:rFonts w:hint="eastAsia" w:ascii="Arial" w:hAnsi="Arial" w:cs="Arial"/>
          <w:kern w:val="0"/>
          <w:szCs w:val="21"/>
          <w:u w:val="single"/>
        </w:rPr>
        <w:t>满足招标文件要求</w:t>
      </w:r>
      <w:r>
        <w:rPr>
          <w:rFonts w:hint="eastAsia" w:ascii="Arial" w:hAnsi="Arial" w:cs="Arial"/>
          <w:kern w:val="0"/>
          <w:szCs w:val="21"/>
        </w:rPr>
        <w:t>。</w:t>
      </w:r>
    </w:p>
    <w:p w14:paraId="617CE6F8">
      <w:pPr>
        <w:widowControl/>
        <w:shd w:val="clear" w:color="auto" w:fill="FFFFFF"/>
        <w:spacing w:line="400" w:lineRule="exact"/>
        <w:ind w:firstLine="420"/>
        <w:rPr>
          <w:rFonts w:ascii="Arial" w:hAnsi="Arial" w:cs="Arial"/>
          <w:kern w:val="0"/>
          <w:szCs w:val="21"/>
        </w:rPr>
      </w:pPr>
      <w:r>
        <w:rPr>
          <w:rFonts w:ascii="Arial" w:hAnsi="Arial" w:cs="Arial"/>
          <w:kern w:val="0"/>
          <w:szCs w:val="21"/>
        </w:rPr>
        <w:t>4</w:t>
      </w:r>
      <w:r>
        <w:rPr>
          <w:rFonts w:hint="eastAsia" w:ascii="Arial" w:hAnsi="Arial" w:cs="Arial"/>
          <w:kern w:val="0"/>
          <w:szCs w:val="21"/>
        </w:rPr>
        <w:t>、我们已详细阅读全部招标文件及其有效补充文件，我们放弃对招标文件任何误解的权利，提交投标文件后，</w:t>
      </w:r>
      <w:r>
        <w:rPr>
          <w:rFonts w:hint="eastAsia" w:ascii="Arial" w:hAnsi="Arial" w:cs="Arial"/>
          <w:b/>
          <w:bCs/>
          <w:kern w:val="0"/>
          <w:szCs w:val="21"/>
        </w:rPr>
        <w:t>不对招标文件本身提出质疑</w:t>
      </w:r>
      <w:r>
        <w:rPr>
          <w:rFonts w:hint="eastAsia" w:ascii="Arial" w:hAnsi="Arial" w:cs="Arial"/>
          <w:kern w:val="0"/>
          <w:szCs w:val="21"/>
        </w:rPr>
        <w:t>。</w:t>
      </w:r>
    </w:p>
    <w:p w14:paraId="30B32CEF">
      <w:pPr>
        <w:widowControl/>
        <w:shd w:val="clear" w:color="auto" w:fill="FFFFFF"/>
        <w:spacing w:line="400" w:lineRule="exact"/>
        <w:ind w:firstLine="420"/>
        <w:rPr>
          <w:rFonts w:ascii="Arial" w:hAnsi="Arial" w:cs="Arial"/>
          <w:kern w:val="0"/>
          <w:szCs w:val="21"/>
        </w:rPr>
      </w:pPr>
      <w:r>
        <w:rPr>
          <w:rFonts w:ascii="Arial" w:hAnsi="Arial" w:cs="Arial"/>
          <w:kern w:val="0"/>
          <w:szCs w:val="21"/>
        </w:rPr>
        <w:t>5</w:t>
      </w:r>
      <w:r>
        <w:rPr>
          <w:rFonts w:hint="eastAsia" w:ascii="Arial" w:hAnsi="Arial" w:cs="Arial"/>
          <w:kern w:val="0"/>
          <w:szCs w:val="21"/>
        </w:rPr>
        <w:t>、我们同意从规定的开标日期起遵循本投标文件，并在规定的投标有效期期满之前均具有约束力。</w:t>
      </w:r>
    </w:p>
    <w:p w14:paraId="7AD8C0A1">
      <w:pPr>
        <w:widowControl/>
        <w:shd w:val="clear" w:color="auto" w:fill="FFFFFF"/>
        <w:spacing w:line="400" w:lineRule="exact"/>
        <w:ind w:firstLine="420"/>
        <w:rPr>
          <w:rFonts w:ascii="Arial" w:hAnsi="Arial" w:cs="Arial"/>
          <w:kern w:val="0"/>
          <w:szCs w:val="21"/>
        </w:rPr>
      </w:pPr>
      <w:r>
        <w:rPr>
          <w:rFonts w:ascii="Arial" w:hAnsi="Arial" w:cs="Arial"/>
          <w:kern w:val="0"/>
          <w:szCs w:val="21"/>
        </w:rPr>
        <w:t>6</w:t>
      </w:r>
      <w:r>
        <w:rPr>
          <w:rFonts w:hint="eastAsia" w:ascii="Arial" w:hAnsi="Arial" w:cs="Arial"/>
          <w:kern w:val="0"/>
          <w:szCs w:val="21"/>
        </w:rPr>
        <w:t>、投标截止时间结束后参加投标的供应商不足三家的，或在评标期间出现符合专业条件的供应商或者对招标文件作出实质响应的供应商不足三家情形的，我们酌情决定是否参加</w:t>
      </w:r>
      <w:r>
        <w:rPr>
          <w:rFonts w:hint="eastAsia" w:ascii="Arial" w:hAnsi="Arial" w:cs="Arial"/>
        </w:rPr>
        <w:t>贵方组织的其他采购方式采购</w:t>
      </w:r>
      <w:r>
        <w:rPr>
          <w:rFonts w:hint="eastAsia" w:ascii="Arial" w:hAnsi="Arial" w:cs="Arial"/>
          <w:kern w:val="0"/>
          <w:szCs w:val="21"/>
        </w:rPr>
        <w:t>。</w:t>
      </w:r>
    </w:p>
    <w:p w14:paraId="04AE945D">
      <w:pPr>
        <w:widowControl/>
        <w:shd w:val="clear" w:color="auto" w:fill="FFFFFF"/>
        <w:spacing w:line="400" w:lineRule="exact"/>
        <w:ind w:firstLine="420"/>
        <w:rPr>
          <w:rFonts w:ascii="Arial" w:hAnsi="Arial" w:cs="Arial"/>
          <w:kern w:val="0"/>
          <w:szCs w:val="21"/>
        </w:rPr>
      </w:pPr>
      <w:r>
        <w:rPr>
          <w:rFonts w:ascii="Arial" w:hAnsi="Arial" w:cs="Arial"/>
          <w:kern w:val="0"/>
          <w:szCs w:val="21"/>
        </w:rPr>
        <w:t>7</w:t>
      </w:r>
      <w:r>
        <w:rPr>
          <w:rFonts w:hint="eastAsia" w:ascii="Arial" w:hAnsi="Arial" w:cs="Arial"/>
          <w:kern w:val="0"/>
          <w:szCs w:val="21"/>
        </w:rPr>
        <w:t>、一旦我方中标，我方将根据招标文件的规定严格履行合同，并保证于承诺的时间完成货物的启动</w:t>
      </w:r>
      <w:r>
        <w:rPr>
          <w:rFonts w:ascii="Arial" w:hAnsi="Arial" w:cs="Arial"/>
          <w:kern w:val="0"/>
          <w:szCs w:val="21"/>
        </w:rPr>
        <w:t>/</w:t>
      </w:r>
      <w:r>
        <w:rPr>
          <w:rFonts w:hint="eastAsia" w:ascii="Arial" w:hAnsi="Arial" w:cs="Arial"/>
          <w:kern w:val="0"/>
          <w:szCs w:val="21"/>
        </w:rPr>
        <w:t>集成、调试等服务，交付采购人验收、使用。</w:t>
      </w:r>
    </w:p>
    <w:p w14:paraId="481F004C">
      <w:pPr>
        <w:widowControl/>
        <w:shd w:val="clear" w:color="auto" w:fill="FFFFFF"/>
        <w:spacing w:line="400" w:lineRule="exact"/>
        <w:ind w:firstLine="420"/>
        <w:rPr>
          <w:rFonts w:ascii="Arial" w:hAnsi="Arial" w:cs="Arial"/>
          <w:kern w:val="0"/>
          <w:szCs w:val="21"/>
        </w:rPr>
      </w:pPr>
      <w:r>
        <w:rPr>
          <w:rFonts w:ascii="Arial" w:hAnsi="Arial" w:cs="Arial"/>
          <w:kern w:val="0"/>
          <w:szCs w:val="21"/>
        </w:rPr>
        <w:t>8</w:t>
      </w:r>
      <w:r>
        <w:rPr>
          <w:rFonts w:hint="eastAsia" w:ascii="Arial" w:hAnsi="Arial" w:cs="Arial"/>
          <w:kern w:val="0"/>
          <w:szCs w:val="21"/>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05D5D028">
      <w:pPr>
        <w:widowControl/>
        <w:shd w:val="clear" w:color="auto" w:fill="FFFFFF"/>
        <w:spacing w:line="400" w:lineRule="exact"/>
        <w:ind w:firstLine="420"/>
        <w:rPr>
          <w:rFonts w:ascii="Arial" w:hAnsi="Arial" w:cs="Arial"/>
          <w:kern w:val="0"/>
          <w:szCs w:val="21"/>
        </w:rPr>
      </w:pPr>
      <w:r>
        <w:rPr>
          <w:rFonts w:ascii="Arial" w:hAnsi="Arial" w:cs="Arial"/>
          <w:kern w:val="0"/>
          <w:szCs w:val="21"/>
        </w:rPr>
        <w:t>9</w:t>
      </w:r>
      <w:r>
        <w:rPr>
          <w:rFonts w:hint="eastAsia" w:ascii="Arial" w:hAnsi="Arial" w:cs="Arial"/>
          <w:kern w:val="0"/>
          <w:szCs w:val="21"/>
        </w:rPr>
        <w:t>、与本投标有关的正式联系方式为：</w:t>
      </w:r>
    </w:p>
    <w:p w14:paraId="12D41B67">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地</w:t>
      </w:r>
      <w:r>
        <w:rPr>
          <w:rFonts w:ascii="Arial" w:hAnsi="Arial" w:cs="Arial"/>
          <w:kern w:val="0"/>
          <w:szCs w:val="21"/>
        </w:rPr>
        <w:t>   </w:t>
      </w:r>
      <w:r>
        <w:rPr>
          <w:rFonts w:hint="eastAsia" w:ascii="Arial" w:hAnsi="Arial" w:cs="Arial"/>
          <w:kern w:val="0"/>
          <w:szCs w:val="21"/>
        </w:rPr>
        <w:t>址：</w:t>
      </w:r>
      <w:r>
        <w:rPr>
          <w:rFonts w:ascii="Arial" w:hAnsi="Arial" w:cs="Arial"/>
          <w:kern w:val="0"/>
          <w:szCs w:val="21"/>
          <w:u w:val="single"/>
        </w:rPr>
        <w:t>                      </w:t>
      </w:r>
    </w:p>
    <w:p w14:paraId="63F197E0">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电</w:t>
      </w:r>
      <w:r>
        <w:rPr>
          <w:rFonts w:ascii="Arial" w:hAnsi="Arial" w:cs="Arial"/>
          <w:kern w:val="0"/>
          <w:szCs w:val="21"/>
        </w:rPr>
        <w:t>   </w:t>
      </w:r>
      <w:r>
        <w:rPr>
          <w:rFonts w:hint="eastAsia" w:ascii="Arial" w:hAnsi="Arial" w:cs="Arial"/>
          <w:kern w:val="0"/>
          <w:szCs w:val="21"/>
        </w:rPr>
        <w:t>话：</w:t>
      </w:r>
      <w:r>
        <w:rPr>
          <w:rFonts w:ascii="Arial" w:hAnsi="Arial" w:cs="Arial"/>
          <w:kern w:val="0"/>
          <w:szCs w:val="21"/>
          <w:u w:val="single"/>
        </w:rPr>
        <w:t>                      </w:t>
      </w:r>
    </w:p>
    <w:p w14:paraId="375CD776">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传</w:t>
      </w:r>
      <w:r>
        <w:rPr>
          <w:rFonts w:ascii="Arial" w:hAnsi="Arial" w:cs="Arial"/>
          <w:kern w:val="0"/>
          <w:szCs w:val="21"/>
        </w:rPr>
        <w:t>   </w:t>
      </w:r>
      <w:r>
        <w:rPr>
          <w:rFonts w:hint="eastAsia" w:ascii="Arial" w:hAnsi="Arial" w:cs="Arial"/>
          <w:kern w:val="0"/>
          <w:szCs w:val="21"/>
        </w:rPr>
        <w:t>真：</w:t>
      </w:r>
      <w:r>
        <w:rPr>
          <w:rFonts w:ascii="Arial" w:hAnsi="Arial" w:cs="Arial"/>
          <w:kern w:val="0"/>
          <w:szCs w:val="21"/>
          <w:u w:val="single"/>
        </w:rPr>
        <w:t>                      </w:t>
      </w:r>
    </w:p>
    <w:p w14:paraId="775FDBF5">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开户银行：</w:t>
      </w:r>
    </w:p>
    <w:p w14:paraId="2D160435">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银行账号：</w:t>
      </w:r>
    </w:p>
    <w:p w14:paraId="1DEB3FD3">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供应商授权代表姓名（签字）：</w:t>
      </w:r>
      <w:r>
        <w:rPr>
          <w:rFonts w:ascii="Arial" w:hAnsi="Arial" w:cs="Arial"/>
          <w:kern w:val="0"/>
          <w:szCs w:val="21"/>
          <w:u w:val="single"/>
        </w:rPr>
        <w:t>        </w:t>
      </w:r>
    </w:p>
    <w:p w14:paraId="6DAC5808">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供应商名称：</w:t>
      </w:r>
      <w:r>
        <w:rPr>
          <w:rFonts w:ascii="Arial" w:hAnsi="Arial" w:cs="Arial"/>
          <w:kern w:val="0"/>
          <w:szCs w:val="21"/>
          <w:u w:val="single"/>
        </w:rPr>
        <w:t>                 </w:t>
      </w:r>
      <w:r>
        <w:rPr>
          <w:rFonts w:hint="eastAsia" w:ascii="Arial" w:hAnsi="Arial" w:cs="Arial"/>
          <w:kern w:val="0"/>
          <w:szCs w:val="21"/>
        </w:rPr>
        <w:t>（盖章）</w:t>
      </w:r>
    </w:p>
    <w:p w14:paraId="3BFE5258">
      <w:pPr>
        <w:widowControl/>
        <w:shd w:val="clear" w:color="auto" w:fill="FFFFFF"/>
        <w:spacing w:line="400" w:lineRule="exact"/>
        <w:ind w:firstLine="420"/>
        <w:rPr>
          <w:rFonts w:ascii="Arial" w:hAnsi="Arial" w:cs="Arial"/>
          <w:kern w:val="0"/>
          <w:szCs w:val="21"/>
        </w:rPr>
      </w:pPr>
      <w:r>
        <w:rPr>
          <w:rFonts w:hint="eastAsia" w:ascii="Arial" w:hAnsi="Arial" w:cs="Arial"/>
          <w:kern w:val="0"/>
          <w:szCs w:val="21"/>
        </w:rPr>
        <w:t>日</w:t>
      </w:r>
      <w:r>
        <w:rPr>
          <w:rFonts w:ascii="Arial" w:hAnsi="Arial" w:cs="Arial"/>
          <w:kern w:val="0"/>
          <w:szCs w:val="21"/>
        </w:rPr>
        <w:t>    </w:t>
      </w:r>
      <w:r>
        <w:rPr>
          <w:rFonts w:hint="eastAsia" w:ascii="Arial" w:hAnsi="Arial" w:cs="Arial"/>
          <w:kern w:val="0"/>
          <w:szCs w:val="21"/>
        </w:rPr>
        <w:t>期：</w:t>
      </w:r>
      <w:r>
        <w:rPr>
          <w:rFonts w:ascii="Arial" w:hAnsi="Arial" w:cs="Arial"/>
          <w:kern w:val="0"/>
          <w:szCs w:val="21"/>
          <w:u w:val="single"/>
        </w:rPr>
        <w:t>     </w:t>
      </w:r>
      <w:r>
        <w:rPr>
          <w:rFonts w:hint="eastAsia" w:ascii="Arial" w:hAnsi="Arial" w:cs="Arial"/>
          <w:kern w:val="0"/>
          <w:szCs w:val="21"/>
        </w:rPr>
        <w:t>年</w:t>
      </w:r>
      <w:r>
        <w:rPr>
          <w:rFonts w:ascii="Arial" w:hAnsi="Arial" w:cs="Arial"/>
          <w:kern w:val="0"/>
          <w:szCs w:val="21"/>
          <w:u w:val="single"/>
        </w:rPr>
        <w:t>    </w:t>
      </w:r>
      <w:r>
        <w:rPr>
          <w:rFonts w:hint="eastAsia" w:ascii="Arial" w:hAnsi="Arial" w:cs="Arial"/>
          <w:kern w:val="0"/>
          <w:szCs w:val="21"/>
        </w:rPr>
        <w:t>月</w:t>
      </w:r>
      <w:r>
        <w:rPr>
          <w:rFonts w:ascii="Arial" w:hAnsi="Arial" w:cs="Arial"/>
          <w:kern w:val="0"/>
          <w:szCs w:val="21"/>
          <w:u w:val="single"/>
        </w:rPr>
        <w:t>    </w:t>
      </w:r>
      <w:r>
        <w:rPr>
          <w:rFonts w:hint="eastAsia" w:ascii="Arial" w:hAnsi="Arial" w:cs="Arial"/>
          <w:kern w:val="0"/>
          <w:szCs w:val="21"/>
        </w:rPr>
        <w:t>日</w:t>
      </w:r>
    </w:p>
    <w:p w14:paraId="7CB66D9A">
      <w:pPr>
        <w:widowControl/>
        <w:shd w:val="clear" w:color="auto" w:fill="FFFFFF"/>
        <w:spacing w:line="360" w:lineRule="auto"/>
        <w:rPr>
          <w:rFonts w:ascii="Arial" w:hAnsi="Arial" w:cs="Arial"/>
          <w:kern w:val="0"/>
          <w:szCs w:val="21"/>
        </w:rPr>
      </w:pPr>
      <w:r>
        <w:rPr>
          <w:rFonts w:ascii="Arial" w:hAnsi="Arial" w:cs="Arial"/>
          <w:b/>
          <w:bCs/>
          <w:kern w:val="0"/>
          <w:szCs w:val="21"/>
        </w:rPr>
        <w:br w:type="page"/>
      </w:r>
      <w:r>
        <w:rPr>
          <w:rFonts w:hint="eastAsia" w:ascii="Arial" w:hAnsi="Arial" w:cs="Arial"/>
          <w:b/>
          <w:bCs/>
          <w:kern w:val="0"/>
          <w:szCs w:val="21"/>
        </w:rPr>
        <w:t>附件二、法定代表人授权委托书格式</w:t>
      </w:r>
    </w:p>
    <w:p w14:paraId="150B3A4F">
      <w:pPr>
        <w:widowControl/>
        <w:shd w:val="clear" w:color="auto" w:fill="FFFFFF"/>
        <w:spacing w:line="360" w:lineRule="auto"/>
        <w:ind w:firstLine="720"/>
        <w:jc w:val="center"/>
        <w:rPr>
          <w:rFonts w:ascii="Arial" w:hAnsi="Arial" w:cs="Arial"/>
          <w:kern w:val="0"/>
          <w:sz w:val="36"/>
          <w:szCs w:val="36"/>
        </w:rPr>
      </w:pPr>
    </w:p>
    <w:p w14:paraId="70D302DF">
      <w:pPr>
        <w:widowControl/>
        <w:shd w:val="clear" w:color="auto" w:fill="FFFFFF"/>
        <w:spacing w:line="360" w:lineRule="auto"/>
        <w:ind w:firstLine="720"/>
        <w:jc w:val="center"/>
        <w:rPr>
          <w:rFonts w:ascii="Arial" w:hAnsi="Arial" w:cs="Arial"/>
          <w:b/>
          <w:kern w:val="0"/>
          <w:szCs w:val="21"/>
        </w:rPr>
      </w:pPr>
      <w:r>
        <w:rPr>
          <w:rFonts w:hint="eastAsia" w:ascii="Arial" w:hAnsi="Arial" w:cs="Arial"/>
          <w:b/>
          <w:kern w:val="0"/>
          <w:sz w:val="36"/>
          <w:szCs w:val="36"/>
        </w:rPr>
        <w:t>法定代表人授权委托书</w:t>
      </w:r>
    </w:p>
    <w:p w14:paraId="5AD49ED8">
      <w:pPr>
        <w:widowControl/>
        <w:shd w:val="clear" w:color="auto" w:fill="FFFFFF"/>
        <w:spacing w:line="360" w:lineRule="auto"/>
        <w:jc w:val="left"/>
        <w:rPr>
          <w:rFonts w:ascii="Arial" w:hAnsi="Arial" w:cs="Arial"/>
          <w:kern w:val="0"/>
          <w:szCs w:val="21"/>
        </w:rPr>
      </w:pPr>
    </w:p>
    <w:p w14:paraId="3955559D">
      <w:pPr>
        <w:widowControl/>
        <w:shd w:val="clear" w:color="auto" w:fill="FFFFFF"/>
        <w:spacing w:line="360" w:lineRule="auto"/>
        <w:jc w:val="left"/>
        <w:rPr>
          <w:rFonts w:ascii="Arial" w:hAnsi="Arial" w:cs="Arial"/>
          <w:kern w:val="0"/>
          <w:szCs w:val="21"/>
        </w:rPr>
      </w:pPr>
      <w:r>
        <w:rPr>
          <w:rFonts w:hint="eastAsia" w:ascii="Arial" w:hAnsi="Arial" w:cs="Arial"/>
          <w:kern w:val="0"/>
          <w:szCs w:val="21"/>
        </w:rPr>
        <w:t>致：江苏省设备成套股份有限公司</w:t>
      </w:r>
    </w:p>
    <w:p w14:paraId="1E51E74A">
      <w:pPr>
        <w:widowControl/>
        <w:shd w:val="clear" w:color="auto" w:fill="FFFFFF"/>
        <w:spacing w:line="360" w:lineRule="auto"/>
        <w:ind w:firstLine="420"/>
        <w:jc w:val="left"/>
        <w:rPr>
          <w:rFonts w:ascii="Arial" w:hAnsi="Arial" w:cs="Arial"/>
          <w:kern w:val="0"/>
          <w:szCs w:val="21"/>
        </w:rPr>
      </w:pPr>
      <w:r>
        <w:rPr>
          <w:rFonts w:hint="eastAsia" w:ascii="Arial" w:hAnsi="Arial" w:cs="Arial"/>
          <w:kern w:val="0"/>
          <w:szCs w:val="21"/>
        </w:rPr>
        <w:t>本授权书声明：注册于</w:t>
      </w:r>
      <w:r>
        <w:rPr>
          <w:rFonts w:ascii="Arial" w:hAnsi="Arial" w:cs="Arial"/>
          <w:kern w:val="0"/>
          <w:szCs w:val="21"/>
          <w:u w:val="single"/>
        </w:rPr>
        <w:t>              </w:t>
      </w:r>
      <w:r>
        <w:rPr>
          <w:rFonts w:hint="eastAsia" w:ascii="Arial" w:hAnsi="Arial" w:cs="Arial"/>
          <w:kern w:val="0"/>
          <w:szCs w:val="21"/>
        </w:rPr>
        <w:t>（供应商住址）的</w:t>
      </w:r>
      <w:r>
        <w:rPr>
          <w:rFonts w:ascii="Arial" w:hAnsi="Arial" w:cs="Arial"/>
          <w:kern w:val="0"/>
          <w:szCs w:val="21"/>
          <w:u w:val="single"/>
        </w:rPr>
        <w:t>           </w:t>
      </w:r>
      <w:r>
        <w:rPr>
          <w:rFonts w:hint="eastAsia" w:ascii="Arial" w:hAnsi="Arial" w:cs="Arial"/>
          <w:kern w:val="0"/>
          <w:szCs w:val="21"/>
        </w:rPr>
        <w:t>（供应商名称）法定代表人</w:t>
      </w:r>
      <w:r>
        <w:rPr>
          <w:rFonts w:ascii="Arial" w:hAnsi="Arial" w:cs="Arial"/>
          <w:kern w:val="0"/>
          <w:szCs w:val="21"/>
          <w:u w:val="single"/>
        </w:rPr>
        <w:t>        </w:t>
      </w:r>
      <w:r>
        <w:rPr>
          <w:rFonts w:hint="eastAsia" w:ascii="Arial" w:hAnsi="Arial" w:cs="Arial"/>
          <w:kern w:val="0"/>
          <w:szCs w:val="21"/>
        </w:rPr>
        <w:t>（法定代表人姓名、职务）代表本公司授权在下面签字的</w:t>
      </w:r>
      <w:r>
        <w:rPr>
          <w:rFonts w:ascii="Arial" w:hAnsi="Arial" w:cs="Arial"/>
          <w:kern w:val="0"/>
          <w:szCs w:val="21"/>
          <w:u w:val="single"/>
        </w:rPr>
        <w:t>        </w:t>
      </w:r>
      <w:r>
        <w:rPr>
          <w:rFonts w:hint="eastAsia" w:ascii="Arial" w:hAnsi="Arial" w:cs="Arial"/>
          <w:kern w:val="0"/>
          <w:szCs w:val="21"/>
        </w:rPr>
        <w:t>（供应商代表姓名、职务）为本公司的合法代理人，就贵方组织的</w:t>
      </w:r>
      <w:r>
        <w:rPr>
          <w:rFonts w:ascii="Arial" w:hAnsi="Arial" w:cs="Arial"/>
          <w:b/>
          <w:bCs/>
          <w:kern w:val="0"/>
          <w:szCs w:val="21"/>
          <w:u w:val="single"/>
        </w:rPr>
        <w:t>                   </w:t>
      </w:r>
      <w:r>
        <w:rPr>
          <w:rFonts w:hint="eastAsia" w:ascii="Arial" w:hAnsi="Arial" w:cs="Arial"/>
          <w:kern w:val="0"/>
          <w:szCs w:val="21"/>
        </w:rPr>
        <w:t>（项目名称），</w:t>
      </w:r>
      <w:r>
        <w:rPr>
          <w:rFonts w:ascii="Arial" w:hAnsi="Arial" w:cs="Arial"/>
          <w:kern w:val="0"/>
          <w:szCs w:val="21"/>
          <w:u w:val="single"/>
        </w:rPr>
        <w:t>        </w:t>
      </w:r>
      <w:r>
        <w:rPr>
          <w:rFonts w:hint="eastAsia" w:ascii="Arial" w:hAnsi="Arial" w:cs="Arial"/>
          <w:kern w:val="0"/>
          <w:szCs w:val="21"/>
        </w:rPr>
        <w:t>（项目编号）投标，以本公司名义处理一切与之有关的事务。</w:t>
      </w:r>
    </w:p>
    <w:p w14:paraId="7074F2E8">
      <w:pPr>
        <w:widowControl/>
        <w:shd w:val="clear" w:color="auto" w:fill="FFFFFF"/>
        <w:spacing w:line="360" w:lineRule="auto"/>
        <w:jc w:val="left"/>
        <w:rPr>
          <w:rFonts w:ascii="Arial" w:hAnsi="Arial" w:cs="Arial"/>
          <w:kern w:val="0"/>
          <w:szCs w:val="21"/>
        </w:rPr>
      </w:pPr>
      <w:r>
        <w:rPr>
          <w:rFonts w:ascii="Arial" w:hAnsi="Arial" w:cs="Arial"/>
          <w:kern w:val="0"/>
          <w:szCs w:val="21"/>
        </w:rPr>
        <w:t>    </w:t>
      </w:r>
      <w:r>
        <w:rPr>
          <w:rFonts w:hint="eastAsia" w:ascii="Arial" w:hAnsi="Arial" w:cs="Arial"/>
          <w:kern w:val="0"/>
          <w:szCs w:val="21"/>
        </w:rPr>
        <w:t>本授权书于</w:t>
      </w:r>
      <w:r>
        <w:rPr>
          <w:rFonts w:ascii="Arial" w:hAnsi="Arial" w:cs="Arial"/>
          <w:kern w:val="0"/>
          <w:szCs w:val="21"/>
        </w:rPr>
        <w:t>    </w:t>
      </w:r>
      <w:r>
        <w:rPr>
          <w:rFonts w:hint="eastAsia" w:ascii="Arial" w:hAnsi="Arial" w:cs="Arial"/>
          <w:kern w:val="0"/>
          <w:szCs w:val="21"/>
        </w:rPr>
        <w:t>年</w:t>
      </w:r>
      <w:r>
        <w:rPr>
          <w:rFonts w:ascii="Arial" w:hAnsi="Arial" w:cs="Arial"/>
          <w:kern w:val="0"/>
          <w:szCs w:val="21"/>
        </w:rPr>
        <w:t>  </w:t>
      </w:r>
      <w:r>
        <w:rPr>
          <w:rFonts w:hint="eastAsia" w:ascii="Arial" w:hAnsi="Arial" w:cs="Arial"/>
          <w:kern w:val="0"/>
          <w:szCs w:val="21"/>
        </w:rPr>
        <w:t>月</w:t>
      </w:r>
      <w:r>
        <w:rPr>
          <w:rFonts w:ascii="Arial" w:hAnsi="Arial" w:cs="Arial"/>
          <w:kern w:val="0"/>
          <w:szCs w:val="21"/>
        </w:rPr>
        <w:t>  </w:t>
      </w:r>
      <w:r>
        <w:rPr>
          <w:rFonts w:hint="eastAsia" w:ascii="Arial" w:hAnsi="Arial" w:cs="Arial"/>
          <w:kern w:val="0"/>
          <w:szCs w:val="21"/>
        </w:rPr>
        <w:t>日生效，特此声明。</w:t>
      </w:r>
    </w:p>
    <w:p w14:paraId="206C627B">
      <w:pPr>
        <w:widowControl/>
        <w:shd w:val="clear" w:color="auto" w:fill="FFFFFF"/>
        <w:spacing w:line="360" w:lineRule="auto"/>
        <w:jc w:val="left"/>
        <w:rPr>
          <w:rFonts w:ascii="Arial" w:hAnsi="Arial" w:cs="Arial"/>
          <w:kern w:val="0"/>
          <w:szCs w:val="21"/>
        </w:rPr>
      </w:pPr>
      <w:r>
        <w:rPr>
          <w:rFonts w:ascii="Arial" w:hAnsi="Arial" w:cs="Arial"/>
          <w:kern w:val="0"/>
          <w:szCs w:val="21"/>
        </w:rPr>
        <w:t>    </w:t>
      </w:r>
      <w:r>
        <w:rPr>
          <w:rFonts w:hint="eastAsia" w:ascii="Arial" w:hAnsi="Arial" w:cs="Arial"/>
          <w:kern w:val="0"/>
          <w:szCs w:val="21"/>
        </w:rPr>
        <w:t>法定代表人签字或盖章：</w:t>
      </w:r>
    </w:p>
    <w:p w14:paraId="2AB42C2F">
      <w:pPr>
        <w:widowControl/>
        <w:shd w:val="clear" w:color="auto" w:fill="FFFFFF"/>
        <w:spacing w:line="360" w:lineRule="auto"/>
        <w:ind w:firstLine="210" w:firstLineChars="100"/>
        <w:jc w:val="left"/>
        <w:rPr>
          <w:rFonts w:ascii="Arial" w:hAnsi="Arial" w:cs="Arial"/>
          <w:kern w:val="0"/>
          <w:szCs w:val="21"/>
        </w:rPr>
      </w:pPr>
      <w:r>
        <w:rPr>
          <w:rFonts w:hint="eastAsia" w:ascii="Arial" w:hAnsi="Arial" w:cs="Arial"/>
          <w:kern w:val="0"/>
          <w:szCs w:val="21"/>
        </w:rPr>
        <w:t>授权委托人签字：</w:t>
      </w:r>
      <w:r>
        <w:rPr>
          <w:rFonts w:ascii="Arial" w:hAnsi="Arial" w:cs="Arial"/>
          <w:kern w:val="0"/>
          <w:szCs w:val="21"/>
        </w:rPr>
        <w:t>                   </w:t>
      </w:r>
    </w:p>
    <w:p w14:paraId="43C7600B">
      <w:pPr>
        <w:widowControl/>
        <w:shd w:val="clear" w:color="auto" w:fill="FFFFFF"/>
        <w:spacing w:line="360" w:lineRule="auto"/>
        <w:ind w:firstLine="210" w:firstLineChars="100"/>
        <w:jc w:val="left"/>
        <w:rPr>
          <w:rFonts w:ascii="Arial" w:hAnsi="Arial" w:cs="Arial"/>
          <w:kern w:val="0"/>
          <w:szCs w:val="21"/>
        </w:rPr>
      </w:pPr>
      <w:r>
        <w:rPr>
          <w:rFonts w:hint="eastAsia" w:ascii="Arial" w:hAnsi="Arial" w:cs="Arial"/>
          <w:kern w:val="0"/>
          <w:szCs w:val="21"/>
        </w:rPr>
        <w:t>日</w:t>
      </w:r>
      <w:r>
        <w:rPr>
          <w:rFonts w:ascii="Arial" w:hAnsi="Arial" w:cs="Arial"/>
          <w:kern w:val="0"/>
          <w:szCs w:val="21"/>
        </w:rPr>
        <w:t>     </w:t>
      </w:r>
      <w:r>
        <w:rPr>
          <w:rFonts w:hint="eastAsia" w:ascii="Arial" w:hAnsi="Arial" w:cs="Arial"/>
          <w:kern w:val="0"/>
          <w:szCs w:val="21"/>
        </w:rPr>
        <w:t>期：</w:t>
      </w:r>
      <w:r>
        <w:rPr>
          <w:rFonts w:ascii="Arial" w:hAnsi="Arial" w:cs="Arial"/>
          <w:kern w:val="0"/>
          <w:szCs w:val="21"/>
        </w:rPr>
        <w:t>        </w:t>
      </w:r>
      <w:r>
        <w:rPr>
          <w:rFonts w:hint="eastAsia" w:ascii="Arial" w:hAnsi="Arial" w:cs="Arial"/>
          <w:kern w:val="0"/>
          <w:szCs w:val="21"/>
        </w:rPr>
        <w:t>年</w:t>
      </w:r>
      <w:r>
        <w:rPr>
          <w:rFonts w:ascii="Arial" w:hAnsi="Arial" w:cs="Arial"/>
          <w:kern w:val="0"/>
          <w:szCs w:val="21"/>
        </w:rPr>
        <w:t>    </w:t>
      </w:r>
      <w:r>
        <w:rPr>
          <w:rFonts w:hint="eastAsia" w:ascii="Arial" w:hAnsi="Arial" w:cs="Arial"/>
          <w:kern w:val="0"/>
          <w:szCs w:val="21"/>
        </w:rPr>
        <w:t>月</w:t>
      </w:r>
      <w:r>
        <w:rPr>
          <w:rFonts w:ascii="Arial" w:hAnsi="Arial" w:cs="Arial"/>
          <w:kern w:val="0"/>
          <w:szCs w:val="21"/>
        </w:rPr>
        <w:t>    </w:t>
      </w:r>
      <w:r>
        <w:rPr>
          <w:rFonts w:hint="eastAsia" w:ascii="Arial" w:hAnsi="Arial" w:cs="Arial"/>
          <w:kern w:val="0"/>
          <w:szCs w:val="21"/>
        </w:rPr>
        <w:t>日</w:t>
      </w:r>
    </w:p>
    <w:p w14:paraId="21618BD0">
      <w:pPr>
        <w:widowControl/>
        <w:shd w:val="clear" w:color="auto" w:fill="FFFFFF"/>
        <w:spacing w:line="360" w:lineRule="auto"/>
        <w:ind w:firstLine="840" w:firstLineChars="400"/>
        <w:jc w:val="left"/>
        <w:rPr>
          <w:rFonts w:ascii="Arial" w:hAnsi="Arial" w:cs="Arial"/>
          <w:kern w:val="0"/>
          <w:szCs w:val="21"/>
        </w:rPr>
      </w:pPr>
    </w:p>
    <w:p w14:paraId="780A347F">
      <w:pPr>
        <w:widowControl/>
        <w:shd w:val="clear" w:color="auto" w:fill="FFFFFF"/>
        <w:spacing w:line="360" w:lineRule="auto"/>
        <w:jc w:val="left"/>
        <w:rPr>
          <w:rFonts w:ascii="Arial" w:hAnsi="Arial" w:cs="Arial"/>
          <w:kern w:val="0"/>
          <w:szCs w:val="21"/>
        </w:rPr>
      </w:pPr>
      <w:r>
        <w:rPr>
          <w:rFonts w:hint="eastAsia" w:ascii="Arial" w:hAnsi="Arial" w:cs="Arial"/>
          <w:kern w:val="0"/>
          <w:szCs w:val="21"/>
        </w:rPr>
        <w:t>法定代表人、委托代理人的身份证的复印件</w:t>
      </w:r>
      <w:r>
        <w:rPr>
          <w:rFonts w:ascii="Arial" w:hAnsi="Arial" w:cs="Arial"/>
          <w:kern w:val="0"/>
          <w:szCs w:val="21"/>
        </w:rPr>
        <w:t>:</w:t>
      </w:r>
    </w:p>
    <w:p w14:paraId="70A1F397">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655D9630">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3067FCE4">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48F62FC2">
      <w:pPr>
        <w:autoSpaceDE w:val="0"/>
        <w:autoSpaceDN w:val="0"/>
        <w:adjustRightInd w:val="0"/>
        <w:spacing w:line="360" w:lineRule="auto"/>
        <w:rPr>
          <w:rFonts w:ascii="Arial" w:hAnsi="Arial" w:cs="Arial"/>
          <w:highlight w:val="none"/>
          <w:lang w:val="zh-CN"/>
        </w:rPr>
      </w:pPr>
      <w:r>
        <w:rPr>
          <w:rFonts w:ascii="Arial" w:hAnsi="Arial" w:cs="Arial"/>
          <w:b/>
          <w:bCs/>
          <w:kern w:val="0"/>
          <w:szCs w:val="21"/>
        </w:rPr>
        <w:br w:type="page"/>
      </w:r>
      <w:r>
        <w:rPr>
          <w:rFonts w:hint="eastAsia" w:ascii="Arial" w:hAnsi="Arial" w:cs="Arial"/>
          <w:b/>
          <w:bCs/>
          <w:kern w:val="0"/>
          <w:szCs w:val="21"/>
          <w:highlight w:val="none"/>
          <w:lang w:val="zh-CN"/>
        </w:rPr>
        <w:t>附件三（</w:t>
      </w:r>
      <w:r>
        <w:rPr>
          <w:rFonts w:hint="eastAsia" w:ascii="Arial" w:hAnsi="Arial" w:cs="Arial"/>
          <w:b/>
          <w:bCs/>
          <w:kern w:val="0"/>
          <w:szCs w:val="21"/>
          <w:highlight w:val="none"/>
        </w:rPr>
        <w:t>1</w:t>
      </w:r>
      <w:r>
        <w:rPr>
          <w:rFonts w:hint="eastAsia" w:ascii="Arial" w:hAnsi="Arial" w:cs="Arial"/>
          <w:b/>
          <w:bCs/>
          <w:kern w:val="0"/>
          <w:szCs w:val="21"/>
          <w:highlight w:val="none"/>
          <w:lang w:val="zh-CN"/>
        </w:rPr>
        <w:t>）、报价表</w:t>
      </w:r>
    </w:p>
    <w:p w14:paraId="149DA51B">
      <w:pPr>
        <w:autoSpaceDE w:val="0"/>
        <w:autoSpaceDN w:val="0"/>
        <w:adjustRightInd w:val="0"/>
        <w:rPr>
          <w:rFonts w:ascii="Arial" w:hAnsi="Arial" w:cs="Arial"/>
          <w:b/>
          <w:bCs/>
          <w:highlight w:val="none"/>
          <w:lang w:val="zh-CN"/>
        </w:rPr>
      </w:pPr>
    </w:p>
    <w:p w14:paraId="5E37FD45">
      <w:pPr>
        <w:jc w:val="center"/>
        <w:rPr>
          <w:rFonts w:hint="eastAsia" w:ascii="宋体" w:hAnsi="宋体" w:cs="Arial"/>
          <w:b/>
          <w:sz w:val="36"/>
          <w:szCs w:val="36"/>
          <w:highlight w:val="none"/>
        </w:rPr>
      </w:pPr>
      <w:r>
        <w:rPr>
          <w:rFonts w:hint="eastAsia" w:ascii="宋体" w:hAnsi="宋体" w:cs="Arial"/>
          <w:b/>
          <w:sz w:val="36"/>
          <w:szCs w:val="36"/>
          <w:highlight w:val="none"/>
        </w:rPr>
        <w:t>开标一览表</w:t>
      </w:r>
    </w:p>
    <w:p w14:paraId="78020391">
      <w:pPr>
        <w:widowControl/>
        <w:shd w:val="clear" w:color="auto" w:fill="FFFFFF"/>
        <w:spacing w:line="360" w:lineRule="auto"/>
        <w:jc w:val="center"/>
        <w:rPr>
          <w:rFonts w:hint="eastAsia" w:ascii="宋体" w:hAnsi="宋体" w:cs="Arial"/>
          <w:kern w:val="0"/>
          <w:sz w:val="24"/>
          <w:highlight w:val="none"/>
        </w:rPr>
      </w:pPr>
    </w:p>
    <w:p w14:paraId="5FD6D3C3">
      <w:pPr>
        <w:pStyle w:val="13"/>
        <w:spacing w:line="440" w:lineRule="exact"/>
        <w:ind w:firstLine="474" w:firstLineChars="225"/>
        <w:rPr>
          <w:rFonts w:hint="eastAsia" w:ascii="宋体" w:hAnsi="宋体" w:cs="Arial"/>
          <w:sz w:val="21"/>
          <w:szCs w:val="21"/>
          <w:highlight w:val="none"/>
        </w:rPr>
      </w:pPr>
      <w:r>
        <w:rPr>
          <w:rFonts w:hint="eastAsia" w:ascii="宋体" w:hAnsi="宋体" w:cs="Arial"/>
          <w:sz w:val="21"/>
          <w:szCs w:val="21"/>
          <w:highlight w:val="none"/>
        </w:rPr>
        <w:t>项目名称：</w:t>
      </w:r>
      <w:r>
        <w:rPr>
          <w:rFonts w:ascii="宋体" w:hAnsi="宋体" w:cs="Arial"/>
          <w:sz w:val="21"/>
          <w:szCs w:val="21"/>
          <w:highlight w:val="none"/>
        </w:rPr>
        <w:t xml:space="preserve">                     </w:t>
      </w:r>
      <w:r>
        <w:rPr>
          <w:rFonts w:hint="eastAsia" w:ascii="宋体" w:hAnsi="宋体" w:cs="Arial"/>
          <w:sz w:val="21"/>
          <w:szCs w:val="21"/>
          <w:highlight w:val="none"/>
        </w:rPr>
        <w:t>项目编号：</w:t>
      </w:r>
    </w:p>
    <w:tbl>
      <w:tblPr>
        <w:tblStyle w:val="48"/>
        <w:tblW w:w="826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6391"/>
      </w:tblGrid>
      <w:tr w14:paraId="20EF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tcBorders>
              <w:top w:val="single" w:color="auto" w:sz="4" w:space="0"/>
              <w:left w:val="single" w:color="auto" w:sz="4" w:space="0"/>
              <w:bottom w:val="single" w:color="auto" w:sz="4" w:space="0"/>
              <w:right w:val="single" w:color="auto" w:sz="4" w:space="0"/>
            </w:tcBorders>
            <w:vAlign w:val="center"/>
          </w:tcPr>
          <w:p w14:paraId="17D346C4">
            <w:pPr>
              <w:pStyle w:val="13"/>
              <w:spacing w:line="440" w:lineRule="exact"/>
              <w:ind w:firstLine="0"/>
              <w:jc w:val="left"/>
              <w:rPr>
                <w:rFonts w:hint="eastAsia" w:ascii="宋体" w:hAnsi="宋体" w:cs="Arial"/>
                <w:sz w:val="21"/>
                <w:szCs w:val="21"/>
                <w:highlight w:val="none"/>
              </w:rPr>
            </w:pPr>
            <w:r>
              <w:rPr>
                <w:rFonts w:hint="eastAsia" w:ascii="宋体" w:hAnsi="宋体" w:cs="Arial"/>
                <w:sz w:val="21"/>
                <w:szCs w:val="21"/>
                <w:highlight w:val="none"/>
              </w:rPr>
              <w:t>投标报价</w:t>
            </w:r>
          </w:p>
        </w:tc>
        <w:tc>
          <w:tcPr>
            <w:tcW w:w="6391" w:type="dxa"/>
            <w:tcBorders>
              <w:top w:val="single" w:color="auto" w:sz="4" w:space="0"/>
              <w:left w:val="single" w:color="auto" w:sz="4" w:space="0"/>
              <w:bottom w:val="single" w:color="auto" w:sz="4" w:space="0"/>
              <w:right w:val="single" w:color="auto" w:sz="4" w:space="0"/>
            </w:tcBorders>
            <w:vAlign w:val="center"/>
          </w:tcPr>
          <w:p w14:paraId="0F1D6936">
            <w:pPr>
              <w:pStyle w:val="13"/>
              <w:spacing w:line="440" w:lineRule="exact"/>
              <w:ind w:firstLine="421"/>
              <w:rPr>
                <w:rFonts w:hint="eastAsia" w:ascii="宋体" w:hAnsi="宋体" w:cs="Arial"/>
                <w:sz w:val="21"/>
                <w:szCs w:val="21"/>
                <w:highlight w:val="none"/>
              </w:rPr>
            </w:pPr>
            <w:r>
              <w:rPr>
                <w:rFonts w:hint="eastAsia" w:ascii="宋体" w:hAnsi="宋体" w:cs="Arial"/>
                <w:sz w:val="21"/>
                <w:szCs w:val="21"/>
                <w:highlight w:val="none"/>
              </w:rPr>
              <w:t>大写</w:t>
            </w:r>
          </w:p>
          <w:p w14:paraId="0F4B17D6">
            <w:pPr>
              <w:pStyle w:val="13"/>
              <w:spacing w:line="440" w:lineRule="exact"/>
              <w:ind w:firstLine="421"/>
              <w:rPr>
                <w:rFonts w:hint="eastAsia" w:ascii="宋体" w:hAnsi="宋体" w:cs="Arial"/>
                <w:sz w:val="21"/>
                <w:szCs w:val="21"/>
                <w:highlight w:val="none"/>
              </w:rPr>
            </w:pPr>
            <w:r>
              <w:rPr>
                <w:rFonts w:hint="eastAsia" w:ascii="宋体" w:hAnsi="宋体" w:cs="Arial"/>
                <w:sz w:val="21"/>
                <w:szCs w:val="21"/>
                <w:highlight w:val="none"/>
              </w:rPr>
              <w:t xml:space="preserve">小写             </w:t>
            </w:r>
          </w:p>
        </w:tc>
      </w:tr>
      <w:tr w14:paraId="2B658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tcBorders>
              <w:top w:val="single" w:color="auto" w:sz="4" w:space="0"/>
              <w:left w:val="single" w:color="auto" w:sz="4" w:space="0"/>
              <w:bottom w:val="single" w:color="auto" w:sz="4" w:space="0"/>
              <w:right w:val="single" w:color="auto" w:sz="4" w:space="0"/>
            </w:tcBorders>
            <w:vAlign w:val="center"/>
          </w:tcPr>
          <w:p w14:paraId="3013D4BC">
            <w:pPr>
              <w:pStyle w:val="13"/>
              <w:spacing w:line="440" w:lineRule="exact"/>
              <w:ind w:firstLine="0"/>
              <w:rPr>
                <w:rFonts w:hint="eastAsia" w:ascii="宋体" w:hAnsi="宋体" w:cs="Arial"/>
                <w:sz w:val="21"/>
                <w:szCs w:val="21"/>
                <w:highlight w:val="none"/>
              </w:rPr>
            </w:pPr>
            <w:r>
              <w:rPr>
                <w:rFonts w:hint="eastAsia" w:ascii="宋体" w:hAnsi="宋体" w:cs="Arial"/>
                <w:sz w:val="21"/>
                <w:szCs w:val="21"/>
                <w:highlight w:val="none"/>
              </w:rPr>
              <w:t>合同履行期限</w:t>
            </w:r>
          </w:p>
        </w:tc>
        <w:tc>
          <w:tcPr>
            <w:tcW w:w="6391" w:type="dxa"/>
            <w:tcBorders>
              <w:top w:val="single" w:color="auto" w:sz="4" w:space="0"/>
              <w:left w:val="single" w:color="auto" w:sz="4" w:space="0"/>
              <w:bottom w:val="single" w:color="auto" w:sz="4" w:space="0"/>
              <w:right w:val="single" w:color="auto" w:sz="4" w:space="0"/>
            </w:tcBorders>
            <w:vAlign w:val="center"/>
          </w:tcPr>
          <w:p w14:paraId="30A8C53D">
            <w:pPr>
              <w:pStyle w:val="13"/>
              <w:tabs>
                <w:tab w:val="left" w:pos="3624"/>
              </w:tabs>
              <w:spacing w:line="440" w:lineRule="exact"/>
              <w:ind w:firstLine="474" w:firstLineChars="225"/>
              <w:rPr>
                <w:rFonts w:hint="eastAsia" w:ascii="宋体" w:hAnsi="宋体" w:cs="Arial"/>
                <w:sz w:val="21"/>
                <w:szCs w:val="21"/>
                <w:highlight w:val="none"/>
                <w:u w:val="single"/>
              </w:rPr>
            </w:pPr>
            <w:r>
              <w:rPr>
                <w:rFonts w:hint="eastAsia" w:ascii="宋体" w:hAnsi="宋体" w:cs="Arial"/>
                <w:sz w:val="21"/>
                <w:szCs w:val="21"/>
                <w:highlight w:val="none"/>
                <w:u w:val="single"/>
              </w:rPr>
              <w:t>满足招标文件要求。</w:t>
            </w:r>
          </w:p>
        </w:tc>
      </w:tr>
    </w:tbl>
    <w:p w14:paraId="4255C266">
      <w:pPr>
        <w:widowControl/>
        <w:shd w:val="clear" w:color="auto" w:fill="FFFFFF"/>
        <w:spacing w:line="360" w:lineRule="auto"/>
        <w:jc w:val="left"/>
        <w:rPr>
          <w:rFonts w:hint="eastAsia" w:ascii="宋体" w:hAnsi="宋体" w:cs="Arial"/>
          <w:kern w:val="0"/>
          <w:szCs w:val="21"/>
          <w:highlight w:val="none"/>
        </w:rPr>
      </w:pPr>
    </w:p>
    <w:p w14:paraId="5299C284">
      <w:pPr>
        <w:widowControl/>
        <w:shd w:val="clear" w:color="auto" w:fill="FFFFFF"/>
        <w:spacing w:line="360" w:lineRule="auto"/>
        <w:jc w:val="left"/>
        <w:rPr>
          <w:rFonts w:ascii="Arial" w:hAnsi="Arial" w:cs="Arial"/>
          <w:kern w:val="0"/>
          <w:szCs w:val="21"/>
          <w:highlight w:val="none"/>
        </w:rPr>
      </w:pPr>
      <w:r>
        <w:rPr>
          <w:rFonts w:hint="eastAsia" w:ascii="Arial" w:hAnsi="Arial" w:cs="Arial"/>
          <w:kern w:val="0"/>
          <w:szCs w:val="21"/>
          <w:highlight w:val="none"/>
        </w:rPr>
        <w:t>供应商（盖章）：</w:t>
      </w:r>
      <w:r>
        <w:rPr>
          <w:rFonts w:ascii="Arial" w:hAnsi="Arial" w:cs="Arial"/>
          <w:kern w:val="0"/>
          <w:szCs w:val="21"/>
          <w:highlight w:val="none"/>
          <w:u w:val="single"/>
        </w:rPr>
        <w:t>                             </w:t>
      </w:r>
    </w:p>
    <w:p w14:paraId="2DE2AFED">
      <w:pPr>
        <w:widowControl/>
        <w:shd w:val="clear" w:color="auto" w:fill="FFFFFF"/>
        <w:spacing w:line="360" w:lineRule="auto"/>
        <w:jc w:val="left"/>
        <w:rPr>
          <w:rFonts w:ascii="Arial" w:hAnsi="Arial" w:cs="Arial"/>
          <w:kern w:val="0"/>
          <w:szCs w:val="21"/>
          <w:highlight w:val="none"/>
          <w:u w:val="single"/>
        </w:rPr>
      </w:pPr>
      <w:r>
        <w:rPr>
          <w:rFonts w:hint="eastAsia" w:ascii="Arial" w:hAnsi="Arial" w:cs="Arial"/>
          <w:kern w:val="0"/>
          <w:szCs w:val="21"/>
          <w:highlight w:val="none"/>
        </w:rPr>
        <w:t>法定代表人或授权代表（签字）：</w:t>
      </w:r>
      <w:r>
        <w:rPr>
          <w:rFonts w:ascii="Arial" w:hAnsi="Arial" w:cs="Arial"/>
          <w:kern w:val="0"/>
          <w:szCs w:val="21"/>
          <w:highlight w:val="none"/>
          <w:u w:val="single"/>
        </w:rPr>
        <w:t>                              </w:t>
      </w:r>
    </w:p>
    <w:p w14:paraId="37407BF8">
      <w:pPr>
        <w:widowControl/>
        <w:shd w:val="clear" w:color="auto" w:fill="FFFFFF"/>
        <w:spacing w:line="360" w:lineRule="auto"/>
        <w:jc w:val="left"/>
        <w:rPr>
          <w:rFonts w:ascii="Arial" w:hAnsi="Arial" w:cs="Arial"/>
          <w:kern w:val="0"/>
          <w:szCs w:val="21"/>
          <w:highlight w:val="none"/>
        </w:rPr>
      </w:pPr>
      <w:r>
        <w:rPr>
          <w:rFonts w:hint="eastAsia" w:ascii="Arial" w:hAnsi="Arial" w:cs="Arial"/>
          <w:kern w:val="0"/>
          <w:szCs w:val="21"/>
          <w:highlight w:val="none"/>
        </w:rPr>
        <w:t>说明：</w:t>
      </w:r>
    </w:p>
    <w:p w14:paraId="71274874">
      <w:pPr>
        <w:widowControl/>
        <w:numPr>
          <w:ilvl w:val="0"/>
          <w:numId w:val="7"/>
        </w:numPr>
        <w:shd w:val="clear" w:color="auto" w:fill="FFFFFF"/>
        <w:spacing w:line="360" w:lineRule="auto"/>
        <w:ind w:firstLine="422" w:firstLineChars="200"/>
        <w:jc w:val="left"/>
        <w:rPr>
          <w:rFonts w:ascii="Arial" w:hAnsi="Arial" w:cs="Arial"/>
          <w:b/>
          <w:bCs/>
          <w:kern w:val="0"/>
          <w:szCs w:val="21"/>
          <w:highlight w:val="none"/>
        </w:rPr>
      </w:pPr>
      <w:r>
        <w:rPr>
          <w:rFonts w:hint="eastAsia" w:ascii="Arial" w:hAnsi="Arial" w:cs="Arial"/>
          <w:b/>
          <w:bCs/>
          <w:kern w:val="0"/>
          <w:szCs w:val="21"/>
          <w:highlight w:val="none"/>
        </w:rPr>
        <w:t>本项目仅接受一个价格，不得填报有选择性报价方案。若有优惠条款须注明，但不得影响报价，影响产品整体功能。</w:t>
      </w:r>
    </w:p>
    <w:p w14:paraId="4284CD6A">
      <w:pPr>
        <w:widowControl/>
        <w:shd w:val="clear" w:color="auto" w:fill="FFFFFF"/>
        <w:spacing w:line="360" w:lineRule="auto"/>
        <w:ind w:firstLine="420"/>
        <w:jc w:val="left"/>
        <w:rPr>
          <w:rFonts w:ascii="Arial" w:hAnsi="Arial" w:cs="Arial"/>
          <w:b/>
          <w:bCs/>
          <w:kern w:val="0"/>
          <w:szCs w:val="21"/>
          <w:lang w:val="zh-CN"/>
        </w:rPr>
      </w:pPr>
    </w:p>
    <w:p w14:paraId="22B60D83">
      <w:pPr>
        <w:rPr>
          <w:rFonts w:ascii="Arial" w:hAnsi="Arial" w:cs="Arial"/>
          <w:b/>
          <w:bCs/>
          <w:kern w:val="0"/>
          <w:szCs w:val="21"/>
          <w:lang w:val="zh-CN"/>
        </w:rPr>
      </w:pPr>
      <w:r>
        <w:rPr>
          <w:rFonts w:ascii="Arial" w:hAnsi="Arial" w:cs="Arial"/>
          <w:b/>
          <w:bCs/>
          <w:kern w:val="0"/>
          <w:szCs w:val="21"/>
          <w:lang w:val="zh-CN"/>
        </w:rPr>
        <w:br w:type="page"/>
      </w:r>
    </w:p>
    <w:p w14:paraId="2E1ED456">
      <w:pPr>
        <w:widowControl/>
        <w:shd w:val="clear" w:color="auto" w:fill="FFFFFF"/>
        <w:spacing w:line="360" w:lineRule="auto"/>
        <w:ind w:firstLine="420"/>
        <w:jc w:val="left"/>
        <w:rPr>
          <w:rFonts w:ascii="Arial" w:hAnsi="Arial" w:cs="Arial"/>
          <w:b/>
          <w:bCs/>
          <w:kern w:val="0"/>
          <w:szCs w:val="21"/>
          <w:highlight w:val="none"/>
        </w:rPr>
      </w:pPr>
      <w:r>
        <w:rPr>
          <w:rFonts w:hint="eastAsia" w:ascii="Arial" w:hAnsi="Arial" w:cs="Arial"/>
          <w:b/>
          <w:bCs/>
          <w:kern w:val="0"/>
          <w:szCs w:val="21"/>
          <w:highlight w:val="none"/>
          <w:lang w:val="zh-CN"/>
        </w:rPr>
        <w:t>附件三（</w:t>
      </w:r>
      <w:r>
        <w:rPr>
          <w:rFonts w:hint="eastAsia" w:ascii="Arial" w:hAnsi="Arial" w:cs="Arial"/>
          <w:b/>
          <w:bCs/>
          <w:kern w:val="0"/>
          <w:szCs w:val="21"/>
          <w:highlight w:val="none"/>
        </w:rPr>
        <w:t>2</w:t>
      </w:r>
      <w:r>
        <w:rPr>
          <w:rFonts w:hint="eastAsia" w:ascii="Arial" w:hAnsi="Arial" w:cs="Arial"/>
          <w:b/>
          <w:bCs/>
          <w:kern w:val="0"/>
          <w:szCs w:val="21"/>
          <w:highlight w:val="none"/>
          <w:lang w:val="zh-CN"/>
        </w:rPr>
        <w:t>）：</w:t>
      </w:r>
      <w:r>
        <w:rPr>
          <w:rFonts w:hint="eastAsia" w:ascii="Arial" w:hAnsi="Arial" w:cs="Arial"/>
          <w:b/>
          <w:bCs/>
          <w:kern w:val="0"/>
          <w:szCs w:val="21"/>
          <w:highlight w:val="none"/>
        </w:rPr>
        <w:t>分项报价表</w:t>
      </w:r>
    </w:p>
    <w:p w14:paraId="5E63DF16">
      <w:pPr>
        <w:widowControl/>
        <w:shd w:val="clear" w:color="auto" w:fill="FFFFFF"/>
        <w:spacing w:line="360" w:lineRule="auto"/>
        <w:ind w:firstLine="420"/>
        <w:jc w:val="center"/>
        <w:rPr>
          <w:rFonts w:ascii="Arial" w:hAnsi="Arial" w:cs="Arial"/>
          <w:b/>
          <w:bCs/>
          <w:kern w:val="0"/>
          <w:szCs w:val="21"/>
          <w:highlight w:val="none"/>
        </w:rPr>
      </w:pPr>
      <w:r>
        <w:rPr>
          <w:rFonts w:hint="eastAsia" w:ascii="Arial" w:hAnsi="Arial" w:cs="Arial"/>
          <w:b/>
          <w:bCs/>
          <w:kern w:val="0"/>
          <w:szCs w:val="21"/>
          <w:highlight w:val="none"/>
        </w:rPr>
        <w:t>（格式自拟）</w:t>
      </w:r>
    </w:p>
    <w:p w14:paraId="0CD9554C">
      <w:pPr>
        <w:widowControl/>
        <w:shd w:val="clear" w:color="auto" w:fill="FFFFFF"/>
        <w:spacing w:line="360" w:lineRule="auto"/>
        <w:ind w:firstLine="420"/>
        <w:jc w:val="left"/>
        <w:rPr>
          <w:rFonts w:ascii="Arial" w:hAnsi="Arial" w:cs="Arial"/>
          <w:b/>
          <w:bCs/>
          <w:kern w:val="0"/>
          <w:szCs w:val="21"/>
          <w:highlight w:val="none"/>
        </w:rPr>
      </w:pPr>
    </w:p>
    <w:p w14:paraId="00E8680F">
      <w:pPr>
        <w:widowControl/>
        <w:shd w:val="clear" w:color="auto" w:fill="FFFFFF"/>
        <w:spacing w:line="360" w:lineRule="auto"/>
        <w:ind w:firstLine="420"/>
        <w:jc w:val="left"/>
        <w:rPr>
          <w:rFonts w:ascii="Arial" w:hAnsi="Arial" w:cs="Arial"/>
          <w:b/>
          <w:bCs/>
          <w:kern w:val="0"/>
          <w:szCs w:val="21"/>
          <w:highlight w:val="none"/>
        </w:rPr>
      </w:pPr>
    </w:p>
    <w:p w14:paraId="6B16C5AE">
      <w:pPr>
        <w:widowControl/>
        <w:shd w:val="clear" w:color="auto" w:fill="FFFFFF"/>
        <w:spacing w:line="360" w:lineRule="auto"/>
        <w:jc w:val="left"/>
        <w:rPr>
          <w:rFonts w:ascii="Arial" w:hAnsi="Arial" w:cs="Arial"/>
          <w:kern w:val="0"/>
          <w:szCs w:val="21"/>
          <w:highlight w:val="none"/>
        </w:rPr>
      </w:pPr>
      <w:r>
        <w:rPr>
          <w:rFonts w:hint="eastAsia" w:ascii="Arial" w:hAnsi="Arial" w:cs="Arial"/>
          <w:kern w:val="0"/>
          <w:szCs w:val="21"/>
          <w:highlight w:val="none"/>
        </w:rPr>
        <w:t>供应商（盖章）：</w:t>
      </w:r>
      <w:r>
        <w:rPr>
          <w:rFonts w:ascii="Arial" w:hAnsi="Arial" w:cs="Arial"/>
          <w:kern w:val="0"/>
          <w:szCs w:val="21"/>
          <w:highlight w:val="none"/>
          <w:u w:val="single"/>
        </w:rPr>
        <w:t>                             </w:t>
      </w:r>
    </w:p>
    <w:p w14:paraId="384BF54E">
      <w:pPr>
        <w:widowControl/>
        <w:shd w:val="clear" w:color="auto" w:fill="FFFFFF"/>
        <w:spacing w:line="360" w:lineRule="auto"/>
        <w:jc w:val="left"/>
        <w:rPr>
          <w:rFonts w:ascii="Arial" w:hAnsi="Arial" w:cs="Arial"/>
          <w:kern w:val="0"/>
          <w:szCs w:val="21"/>
          <w:highlight w:val="none"/>
          <w:u w:val="single"/>
        </w:rPr>
      </w:pPr>
      <w:r>
        <w:rPr>
          <w:rFonts w:hint="eastAsia" w:ascii="Arial" w:hAnsi="Arial" w:cs="Arial"/>
          <w:kern w:val="0"/>
          <w:szCs w:val="21"/>
          <w:highlight w:val="none"/>
        </w:rPr>
        <w:t>法定代表人或授权代表（签字）：</w:t>
      </w:r>
      <w:r>
        <w:rPr>
          <w:rFonts w:ascii="Arial" w:hAnsi="Arial" w:cs="Arial"/>
          <w:kern w:val="0"/>
          <w:szCs w:val="21"/>
          <w:highlight w:val="none"/>
          <w:u w:val="single"/>
        </w:rPr>
        <w:t>                              </w:t>
      </w:r>
    </w:p>
    <w:p w14:paraId="7469A18A">
      <w:pPr>
        <w:widowControl/>
        <w:shd w:val="clear" w:color="auto" w:fill="FFFFFF"/>
        <w:spacing w:line="360" w:lineRule="auto"/>
        <w:ind w:firstLine="420"/>
        <w:jc w:val="left"/>
        <w:rPr>
          <w:rFonts w:ascii="Arial" w:hAnsi="Arial" w:cs="Arial"/>
          <w:b/>
          <w:bCs/>
          <w:kern w:val="0"/>
          <w:szCs w:val="21"/>
          <w:highlight w:val="none"/>
          <w:lang w:val="zh-CN"/>
        </w:rPr>
      </w:pPr>
      <w:r>
        <w:rPr>
          <w:rFonts w:ascii="Arial" w:hAnsi="Arial" w:cs="Arial"/>
          <w:b/>
          <w:bCs/>
          <w:kern w:val="0"/>
          <w:szCs w:val="21"/>
          <w:highlight w:val="none"/>
          <w:lang w:val="zh-CN"/>
        </w:rPr>
        <w:br w:type="page"/>
      </w:r>
    </w:p>
    <w:p w14:paraId="28FEED07">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r>
        <w:rPr>
          <w:rFonts w:hint="eastAsia" w:ascii="Arial" w:hAnsi="Arial" w:cs="Arial"/>
          <w:b/>
          <w:bCs/>
          <w:kern w:val="0"/>
          <w:szCs w:val="21"/>
          <w:highlight w:val="none"/>
        </w:rPr>
        <w:t>附件四、</w:t>
      </w:r>
      <w:r>
        <w:rPr>
          <w:rFonts w:hint="eastAsia" w:ascii="Arial" w:hAnsi="Arial" w:cs="Arial"/>
          <w:b/>
          <w:bCs/>
          <w:kern w:val="0"/>
          <w:szCs w:val="21"/>
          <w:highlight w:val="none"/>
          <w:lang w:val="en-US" w:eastAsia="zh-CN"/>
        </w:rPr>
        <w:t>技术/</w:t>
      </w:r>
      <w:r>
        <w:rPr>
          <w:rFonts w:hint="eastAsia" w:ascii="Arial" w:hAnsi="Arial" w:cs="Arial"/>
          <w:b/>
          <w:bCs/>
          <w:kern w:val="0"/>
          <w:szCs w:val="21"/>
          <w:highlight w:val="none"/>
        </w:rPr>
        <w:t>服务需求偏离表格式</w:t>
      </w:r>
    </w:p>
    <w:p w14:paraId="384476AA">
      <w:pPr>
        <w:widowControl/>
        <w:shd w:val="clear" w:color="auto" w:fill="FFFFFF"/>
        <w:spacing w:line="360" w:lineRule="auto"/>
        <w:ind w:left="435"/>
        <w:jc w:val="left"/>
        <w:rPr>
          <w:rFonts w:ascii="Arial" w:hAnsi="Arial" w:cs="Arial"/>
          <w:kern w:val="0"/>
          <w:szCs w:val="21"/>
          <w:highlight w:val="none"/>
        </w:rPr>
      </w:pPr>
      <w:r>
        <w:rPr>
          <w:rFonts w:ascii="Arial" w:hAnsi="Arial" w:cs="Arial"/>
          <w:kern w:val="0"/>
          <w:sz w:val="24"/>
          <w:highlight w:val="none"/>
        </w:rPr>
        <w:t> </w:t>
      </w:r>
    </w:p>
    <w:p w14:paraId="0C89C9AB">
      <w:pPr>
        <w:widowControl/>
        <w:shd w:val="clear" w:color="auto" w:fill="FFFFFF"/>
        <w:spacing w:line="360" w:lineRule="auto"/>
        <w:ind w:left="420"/>
        <w:jc w:val="center"/>
        <w:rPr>
          <w:rFonts w:ascii="Arial" w:hAnsi="Arial" w:cs="Arial"/>
          <w:b/>
          <w:kern w:val="0"/>
          <w:szCs w:val="21"/>
          <w:highlight w:val="none"/>
        </w:rPr>
      </w:pPr>
      <w:r>
        <w:rPr>
          <w:rFonts w:hint="eastAsia" w:ascii="Arial" w:hAnsi="Arial" w:cs="Arial"/>
          <w:b/>
          <w:kern w:val="0"/>
          <w:sz w:val="36"/>
          <w:szCs w:val="36"/>
          <w:highlight w:val="none"/>
          <w:lang w:val="en-US" w:eastAsia="zh-CN"/>
        </w:rPr>
        <w:t>技术/</w:t>
      </w:r>
      <w:r>
        <w:rPr>
          <w:rFonts w:hint="eastAsia" w:ascii="Arial" w:hAnsi="Arial" w:cs="Arial"/>
          <w:b/>
          <w:kern w:val="0"/>
          <w:sz w:val="36"/>
          <w:szCs w:val="36"/>
          <w:highlight w:val="none"/>
        </w:rPr>
        <w:t>服务需求偏离表</w:t>
      </w:r>
    </w:p>
    <w:p w14:paraId="19F74958">
      <w:pPr>
        <w:widowControl/>
        <w:shd w:val="clear" w:color="auto" w:fill="FFFFFF"/>
        <w:spacing w:line="360" w:lineRule="auto"/>
        <w:jc w:val="left"/>
        <w:rPr>
          <w:rFonts w:ascii="Arial" w:hAnsi="Arial" w:cs="Arial"/>
          <w:kern w:val="0"/>
          <w:szCs w:val="21"/>
          <w:highlight w:val="none"/>
        </w:rPr>
      </w:pPr>
      <w:r>
        <w:rPr>
          <w:rFonts w:ascii="Arial" w:hAnsi="Arial" w:cs="Arial"/>
          <w:kern w:val="0"/>
          <w:szCs w:val="21"/>
          <w:highlight w:val="none"/>
        </w:rPr>
        <w:t>                       </w:t>
      </w:r>
    </w:p>
    <w:p w14:paraId="506C9BA3">
      <w:pPr>
        <w:widowControl/>
        <w:tabs>
          <w:tab w:val="left" w:pos="5397"/>
        </w:tabs>
        <w:spacing w:line="360" w:lineRule="auto"/>
        <w:ind w:firstLine="84" w:firstLineChars="40"/>
        <w:jc w:val="left"/>
        <w:rPr>
          <w:rFonts w:ascii="Arial" w:hAnsi="Arial" w:cs="Arial"/>
          <w:kern w:val="0"/>
          <w:szCs w:val="21"/>
          <w:highlight w:val="none"/>
        </w:rPr>
      </w:pPr>
      <w:r>
        <w:rPr>
          <w:rFonts w:hint="eastAsia" w:ascii="Arial" w:hAnsi="Arial" w:cs="Arial"/>
          <w:kern w:val="0"/>
          <w:szCs w:val="21"/>
          <w:highlight w:val="none"/>
        </w:rPr>
        <w:t>项目名称：</w:t>
      </w:r>
      <w:r>
        <w:rPr>
          <w:rFonts w:ascii="Arial" w:hAnsi="Arial" w:cs="Arial"/>
          <w:kern w:val="0"/>
          <w:szCs w:val="21"/>
          <w:highlight w:val="none"/>
        </w:rPr>
        <w:tab/>
      </w:r>
      <w:r>
        <w:rPr>
          <w:rFonts w:hint="eastAsia" w:ascii="Arial" w:hAnsi="Arial" w:cs="Arial"/>
          <w:kern w:val="0"/>
          <w:szCs w:val="21"/>
          <w:highlight w:val="none"/>
        </w:rPr>
        <w:t>项目编号：</w:t>
      </w:r>
      <w:r>
        <w:rPr>
          <w:rFonts w:ascii="Arial" w:hAnsi="Arial" w:cs="Arial"/>
          <w:kern w:val="0"/>
          <w:szCs w:val="21"/>
          <w:highlight w:val="none"/>
        </w:rPr>
        <w:t>  </w:t>
      </w:r>
    </w:p>
    <w:tbl>
      <w:tblPr>
        <w:tblStyle w:val="48"/>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7"/>
        <w:gridCol w:w="1930"/>
        <w:gridCol w:w="3011"/>
        <w:gridCol w:w="1245"/>
      </w:tblGrid>
      <w:tr w14:paraId="13D70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71FDFC16">
            <w:pPr>
              <w:widowControl/>
              <w:spacing w:line="360" w:lineRule="auto"/>
              <w:jc w:val="center"/>
              <w:rPr>
                <w:rFonts w:ascii="Arial" w:hAnsi="Arial" w:cs="Arial"/>
                <w:b/>
                <w:kern w:val="0"/>
                <w:szCs w:val="21"/>
                <w:highlight w:val="none"/>
              </w:rPr>
            </w:pPr>
            <w:r>
              <w:rPr>
                <w:rFonts w:hint="eastAsia" w:ascii="Arial" w:hAnsi="Arial" w:cs="Arial"/>
                <w:b/>
                <w:kern w:val="0"/>
                <w:szCs w:val="21"/>
                <w:highlight w:val="none"/>
              </w:rPr>
              <w:t>序号</w:t>
            </w:r>
          </w:p>
        </w:tc>
        <w:tc>
          <w:tcPr>
            <w:tcW w:w="167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15229C9F">
            <w:pPr>
              <w:widowControl/>
              <w:spacing w:line="360" w:lineRule="auto"/>
              <w:jc w:val="center"/>
              <w:rPr>
                <w:rFonts w:ascii="Arial" w:hAnsi="Arial" w:cs="Arial"/>
                <w:b/>
                <w:kern w:val="0"/>
                <w:szCs w:val="21"/>
                <w:highlight w:val="none"/>
              </w:rPr>
            </w:pPr>
            <w:r>
              <w:rPr>
                <w:rFonts w:hint="eastAsia" w:ascii="Arial" w:hAnsi="Arial" w:cs="Arial"/>
                <w:b/>
                <w:kern w:val="0"/>
                <w:szCs w:val="21"/>
                <w:highlight w:val="none"/>
              </w:rPr>
              <w:t>招标文件条目号</w:t>
            </w:r>
          </w:p>
        </w:tc>
        <w:tc>
          <w:tcPr>
            <w:tcW w:w="193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0FFB538">
            <w:pPr>
              <w:widowControl/>
              <w:spacing w:line="360" w:lineRule="auto"/>
              <w:jc w:val="center"/>
              <w:rPr>
                <w:rFonts w:ascii="Arial" w:hAnsi="Arial" w:cs="Arial"/>
                <w:b/>
                <w:kern w:val="0"/>
                <w:szCs w:val="21"/>
                <w:highlight w:val="none"/>
              </w:rPr>
            </w:pPr>
            <w:r>
              <w:rPr>
                <w:rFonts w:hint="eastAsia" w:ascii="Arial" w:hAnsi="Arial" w:cs="Arial"/>
                <w:b/>
                <w:kern w:val="0"/>
                <w:szCs w:val="21"/>
                <w:highlight w:val="none"/>
              </w:rPr>
              <w:t>招标要求</w:t>
            </w:r>
          </w:p>
        </w:tc>
        <w:tc>
          <w:tcPr>
            <w:tcW w:w="301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57EE1B0E">
            <w:pPr>
              <w:widowControl/>
              <w:spacing w:line="360" w:lineRule="auto"/>
              <w:jc w:val="center"/>
              <w:rPr>
                <w:rFonts w:ascii="Arial" w:hAnsi="Arial" w:cs="Arial"/>
                <w:b/>
                <w:kern w:val="0"/>
                <w:szCs w:val="21"/>
                <w:highlight w:val="none"/>
              </w:rPr>
            </w:pPr>
            <w:r>
              <w:rPr>
                <w:rFonts w:hint="eastAsia"/>
                <w:highlight w:val="none"/>
              </w:rPr>
              <w:t>响应具体情况</w:t>
            </w:r>
          </w:p>
        </w:tc>
        <w:tc>
          <w:tcPr>
            <w:tcW w:w="1246"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5178F08">
            <w:pPr>
              <w:widowControl/>
              <w:spacing w:line="360" w:lineRule="auto"/>
              <w:jc w:val="center"/>
              <w:rPr>
                <w:rFonts w:ascii="Arial" w:hAnsi="Arial" w:cs="Arial"/>
                <w:b/>
                <w:kern w:val="0"/>
                <w:szCs w:val="21"/>
                <w:highlight w:val="none"/>
              </w:rPr>
            </w:pPr>
            <w:r>
              <w:rPr>
                <w:rFonts w:hint="eastAsia" w:ascii="Arial" w:hAnsi="Arial" w:cs="Arial"/>
                <w:b/>
                <w:kern w:val="0"/>
                <w:szCs w:val="21"/>
                <w:highlight w:val="none"/>
              </w:rPr>
              <w:t>说明</w:t>
            </w:r>
          </w:p>
        </w:tc>
      </w:tr>
      <w:tr w14:paraId="5765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0A92F61C">
            <w:pPr>
              <w:widowControl/>
              <w:spacing w:line="360" w:lineRule="auto"/>
              <w:jc w:val="center"/>
              <w:rPr>
                <w:rFonts w:ascii="Arial" w:hAnsi="Arial" w:cs="Arial"/>
                <w:kern w:val="0"/>
                <w:szCs w:val="21"/>
              </w:rPr>
            </w:pPr>
            <w:r>
              <w:rPr>
                <w:rFonts w:ascii="Arial" w:hAnsi="Arial" w:cs="Arial"/>
                <w:kern w:val="0"/>
                <w:szCs w:val="21"/>
              </w:rPr>
              <w:t> </w:t>
            </w:r>
          </w:p>
        </w:tc>
        <w:tc>
          <w:tcPr>
            <w:tcW w:w="167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6063346E">
            <w:pPr>
              <w:widowControl/>
              <w:spacing w:line="360" w:lineRule="auto"/>
              <w:jc w:val="center"/>
              <w:rPr>
                <w:rFonts w:ascii="Arial" w:hAnsi="Arial" w:cs="Arial"/>
                <w:kern w:val="0"/>
                <w:szCs w:val="21"/>
              </w:rPr>
            </w:pPr>
            <w:r>
              <w:rPr>
                <w:rFonts w:ascii="Arial" w:hAnsi="Arial" w:cs="Arial"/>
                <w:kern w:val="0"/>
                <w:szCs w:val="21"/>
              </w:rPr>
              <w:t> </w:t>
            </w:r>
          </w:p>
        </w:tc>
        <w:tc>
          <w:tcPr>
            <w:tcW w:w="193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2E962FF3">
            <w:pPr>
              <w:widowControl/>
              <w:spacing w:line="360" w:lineRule="auto"/>
              <w:jc w:val="center"/>
              <w:rPr>
                <w:rFonts w:ascii="Arial" w:hAnsi="Arial" w:cs="Arial"/>
                <w:kern w:val="0"/>
                <w:szCs w:val="21"/>
              </w:rPr>
            </w:pPr>
            <w:r>
              <w:rPr>
                <w:rFonts w:ascii="Arial" w:hAnsi="Arial" w:cs="Arial"/>
                <w:kern w:val="0"/>
                <w:szCs w:val="21"/>
              </w:rPr>
              <w:t> </w:t>
            </w:r>
          </w:p>
        </w:tc>
        <w:tc>
          <w:tcPr>
            <w:tcW w:w="301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5EA07D1">
            <w:pPr>
              <w:widowControl/>
              <w:spacing w:line="360" w:lineRule="auto"/>
              <w:jc w:val="center"/>
              <w:rPr>
                <w:rFonts w:ascii="Arial" w:hAnsi="Arial" w:cs="Arial"/>
                <w:kern w:val="0"/>
                <w:szCs w:val="21"/>
              </w:rPr>
            </w:pPr>
            <w:r>
              <w:rPr>
                <w:rFonts w:ascii="Arial" w:hAnsi="Arial" w:cs="Arial"/>
                <w:kern w:val="0"/>
                <w:szCs w:val="21"/>
              </w:rPr>
              <w:t> </w:t>
            </w:r>
          </w:p>
        </w:tc>
        <w:tc>
          <w:tcPr>
            <w:tcW w:w="1246"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5A229BDF">
            <w:pPr>
              <w:widowControl/>
              <w:spacing w:line="360" w:lineRule="auto"/>
              <w:jc w:val="center"/>
              <w:rPr>
                <w:rFonts w:ascii="Arial" w:hAnsi="Arial" w:cs="Arial"/>
                <w:kern w:val="0"/>
                <w:szCs w:val="21"/>
              </w:rPr>
            </w:pPr>
            <w:r>
              <w:rPr>
                <w:rFonts w:ascii="Arial" w:hAnsi="Arial" w:cs="Arial"/>
                <w:kern w:val="0"/>
                <w:szCs w:val="21"/>
              </w:rPr>
              <w:t> </w:t>
            </w:r>
          </w:p>
        </w:tc>
      </w:tr>
      <w:tr w14:paraId="7673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6D57445">
            <w:pPr>
              <w:widowControl/>
              <w:spacing w:line="360" w:lineRule="auto"/>
              <w:jc w:val="center"/>
              <w:rPr>
                <w:rFonts w:ascii="Arial" w:hAnsi="Arial" w:cs="Arial"/>
                <w:kern w:val="0"/>
                <w:szCs w:val="21"/>
              </w:rPr>
            </w:pPr>
            <w:r>
              <w:rPr>
                <w:rFonts w:ascii="Arial" w:hAnsi="Arial" w:cs="Arial"/>
                <w:kern w:val="0"/>
                <w:szCs w:val="21"/>
              </w:rPr>
              <w:t> </w:t>
            </w:r>
          </w:p>
        </w:tc>
        <w:tc>
          <w:tcPr>
            <w:tcW w:w="167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239DB5C">
            <w:pPr>
              <w:widowControl/>
              <w:spacing w:line="360" w:lineRule="auto"/>
              <w:jc w:val="center"/>
              <w:rPr>
                <w:rFonts w:ascii="Arial" w:hAnsi="Arial" w:cs="Arial"/>
                <w:kern w:val="0"/>
                <w:szCs w:val="21"/>
              </w:rPr>
            </w:pPr>
            <w:r>
              <w:rPr>
                <w:rFonts w:ascii="Arial" w:hAnsi="Arial" w:cs="Arial"/>
                <w:kern w:val="0"/>
                <w:szCs w:val="21"/>
              </w:rPr>
              <w:t> </w:t>
            </w:r>
          </w:p>
        </w:tc>
        <w:tc>
          <w:tcPr>
            <w:tcW w:w="193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2E78323D">
            <w:pPr>
              <w:widowControl/>
              <w:spacing w:line="360" w:lineRule="auto"/>
              <w:jc w:val="center"/>
              <w:rPr>
                <w:rFonts w:ascii="Arial" w:hAnsi="Arial" w:cs="Arial"/>
                <w:kern w:val="0"/>
                <w:szCs w:val="21"/>
              </w:rPr>
            </w:pPr>
            <w:r>
              <w:rPr>
                <w:rFonts w:ascii="Arial" w:hAnsi="Arial" w:cs="Arial"/>
                <w:kern w:val="0"/>
                <w:szCs w:val="21"/>
              </w:rPr>
              <w:t> </w:t>
            </w:r>
          </w:p>
        </w:tc>
        <w:tc>
          <w:tcPr>
            <w:tcW w:w="301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6078682D">
            <w:pPr>
              <w:widowControl/>
              <w:spacing w:line="360" w:lineRule="auto"/>
              <w:jc w:val="center"/>
              <w:rPr>
                <w:rFonts w:ascii="Arial" w:hAnsi="Arial" w:cs="Arial"/>
                <w:kern w:val="0"/>
                <w:szCs w:val="21"/>
              </w:rPr>
            </w:pPr>
            <w:r>
              <w:rPr>
                <w:rFonts w:ascii="Arial" w:hAnsi="Arial" w:cs="Arial"/>
                <w:kern w:val="0"/>
                <w:szCs w:val="21"/>
              </w:rPr>
              <w:t> </w:t>
            </w:r>
          </w:p>
        </w:tc>
        <w:tc>
          <w:tcPr>
            <w:tcW w:w="1246"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6B99E35">
            <w:pPr>
              <w:widowControl/>
              <w:spacing w:line="360" w:lineRule="auto"/>
              <w:jc w:val="center"/>
              <w:rPr>
                <w:rFonts w:ascii="Arial" w:hAnsi="Arial" w:cs="Arial"/>
                <w:kern w:val="0"/>
                <w:szCs w:val="21"/>
              </w:rPr>
            </w:pPr>
            <w:r>
              <w:rPr>
                <w:rFonts w:ascii="Arial" w:hAnsi="Arial" w:cs="Arial"/>
                <w:kern w:val="0"/>
                <w:szCs w:val="21"/>
              </w:rPr>
              <w:t> </w:t>
            </w:r>
          </w:p>
        </w:tc>
      </w:tr>
      <w:tr w14:paraId="43F58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903571A">
            <w:pPr>
              <w:widowControl/>
              <w:spacing w:line="360" w:lineRule="auto"/>
              <w:jc w:val="center"/>
              <w:rPr>
                <w:rFonts w:ascii="Arial" w:hAnsi="Arial" w:cs="Arial"/>
                <w:kern w:val="0"/>
                <w:szCs w:val="21"/>
              </w:rPr>
            </w:pPr>
            <w:r>
              <w:rPr>
                <w:rFonts w:ascii="Arial" w:hAnsi="Arial" w:cs="Arial"/>
                <w:kern w:val="0"/>
                <w:szCs w:val="21"/>
              </w:rPr>
              <w:t> </w:t>
            </w:r>
          </w:p>
        </w:tc>
        <w:tc>
          <w:tcPr>
            <w:tcW w:w="167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BB585FC">
            <w:pPr>
              <w:widowControl/>
              <w:spacing w:line="360" w:lineRule="auto"/>
              <w:jc w:val="center"/>
              <w:rPr>
                <w:rFonts w:ascii="Arial" w:hAnsi="Arial" w:cs="Arial"/>
                <w:kern w:val="0"/>
                <w:szCs w:val="21"/>
              </w:rPr>
            </w:pPr>
            <w:r>
              <w:rPr>
                <w:rFonts w:ascii="Arial" w:hAnsi="Arial" w:cs="Arial"/>
                <w:kern w:val="0"/>
                <w:szCs w:val="21"/>
              </w:rPr>
              <w:t> </w:t>
            </w:r>
          </w:p>
        </w:tc>
        <w:tc>
          <w:tcPr>
            <w:tcW w:w="193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7FC40E39">
            <w:pPr>
              <w:widowControl/>
              <w:spacing w:line="360" w:lineRule="auto"/>
              <w:jc w:val="center"/>
              <w:rPr>
                <w:rFonts w:ascii="Arial" w:hAnsi="Arial" w:cs="Arial"/>
                <w:kern w:val="0"/>
                <w:szCs w:val="21"/>
              </w:rPr>
            </w:pPr>
            <w:r>
              <w:rPr>
                <w:rFonts w:ascii="Arial" w:hAnsi="Arial" w:cs="Arial"/>
                <w:kern w:val="0"/>
                <w:szCs w:val="21"/>
              </w:rPr>
              <w:t> </w:t>
            </w:r>
          </w:p>
        </w:tc>
        <w:tc>
          <w:tcPr>
            <w:tcW w:w="301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6AF76140">
            <w:pPr>
              <w:widowControl/>
              <w:spacing w:line="360" w:lineRule="auto"/>
              <w:jc w:val="center"/>
              <w:rPr>
                <w:rFonts w:ascii="Arial" w:hAnsi="Arial" w:cs="Arial"/>
                <w:kern w:val="0"/>
                <w:szCs w:val="21"/>
              </w:rPr>
            </w:pPr>
            <w:r>
              <w:rPr>
                <w:rFonts w:ascii="Arial" w:hAnsi="Arial" w:cs="Arial"/>
                <w:kern w:val="0"/>
                <w:szCs w:val="21"/>
              </w:rPr>
              <w:t> </w:t>
            </w:r>
          </w:p>
        </w:tc>
        <w:tc>
          <w:tcPr>
            <w:tcW w:w="1246"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F8EAF6C">
            <w:pPr>
              <w:widowControl/>
              <w:spacing w:line="360" w:lineRule="auto"/>
              <w:jc w:val="center"/>
              <w:rPr>
                <w:rFonts w:ascii="Arial" w:hAnsi="Arial" w:cs="Arial"/>
                <w:kern w:val="0"/>
                <w:szCs w:val="21"/>
              </w:rPr>
            </w:pPr>
            <w:r>
              <w:rPr>
                <w:rFonts w:ascii="Arial" w:hAnsi="Arial" w:cs="Arial"/>
                <w:kern w:val="0"/>
                <w:szCs w:val="21"/>
              </w:rPr>
              <w:t> </w:t>
            </w:r>
          </w:p>
        </w:tc>
      </w:tr>
      <w:tr w14:paraId="3D0D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1B804FB4">
            <w:pPr>
              <w:widowControl/>
              <w:spacing w:line="360" w:lineRule="auto"/>
              <w:jc w:val="center"/>
              <w:rPr>
                <w:rFonts w:ascii="Arial" w:hAnsi="Arial" w:cs="Arial"/>
                <w:kern w:val="0"/>
                <w:szCs w:val="21"/>
              </w:rPr>
            </w:pPr>
          </w:p>
        </w:tc>
        <w:tc>
          <w:tcPr>
            <w:tcW w:w="167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343DE50">
            <w:pPr>
              <w:widowControl/>
              <w:spacing w:line="360" w:lineRule="auto"/>
              <w:jc w:val="center"/>
              <w:rPr>
                <w:rFonts w:ascii="Arial" w:hAnsi="Arial" w:cs="Arial"/>
                <w:kern w:val="0"/>
                <w:szCs w:val="21"/>
              </w:rPr>
            </w:pPr>
          </w:p>
        </w:tc>
        <w:tc>
          <w:tcPr>
            <w:tcW w:w="193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6D68820F">
            <w:pPr>
              <w:widowControl/>
              <w:spacing w:line="360" w:lineRule="auto"/>
              <w:jc w:val="center"/>
              <w:rPr>
                <w:rFonts w:ascii="Arial" w:hAnsi="Arial" w:cs="Arial"/>
                <w:kern w:val="0"/>
                <w:szCs w:val="21"/>
              </w:rPr>
            </w:pPr>
          </w:p>
        </w:tc>
        <w:tc>
          <w:tcPr>
            <w:tcW w:w="301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74ECF0CD">
            <w:pPr>
              <w:widowControl/>
              <w:spacing w:line="360" w:lineRule="auto"/>
              <w:jc w:val="center"/>
              <w:rPr>
                <w:rFonts w:ascii="Arial" w:hAnsi="Arial" w:cs="Arial"/>
                <w:kern w:val="0"/>
                <w:szCs w:val="21"/>
              </w:rPr>
            </w:pPr>
          </w:p>
        </w:tc>
        <w:tc>
          <w:tcPr>
            <w:tcW w:w="1246"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8E664FF">
            <w:pPr>
              <w:widowControl/>
              <w:spacing w:line="360" w:lineRule="auto"/>
              <w:jc w:val="center"/>
              <w:rPr>
                <w:rFonts w:ascii="Arial" w:hAnsi="Arial" w:cs="Arial"/>
                <w:kern w:val="0"/>
                <w:szCs w:val="21"/>
              </w:rPr>
            </w:pPr>
          </w:p>
        </w:tc>
      </w:tr>
      <w:tr w14:paraId="592F2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5FEFF437">
            <w:pPr>
              <w:widowControl/>
              <w:spacing w:line="360" w:lineRule="auto"/>
              <w:jc w:val="center"/>
              <w:rPr>
                <w:rFonts w:ascii="Arial" w:hAnsi="Arial" w:cs="Arial"/>
                <w:kern w:val="0"/>
                <w:szCs w:val="21"/>
              </w:rPr>
            </w:pPr>
          </w:p>
        </w:tc>
        <w:tc>
          <w:tcPr>
            <w:tcW w:w="167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69725DC">
            <w:pPr>
              <w:widowControl/>
              <w:spacing w:line="360" w:lineRule="auto"/>
              <w:jc w:val="center"/>
              <w:rPr>
                <w:rFonts w:ascii="Arial" w:hAnsi="Arial" w:cs="Arial"/>
                <w:kern w:val="0"/>
                <w:szCs w:val="21"/>
              </w:rPr>
            </w:pPr>
          </w:p>
        </w:tc>
        <w:tc>
          <w:tcPr>
            <w:tcW w:w="193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5CC5E93C">
            <w:pPr>
              <w:widowControl/>
              <w:spacing w:line="360" w:lineRule="auto"/>
              <w:jc w:val="center"/>
              <w:rPr>
                <w:rFonts w:ascii="Arial" w:hAnsi="Arial" w:cs="Arial"/>
                <w:kern w:val="0"/>
                <w:szCs w:val="21"/>
              </w:rPr>
            </w:pPr>
          </w:p>
        </w:tc>
        <w:tc>
          <w:tcPr>
            <w:tcW w:w="301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64F0AB0F">
            <w:pPr>
              <w:widowControl/>
              <w:spacing w:line="360" w:lineRule="auto"/>
              <w:jc w:val="center"/>
              <w:rPr>
                <w:rFonts w:ascii="Arial" w:hAnsi="Arial" w:cs="Arial"/>
                <w:kern w:val="0"/>
                <w:szCs w:val="21"/>
              </w:rPr>
            </w:pPr>
          </w:p>
        </w:tc>
        <w:tc>
          <w:tcPr>
            <w:tcW w:w="1246"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07F47023">
            <w:pPr>
              <w:widowControl/>
              <w:spacing w:line="360" w:lineRule="auto"/>
              <w:jc w:val="center"/>
              <w:rPr>
                <w:rFonts w:ascii="Arial" w:hAnsi="Arial" w:cs="Arial"/>
                <w:kern w:val="0"/>
                <w:szCs w:val="21"/>
              </w:rPr>
            </w:pPr>
          </w:p>
        </w:tc>
      </w:tr>
      <w:tr w14:paraId="50F4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2530882">
            <w:pPr>
              <w:widowControl/>
              <w:spacing w:line="360" w:lineRule="auto"/>
              <w:jc w:val="center"/>
              <w:rPr>
                <w:rFonts w:ascii="Arial" w:hAnsi="Arial" w:cs="Arial"/>
                <w:kern w:val="0"/>
                <w:szCs w:val="21"/>
              </w:rPr>
            </w:pPr>
          </w:p>
        </w:tc>
        <w:tc>
          <w:tcPr>
            <w:tcW w:w="167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004E7E4B">
            <w:pPr>
              <w:widowControl/>
              <w:spacing w:line="360" w:lineRule="auto"/>
              <w:jc w:val="center"/>
              <w:rPr>
                <w:rFonts w:ascii="Arial" w:hAnsi="Arial" w:cs="Arial"/>
                <w:kern w:val="0"/>
                <w:szCs w:val="21"/>
              </w:rPr>
            </w:pPr>
          </w:p>
        </w:tc>
        <w:tc>
          <w:tcPr>
            <w:tcW w:w="193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7C6A75C5">
            <w:pPr>
              <w:widowControl/>
              <w:spacing w:line="360" w:lineRule="auto"/>
              <w:jc w:val="center"/>
              <w:rPr>
                <w:rFonts w:ascii="Arial" w:hAnsi="Arial" w:cs="Arial"/>
                <w:kern w:val="0"/>
                <w:szCs w:val="21"/>
              </w:rPr>
            </w:pPr>
          </w:p>
        </w:tc>
        <w:tc>
          <w:tcPr>
            <w:tcW w:w="3012"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270733B">
            <w:pPr>
              <w:widowControl/>
              <w:spacing w:line="360" w:lineRule="auto"/>
              <w:jc w:val="center"/>
              <w:rPr>
                <w:rFonts w:ascii="Arial" w:hAnsi="Arial" w:cs="Arial"/>
                <w:kern w:val="0"/>
                <w:szCs w:val="21"/>
              </w:rPr>
            </w:pPr>
          </w:p>
        </w:tc>
        <w:tc>
          <w:tcPr>
            <w:tcW w:w="1246"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1AE5D705">
            <w:pPr>
              <w:widowControl/>
              <w:spacing w:line="360" w:lineRule="auto"/>
              <w:jc w:val="center"/>
              <w:rPr>
                <w:rFonts w:ascii="Arial" w:hAnsi="Arial" w:cs="Arial"/>
                <w:kern w:val="0"/>
                <w:szCs w:val="21"/>
              </w:rPr>
            </w:pPr>
          </w:p>
        </w:tc>
      </w:tr>
    </w:tbl>
    <w:p w14:paraId="6C936819">
      <w:pPr>
        <w:ind w:firstLine="420" w:firstLineChars="200"/>
      </w:pPr>
      <w:r>
        <w:rPr>
          <w:rFonts w:hint="eastAsia"/>
        </w:rPr>
        <w:t>注：</w:t>
      </w:r>
      <w:r>
        <w:t>1</w:t>
      </w:r>
      <w:r>
        <w:rPr>
          <w:rFonts w:hint="eastAsia"/>
        </w:rPr>
        <w:t>、</w:t>
      </w:r>
      <w:r>
        <w:rPr>
          <w:rFonts w:hint="eastAsia"/>
          <w:b/>
          <w:bCs/>
        </w:rPr>
        <w:t>供应商应对招标文件第四章采购需求的服务内容及要求给予逐条响应，</w:t>
      </w:r>
      <w:r>
        <w:rPr>
          <w:rFonts w:hint="eastAsia"/>
        </w:rPr>
        <w:t>以服务所能达到的内容予以填写，而不应通过简单拷贝招标文件服务内容及要求作为响应内容。</w:t>
      </w:r>
    </w:p>
    <w:p w14:paraId="241D7699">
      <w:pPr>
        <w:ind w:firstLine="420" w:firstLineChars="200"/>
      </w:pPr>
      <w:r>
        <w:t>2</w:t>
      </w:r>
      <w:r>
        <w:rPr>
          <w:rFonts w:hint="eastAsia"/>
        </w:rPr>
        <w:t>、投标文件“响应具体情况</w:t>
      </w:r>
      <w:r>
        <w:t>",</w:t>
      </w:r>
      <w:r>
        <w:rPr>
          <w:rFonts w:hint="eastAsia"/>
        </w:rPr>
        <w:t>指</w:t>
      </w:r>
      <w:r>
        <w:rPr>
          <w:rFonts w:hint="eastAsia" w:ascii="宋体" w:cs="宋体"/>
          <w:szCs w:val="21"/>
        </w:rPr>
        <w:t>所投服务应答情况</w:t>
      </w:r>
      <w:r>
        <w:rPr>
          <w:rFonts w:hint="eastAsia"/>
        </w:rPr>
        <w:t>。“说明”栏请注明“响应</w:t>
      </w:r>
      <w:r>
        <w:t>/</w:t>
      </w:r>
      <w:r>
        <w:rPr>
          <w:rFonts w:hint="eastAsia"/>
        </w:rPr>
        <w:t>正偏离</w:t>
      </w:r>
      <w:r>
        <w:t>/</w:t>
      </w:r>
      <w:r>
        <w:rPr>
          <w:rFonts w:hint="eastAsia"/>
        </w:rPr>
        <w:t>负偏离”。</w:t>
      </w:r>
    </w:p>
    <w:p w14:paraId="10E48076">
      <w:pPr>
        <w:ind w:firstLine="420" w:firstLineChars="200"/>
      </w:pPr>
      <w:r>
        <w:t>3</w:t>
      </w:r>
      <w:r>
        <w:rPr>
          <w:rFonts w:hint="eastAsia"/>
        </w:rPr>
        <w:t>、如果行数不够，请自行增加。</w:t>
      </w:r>
    </w:p>
    <w:p w14:paraId="6FBD1551">
      <w:pPr>
        <w:widowControl/>
        <w:shd w:val="clear" w:color="auto" w:fill="FFFFFF"/>
        <w:spacing w:line="360" w:lineRule="auto"/>
        <w:jc w:val="left"/>
        <w:rPr>
          <w:rFonts w:ascii="Arial" w:hAnsi="Arial" w:cs="Arial"/>
          <w:kern w:val="0"/>
          <w:szCs w:val="21"/>
        </w:rPr>
      </w:pPr>
    </w:p>
    <w:p w14:paraId="61F0289D">
      <w:pPr>
        <w:widowControl/>
        <w:shd w:val="clear" w:color="auto" w:fill="FFFFFF"/>
        <w:spacing w:line="360" w:lineRule="auto"/>
        <w:jc w:val="left"/>
        <w:rPr>
          <w:rFonts w:ascii="Arial" w:hAnsi="Arial" w:cs="Arial"/>
          <w:kern w:val="0"/>
          <w:szCs w:val="21"/>
        </w:rPr>
      </w:pPr>
    </w:p>
    <w:p w14:paraId="5C27375E">
      <w:pPr>
        <w:widowControl/>
        <w:shd w:val="clear" w:color="auto" w:fill="FFFFFF"/>
        <w:spacing w:line="360" w:lineRule="auto"/>
        <w:jc w:val="left"/>
        <w:rPr>
          <w:rFonts w:ascii="Arial" w:hAnsi="Arial" w:cs="Arial"/>
          <w:kern w:val="0"/>
          <w:szCs w:val="21"/>
        </w:rPr>
      </w:pPr>
    </w:p>
    <w:p w14:paraId="423BD154">
      <w:pPr>
        <w:widowControl/>
        <w:shd w:val="clear" w:color="auto" w:fill="FFFFFF"/>
        <w:spacing w:line="360" w:lineRule="auto"/>
        <w:jc w:val="left"/>
        <w:rPr>
          <w:rFonts w:ascii="Arial" w:hAnsi="Arial" w:cs="Arial"/>
          <w:kern w:val="0"/>
          <w:szCs w:val="21"/>
        </w:rPr>
      </w:pPr>
      <w:r>
        <w:rPr>
          <w:rFonts w:hint="eastAsia" w:ascii="Arial" w:hAnsi="Arial" w:cs="Arial"/>
          <w:kern w:val="0"/>
          <w:szCs w:val="21"/>
        </w:rPr>
        <w:t>供应商（盖章）：</w:t>
      </w:r>
      <w:r>
        <w:rPr>
          <w:rFonts w:ascii="Arial" w:hAnsi="Arial" w:cs="Arial"/>
          <w:kern w:val="0"/>
          <w:szCs w:val="21"/>
          <w:u w:val="single"/>
        </w:rPr>
        <w:t>                             </w:t>
      </w:r>
    </w:p>
    <w:p w14:paraId="371EC7FD">
      <w:pPr>
        <w:widowControl/>
        <w:shd w:val="clear" w:color="auto" w:fill="FFFFFF"/>
        <w:spacing w:line="360" w:lineRule="auto"/>
        <w:jc w:val="left"/>
        <w:rPr>
          <w:rFonts w:ascii="Arial" w:hAnsi="Arial" w:cs="Arial"/>
          <w:kern w:val="0"/>
          <w:szCs w:val="21"/>
        </w:rPr>
      </w:pPr>
      <w:r>
        <w:rPr>
          <w:rFonts w:hint="eastAsia" w:ascii="Arial" w:hAnsi="Arial" w:cs="Arial"/>
          <w:kern w:val="0"/>
          <w:szCs w:val="21"/>
        </w:rPr>
        <w:t>法定代表人或授权代表（签字）：</w:t>
      </w:r>
      <w:r>
        <w:rPr>
          <w:rFonts w:ascii="Arial" w:hAnsi="Arial" w:cs="Arial"/>
          <w:kern w:val="0"/>
          <w:szCs w:val="21"/>
          <w:u w:val="single"/>
        </w:rPr>
        <w:t>                              </w:t>
      </w:r>
    </w:p>
    <w:p w14:paraId="175BFC30">
      <w:pPr>
        <w:widowControl/>
        <w:shd w:val="clear" w:color="auto" w:fill="FFFFFF"/>
        <w:spacing w:line="360" w:lineRule="auto"/>
        <w:jc w:val="left"/>
        <w:rPr>
          <w:rFonts w:ascii="Arial" w:hAnsi="Arial" w:cs="Arial"/>
          <w:kern w:val="0"/>
          <w:szCs w:val="21"/>
        </w:rPr>
      </w:pPr>
    </w:p>
    <w:p w14:paraId="4B50C2D3">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1A90C767">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78384980">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0C459E56">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43D65897">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167F9348">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62ECC71B">
      <w:pPr>
        <w:widowControl/>
        <w:shd w:val="clear" w:color="auto" w:fill="FFFFFF"/>
        <w:spacing w:line="360" w:lineRule="auto"/>
        <w:jc w:val="left"/>
        <w:rPr>
          <w:rFonts w:ascii="Arial" w:hAnsi="Arial" w:cs="Arial"/>
          <w:kern w:val="0"/>
          <w:szCs w:val="21"/>
        </w:rPr>
      </w:pPr>
      <w:r>
        <w:rPr>
          <w:rFonts w:ascii="Arial" w:hAnsi="Arial" w:cs="Arial"/>
          <w:b/>
          <w:bCs/>
          <w:kern w:val="0"/>
          <w:szCs w:val="21"/>
        </w:rPr>
        <w:br w:type="page"/>
      </w:r>
      <w:r>
        <w:rPr>
          <w:rFonts w:hint="eastAsia" w:ascii="Arial" w:hAnsi="Arial" w:cs="Arial"/>
          <w:b/>
          <w:bCs/>
          <w:kern w:val="0"/>
          <w:szCs w:val="21"/>
        </w:rPr>
        <w:t>附件五、商务条款偏离表格式</w:t>
      </w:r>
    </w:p>
    <w:p w14:paraId="013EE65A">
      <w:pPr>
        <w:widowControl/>
        <w:shd w:val="clear" w:color="auto" w:fill="FFFFFF"/>
        <w:spacing w:line="360" w:lineRule="auto"/>
        <w:ind w:firstLine="420"/>
        <w:jc w:val="left"/>
        <w:rPr>
          <w:rFonts w:ascii="Arial" w:hAnsi="Arial" w:cs="Arial"/>
          <w:kern w:val="0"/>
          <w:szCs w:val="21"/>
        </w:rPr>
      </w:pPr>
      <w:r>
        <w:rPr>
          <w:rFonts w:ascii="Arial" w:hAnsi="Arial" w:cs="Arial"/>
          <w:kern w:val="0"/>
          <w:szCs w:val="21"/>
        </w:rPr>
        <w:t> </w:t>
      </w:r>
    </w:p>
    <w:p w14:paraId="158009B9">
      <w:pPr>
        <w:widowControl/>
        <w:shd w:val="clear" w:color="auto" w:fill="FFFFFF"/>
        <w:spacing w:line="360" w:lineRule="auto"/>
        <w:ind w:left="420"/>
        <w:jc w:val="center"/>
        <w:rPr>
          <w:rFonts w:ascii="Arial" w:hAnsi="Arial" w:cs="Arial"/>
          <w:b/>
          <w:kern w:val="0"/>
          <w:szCs w:val="21"/>
        </w:rPr>
      </w:pPr>
      <w:bookmarkStart w:id="52" w:name="OLE_LINK15"/>
      <w:r>
        <w:rPr>
          <w:rFonts w:hint="eastAsia" w:ascii="Arial" w:hAnsi="Arial" w:cs="Arial"/>
          <w:b/>
          <w:kern w:val="0"/>
          <w:sz w:val="36"/>
          <w:szCs w:val="36"/>
        </w:rPr>
        <w:t>商务条款偏离表</w:t>
      </w:r>
      <w:bookmarkEnd w:id="52"/>
    </w:p>
    <w:p w14:paraId="61668835">
      <w:pPr>
        <w:widowControl/>
        <w:shd w:val="clear" w:color="auto" w:fill="FFFFFF"/>
        <w:spacing w:line="360" w:lineRule="auto"/>
        <w:jc w:val="left"/>
        <w:rPr>
          <w:rFonts w:ascii="Arial" w:hAnsi="Arial" w:cs="Arial"/>
          <w:kern w:val="0"/>
          <w:szCs w:val="21"/>
        </w:rPr>
      </w:pPr>
      <w:r>
        <w:rPr>
          <w:rFonts w:ascii="Arial" w:hAnsi="Arial" w:cs="Arial"/>
          <w:kern w:val="0"/>
          <w:sz w:val="24"/>
        </w:rPr>
        <w:t> </w:t>
      </w:r>
    </w:p>
    <w:p w14:paraId="570CEBFF">
      <w:pPr>
        <w:widowControl/>
        <w:tabs>
          <w:tab w:val="left" w:pos="5366"/>
        </w:tabs>
        <w:spacing w:line="360" w:lineRule="auto"/>
        <w:ind w:firstLine="96" w:firstLineChars="46"/>
        <w:jc w:val="left"/>
        <w:rPr>
          <w:rFonts w:ascii="Arial" w:hAnsi="Arial" w:cs="Arial"/>
          <w:kern w:val="0"/>
          <w:szCs w:val="21"/>
        </w:rPr>
      </w:pPr>
      <w:r>
        <w:rPr>
          <w:rFonts w:hint="eastAsia" w:ascii="Arial" w:hAnsi="Arial" w:cs="Arial"/>
          <w:kern w:val="0"/>
          <w:szCs w:val="21"/>
        </w:rPr>
        <w:t>项目名称：</w:t>
      </w:r>
      <w:r>
        <w:rPr>
          <w:rFonts w:ascii="Arial" w:hAnsi="Arial" w:cs="Arial"/>
          <w:kern w:val="0"/>
          <w:szCs w:val="21"/>
        </w:rPr>
        <w:tab/>
      </w:r>
      <w:r>
        <w:rPr>
          <w:rFonts w:hint="eastAsia" w:ascii="Arial" w:hAnsi="Arial" w:cs="Arial"/>
          <w:kern w:val="0"/>
          <w:szCs w:val="21"/>
        </w:rPr>
        <w:t>项目编号：</w:t>
      </w:r>
      <w:r>
        <w:rPr>
          <w:rFonts w:ascii="Arial" w:hAnsi="Arial" w:cs="Arial"/>
          <w:kern w:val="0"/>
          <w:szCs w:val="21"/>
        </w:rPr>
        <w:t>         </w:t>
      </w:r>
    </w:p>
    <w:tbl>
      <w:tblPr>
        <w:tblStyle w:val="48"/>
        <w:tblW w:w="89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59"/>
        <w:gridCol w:w="1678"/>
        <w:gridCol w:w="2486"/>
        <w:gridCol w:w="3002"/>
        <w:gridCol w:w="1200"/>
      </w:tblGrid>
      <w:tr w14:paraId="64CF3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22F8B974">
            <w:pPr>
              <w:widowControl/>
              <w:spacing w:line="360" w:lineRule="auto"/>
              <w:jc w:val="center"/>
              <w:rPr>
                <w:rFonts w:ascii="Arial" w:hAnsi="Arial" w:cs="Arial"/>
                <w:b/>
                <w:kern w:val="0"/>
                <w:szCs w:val="21"/>
              </w:rPr>
            </w:pPr>
            <w:r>
              <w:rPr>
                <w:rFonts w:hint="eastAsia" w:ascii="Arial" w:hAnsi="Arial" w:cs="Arial"/>
                <w:b/>
                <w:kern w:val="0"/>
                <w:szCs w:val="21"/>
              </w:rPr>
              <w:t>序号</w:t>
            </w:r>
          </w:p>
        </w:tc>
        <w:tc>
          <w:tcPr>
            <w:tcW w:w="1679"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09584B3B">
            <w:pPr>
              <w:widowControl/>
              <w:spacing w:line="360" w:lineRule="auto"/>
              <w:jc w:val="center"/>
              <w:rPr>
                <w:rFonts w:ascii="Arial" w:hAnsi="Arial" w:cs="Arial"/>
                <w:b/>
                <w:kern w:val="0"/>
                <w:szCs w:val="21"/>
              </w:rPr>
            </w:pPr>
            <w:r>
              <w:rPr>
                <w:rFonts w:hint="eastAsia" w:ascii="Arial" w:hAnsi="Arial" w:cs="Arial"/>
                <w:b/>
                <w:kern w:val="0"/>
                <w:szCs w:val="21"/>
              </w:rPr>
              <w:t>招标文件条目号</w:t>
            </w:r>
          </w:p>
        </w:tc>
        <w:tc>
          <w:tcPr>
            <w:tcW w:w="248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26A4CE1D">
            <w:pPr>
              <w:widowControl/>
              <w:spacing w:line="360" w:lineRule="auto"/>
              <w:jc w:val="center"/>
              <w:rPr>
                <w:rFonts w:ascii="Arial" w:hAnsi="Arial" w:cs="Arial"/>
                <w:b/>
                <w:kern w:val="0"/>
                <w:szCs w:val="21"/>
              </w:rPr>
            </w:pPr>
            <w:r>
              <w:rPr>
                <w:rFonts w:hint="eastAsia" w:ascii="Arial" w:hAnsi="Arial" w:cs="Arial"/>
                <w:b/>
                <w:kern w:val="0"/>
                <w:szCs w:val="21"/>
              </w:rPr>
              <w:t>招标文件要求的商务条款</w:t>
            </w:r>
          </w:p>
        </w:tc>
        <w:tc>
          <w:tcPr>
            <w:tcW w:w="3004"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D641D10">
            <w:pPr>
              <w:widowControl/>
              <w:spacing w:line="360" w:lineRule="auto"/>
              <w:jc w:val="center"/>
              <w:rPr>
                <w:rFonts w:ascii="Arial" w:hAnsi="Arial" w:cs="Arial"/>
                <w:b/>
                <w:kern w:val="0"/>
                <w:szCs w:val="21"/>
              </w:rPr>
            </w:pPr>
            <w:r>
              <w:rPr>
                <w:rFonts w:hint="eastAsia" w:ascii="Arial" w:hAnsi="Arial" w:cs="Arial"/>
                <w:b/>
                <w:kern w:val="0"/>
                <w:szCs w:val="21"/>
              </w:rPr>
              <w:t>响应具体情况</w:t>
            </w:r>
          </w:p>
        </w:tc>
        <w:tc>
          <w:tcPr>
            <w:tcW w:w="120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12E47AC2">
            <w:pPr>
              <w:widowControl/>
              <w:spacing w:line="360" w:lineRule="auto"/>
              <w:jc w:val="center"/>
              <w:rPr>
                <w:rFonts w:ascii="Arial" w:hAnsi="Arial" w:cs="Arial"/>
                <w:b/>
                <w:kern w:val="0"/>
                <w:szCs w:val="21"/>
              </w:rPr>
            </w:pPr>
            <w:r>
              <w:rPr>
                <w:rFonts w:hint="eastAsia" w:ascii="Arial" w:hAnsi="Arial" w:cs="Arial"/>
                <w:b/>
                <w:kern w:val="0"/>
                <w:szCs w:val="21"/>
              </w:rPr>
              <w:t>说明</w:t>
            </w:r>
          </w:p>
        </w:tc>
      </w:tr>
      <w:tr w14:paraId="62B0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D9653AA">
            <w:pPr>
              <w:widowControl/>
              <w:spacing w:line="360" w:lineRule="auto"/>
              <w:jc w:val="center"/>
              <w:rPr>
                <w:rFonts w:ascii="Arial" w:hAnsi="Arial" w:cs="Arial"/>
                <w:kern w:val="0"/>
                <w:szCs w:val="21"/>
              </w:rPr>
            </w:pPr>
            <w:r>
              <w:rPr>
                <w:rFonts w:ascii="Arial" w:hAnsi="Arial" w:cs="Arial"/>
                <w:kern w:val="0"/>
                <w:szCs w:val="21"/>
              </w:rPr>
              <w:t> </w:t>
            </w:r>
          </w:p>
        </w:tc>
        <w:tc>
          <w:tcPr>
            <w:tcW w:w="1679"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217B5AF6">
            <w:pPr>
              <w:widowControl/>
              <w:spacing w:line="360" w:lineRule="auto"/>
              <w:jc w:val="center"/>
              <w:rPr>
                <w:rFonts w:ascii="Arial" w:hAnsi="Arial" w:cs="Arial"/>
                <w:kern w:val="0"/>
                <w:szCs w:val="21"/>
              </w:rPr>
            </w:pPr>
            <w:r>
              <w:rPr>
                <w:rFonts w:ascii="Arial" w:hAnsi="Arial" w:cs="Arial"/>
                <w:kern w:val="0"/>
                <w:szCs w:val="21"/>
              </w:rPr>
              <w:t> </w:t>
            </w:r>
          </w:p>
        </w:tc>
        <w:tc>
          <w:tcPr>
            <w:tcW w:w="248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5B6AFB2">
            <w:pPr>
              <w:widowControl/>
              <w:spacing w:line="360" w:lineRule="auto"/>
              <w:jc w:val="center"/>
              <w:rPr>
                <w:rFonts w:ascii="Arial" w:hAnsi="Arial" w:cs="Arial"/>
                <w:kern w:val="0"/>
                <w:szCs w:val="21"/>
              </w:rPr>
            </w:pPr>
            <w:r>
              <w:rPr>
                <w:rFonts w:ascii="Arial" w:hAnsi="Arial" w:cs="Arial"/>
                <w:kern w:val="0"/>
                <w:szCs w:val="21"/>
              </w:rPr>
              <w:t> </w:t>
            </w:r>
          </w:p>
        </w:tc>
        <w:tc>
          <w:tcPr>
            <w:tcW w:w="3004"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575FFA78">
            <w:pPr>
              <w:widowControl/>
              <w:spacing w:line="360" w:lineRule="auto"/>
              <w:jc w:val="center"/>
              <w:rPr>
                <w:rFonts w:ascii="Arial" w:hAnsi="Arial" w:cs="Arial"/>
                <w:kern w:val="0"/>
                <w:szCs w:val="21"/>
              </w:rPr>
            </w:pPr>
            <w:r>
              <w:rPr>
                <w:rFonts w:ascii="Arial" w:hAnsi="Arial" w:cs="Arial"/>
                <w:kern w:val="0"/>
                <w:szCs w:val="21"/>
              </w:rPr>
              <w:t> </w:t>
            </w:r>
          </w:p>
        </w:tc>
        <w:tc>
          <w:tcPr>
            <w:tcW w:w="120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69D4550E">
            <w:pPr>
              <w:widowControl/>
              <w:spacing w:line="360" w:lineRule="auto"/>
              <w:jc w:val="center"/>
              <w:rPr>
                <w:rFonts w:ascii="Arial" w:hAnsi="Arial" w:cs="Arial"/>
                <w:kern w:val="0"/>
                <w:szCs w:val="21"/>
              </w:rPr>
            </w:pPr>
            <w:r>
              <w:rPr>
                <w:rFonts w:ascii="Arial" w:hAnsi="Arial" w:cs="Arial"/>
                <w:kern w:val="0"/>
                <w:szCs w:val="21"/>
              </w:rPr>
              <w:t> </w:t>
            </w:r>
          </w:p>
        </w:tc>
      </w:tr>
      <w:tr w14:paraId="78AD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773B937D">
            <w:pPr>
              <w:widowControl/>
              <w:spacing w:line="360" w:lineRule="auto"/>
              <w:jc w:val="center"/>
              <w:rPr>
                <w:rFonts w:ascii="Arial" w:hAnsi="Arial" w:cs="Arial"/>
                <w:kern w:val="0"/>
                <w:szCs w:val="21"/>
              </w:rPr>
            </w:pPr>
            <w:r>
              <w:rPr>
                <w:rFonts w:ascii="Arial" w:hAnsi="Arial" w:cs="Arial"/>
                <w:kern w:val="0"/>
                <w:szCs w:val="21"/>
              </w:rPr>
              <w:t> </w:t>
            </w:r>
          </w:p>
        </w:tc>
        <w:tc>
          <w:tcPr>
            <w:tcW w:w="1679"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5CA09274">
            <w:pPr>
              <w:widowControl/>
              <w:spacing w:line="360" w:lineRule="auto"/>
              <w:jc w:val="center"/>
              <w:rPr>
                <w:rFonts w:ascii="Arial" w:hAnsi="Arial" w:cs="Arial"/>
                <w:kern w:val="0"/>
                <w:szCs w:val="21"/>
              </w:rPr>
            </w:pPr>
            <w:r>
              <w:rPr>
                <w:rFonts w:ascii="Arial" w:hAnsi="Arial" w:cs="Arial"/>
                <w:kern w:val="0"/>
                <w:szCs w:val="21"/>
              </w:rPr>
              <w:t> </w:t>
            </w:r>
          </w:p>
        </w:tc>
        <w:tc>
          <w:tcPr>
            <w:tcW w:w="248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2A92DE96">
            <w:pPr>
              <w:widowControl/>
              <w:spacing w:line="360" w:lineRule="auto"/>
              <w:jc w:val="center"/>
              <w:rPr>
                <w:rFonts w:ascii="Arial" w:hAnsi="Arial" w:cs="Arial"/>
                <w:kern w:val="0"/>
                <w:szCs w:val="21"/>
              </w:rPr>
            </w:pPr>
            <w:r>
              <w:rPr>
                <w:rFonts w:ascii="Arial" w:hAnsi="Arial" w:cs="Arial"/>
                <w:kern w:val="0"/>
                <w:szCs w:val="21"/>
              </w:rPr>
              <w:t> </w:t>
            </w:r>
          </w:p>
        </w:tc>
        <w:tc>
          <w:tcPr>
            <w:tcW w:w="3004"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73487AA9">
            <w:pPr>
              <w:widowControl/>
              <w:spacing w:line="360" w:lineRule="auto"/>
              <w:jc w:val="center"/>
              <w:rPr>
                <w:rFonts w:ascii="Arial" w:hAnsi="Arial" w:cs="Arial"/>
                <w:kern w:val="0"/>
                <w:szCs w:val="21"/>
              </w:rPr>
            </w:pPr>
            <w:r>
              <w:rPr>
                <w:rFonts w:ascii="Arial" w:hAnsi="Arial" w:cs="Arial"/>
                <w:kern w:val="0"/>
                <w:szCs w:val="21"/>
              </w:rPr>
              <w:t> </w:t>
            </w:r>
          </w:p>
        </w:tc>
        <w:tc>
          <w:tcPr>
            <w:tcW w:w="120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4F072EA">
            <w:pPr>
              <w:widowControl/>
              <w:spacing w:line="360" w:lineRule="auto"/>
              <w:jc w:val="center"/>
              <w:rPr>
                <w:rFonts w:ascii="Arial" w:hAnsi="Arial" w:cs="Arial"/>
                <w:kern w:val="0"/>
                <w:szCs w:val="21"/>
              </w:rPr>
            </w:pPr>
            <w:r>
              <w:rPr>
                <w:rFonts w:ascii="Arial" w:hAnsi="Arial" w:cs="Arial"/>
                <w:kern w:val="0"/>
                <w:szCs w:val="21"/>
              </w:rPr>
              <w:t> </w:t>
            </w:r>
          </w:p>
        </w:tc>
      </w:tr>
      <w:tr w14:paraId="567F0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1E1DB19">
            <w:pPr>
              <w:widowControl/>
              <w:spacing w:line="360" w:lineRule="auto"/>
              <w:jc w:val="center"/>
              <w:rPr>
                <w:rFonts w:ascii="Arial" w:hAnsi="Arial" w:cs="Arial"/>
                <w:kern w:val="0"/>
                <w:szCs w:val="21"/>
              </w:rPr>
            </w:pPr>
            <w:r>
              <w:rPr>
                <w:rFonts w:ascii="Arial" w:hAnsi="Arial" w:cs="Arial"/>
                <w:kern w:val="0"/>
                <w:szCs w:val="21"/>
              </w:rPr>
              <w:t> </w:t>
            </w:r>
          </w:p>
        </w:tc>
        <w:tc>
          <w:tcPr>
            <w:tcW w:w="1679"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0334A390">
            <w:pPr>
              <w:widowControl/>
              <w:spacing w:line="360" w:lineRule="auto"/>
              <w:jc w:val="center"/>
              <w:rPr>
                <w:rFonts w:ascii="Arial" w:hAnsi="Arial" w:cs="Arial"/>
                <w:kern w:val="0"/>
                <w:szCs w:val="21"/>
              </w:rPr>
            </w:pPr>
            <w:r>
              <w:rPr>
                <w:rFonts w:ascii="Arial" w:hAnsi="Arial" w:cs="Arial"/>
                <w:kern w:val="0"/>
                <w:szCs w:val="21"/>
              </w:rPr>
              <w:t> </w:t>
            </w:r>
          </w:p>
        </w:tc>
        <w:tc>
          <w:tcPr>
            <w:tcW w:w="248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127A7C15">
            <w:pPr>
              <w:widowControl/>
              <w:spacing w:line="360" w:lineRule="auto"/>
              <w:jc w:val="center"/>
              <w:rPr>
                <w:rFonts w:ascii="Arial" w:hAnsi="Arial" w:cs="Arial"/>
                <w:kern w:val="0"/>
                <w:szCs w:val="21"/>
              </w:rPr>
            </w:pPr>
            <w:r>
              <w:rPr>
                <w:rFonts w:ascii="Arial" w:hAnsi="Arial" w:cs="Arial"/>
                <w:kern w:val="0"/>
                <w:szCs w:val="21"/>
              </w:rPr>
              <w:t> </w:t>
            </w:r>
          </w:p>
        </w:tc>
        <w:tc>
          <w:tcPr>
            <w:tcW w:w="3004"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72089916">
            <w:pPr>
              <w:widowControl/>
              <w:spacing w:line="360" w:lineRule="auto"/>
              <w:jc w:val="center"/>
              <w:rPr>
                <w:rFonts w:ascii="Arial" w:hAnsi="Arial" w:cs="Arial"/>
                <w:kern w:val="0"/>
                <w:szCs w:val="21"/>
              </w:rPr>
            </w:pPr>
            <w:r>
              <w:rPr>
                <w:rFonts w:ascii="Arial" w:hAnsi="Arial" w:cs="Arial"/>
                <w:kern w:val="0"/>
                <w:szCs w:val="21"/>
              </w:rPr>
              <w:t> </w:t>
            </w:r>
          </w:p>
        </w:tc>
        <w:tc>
          <w:tcPr>
            <w:tcW w:w="120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860FD8E">
            <w:pPr>
              <w:widowControl/>
              <w:spacing w:line="360" w:lineRule="auto"/>
              <w:jc w:val="center"/>
              <w:rPr>
                <w:rFonts w:ascii="Arial" w:hAnsi="Arial" w:cs="Arial"/>
                <w:kern w:val="0"/>
                <w:szCs w:val="21"/>
              </w:rPr>
            </w:pPr>
            <w:r>
              <w:rPr>
                <w:rFonts w:ascii="Arial" w:hAnsi="Arial" w:cs="Arial"/>
                <w:kern w:val="0"/>
                <w:szCs w:val="21"/>
              </w:rPr>
              <w:t> </w:t>
            </w:r>
          </w:p>
        </w:tc>
      </w:tr>
      <w:tr w14:paraId="1FF75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06A2E3AE">
            <w:pPr>
              <w:widowControl/>
              <w:spacing w:line="360" w:lineRule="auto"/>
              <w:jc w:val="center"/>
              <w:rPr>
                <w:rFonts w:ascii="Arial" w:hAnsi="Arial" w:cs="Arial"/>
                <w:kern w:val="0"/>
                <w:szCs w:val="21"/>
              </w:rPr>
            </w:pPr>
            <w:r>
              <w:rPr>
                <w:rFonts w:ascii="Arial" w:hAnsi="Arial" w:cs="Arial"/>
                <w:kern w:val="0"/>
                <w:szCs w:val="21"/>
              </w:rPr>
              <w:t> </w:t>
            </w:r>
          </w:p>
        </w:tc>
        <w:tc>
          <w:tcPr>
            <w:tcW w:w="1679"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7312BA0B">
            <w:pPr>
              <w:widowControl/>
              <w:spacing w:line="360" w:lineRule="auto"/>
              <w:jc w:val="center"/>
              <w:rPr>
                <w:rFonts w:ascii="Arial" w:hAnsi="Arial" w:cs="Arial"/>
                <w:kern w:val="0"/>
                <w:szCs w:val="21"/>
              </w:rPr>
            </w:pPr>
            <w:r>
              <w:rPr>
                <w:rFonts w:ascii="Arial" w:hAnsi="Arial" w:cs="Arial"/>
                <w:kern w:val="0"/>
                <w:szCs w:val="21"/>
              </w:rPr>
              <w:t> </w:t>
            </w:r>
          </w:p>
        </w:tc>
        <w:tc>
          <w:tcPr>
            <w:tcW w:w="248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1F228DF8">
            <w:pPr>
              <w:widowControl/>
              <w:spacing w:line="360" w:lineRule="auto"/>
              <w:jc w:val="center"/>
              <w:rPr>
                <w:rFonts w:ascii="Arial" w:hAnsi="Arial" w:cs="Arial"/>
                <w:kern w:val="0"/>
                <w:szCs w:val="21"/>
              </w:rPr>
            </w:pPr>
            <w:r>
              <w:rPr>
                <w:rFonts w:ascii="Arial" w:hAnsi="Arial" w:cs="Arial"/>
                <w:kern w:val="0"/>
                <w:szCs w:val="21"/>
              </w:rPr>
              <w:t> </w:t>
            </w:r>
          </w:p>
        </w:tc>
        <w:tc>
          <w:tcPr>
            <w:tcW w:w="3004"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680643D9">
            <w:pPr>
              <w:widowControl/>
              <w:spacing w:line="360" w:lineRule="auto"/>
              <w:jc w:val="center"/>
              <w:rPr>
                <w:rFonts w:ascii="Arial" w:hAnsi="Arial" w:cs="Arial"/>
                <w:kern w:val="0"/>
                <w:szCs w:val="21"/>
              </w:rPr>
            </w:pPr>
            <w:r>
              <w:rPr>
                <w:rFonts w:ascii="Arial" w:hAnsi="Arial" w:cs="Arial"/>
                <w:kern w:val="0"/>
                <w:szCs w:val="21"/>
              </w:rPr>
              <w:t> </w:t>
            </w:r>
          </w:p>
        </w:tc>
        <w:tc>
          <w:tcPr>
            <w:tcW w:w="120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2FF7FF7">
            <w:pPr>
              <w:widowControl/>
              <w:spacing w:line="360" w:lineRule="auto"/>
              <w:jc w:val="center"/>
              <w:rPr>
                <w:rFonts w:ascii="Arial" w:hAnsi="Arial" w:cs="Arial"/>
                <w:kern w:val="0"/>
                <w:szCs w:val="21"/>
              </w:rPr>
            </w:pPr>
            <w:r>
              <w:rPr>
                <w:rFonts w:ascii="Arial" w:hAnsi="Arial" w:cs="Arial"/>
                <w:kern w:val="0"/>
                <w:szCs w:val="21"/>
              </w:rPr>
              <w:t> </w:t>
            </w:r>
          </w:p>
        </w:tc>
      </w:tr>
      <w:tr w14:paraId="3019A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1EDACDEB">
            <w:pPr>
              <w:widowControl/>
              <w:spacing w:line="360" w:lineRule="auto"/>
              <w:jc w:val="center"/>
              <w:rPr>
                <w:rFonts w:ascii="Arial" w:hAnsi="Arial" w:cs="Arial"/>
                <w:kern w:val="0"/>
                <w:szCs w:val="21"/>
              </w:rPr>
            </w:pPr>
            <w:r>
              <w:rPr>
                <w:rFonts w:ascii="Arial" w:hAnsi="Arial" w:cs="Arial"/>
                <w:kern w:val="0"/>
                <w:szCs w:val="21"/>
              </w:rPr>
              <w:t> </w:t>
            </w:r>
          </w:p>
        </w:tc>
        <w:tc>
          <w:tcPr>
            <w:tcW w:w="1679"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08996D6">
            <w:pPr>
              <w:widowControl/>
              <w:spacing w:line="360" w:lineRule="auto"/>
              <w:jc w:val="center"/>
              <w:rPr>
                <w:rFonts w:ascii="Arial" w:hAnsi="Arial" w:cs="Arial"/>
                <w:kern w:val="0"/>
                <w:szCs w:val="21"/>
              </w:rPr>
            </w:pPr>
            <w:r>
              <w:rPr>
                <w:rFonts w:ascii="Arial" w:hAnsi="Arial" w:cs="Arial"/>
                <w:kern w:val="0"/>
                <w:szCs w:val="21"/>
              </w:rPr>
              <w:t> </w:t>
            </w:r>
          </w:p>
        </w:tc>
        <w:tc>
          <w:tcPr>
            <w:tcW w:w="248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21BB167D">
            <w:pPr>
              <w:widowControl/>
              <w:spacing w:line="360" w:lineRule="auto"/>
              <w:jc w:val="center"/>
              <w:rPr>
                <w:rFonts w:ascii="Arial" w:hAnsi="Arial" w:cs="Arial"/>
                <w:kern w:val="0"/>
                <w:szCs w:val="21"/>
              </w:rPr>
            </w:pPr>
            <w:r>
              <w:rPr>
                <w:rFonts w:ascii="Arial" w:hAnsi="Arial" w:cs="Arial"/>
                <w:kern w:val="0"/>
                <w:szCs w:val="21"/>
              </w:rPr>
              <w:t> </w:t>
            </w:r>
          </w:p>
        </w:tc>
        <w:tc>
          <w:tcPr>
            <w:tcW w:w="3004"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61FAECD2">
            <w:pPr>
              <w:widowControl/>
              <w:spacing w:line="360" w:lineRule="auto"/>
              <w:jc w:val="center"/>
              <w:rPr>
                <w:rFonts w:ascii="Arial" w:hAnsi="Arial" w:cs="Arial"/>
                <w:kern w:val="0"/>
                <w:szCs w:val="21"/>
              </w:rPr>
            </w:pPr>
            <w:r>
              <w:rPr>
                <w:rFonts w:ascii="Arial" w:hAnsi="Arial" w:cs="Arial"/>
                <w:kern w:val="0"/>
                <w:szCs w:val="21"/>
              </w:rPr>
              <w:t> </w:t>
            </w:r>
          </w:p>
        </w:tc>
        <w:tc>
          <w:tcPr>
            <w:tcW w:w="120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517973C4">
            <w:pPr>
              <w:widowControl/>
              <w:spacing w:line="360" w:lineRule="auto"/>
              <w:jc w:val="center"/>
              <w:rPr>
                <w:rFonts w:ascii="Arial" w:hAnsi="Arial" w:cs="Arial"/>
                <w:kern w:val="0"/>
                <w:szCs w:val="21"/>
              </w:rPr>
            </w:pPr>
            <w:r>
              <w:rPr>
                <w:rFonts w:ascii="Arial" w:hAnsi="Arial" w:cs="Arial"/>
                <w:kern w:val="0"/>
                <w:szCs w:val="21"/>
              </w:rPr>
              <w:t> </w:t>
            </w:r>
          </w:p>
        </w:tc>
      </w:tr>
      <w:tr w14:paraId="69232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7D9AA71">
            <w:pPr>
              <w:widowControl/>
              <w:spacing w:line="360" w:lineRule="auto"/>
              <w:jc w:val="center"/>
              <w:rPr>
                <w:rFonts w:ascii="Arial" w:hAnsi="Arial" w:cs="Arial"/>
                <w:kern w:val="0"/>
                <w:szCs w:val="21"/>
              </w:rPr>
            </w:pPr>
          </w:p>
        </w:tc>
        <w:tc>
          <w:tcPr>
            <w:tcW w:w="1679"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0BE8DC47">
            <w:pPr>
              <w:widowControl/>
              <w:spacing w:line="360" w:lineRule="auto"/>
              <w:jc w:val="center"/>
              <w:rPr>
                <w:rFonts w:ascii="Arial" w:hAnsi="Arial" w:cs="Arial"/>
                <w:kern w:val="0"/>
                <w:szCs w:val="21"/>
              </w:rPr>
            </w:pPr>
          </w:p>
        </w:tc>
        <w:tc>
          <w:tcPr>
            <w:tcW w:w="248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5A2BB285">
            <w:pPr>
              <w:widowControl/>
              <w:spacing w:line="360" w:lineRule="auto"/>
              <w:jc w:val="center"/>
              <w:rPr>
                <w:rFonts w:ascii="Arial" w:hAnsi="Arial" w:cs="Arial"/>
                <w:kern w:val="0"/>
                <w:szCs w:val="21"/>
              </w:rPr>
            </w:pPr>
          </w:p>
        </w:tc>
        <w:tc>
          <w:tcPr>
            <w:tcW w:w="3004"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2961E9D4">
            <w:pPr>
              <w:widowControl/>
              <w:spacing w:line="360" w:lineRule="auto"/>
              <w:jc w:val="center"/>
              <w:rPr>
                <w:rFonts w:ascii="Arial" w:hAnsi="Arial" w:cs="Arial"/>
                <w:kern w:val="0"/>
                <w:szCs w:val="21"/>
              </w:rPr>
            </w:pPr>
          </w:p>
        </w:tc>
        <w:tc>
          <w:tcPr>
            <w:tcW w:w="120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3B515A95">
            <w:pPr>
              <w:widowControl/>
              <w:spacing w:line="360" w:lineRule="auto"/>
              <w:jc w:val="center"/>
              <w:rPr>
                <w:rFonts w:ascii="Arial" w:hAnsi="Arial" w:cs="Arial"/>
                <w:kern w:val="0"/>
                <w:szCs w:val="21"/>
              </w:rPr>
            </w:pPr>
          </w:p>
        </w:tc>
      </w:tr>
      <w:tr w14:paraId="11712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F7F48AC">
            <w:pPr>
              <w:widowControl/>
              <w:spacing w:line="360" w:lineRule="auto"/>
              <w:jc w:val="center"/>
              <w:rPr>
                <w:rFonts w:ascii="Arial" w:hAnsi="Arial" w:cs="Arial"/>
                <w:kern w:val="0"/>
                <w:szCs w:val="21"/>
              </w:rPr>
            </w:pPr>
          </w:p>
        </w:tc>
        <w:tc>
          <w:tcPr>
            <w:tcW w:w="1679"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03460493">
            <w:pPr>
              <w:widowControl/>
              <w:spacing w:line="360" w:lineRule="auto"/>
              <w:jc w:val="center"/>
              <w:rPr>
                <w:rFonts w:ascii="Arial" w:hAnsi="Arial" w:cs="Arial"/>
                <w:kern w:val="0"/>
                <w:szCs w:val="21"/>
              </w:rPr>
            </w:pPr>
          </w:p>
        </w:tc>
        <w:tc>
          <w:tcPr>
            <w:tcW w:w="2488"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050801A2">
            <w:pPr>
              <w:widowControl/>
              <w:spacing w:line="360" w:lineRule="auto"/>
              <w:jc w:val="center"/>
              <w:rPr>
                <w:rFonts w:ascii="Arial" w:hAnsi="Arial" w:cs="Arial"/>
                <w:kern w:val="0"/>
                <w:szCs w:val="21"/>
              </w:rPr>
            </w:pPr>
          </w:p>
        </w:tc>
        <w:tc>
          <w:tcPr>
            <w:tcW w:w="3004"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48F2AE5B">
            <w:pPr>
              <w:widowControl/>
              <w:spacing w:line="360" w:lineRule="auto"/>
              <w:jc w:val="center"/>
              <w:rPr>
                <w:rFonts w:ascii="Arial" w:hAnsi="Arial" w:cs="Arial"/>
                <w:kern w:val="0"/>
                <w:szCs w:val="21"/>
              </w:rPr>
            </w:pPr>
          </w:p>
        </w:tc>
        <w:tc>
          <w:tcPr>
            <w:tcW w:w="1201" w:type="dxa"/>
            <w:tcBorders>
              <w:top w:val="single" w:color="auto" w:sz="4" w:space="0"/>
              <w:left w:val="single" w:color="auto" w:sz="4" w:space="0"/>
              <w:bottom w:val="single" w:color="auto" w:sz="4" w:space="0"/>
              <w:right w:val="single" w:color="auto" w:sz="4" w:space="0"/>
            </w:tcBorders>
            <w:tcMar>
              <w:top w:w="0" w:type="dxa"/>
              <w:left w:w="10" w:type="dxa"/>
              <w:bottom w:w="0" w:type="dxa"/>
              <w:right w:w="10" w:type="dxa"/>
            </w:tcMar>
            <w:vAlign w:val="center"/>
          </w:tcPr>
          <w:p w14:paraId="625AE906">
            <w:pPr>
              <w:widowControl/>
              <w:spacing w:line="360" w:lineRule="auto"/>
              <w:jc w:val="center"/>
              <w:rPr>
                <w:rFonts w:ascii="Arial" w:hAnsi="Arial" w:cs="Arial"/>
                <w:kern w:val="0"/>
                <w:szCs w:val="21"/>
              </w:rPr>
            </w:pPr>
          </w:p>
        </w:tc>
      </w:tr>
    </w:tbl>
    <w:p w14:paraId="283C44A6">
      <w:pPr>
        <w:ind w:firstLine="420" w:firstLineChars="200"/>
      </w:pPr>
      <w:r>
        <w:rPr>
          <w:rFonts w:hint="eastAsia"/>
        </w:rPr>
        <w:t>注：</w:t>
      </w:r>
      <w:r>
        <w:t>1</w:t>
      </w:r>
      <w:r>
        <w:rPr>
          <w:rFonts w:hint="eastAsia"/>
        </w:rPr>
        <w:t>、</w:t>
      </w:r>
      <w:r>
        <w:rPr>
          <w:rFonts w:hint="eastAsia"/>
          <w:b/>
          <w:bCs/>
        </w:rPr>
        <w:t>供应商应对招标文件第四章采购需求的商务条款给予逐条响应</w:t>
      </w:r>
      <w:r>
        <w:rPr>
          <w:rFonts w:hint="eastAsia"/>
        </w:rPr>
        <w:t>。</w:t>
      </w:r>
    </w:p>
    <w:p w14:paraId="58C7AB5F">
      <w:pPr>
        <w:ind w:firstLine="420" w:firstLineChars="200"/>
      </w:pPr>
      <w:r>
        <w:t>2</w:t>
      </w:r>
      <w:r>
        <w:rPr>
          <w:rFonts w:hint="eastAsia"/>
        </w:rPr>
        <w:t>、投标文件“响应具体情况</w:t>
      </w:r>
      <w:r>
        <w:t>",</w:t>
      </w:r>
      <w:r>
        <w:rPr>
          <w:rFonts w:hint="eastAsia"/>
        </w:rPr>
        <w:t>指</w:t>
      </w:r>
      <w:r>
        <w:rPr>
          <w:rFonts w:hint="eastAsia" w:ascii="宋体" w:cs="宋体"/>
          <w:szCs w:val="21"/>
        </w:rPr>
        <w:t>应答情况</w:t>
      </w:r>
      <w:r>
        <w:rPr>
          <w:rFonts w:hint="eastAsia"/>
        </w:rPr>
        <w:t>。“说明”栏请注明“响应</w:t>
      </w:r>
      <w:r>
        <w:t>/</w:t>
      </w:r>
      <w:r>
        <w:rPr>
          <w:rFonts w:hint="eastAsia"/>
        </w:rPr>
        <w:t>正偏离</w:t>
      </w:r>
      <w:r>
        <w:t>/</w:t>
      </w:r>
      <w:r>
        <w:rPr>
          <w:rFonts w:hint="eastAsia"/>
        </w:rPr>
        <w:t>负偏离”。</w:t>
      </w:r>
    </w:p>
    <w:p w14:paraId="7A5F7971">
      <w:pPr>
        <w:ind w:firstLine="420" w:firstLineChars="200"/>
      </w:pPr>
      <w:r>
        <w:t>3</w:t>
      </w:r>
      <w:r>
        <w:rPr>
          <w:rFonts w:hint="eastAsia"/>
        </w:rPr>
        <w:t>、如果行数不够，请自行增加。</w:t>
      </w:r>
    </w:p>
    <w:p w14:paraId="5B367179">
      <w:pPr>
        <w:widowControl/>
        <w:shd w:val="clear" w:color="auto" w:fill="FFFFFF"/>
        <w:spacing w:line="360" w:lineRule="auto"/>
        <w:jc w:val="left"/>
        <w:rPr>
          <w:rFonts w:ascii="Arial" w:hAnsi="Arial" w:cs="Arial"/>
          <w:kern w:val="0"/>
          <w:szCs w:val="21"/>
        </w:rPr>
      </w:pPr>
    </w:p>
    <w:p w14:paraId="5EDC4755">
      <w:pPr>
        <w:widowControl/>
        <w:shd w:val="clear" w:color="auto" w:fill="FFFFFF"/>
        <w:spacing w:line="360" w:lineRule="auto"/>
        <w:jc w:val="left"/>
        <w:rPr>
          <w:rFonts w:ascii="Arial" w:hAnsi="Arial" w:cs="Arial"/>
          <w:kern w:val="0"/>
          <w:szCs w:val="21"/>
        </w:rPr>
      </w:pPr>
    </w:p>
    <w:p w14:paraId="10526FBF">
      <w:pPr>
        <w:widowControl/>
        <w:shd w:val="clear" w:color="auto" w:fill="FFFFFF"/>
        <w:spacing w:line="360" w:lineRule="auto"/>
        <w:jc w:val="left"/>
        <w:rPr>
          <w:rFonts w:ascii="Arial" w:hAnsi="Arial" w:cs="Arial"/>
          <w:kern w:val="0"/>
          <w:szCs w:val="21"/>
        </w:rPr>
      </w:pPr>
    </w:p>
    <w:p w14:paraId="0483C56B">
      <w:pPr>
        <w:widowControl/>
        <w:shd w:val="clear" w:color="auto" w:fill="FFFFFF"/>
        <w:spacing w:line="360" w:lineRule="auto"/>
        <w:jc w:val="left"/>
        <w:rPr>
          <w:rFonts w:ascii="Arial" w:hAnsi="Arial" w:cs="Arial"/>
          <w:kern w:val="0"/>
          <w:szCs w:val="21"/>
        </w:rPr>
      </w:pPr>
      <w:bookmarkStart w:id="53" w:name="OLE_LINK50"/>
      <w:r>
        <w:rPr>
          <w:rFonts w:hint="eastAsia" w:ascii="Arial" w:hAnsi="Arial" w:cs="Arial"/>
          <w:kern w:val="0"/>
          <w:szCs w:val="21"/>
        </w:rPr>
        <w:t>供应商（盖章）：</w:t>
      </w:r>
      <w:r>
        <w:rPr>
          <w:rFonts w:ascii="Arial" w:hAnsi="Arial" w:cs="Arial"/>
          <w:kern w:val="0"/>
          <w:szCs w:val="21"/>
          <w:u w:val="single"/>
        </w:rPr>
        <w:t>                             </w:t>
      </w:r>
    </w:p>
    <w:p w14:paraId="6ADA3481">
      <w:pPr>
        <w:widowControl/>
        <w:shd w:val="clear" w:color="auto" w:fill="FFFFFF"/>
        <w:spacing w:line="360" w:lineRule="auto"/>
        <w:jc w:val="left"/>
        <w:rPr>
          <w:rFonts w:ascii="Arial" w:hAnsi="Arial" w:cs="Arial"/>
          <w:kern w:val="0"/>
          <w:szCs w:val="21"/>
          <w:u w:val="single"/>
        </w:rPr>
      </w:pPr>
      <w:r>
        <w:rPr>
          <w:rFonts w:hint="eastAsia" w:ascii="Arial" w:hAnsi="Arial" w:cs="Arial"/>
          <w:kern w:val="0"/>
          <w:szCs w:val="21"/>
        </w:rPr>
        <w:t>法定代表人或授权代表（签字）：</w:t>
      </w:r>
      <w:r>
        <w:rPr>
          <w:rFonts w:ascii="Arial" w:hAnsi="Arial" w:cs="Arial"/>
          <w:kern w:val="0"/>
          <w:szCs w:val="21"/>
          <w:u w:val="single"/>
        </w:rPr>
        <w:t>                              </w:t>
      </w:r>
    </w:p>
    <w:bookmarkEnd w:id="53"/>
    <w:p w14:paraId="0D59876C">
      <w:pPr>
        <w:widowControl/>
        <w:shd w:val="clear" w:color="auto" w:fill="FFFFFF"/>
        <w:spacing w:line="360" w:lineRule="auto"/>
        <w:jc w:val="left"/>
        <w:rPr>
          <w:rFonts w:ascii="Arial" w:hAnsi="Arial" w:cs="Arial"/>
          <w:kern w:val="0"/>
          <w:szCs w:val="21"/>
        </w:rPr>
      </w:pPr>
    </w:p>
    <w:p w14:paraId="2D118915">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7B66D446">
      <w:pPr>
        <w:widowControl/>
        <w:shd w:val="clear" w:color="auto" w:fill="FFFFFF"/>
        <w:spacing w:line="360" w:lineRule="auto"/>
        <w:jc w:val="left"/>
        <w:rPr>
          <w:rFonts w:ascii="Arial" w:hAnsi="Arial" w:cs="Arial"/>
          <w:kern w:val="0"/>
          <w:szCs w:val="21"/>
        </w:rPr>
      </w:pPr>
      <w:r>
        <w:rPr>
          <w:rFonts w:ascii="Arial" w:hAnsi="Arial" w:cs="Arial"/>
          <w:kern w:val="0"/>
          <w:szCs w:val="21"/>
        </w:rPr>
        <w:t> </w:t>
      </w:r>
    </w:p>
    <w:p w14:paraId="2C6C7214">
      <w:pPr>
        <w:widowControl/>
        <w:shd w:val="clear" w:color="auto" w:fill="FFFFFF"/>
        <w:spacing w:line="360" w:lineRule="auto"/>
        <w:jc w:val="left"/>
        <w:rPr>
          <w:rFonts w:ascii="Arial" w:hAnsi="Arial" w:cs="Arial"/>
          <w:kern w:val="0"/>
          <w:szCs w:val="21"/>
        </w:rPr>
      </w:pPr>
    </w:p>
    <w:p w14:paraId="14FBFF4F">
      <w:pPr>
        <w:widowControl/>
        <w:adjustRightInd w:val="0"/>
        <w:spacing w:line="460" w:lineRule="atLeast"/>
        <w:rPr>
          <w:rFonts w:ascii="Arial" w:hAnsi="Arial" w:cs="Arial"/>
          <w:b/>
          <w:bCs/>
          <w:kern w:val="0"/>
          <w:sz w:val="24"/>
        </w:rPr>
      </w:pPr>
      <w:r>
        <w:rPr>
          <w:rFonts w:ascii="Arial" w:hAnsi="Arial" w:cs="Arial"/>
          <w:b/>
          <w:bCs/>
          <w:kern w:val="0"/>
          <w:szCs w:val="21"/>
        </w:rPr>
        <w:br w:type="page"/>
      </w:r>
      <w:r>
        <w:rPr>
          <w:rFonts w:hint="eastAsia" w:ascii="Arial" w:hAnsi="Arial" w:cs="Arial"/>
          <w:b/>
          <w:bCs/>
          <w:kern w:val="0"/>
          <w:sz w:val="24"/>
        </w:rPr>
        <w:t>附件六、拟参与本项目服务人员一览表</w:t>
      </w:r>
    </w:p>
    <w:p w14:paraId="646E194B">
      <w:pPr>
        <w:widowControl/>
        <w:adjustRightInd w:val="0"/>
        <w:spacing w:line="460" w:lineRule="atLeast"/>
        <w:rPr>
          <w:rFonts w:ascii="Arial" w:hAnsi="Arial" w:cs="Arial"/>
          <w:b/>
          <w:bCs/>
          <w:kern w:val="0"/>
          <w:sz w:val="24"/>
        </w:rPr>
      </w:pPr>
    </w:p>
    <w:p w14:paraId="21FF1FAE">
      <w:pPr>
        <w:widowControl/>
        <w:adjustRightInd w:val="0"/>
        <w:jc w:val="center"/>
        <w:rPr>
          <w:rFonts w:ascii="Arial" w:hAnsi="Arial" w:cs="Arial"/>
          <w:b/>
          <w:bCs/>
          <w:kern w:val="0"/>
          <w:sz w:val="24"/>
        </w:rPr>
      </w:pPr>
      <w:r>
        <w:rPr>
          <w:rFonts w:hint="eastAsia" w:ascii="Arial" w:hAnsi="Arial" w:cs="Arial"/>
          <w:b/>
          <w:bCs/>
          <w:kern w:val="0"/>
          <w:sz w:val="24"/>
        </w:rPr>
        <w:t>拟参与本项目服务人员一览表</w:t>
      </w:r>
    </w:p>
    <w:p w14:paraId="5BCEEC64">
      <w:pPr>
        <w:widowControl/>
        <w:adjustRightInd w:val="0"/>
        <w:jc w:val="center"/>
        <w:rPr>
          <w:rFonts w:ascii="Arial" w:hAnsi="Arial" w:cs="Arial"/>
          <w:b/>
          <w:bCs/>
          <w:kern w:val="0"/>
          <w:sz w:val="24"/>
        </w:rPr>
      </w:pPr>
    </w:p>
    <w:p w14:paraId="1F2F6AD7">
      <w:pPr>
        <w:widowControl/>
        <w:adjustRightInd w:val="0"/>
        <w:rPr>
          <w:rFonts w:ascii="Arial" w:hAnsi="Arial" w:cs="Arial"/>
          <w:kern w:val="0"/>
          <w:szCs w:val="21"/>
        </w:rPr>
      </w:pPr>
      <w:r>
        <w:rPr>
          <w:rFonts w:hint="eastAsia" w:ascii="Arial" w:hAnsi="Arial" w:cs="Arial"/>
          <w:kern w:val="0"/>
          <w:szCs w:val="21"/>
        </w:rPr>
        <w:t>项目名称：项目编号：</w:t>
      </w:r>
    </w:p>
    <w:tbl>
      <w:tblPr>
        <w:tblStyle w:val="48"/>
        <w:tblW w:w="9465" w:type="dxa"/>
        <w:jc w:val="center"/>
        <w:tblLayout w:type="fixed"/>
        <w:tblCellMar>
          <w:top w:w="0" w:type="dxa"/>
          <w:left w:w="108" w:type="dxa"/>
          <w:bottom w:w="0" w:type="dxa"/>
          <w:right w:w="108" w:type="dxa"/>
        </w:tblCellMar>
      </w:tblPr>
      <w:tblGrid>
        <w:gridCol w:w="535"/>
        <w:gridCol w:w="896"/>
        <w:gridCol w:w="663"/>
        <w:gridCol w:w="709"/>
        <w:gridCol w:w="1134"/>
        <w:gridCol w:w="931"/>
        <w:gridCol w:w="1020"/>
        <w:gridCol w:w="994"/>
        <w:gridCol w:w="882"/>
        <w:gridCol w:w="850"/>
        <w:gridCol w:w="851"/>
      </w:tblGrid>
      <w:tr w14:paraId="6AFFFB6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14:paraId="45832C16">
            <w:pPr>
              <w:widowControl/>
              <w:adjustRightInd w:val="0"/>
              <w:jc w:val="center"/>
              <w:rPr>
                <w:rFonts w:ascii="Arial" w:hAnsi="Arial" w:cs="Arial"/>
                <w:b/>
                <w:bCs/>
                <w:kern w:val="0"/>
                <w:szCs w:val="21"/>
              </w:rPr>
            </w:pPr>
            <w:r>
              <w:rPr>
                <w:rFonts w:hint="eastAsia" w:ascii="Arial" w:hAnsi="Arial" w:cs="Arial"/>
                <w:b/>
                <w:bCs/>
                <w:kern w:val="0"/>
                <w:szCs w:val="21"/>
              </w:rPr>
              <w:t>序号</w:t>
            </w:r>
          </w:p>
        </w:tc>
        <w:tc>
          <w:tcPr>
            <w:tcW w:w="896" w:type="dxa"/>
            <w:tcBorders>
              <w:top w:val="single" w:color="000000" w:sz="4" w:space="0"/>
              <w:left w:val="nil"/>
              <w:bottom w:val="single" w:color="000000" w:sz="4" w:space="0"/>
              <w:right w:val="single" w:color="000000" w:sz="4" w:space="0"/>
            </w:tcBorders>
            <w:vAlign w:val="center"/>
          </w:tcPr>
          <w:p w14:paraId="2F90ECDA">
            <w:pPr>
              <w:widowControl/>
              <w:adjustRightInd w:val="0"/>
              <w:jc w:val="center"/>
              <w:rPr>
                <w:rFonts w:ascii="Arial" w:hAnsi="Arial" w:cs="Arial"/>
                <w:b/>
                <w:bCs/>
                <w:kern w:val="0"/>
                <w:szCs w:val="21"/>
              </w:rPr>
            </w:pPr>
            <w:r>
              <w:rPr>
                <w:rFonts w:hint="eastAsia" w:ascii="Arial" w:hAnsi="Arial" w:cs="Arial"/>
                <w:b/>
                <w:bCs/>
                <w:kern w:val="0"/>
                <w:szCs w:val="21"/>
              </w:rPr>
              <w:t>姓名</w:t>
            </w:r>
          </w:p>
        </w:tc>
        <w:tc>
          <w:tcPr>
            <w:tcW w:w="663" w:type="dxa"/>
            <w:tcBorders>
              <w:top w:val="single" w:color="000000" w:sz="4" w:space="0"/>
              <w:left w:val="nil"/>
              <w:bottom w:val="single" w:color="000000" w:sz="4" w:space="0"/>
              <w:right w:val="single" w:color="000000" w:sz="4" w:space="0"/>
            </w:tcBorders>
            <w:vAlign w:val="center"/>
          </w:tcPr>
          <w:p w14:paraId="15E2681D">
            <w:pPr>
              <w:widowControl/>
              <w:adjustRightInd w:val="0"/>
              <w:jc w:val="center"/>
              <w:rPr>
                <w:rFonts w:ascii="Arial" w:hAnsi="Arial" w:cs="Arial"/>
                <w:b/>
                <w:bCs/>
                <w:kern w:val="0"/>
                <w:szCs w:val="21"/>
              </w:rPr>
            </w:pPr>
            <w:r>
              <w:rPr>
                <w:rFonts w:hint="eastAsia" w:ascii="Arial" w:hAnsi="Arial" w:cs="Arial"/>
                <w:b/>
                <w:bCs/>
                <w:kern w:val="0"/>
                <w:szCs w:val="21"/>
              </w:rPr>
              <w:t>性别</w:t>
            </w:r>
          </w:p>
        </w:tc>
        <w:tc>
          <w:tcPr>
            <w:tcW w:w="709" w:type="dxa"/>
            <w:tcBorders>
              <w:top w:val="single" w:color="000000" w:sz="4" w:space="0"/>
              <w:left w:val="nil"/>
              <w:bottom w:val="single" w:color="000000" w:sz="4" w:space="0"/>
              <w:right w:val="single" w:color="000000" w:sz="4" w:space="0"/>
            </w:tcBorders>
            <w:vAlign w:val="center"/>
          </w:tcPr>
          <w:p w14:paraId="3B3426BA">
            <w:pPr>
              <w:widowControl/>
              <w:adjustRightInd w:val="0"/>
              <w:jc w:val="center"/>
              <w:rPr>
                <w:rFonts w:ascii="Arial" w:hAnsi="Arial" w:cs="Arial"/>
                <w:b/>
                <w:bCs/>
                <w:kern w:val="0"/>
                <w:szCs w:val="21"/>
              </w:rPr>
            </w:pPr>
            <w:r>
              <w:rPr>
                <w:rFonts w:hint="eastAsia" w:ascii="Arial" w:hAnsi="Arial" w:cs="Arial"/>
                <w:b/>
                <w:bCs/>
                <w:kern w:val="0"/>
                <w:szCs w:val="21"/>
              </w:rPr>
              <w:t>年龄</w:t>
            </w:r>
          </w:p>
        </w:tc>
        <w:tc>
          <w:tcPr>
            <w:tcW w:w="1134" w:type="dxa"/>
            <w:tcBorders>
              <w:top w:val="single" w:color="000000" w:sz="4" w:space="0"/>
              <w:left w:val="nil"/>
              <w:bottom w:val="single" w:color="000000" w:sz="4" w:space="0"/>
              <w:right w:val="single" w:color="000000" w:sz="4" w:space="0"/>
            </w:tcBorders>
            <w:vAlign w:val="center"/>
          </w:tcPr>
          <w:p w14:paraId="2A2B03CB">
            <w:pPr>
              <w:widowControl/>
              <w:adjustRightInd w:val="0"/>
              <w:jc w:val="center"/>
              <w:rPr>
                <w:rFonts w:ascii="Arial" w:hAnsi="Arial" w:cs="Arial"/>
                <w:b/>
                <w:bCs/>
                <w:kern w:val="0"/>
                <w:szCs w:val="21"/>
              </w:rPr>
            </w:pPr>
            <w:r>
              <w:rPr>
                <w:rFonts w:hint="eastAsia" w:ascii="Arial" w:hAnsi="Arial" w:cs="Arial"/>
                <w:b/>
                <w:bCs/>
                <w:kern w:val="0"/>
                <w:szCs w:val="21"/>
              </w:rPr>
              <w:t>专业</w:t>
            </w:r>
          </w:p>
        </w:tc>
        <w:tc>
          <w:tcPr>
            <w:tcW w:w="931" w:type="dxa"/>
            <w:tcBorders>
              <w:top w:val="single" w:color="000000" w:sz="4" w:space="0"/>
              <w:left w:val="nil"/>
              <w:bottom w:val="single" w:color="000000" w:sz="4" w:space="0"/>
              <w:right w:val="single" w:color="000000" w:sz="4" w:space="0"/>
            </w:tcBorders>
            <w:vAlign w:val="center"/>
          </w:tcPr>
          <w:p w14:paraId="30A2DD2C">
            <w:pPr>
              <w:widowControl/>
              <w:adjustRightInd w:val="0"/>
              <w:jc w:val="center"/>
              <w:rPr>
                <w:rFonts w:ascii="Arial" w:hAnsi="Arial" w:cs="Arial"/>
                <w:b/>
                <w:bCs/>
                <w:kern w:val="0"/>
                <w:szCs w:val="21"/>
              </w:rPr>
            </w:pPr>
            <w:r>
              <w:rPr>
                <w:rFonts w:hint="eastAsia" w:ascii="Arial" w:hAnsi="Arial" w:cs="Arial"/>
                <w:b/>
                <w:bCs/>
                <w:kern w:val="0"/>
                <w:szCs w:val="21"/>
              </w:rPr>
              <w:t>学历</w:t>
            </w:r>
          </w:p>
        </w:tc>
        <w:tc>
          <w:tcPr>
            <w:tcW w:w="1020" w:type="dxa"/>
            <w:tcBorders>
              <w:top w:val="single" w:color="000000" w:sz="4" w:space="0"/>
              <w:left w:val="nil"/>
              <w:bottom w:val="single" w:color="000000" w:sz="4" w:space="0"/>
              <w:right w:val="single" w:color="000000" w:sz="4" w:space="0"/>
            </w:tcBorders>
            <w:vAlign w:val="center"/>
          </w:tcPr>
          <w:p w14:paraId="6EED5029">
            <w:pPr>
              <w:widowControl/>
              <w:adjustRightInd w:val="0"/>
              <w:jc w:val="center"/>
              <w:rPr>
                <w:rFonts w:ascii="Arial" w:hAnsi="Arial" w:cs="Arial"/>
                <w:b/>
                <w:bCs/>
                <w:kern w:val="0"/>
                <w:szCs w:val="21"/>
              </w:rPr>
            </w:pPr>
            <w:r>
              <w:rPr>
                <w:rFonts w:hint="eastAsia" w:ascii="Arial" w:hAnsi="Arial" w:cs="Arial"/>
                <w:b/>
                <w:bCs/>
                <w:kern w:val="0"/>
                <w:szCs w:val="21"/>
              </w:rPr>
              <w:t>执业</w:t>
            </w:r>
          </w:p>
          <w:p w14:paraId="60DB0CAB">
            <w:pPr>
              <w:widowControl/>
              <w:adjustRightInd w:val="0"/>
              <w:jc w:val="center"/>
              <w:rPr>
                <w:rFonts w:ascii="Arial" w:hAnsi="Arial" w:cs="Arial"/>
                <w:b/>
                <w:bCs/>
                <w:kern w:val="0"/>
                <w:szCs w:val="21"/>
              </w:rPr>
            </w:pPr>
            <w:r>
              <w:rPr>
                <w:rFonts w:hint="eastAsia" w:ascii="Arial" w:hAnsi="Arial" w:cs="Arial"/>
                <w:b/>
                <w:bCs/>
                <w:kern w:val="0"/>
                <w:szCs w:val="21"/>
              </w:rPr>
              <w:t>资格</w:t>
            </w:r>
          </w:p>
        </w:tc>
        <w:tc>
          <w:tcPr>
            <w:tcW w:w="994" w:type="dxa"/>
            <w:tcBorders>
              <w:top w:val="single" w:color="000000" w:sz="4" w:space="0"/>
              <w:left w:val="nil"/>
              <w:bottom w:val="single" w:color="000000" w:sz="4" w:space="0"/>
              <w:right w:val="single" w:color="000000" w:sz="4" w:space="0"/>
            </w:tcBorders>
            <w:vAlign w:val="center"/>
          </w:tcPr>
          <w:p w14:paraId="342823D5">
            <w:pPr>
              <w:widowControl/>
              <w:adjustRightInd w:val="0"/>
              <w:jc w:val="center"/>
              <w:rPr>
                <w:rFonts w:ascii="Arial" w:hAnsi="Arial" w:cs="Arial"/>
                <w:b/>
                <w:bCs/>
                <w:kern w:val="0"/>
                <w:szCs w:val="21"/>
              </w:rPr>
            </w:pPr>
            <w:r>
              <w:rPr>
                <w:rFonts w:hint="eastAsia" w:ascii="Arial" w:hAnsi="Arial" w:cs="Arial"/>
                <w:b/>
                <w:bCs/>
                <w:kern w:val="0"/>
                <w:szCs w:val="21"/>
              </w:rPr>
              <w:t>证书号</w:t>
            </w:r>
          </w:p>
        </w:tc>
        <w:tc>
          <w:tcPr>
            <w:tcW w:w="882" w:type="dxa"/>
            <w:tcBorders>
              <w:top w:val="single" w:color="000000" w:sz="4" w:space="0"/>
              <w:left w:val="nil"/>
              <w:bottom w:val="single" w:color="000000" w:sz="4" w:space="0"/>
              <w:right w:val="single" w:color="000000" w:sz="4" w:space="0"/>
            </w:tcBorders>
            <w:vAlign w:val="center"/>
          </w:tcPr>
          <w:p w14:paraId="53855B35">
            <w:pPr>
              <w:widowControl/>
              <w:adjustRightInd w:val="0"/>
              <w:jc w:val="center"/>
              <w:rPr>
                <w:rFonts w:ascii="Arial" w:hAnsi="Arial" w:cs="Arial"/>
                <w:b/>
                <w:bCs/>
                <w:kern w:val="0"/>
                <w:szCs w:val="21"/>
              </w:rPr>
            </w:pPr>
            <w:r>
              <w:rPr>
                <w:rFonts w:hint="eastAsia" w:ascii="Arial" w:hAnsi="Arial" w:cs="Arial"/>
                <w:b/>
                <w:bCs/>
                <w:kern w:val="0"/>
                <w:szCs w:val="21"/>
              </w:rPr>
              <w:t>技术职称</w:t>
            </w:r>
          </w:p>
        </w:tc>
        <w:tc>
          <w:tcPr>
            <w:tcW w:w="850" w:type="dxa"/>
            <w:tcBorders>
              <w:top w:val="single" w:color="000000" w:sz="4" w:space="0"/>
              <w:left w:val="nil"/>
              <w:bottom w:val="single" w:color="000000" w:sz="4" w:space="0"/>
              <w:right w:val="single" w:color="000000" w:sz="4" w:space="0"/>
            </w:tcBorders>
            <w:vAlign w:val="center"/>
          </w:tcPr>
          <w:p w14:paraId="6D0B27FA">
            <w:pPr>
              <w:widowControl/>
              <w:adjustRightInd w:val="0"/>
              <w:jc w:val="center"/>
              <w:rPr>
                <w:rFonts w:ascii="Arial" w:hAnsi="Arial" w:cs="Arial"/>
                <w:b/>
                <w:bCs/>
                <w:kern w:val="0"/>
                <w:szCs w:val="21"/>
              </w:rPr>
            </w:pPr>
            <w:r>
              <w:rPr>
                <w:rFonts w:hint="eastAsia" w:ascii="Arial" w:hAnsi="Arial" w:cs="Arial"/>
                <w:b/>
                <w:bCs/>
                <w:kern w:val="0"/>
                <w:szCs w:val="21"/>
              </w:rPr>
              <w:t>相关工作年限</w:t>
            </w:r>
          </w:p>
        </w:tc>
        <w:tc>
          <w:tcPr>
            <w:tcW w:w="851" w:type="dxa"/>
            <w:tcBorders>
              <w:top w:val="single" w:color="000000" w:sz="4" w:space="0"/>
              <w:left w:val="nil"/>
              <w:bottom w:val="single" w:color="000000" w:sz="4" w:space="0"/>
              <w:right w:val="single" w:color="000000" w:sz="4" w:space="0"/>
            </w:tcBorders>
            <w:vAlign w:val="center"/>
          </w:tcPr>
          <w:p w14:paraId="484387B1">
            <w:pPr>
              <w:widowControl/>
              <w:adjustRightInd w:val="0"/>
              <w:jc w:val="center"/>
              <w:rPr>
                <w:rFonts w:ascii="Arial" w:hAnsi="Arial" w:cs="Arial"/>
                <w:b/>
                <w:bCs/>
                <w:kern w:val="0"/>
                <w:szCs w:val="21"/>
              </w:rPr>
            </w:pPr>
            <w:r>
              <w:rPr>
                <w:rFonts w:hint="eastAsia" w:ascii="Arial" w:hAnsi="Arial" w:cs="Arial"/>
                <w:b/>
                <w:bCs/>
                <w:kern w:val="0"/>
                <w:szCs w:val="21"/>
              </w:rPr>
              <w:t>备注</w:t>
            </w:r>
          </w:p>
        </w:tc>
      </w:tr>
      <w:tr w14:paraId="7116E524">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4C97C650">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5BCD4F7F">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0E70EC4B">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5D069208">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6B4B0417">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1C1BC331">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45DF971D">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0A568A57">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17EFC54D">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11346B99">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51FB8822">
            <w:pPr>
              <w:widowControl/>
              <w:adjustRightInd w:val="0"/>
              <w:rPr>
                <w:rFonts w:ascii="Arial" w:hAnsi="Arial" w:cs="Arial"/>
                <w:kern w:val="0"/>
                <w:szCs w:val="21"/>
              </w:rPr>
            </w:pPr>
          </w:p>
        </w:tc>
      </w:tr>
      <w:tr w14:paraId="53DE2895">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58FF93BF">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072D92EA">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0AC6E1AE">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2393DB9C">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7BE63BCF">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5CD4B1BF">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612EFC52">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4E67F985">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62C77E96">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109AB642">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147AC94E">
            <w:pPr>
              <w:widowControl/>
              <w:adjustRightInd w:val="0"/>
              <w:rPr>
                <w:rFonts w:ascii="Arial" w:hAnsi="Arial" w:cs="Arial"/>
                <w:kern w:val="0"/>
                <w:szCs w:val="21"/>
              </w:rPr>
            </w:pPr>
          </w:p>
        </w:tc>
      </w:tr>
      <w:tr w14:paraId="7B41DCB9">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63A508B4">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4387106E">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2E077A5D">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56578706">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66C97FFF">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50081E18">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33D7235F">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712919C3">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48C50187">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5E4ABBAB">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030310FF">
            <w:pPr>
              <w:widowControl/>
              <w:adjustRightInd w:val="0"/>
              <w:rPr>
                <w:rFonts w:ascii="Arial" w:hAnsi="Arial" w:cs="Arial"/>
                <w:kern w:val="0"/>
                <w:szCs w:val="21"/>
              </w:rPr>
            </w:pPr>
          </w:p>
        </w:tc>
      </w:tr>
      <w:tr w14:paraId="79DAB1BE">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0E8A2F6">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5382F28D">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0342D20A">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6F049819">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3E4218F3">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72723EFC">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50488A9E">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17C68C73">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5F6C2352">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178E86BD">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70AC3F43">
            <w:pPr>
              <w:widowControl/>
              <w:adjustRightInd w:val="0"/>
              <w:rPr>
                <w:rFonts w:ascii="Arial" w:hAnsi="Arial" w:cs="Arial"/>
                <w:kern w:val="0"/>
                <w:szCs w:val="21"/>
              </w:rPr>
            </w:pPr>
          </w:p>
        </w:tc>
      </w:tr>
      <w:tr w14:paraId="3A7EEF6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11136660">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0B4F33E1">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7713386E">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46201F63">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113C5ACD">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4B9E2735">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7A861A1D">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42E2A16B">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018DED03">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7A3725EB">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647A6950">
            <w:pPr>
              <w:widowControl/>
              <w:adjustRightInd w:val="0"/>
              <w:rPr>
                <w:rFonts w:ascii="Arial" w:hAnsi="Arial" w:cs="Arial"/>
                <w:kern w:val="0"/>
                <w:szCs w:val="21"/>
              </w:rPr>
            </w:pPr>
          </w:p>
        </w:tc>
      </w:tr>
      <w:tr w14:paraId="38F0CFBF">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25EA6F10">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75FF292C">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75D29E8F">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29BF8579">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774B9FD9">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40FA5141">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6BB61338">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7630AE94">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3B82516C">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38D6CF0F">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3F3EFEF1">
            <w:pPr>
              <w:widowControl/>
              <w:adjustRightInd w:val="0"/>
              <w:rPr>
                <w:rFonts w:ascii="Arial" w:hAnsi="Arial" w:cs="Arial"/>
                <w:kern w:val="0"/>
                <w:szCs w:val="21"/>
              </w:rPr>
            </w:pPr>
          </w:p>
        </w:tc>
      </w:tr>
      <w:tr w14:paraId="6D08E40A">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35ED5002">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45DB5207">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0C1FE210">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10E7F6AB">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45C32CF2">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56C76A78">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0B5E4FC6">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287FAFEA">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0EA91BEA">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354FE164">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3AC4AC36">
            <w:pPr>
              <w:widowControl/>
              <w:adjustRightInd w:val="0"/>
              <w:rPr>
                <w:rFonts w:ascii="Arial" w:hAnsi="Arial" w:cs="Arial"/>
                <w:kern w:val="0"/>
                <w:szCs w:val="21"/>
              </w:rPr>
            </w:pPr>
          </w:p>
        </w:tc>
      </w:tr>
      <w:tr w14:paraId="79A4A466">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14:paraId="71373FDB">
            <w:pPr>
              <w:widowControl/>
              <w:adjustRightInd w:val="0"/>
              <w:rPr>
                <w:rFonts w:ascii="Arial" w:hAnsi="Arial" w:cs="Arial"/>
                <w:kern w:val="0"/>
                <w:szCs w:val="21"/>
              </w:rPr>
            </w:pPr>
          </w:p>
        </w:tc>
        <w:tc>
          <w:tcPr>
            <w:tcW w:w="896" w:type="dxa"/>
            <w:tcBorders>
              <w:top w:val="single" w:color="000000" w:sz="4" w:space="0"/>
              <w:left w:val="nil"/>
              <w:bottom w:val="single" w:color="000000" w:sz="4" w:space="0"/>
              <w:right w:val="single" w:color="000000" w:sz="4" w:space="0"/>
            </w:tcBorders>
          </w:tcPr>
          <w:p w14:paraId="28C4C8D3">
            <w:pPr>
              <w:widowControl/>
              <w:adjustRightInd w:val="0"/>
              <w:rPr>
                <w:rFonts w:ascii="Arial" w:hAnsi="Arial" w:cs="Arial"/>
                <w:kern w:val="0"/>
                <w:szCs w:val="21"/>
              </w:rPr>
            </w:pPr>
          </w:p>
        </w:tc>
        <w:tc>
          <w:tcPr>
            <w:tcW w:w="663" w:type="dxa"/>
            <w:tcBorders>
              <w:top w:val="single" w:color="000000" w:sz="4" w:space="0"/>
              <w:left w:val="nil"/>
              <w:bottom w:val="single" w:color="000000" w:sz="4" w:space="0"/>
              <w:right w:val="single" w:color="000000" w:sz="4" w:space="0"/>
            </w:tcBorders>
          </w:tcPr>
          <w:p w14:paraId="0983BF5E">
            <w:pPr>
              <w:widowControl/>
              <w:adjustRightInd w:val="0"/>
              <w:rPr>
                <w:rFonts w:ascii="Arial" w:hAnsi="Arial" w:cs="Arial"/>
                <w:kern w:val="0"/>
                <w:szCs w:val="21"/>
              </w:rPr>
            </w:pPr>
          </w:p>
        </w:tc>
        <w:tc>
          <w:tcPr>
            <w:tcW w:w="709" w:type="dxa"/>
            <w:tcBorders>
              <w:top w:val="single" w:color="000000" w:sz="4" w:space="0"/>
              <w:left w:val="nil"/>
              <w:bottom w:val="single" w:color="000000" w:sz="4" w:space="0"/>
              <w:right w:val="single" w:color="000000" w:sz="4" w:space="0"/>
            </w:tcBorders>
          </w:tcPr>
          <w:p w14:paraId="668B2A01">
            <w:pPr>
              <w:widowControl/>
              <w:adjustRightInd w:val="0"/>
              <w:rPr>
                <w:rFonts w:ascii="Arial" w:hAnsi="Arial" w:cs="Arial"/>
                <w:kern w:val="0"/>
                <w:szCs w:val="21"/>
              </w:rPr>
            </w:pPr>
          </w:p>
        </w:tc>
        <w:tc>
          <w:tcPr>
            <w:tcW w:w="1134" w:type="dxa"/>
            <w:tcBorders>
              <w:top w:val="single" w:color="000000" w:sz="4" w:space="0"/>
              <w:left w:val="nil"/>
              <w:bottom w:val="single" w:color="000000" w:sz="4" w:space="0"/>
              <w:right w:val="single" w:color="000000" w:sz="4" w:space="0"/>
            </w:tcBorders>
          </w:tcPr>
          <w:p w14:paraId="48505E29">
            <w:pPr>
              <w:widowControl/>
              <w:adjustRightInd w:val="0"/>
              <w:rPr>
                <w:rFonts w:ascii="Arial" w:hAnsi="Arial" w:cs="Arial"/>
                <w:kern w:val="0"/>
                <w:szCs w:val="21"/>
              </w:rPr>
            </w:pPr>
          </w:p>
        </w:tc>
        <w:tc>
          <w:tcPr>
            <w:tcW w:w="931" w:type="dxa"/>
            <w:tcBorders>
              <w:top w:val="single" w:color="000000" w:sz="4" w:space="0"/>
              <w:left w:val="nil"/>
              <w:bottom w:val="single" w:color="000000" w:sz="4" w:space="0"/>
              <w:right w:val="single" w:color="000000" w:sz="4" w:space="0"/>
            </w:tcBorders>
          </w:tcPr>
          <w:p w14:paraId="70EC8363">
            <w:pPr>
              <w:widowControl/>
              <w:adjustRightInd w:val="0"/>
              <w:rPr>
                <w:rFonts w:ascii="Arial" w:hAnsi="Arial" w:cs="Arial"/>
                <w:kern w:val="0"/>
                <w:szCs w:val="21"/>
              </w:rPr>
            </w:pPr>
          </w:p>
        </w:tc>
        <w:tc>
          <w:tcPr>
            <w:tcW w:w="1020" w:type="dxa"/>
            <w:tcBorders>
              <w:top w:val="single" w:color="000000" w:sz="4" w:space="0"/>
              <w:left w:val="nil"/>
              <w:bottom w:val="single" w:color="000000" w:sz="4" w:space="0"/>
              <w:right w:val="single" w:color="000000" w:sz="4" w:space="0"/>
            </w:tcBorders>
          </w:tcPr>
          <w:p w14:paraId="24206992">
            <w:pPr>
              <w:widowControl/>
              <w:adjustRightInd w:val="0"/>
              <w:rPr>
                <w:rFonts w:ascii="Arial" w:hAnsi="Arial" w:cs="Arial"/>
                <w:kern w:val="0"/>
                <w:szCs w:val="21"/>
              </w:rPr>
            </w:pPr>
          </w:p>
        </w:tc>
        <w:tc>
          <w:tcPr>
            <w:tcW w:w="994" w:type="dxa"/>
            <w:tcBorders>
              <w:top w:val="single" w:color="000000" w:sz="4" w:space="0"/>
              <w:left w:val="nil"/>
              <w:bottom w:val="single" w:color="000000" w:sz="4" w:space="0"/>
              <w:right w:val="single" w:color="000000" w:sz="4" w:space="0"/>
            </w:tcBorders>
          </w:tcPr>
          <w:p w14:paraId="52E14865">
            <w:pPr>
              <w:widowControl/>
              <w:adjustRightInd w:val="0"/>
              <w:rPr>
                <w:rFonts w:ascii="Arial" w:hAnsi="Arial" w:cs="Arial"/>
                <w:kern w:val="0"/>
                <w:szCs w:val="21"/>
              </w:rPr>
            </w:pPr>
          </w:p>
        </w:tc>
        <w:tc>
          <w:tcPr>
            <w:tcW w:w="882" w:type="dxa"/>
            <w:tcBorders>
              <w:top w:val="single" w:color="000000" w:sz="4" w:space="0"/>
              <w:left w:val="nil"/>
              <w:bottom w:val="single" w:color="000000" w:sz="4" w:space="0"/>
              <w:right w:val="single" w:color="000000" w:sz="4" w:space="0"/>
            </w:tcBorders>
          </w:tcPr>
          <w:p w14:paraId="6CC98B03">
            <w:pPr>
              <w:widowControl/>
              <w:adjustRightInd w:val="0"/>
              <w:rPr>
                <w:rFonts w:ascii="Arial" w:hAnsi="Arial" w:cs="Arial"/>
                <w:kern w:val="0"/>
                <w:szCs w:val="21"/>
              </w:rPr>
            </w:pPr>
          </w:p>
        </w:tc>
        <w:tc>
          <w:tcPr>
            <w:tcW w:w="850" w:type="dxa"/>
            <w:tcBorders>
              <w:top w:val="single" w:color="000000" w:sz="4" w:space="0"/>
              <w:left w:val="nil"/>
              <w:bottom w:val="single" w:color="000000" w:sz="4" w:space="0"/>
              <w:right w:val="single" w:color="000000" w:sz="4" w:space="0"/>
            </w:tcBorders>
          </w:tcPr>
          <w:p w14:paraId="74910F2E">
            <w:pPr>
              <w:widowControl/>
              <w:adjustRightInd w:val="0"/>
              <w:rPr>
                <w:rFonts w:ascii="Arial" w:hAnsi="Arial" w:cs="Arial"/>
                <w:kern w:val="0"/>
                <w:szCs w:val="21"/>
              </w:rPr>
            </w:pPr>
          </w:p>
        </w:tc>
        <w:tc>
          <w:tcPr>
            <w:tcW w:w="851" w:type="dxa"/>
            <w:tcBorders>
              <w:top w:val="single" w:color="000000" w:sz="4" w:space="0"/>
              <w:left w:val="nil"/>
              <w:bottom w:val="single" w:color="000000" w:sz="4" w:space="0"/>
              <w:right w:val="single" w:color="000000" w:sz="4" w:space="0"/>
            </w:tcBorders>
          </w:tcPr>
          <w:p w14:paraId="1FE36CC0">
            <w:pPr>
              <w:widowControl/>
              <w:adjustRightInd w:val="0"/>
              <w:rPr>
                <w:rFonts w:ascii="Arial" w:hAnsi="Arial" w:cs="Arial"/>
                <w:kern w:val="0"/>
                <w:szCs w:val="21"/>
              </w:rPr>
            </w:pPr>
          </w:p>
        </w:tc>
      </w:tr>
    </w:tbl>
    <w:p w14:paraId="5C64CDF0">
      <w:pPr>
        <w:widowControl/>
        <w:shd w:val="clear" w:color="auto" w:fill="FFFFFF"/>
        <w:spacing w:line="360" w:lineRule="auto"/>
        <w:jc w:val="left"/>
        <w:rPr>
          <w:rFonts w:ascii="Arial" w:hAnsi="Arial" w:cs="Arial"/>
          <w:kern w:val="0"/>
          <w:szCs w:val="21"/>
        </w:rPr>
      </w:pPr>
      <w:r>
        <w:rPr>
          <w:rFonts w:hint="eastAsia" w:ascii="Arial" w:hAnsi="Arial" w:cs="Arial"/>
          <w:kern w:val="0"/>
          <w:szCs w:val="21"/>
        </w:rPr>
        <w:t>供应商（盖章）：</w:t>
      </w:r>
      <w:r>
        <w:rPr>
          <w:rFonts w:ascii="Arial" w:hAnsi="Arial" w:cs="Arial"/>
          <w:kern w:val="0"/>
          <w:szCs w:val="21"/>
          <w:u w:val="single"/>
        </w:rPr>
        <w:t>                             </w:t>
      </w:r>
    </w:p>
    <w:p w14:paraId="308891E6">
      <w:pPr>
        <w:widowControl/>
        <w:shd w:val="clear" w:color="auto" w:fill="FFFFFF"/>
        <w:spacing w:line="360" w:lineRule="auto"/>
        <w:jc w:val="left"/>
        <w:rPr>
          <w:rFonts w:ascii="Arial" w:hAnsi="Arial" w:cs="Arial"/>
          <w:kern w:val="0"/>
          <w:szCs w:val="21"/>
          <w:u w:val="single"/>
        </w:rPr>
      </w:pPr>
      <w:r>
        <w:rPr>
          <w:rFonts w:hint="eastAsia" w:ascii="Arial" w:hAnsi="Arial" w:cs="Arial"/>
          <w:kern w:val="0"/>
          <w:szCs w:val="21"/>
        </w:rPr>
        <w:t>法定代表人或授权代表（签字）：</w:t>
      </w:r>
      <w:r>
        <w:rPr>
          <w:rFonts w:ascii="Arial" w:hAnsi="Arial" w:cs="Arial"/>
          <w:kern w:val="0"/>
          <w:szCs w:val="21"/>
          <w:u w:val="single"/>
        </w:rPr>
        <w:t>                              </w:t>
      </w:r>
    </w:p>
    <w:p w14:paraId="6E86E5DB">
      <w:pPr>
        <w:widowControl/>
        <w:adjustRightInd w:val="0"/>
        <w:rPr>
          <w:rFonts w:ascii="Arial" w:hAnsi="Arial" w:cs="Arial"/>
          <w:kern w:val="0"/>
          <w:szCs w:val="21"/>
        </w:rPr>
      </w:pPr>
    </w:p>
    <w:p w14:paraId="1448484C">
      <w:pPr>
        <w:widowControl/>
        <w:adjustRightInd w:val="0"/>
        <w:rPr>
          <w:rFonts w:ascii="Arial" w:hAnsi="Arial" w:cs="Arial"/>
          <w:b/>
          <w:bCs/>
          <w:kern w:val="0"/>
          <w:szCs w:val="21"/>
        </w:rPr>
      </w:pPr>
    </w:p>
    <w:p w14:paraId="1C79B377">
      <w:pPr>
        <w:widowControl/>
        <w:adjustRightInd w:val="0"/>
        <w:spacing w:line="360" w:lineRule="auto"/>
        <w:rPr>
          <w:rFonts w:ascii="Arial" w:hAnsi="Arial" w:cs="Arial"/>
          <w:b/>
          <w:bCs/>
          <w:kern w:val="0"/>
          <w:sz w:val="24"/>
        </w:rPr>
      </w:pPr>
      <w:r>
        <w:rPr>
          <w:rFonts w:ascii="Arial" w:hAnsi="Arial" w:cs="Arial"/>
          <w:b/>
          <w:bCs/>
          <w:kern w:val="0"/>
          <w:sz w:val="24"/>
        </w:rPr>
        <w:br w:type="page"/>
      </w:r>
      <w:r>
        <w:rPr>
          <w:rFonts w:hint="eastAsia" w:ascii="Arial" w:hAnsi="Arial" w:cs="Arial"/>
          <w:b/>
          <w:bCs/>
          <w:kern w:val="0"/>
          <w:sz w:val="24"/>
        </w:rPr>
        <w:t>附件七、供应商类似业绩情况表</w:t>
      </w:r>
    </w:p>
    <w:p w14:paraId="40104741">
      <w:pPr>
        <w:widowControl/>
        <w:adjustRightInd w:val="0"/>
        <w:spacing w:line="360" w:lineRule="auto"/>
        <w:jc w:val="center"/>
        <w:rPr>
          <w:rFonts w:ascii="Arial" w:hAnsi="Arial" w:cs="Arial"/>
          <w:b/>
          <w:bCs/>
          <w:kern w:val="0"/>
          <w:sz w:val="24"/>
        </w:rPr>
      </w:pPr>
    </w:p>
    <w:p w14:paraId="22FBD560">
      <w:pPr>
        <w:widowControl/>
        <w:adjustRightInd w:val="0"/>
        <w:spacing w:line="360" w:lineRule="auto"/>
        <w:jc w:val="center"/>
        <w:rPr>
          <w:rFonts w:ascii="Arial" w:hAnsi="Arial" w:cs="Arial"/>
          <w:b/>
          <w:bCs/>
          <w:kern w:val="0"/>
          <w:sz w:val="24"/>
        </w:rPr>
      </w:pPr>
      <w:r>
        <w:rPr>
          <w:rFonts w:hint="eastAsia" w:ascii="Arial" w:hAnsi="Arial" w:cs="Arial"/>
          <w:b/>
          <w:bCs/>
          <w:kern w:val="0"/>
          <w:sz w:val="24"/>
        </w:rPr>
        <w:t>供应商类似业绩情况表</w:t>
      </w:r>
    </w:p>
    <w:tbl>
      <w:tblPr>
        <w:tblStyle w:val="48"/>
        <w:tblW w:w="7440" w:type="dxa"/>
        <w:jc w:val="center"/>
        <w:tblLayout w:type="fixed"/>
        <w:tblCellMar>
          <w:top w:w="0" w:type="dxa"/>
          <w:left w:w="108" w:type="dxa"/>
          <w:bottom w:w="0" w:type="dxa"/>
          <w:right w:w="108" w:type="dxa"/>
        </w:tblCellMar>
      </w:tblPr>
      <w:tblGrid>
        <w:gridCol w:w="683"/>
        <w:gridCol w:w="1558"/>
        <w:gridCol w:w="1417"/>
        <w:gridCol w:w="1516"/>
        <w:gridCol w:w="1133"/>
        <w:gridCol w:w="1133"/>
      </w:tblGrid>
      <w:tr w14:paraId="6C5D4BF9">
        <w:tblPrEx>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000000" w:sz="4" w:space="0"/>
            </w:tcBorders>
          </w:tcPr>
          <w:p w14:paraId="42FE2A97">
            <w:pPr>
              <w:widowControl/>
              <w:spacing w:line="400" w:lineRule="atLeast"/>
              <w:jc w:val="center"/>
              <w:rPr>
                <w:rFonts w:ascii="Arial" w:hAnsi="Arial" w:cs="Arial"/>
                <w:kern w:val="0"/>
                <w:szCs w:val="21"/>
              </w:rPr>
            </w:pPr>
            <w:r>
              <w:rPr>
                <w:rFonts w:hint="eastAsia" w:ascii="Arial" w:hAnsi="Arial" w:cs="Arial"/>
                <w:kern w:val="0"/>
                <w:szCs w:val="21"/>
              </w:rPr>
              <w:t>序号</w:t>
            </w:r>
          </w:p>
        </w:tc>
        <w:tc>
          <w:tcPr>
            <w:tcW w:w="1558" w:type="dxa"/>
            <w:tcBorders>
              <w:top w:val="single" w:color="000000" w:sz="4" w:space="0"/>
              <w:left w:val="nil"/>
              <w:bottom w:val="single" w:color="000000" w:sz="4" w:space="0"/>
              <w:right w:val="single" w:color="000000" w:sz="4" w:space="0"/>
            </w:tcBorders>
            <w:vAlign w:val="center"/>
          </w:tcPr>
          <w:p w14:paraId="62030418">
            <w:pPr>
              <w:widowControl/>
              <w:spacing w:line="400" w:lineRule="atLeast"/>
              <w:jc w:val="center"/>
              <w:rPr>
                <w:rFonts w:ascii="Arial" w:hAnsi="Arial" w:cs="Arial"/>
                <w:kern w:val="0"/>
                <w:szCs w:val="21"/>
              </w:rPr>
            </w:pPr>
            <w:r>
              <w:rPr>
                <w:rFonts w:hint="eastAsia" w:ascii="Arial" w:hAnsi="Arial" w:cs="Arial"/>
                <w:kern w:val="0"/>
                <w:szCs w:val="21"/>
              </w:rPr>
              <w:t>项目名称</w:t>
            </w:r>
          </w:p>
        </w:tc>
        <w:tc>
          <w:tcPr>
            <w:tcW w:w="1417" w:type="dxa"/>
            <w:tcBorders>
              <w:top w:val="single" w:color="000000" w:sz="4" w:space="0"/>
              <w:left w:val="nil"/>
              <w:bottom w:val="single" w:color="000000" w:sz="4" w:space="0"/>
              <w:right w:val="single" w:color="000000" w:sz="4" w:space="0"/>
            </w:tcBorders>
            <w:vAlign w:val="center"/>
          </w:tcPr>
          <w:p w14:paraId="3D5387E7">
            <w:pPr>
              <w:widowControl/>
              <w:spacing w:line="400" w:lineRule="atLeast"/>
              <w:jc w:val="center"/>
              <w:rPr>
                <w:rFonts w:ascii="Arial" w:hAnsi="Arial" w:cs="Arial"/>
                <w:kern w:val="0"/>
                <w:szCs w:val="21"/>
              </w:rPr>
            </w:pPr>
            <w:r>
              <w:rPr>
                <w:rFonts w:hint="eastAsia" w:ascii="Arial" w:hAnsi="Arial" w:cs="Arial"/>
                <w:kern w:val="0"/>
                <w:szCs w:val="21"/>
              </w:rPr>
              <w:t>业主单位</w:t>
            </w:r>
          </w:p>
        </w:tc>
        <w:tc>
          <w:tcPr>
            <w:tcW w:w="1516" w:type="dxa"/>
            <w:tcBorders>
              <w:top w:val="single" w:color="000000" w:sz="4" w:space="0"/>
              <w:left w:val="nil"/>
              <w:bottom w:val="single" w:color="000000" w:sz="4" w:space="0"/>
              <w:right w:val="single" w:color="000000" w:sz="4" w:space="0"/>
            </w:tcBorders>
          </w:tcPr>
          <w:p w14:paraId="3D1BDD8D">
            <w:pPr>
              <w:widowControl/>
              <w:spacing w:line="400" w:lineRule="atLeast"/>
              <w:jc w:val="center"/>
              <w:rPr>
                <w:rFonts w:ascii="Arial" w:hAnsi="Arial" w:cs="Arial"/>
                <w:kern w:val="0"/>
                <w:szCs w:val="21"/>
              </w:rPr>
            </w:pPr>
            <w:r>
              <w:rPr>
                <w:rFonts w:hint="eastAsia" w:ascii="Arial" w:hAnsi="Arial" w:cs="Arial"/>
                <w:kern w:val="0"/>
                <w:szCs w:val="21"/>
              </w:rPr>
              <w:t>签约</w:t>
            </w:r>
          </w:p>
          <w:p w14:paraId="32824916">
            <w:pPr>
              <w:widowControl/>
              <w:spacing w:line="400" w:lineRule="atLeast"/>
              <w:jc w:val="center"/>
              <w:rPr>
                <w:rFonts w:ascii="Arial" w:hAnsi="Arial" w:cs="Arial"/>
                <w:kern w:val="0"/>
                <w:szCs w:val="21"/>
              </w:rPr>
            </w:pPr>
            <w:r>
              <w:rPr>
                <w:rFonts w:hint="eastAsia" w:ascii="Arial" w:hAnsi="Arial" w:cs="Arial"/>
                <w:kern w:val="0"/>
                <w:szCs w:val="21"/>
              </w:rPr>
              <w:t>时间</w:t>
            </w:r>
          </w:p>
        </w:tc>
        <w:tc>
          <w:tcPr>
            <w:tcW w:w="1133" w:type="dxa"/>
            <w:tcBorders>
              <w:top w:val="single" w:color="000000" w:sz="4" w:space="0"/>
              <w:left w:val="nil"/>
              <w:bottom w:val="single" w:color="000000" w:sz="4" w:space="0"/>
              <w:right w:val="single" w:color="000000" w:sz="4" w:space="0"/>
            </w:tcBorders>
          </w:tcPr>
          <w:p w14:paraId="2B4D82FD">
            <w:pPr>
              <w:widowControl/>
              <w:spacing w:line="400" w:lineRule="atLeast"/>
              <w:jc w:val="center"/>
              <w:rPr>
                <w:rFonts w:ascii="Arial" w:hAnsi="Arial" w:cs="Arial"/>
                <w:kern w:val="0"/>
                <w:szCs w:val="21"/>
              </w:rPr>
            </w:pPr>
            <w:r>
              <w:rPr>
                <w:rFonts w:hint="eastAsia" w:ascii="Arial" w:hAnsi="Arial" w:cs="Arial"/>
                <w:kern w:val="0"/>
                <w:szCs w:val="21"/>
              </w:rPr>
              <w:t>联系人及电话</w:t>
            </w:r>
          </w:p>
        </w:tc>
        <w:tc>
          <w:tcPr>
            <w:tcW w:w="1133" w:type="dxa"/>
            <w:tcBorders>
              <w:top w:val="single" w:color="000000" w:sz="4" w:space="0"/>
              <w:left w:val="nil"/>
              <w:bottom w:val="single" w:color="000000" w:sz="4" w:space="0"/>
              <w:right w:val="single" w:color="000000" w:sz="4" w:space="0"/>
            </w:tcBorders>
          </w:tcPr>
          <w:p w14:paraId="0428DA60">
            <w:pPr>
              <w:widowControl/>
              <w:spacing w:line="400" w:lineRule="atLeast"/>
              <w:jc w:val="center"/>
              <w:rPr>
                <w:rFonts w:ascii="Arial" w:hAnsi="Arial" w:cs="Arial"/>
                <w:kern w:val="0"/>
                <w:szCs w:val="21"/>
              </w:rPr>
            </w:pPr>
            <w:r>
              <w:rPr>
                <w:rFonts w:hint="eastAsia" w:ascii="Arial" w:hAnsi="Arial" w:cs="Arial"/>
                <w:kern w:val="0"/>
                <w:szCs w:val="21"/>
              </w:rPr>
              <w:t>备注</w:t>
            </w:r>
          </w:p>
        </w:tc>
      </w:tr>
      <w:tr w14:paraId="14E08E40">
        <w:tblPrEx>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000000" w:sz="4" w:space="0"/>
            </w:tcBorders>
          </w:tcPr>
          <w:p w14:paraId="0F61AAAB">
            <w:pPr>
              <w:widowControl/>
              <w:spacing w:line="400" w:lineRule="atLeast"/>
              <w:jc w:val="center"/>
              <w:rPr>
                <w:rFonts w:ascii="Arial" w:hAnsi="Arial" w:cs="Arial"/>
                <w:kern w:val="0"/>
                <w:szCs w:val="21"/>
              </w:rPr>
            </w:pPr>
          </w:p>
        </w:tc>
        <w:tc>
          <w:tcPr>
            <w:tcW w:w="1558" w:type="dxa"/>
            <w:tcBorders>
              <w:top w:val="single" w:color="000000" w:sz="4" w:space="0"/>
              <w:left w:val="nil"/>
              <w:bottom w:val="single" w:color="000000" w:sz="4" w:space="0"/>
              <w:right w:val="single" w:color="000000" w:sz="4" w:space="0"/>
            </w:tcBorders>
          </w:tcPr>
          <w:p w14:paraId="3D472D1C">
            <w:pPr>
              <w:widowControl/>
              <w:spacing w:line="400" w:lineRule="atLeast"/>
              <w:jc w:val="center"/>
              <w:rPr>
                <w:rFonts w:ascii="Arial" w:hAnsi="Arial" w:cs="Arial"/>
                <w:kern w:val="0"/>
                <w:szCs w:val="21"/>
              </w:rPr>
            </w:pPr>
          </w:p>
        </w:tc>
        <w:tc>
          <w:tcPr>
            <w:tcW w:w="1417" w:type="dxa"/>
            <w:tcBorders>
              <w:top w:val="single" w:color="000000" w:sz="4" w:space="0"/>
              <w:left w:val="nil"/>
              <w:bottom w:val="single" w:color="000000" w:sz="4" w:space="0"/>
              <w:right w:val="single" w:color="000000" w:sz="4" w:space="0"/>
            </w:tcBorders>
          </w:tcPr>
          <w:p w14:paraId="25152AC5">
            <w:pPr>
              <w:widowControl/>
              <w:spacing w:line="400" w:lineRule="atLeast"/>
              <w:ind w:firstLine="120"/>
              <w:rPr>
                <w:rFonts w:ascii="Arial" w:hAnsi="Arial" w:cs="Arial"/>
                <w:kern w:val="0"/>
                <w:szCs w:val="21"/>
              </w:rPr>
            </w:pPr>
          </w:p>
        </w:tc>
        <w:tc>
          <w:tcPr>
            <w:tcW w:w="1516" w:type="dxa"/>
            <w:tcBorders>
              <w:top w:val="single" w:color="000000" w:sz="4" w:space="0"/>
              <w:left w:val="nil"/>
              <w:bottom w:val="single" w:color="000000" w:sz="4" w:space="0"/>
              <w:right w:val="single" w:color="000000" w:sz="4" w:space="0"/>
            </w:tcBorders>
          </w:tcPr>
          <w:p w14:paraId="6FB3A8F1">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1487899A">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1ADFD603">
            <w:pPr>
              <w:widowControl/>
              <w:spacing w:line="400" w:lineRule="atLeast"/>
              <w:jc w:val="center"/>
              <w:rPr>
                <w:rFonts w:ascii="Arial" w:hAnsi="Arial" w:cs="Arial"/>
                <w:kern w:val="0"/>
                <w:szCs w:val="21"/>
              </w:rPr>
            </w:pPr>
          </w:p>
        </w:tc>
      </w:tr>
      <w:tr w14:paraId="069FC7B4">
        <w:tblPrEx>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000000" w:sz="4" w:space="0"/>
            </w:tcBorders>
          </w:tcPr>
          <w:p w14:paraId="055FC058">
            <w:pPr>
              <w:widowControl/>
              <w:spacing w:line="400" w:lineRule="atLeast"/>
              <w:jc w:val="center"/>
              <w:rPr>
                <w:rFonts w:ascii="Arial" w:hAnsi="Arial" w:cs="Arial"/>
                <w:kern w:val="0"/>
                <w:szCs w:val="21"/>
              </w:rPr>
            </w:pPr>
          </w:p>
        </w:tc>
        <w:tc>
          <w:tcPr>
            <w:tcW w:w="1558" w:type="dxa"/>
            <w:tcBorders>
              <w:top w:val="single" w:color="000000" w:sz="4" w:space="0"/>
              <w:left w:val="nil"/>
              <w:bottom w:val="single" w:color="000000" w:sz="4" w:space="0"/>
              <w:right w:val="single" w:color="000000" w:sz="4" w:space="0"/>
            </w:tcBorders>
          </w:tcPr>
          <w:p w14:paraId="45869B51">
            <w:pPr>
              <w:widowControl/>
              <w:spacing w:line="400" w:lineRule="atLeast"/>
              <w:jc w:val="center"/>
              <w:rPr>
                <w:rFonts w:ascii="Arial" w:hAnsi="Arial" w:cs="Arial"/>
                <w:kern w:val="0"/>
                <w:szCs w:val="21"/>
              </w:rPr>
            </w:pPr>
          </w:p>
        </w:tc>
        <w:tc>
          <w:tcPr>
            <w:tcW w:w="1417" w:type="dxa"/>
            <w:tcBorders>
              <w:top w:val="single" w:color="000000" w:sz="4" w:space="0"/>
              <w:left w:val="nil"/>
              <w:bottom w:val="single" w:color="000000" w:sz="4" w:space="0"/>
              <w:right w:val="single" w:color="000000" w:sz="4" w:space="0"/>
            </w:tcBorders>
          </w:tcPr>
          <w:p w14:paraId="782FDF5E">
            <w:pPr>
              <w:widowControl/>
              <w:spacing w:line="400" w:lineRule="atLeast"/>
              <w:jc w:val="center"/>
              <w:rPr>
                <w:rFonts w:ascii="Arial" w:hAnsi="Arial" w:cs="Arial"/>
                <w:kern w:val="0"/>
                <w:szCs w:val="21"/>
              </w:rPr>
            </w:pPr>
          </w:p>
        </w:tc>
        <w:tc>
          <w:tcPr>
            <w:tcW w:w="1516" w:type="dxa"/>
            <w:tcBorders>
              <w:top w:val="single" w:color="000000" w:sz="4" w:space="0"/>
              <w:left w:val="nil"/>
              <w:bottom w:val="single" w:color="000000" w:sz="4" w:space="0"/>
              <w:right w:val="single" w:color="000000" w:sz="4" w:space="0"/>
            </w:tcBorders>
          </w:tcPr>
          <w:p w14:paraId="364B5179">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6F93EB85">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74DD1B61">
            <w:pPr>
              <w:widowControl/>
              <w:spacing w:line="400" w:lineRule="atLeast"/>
              <w:jc w:val="center"/>
              <w:rPr>
                <w:rFonts w:ascii="Arial" w:hAnsi="Arial" w:cs="Arial"/>
                <w:kern w:val="0"/>
                <w:szCs w:val="21"/>
              </w:rPr>
            </w:pPr>
          </w:p>
        </w:tc>
      </w:tr>
      <w:tr w14:paraId="7F161D7E">
        <w:tblPrEx>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000000" w:sz="4" w:space="0"/>
            </w:tcBorders>
          </w:tcPr>
          <w:p w14:paraId="0D2612DB">
            <w:pPr>
              <w:widowControl/>
              <w:spacing w:line="400" w:lineRule="atLeast"/>
              <w:jc w:val="center"/>
              <w:rPr>
                <w:rFonts w:ascii="Arial" w:hAnsi="Arial" w:cs="Arial"/>
                <w:kern w:val="0"/>
                <w:szCs w:val="21"/>
              </w:rPr>
            </w:pPr>
          </w:p>
        </w:tc>
        <w:tc>
          <w:tcPr>
            <w:tcW w:w="1558" w:type="dxa"/>
            <w:tcBorders>
              <w:top w:val="single" w:color="000000" w:sz="4" w:space="0"/>
              <w:left w:val="nil"/>
              <w:bottom w:val="single" w:color="000000" w:sz="4" w:space="0"/>
              <w:right w:val="single" w:color="000000" w:sz="4" w:space="0"/>
            </w:tcBorders>
          </w:tcPr>
          <w:p w14:paraId="4625EC44">
            <w:pPr>
              <w:widowControl/>
              <w:spacing w:line="400" w:lineRule="atLeast"/>
              <w:jc w:val="center"/>
              <w:rPr>
                <w:rFonts w:ascii="Arial" w:hAnsi="Arial" w:cs="Arial"/>
                <w:kern w:val="0"/>
                <w:szCs w:val="21"/>
              </w:rPr>
            </w:pPr>
          </w:p>
        </w:tc>
        <w:tc>
          <w:tcPr>
            <w:tcW w:w="1417" w:type="dxa"/>
            <w:tcBorders>
              <w:top w:val="single" w:color="000000" w:sz="4" w:space="0"/>
              <w:left w:val="nil"/>
              <w:bottom w:val="single" w:color="000000" w:sz="4" w:space="0"/>
              <w:right w:val="single" w:color="000000" w:sz="4" w:space="0"/>
            </w:tcBorders>
          </w:tcPr>
          <w:p w14:paraId="34336287">
            <w:pPr>
              <w:widowControl/>
              <w:spacing w:line="400" w:lineRule="atLeast"/>
              <w:jc w:val="center"/>
              <w:rPr>
                <w:rFonts w:ascii="Arial" w:hAnsi="Arial" w:cs="Arial"/>
                <w:kern w:val="0"/>
                <w:szCs w:val="21"/>
              </w:rPr>
            </w:pPr>
          </w:p>
        </w:tc>
        <w:tc>
          <w:tcPr>
            <w:tcW w:w="1516" w:type="dxa"/>
            <w:tcBorders>
              <w:top w:val="single" w:color="000000" w:sz="4" w:space="0"/>
              <w:left w:val="nil"/>
              <w:bottom w:val="single" w:color="000000" w:sz="4" w:space="0"/>
              <w:right w:val="single" w:color="000000" w:sz="4" w:space="0"/>
            </w:tcBorders>
          </w:tcPr>
          <w:p w14:paraId="6CB1B5CD">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330D5974">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6C89FBD8">
            <w:pPr>
              <w:widowControl/>
              <w:spacing w:line="400" w:lineRule="atLeast"/>
              <w:jc w:val="center"/>
              <w:rPr>
                <w:rFonts w:ascii="Arial" w:hAnsi="Arial" w:cs="Arial"/>
                <w:kern w:val="0"/>
                <w:szCs w:val="21"/>
              </w:rPr>
            </w:pPr>
          </w:p>
        </w:tc>
      </w:tr>
      <w:tr w14:paraId="174E1CA4">
        <w:tblPrEx>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000000" w:sz="4" w:space="0"/>
            </w:tcBorders>
          </w:tcPr>
          <w:p w14:paraId="6310426C">
            <w:pPr>
              <w:widowControl/>
              <w:spacing w:line="400" w:lineRule="atLeast"/>
              <w:jc w:val="center"/>
              <w:rPr>
                <w:rFonts w:ascii="Arial" w:hAnsi="Arial" w:cs="Arial"/>
                <w:kern w:val="0"/>
                <w:szCs w:val="21"/>
              </w:rPr>
            </w:pPr>
          </w:p>
        </w:tc>
        <w:tc>
          <w:tcPr>
            <w:tcW w:w="1558" w:type="dxa"/>
            <w:tcBorders>
              <w:top w:val="single" w:color="000000" w:sz="4" w:space="0"/>
              <w:left w:val="nil"/>
              <w:bottom w:val="single" w:color="000000" w:sz="4" w:space="0"/>
              <w:right w:val="single" w:color="000000" w:sz="4" w:space="0"/>
            </w:tcBorders>
          </w:tcPr>
          <w:p w14:paraId="1D2E0AAA">
            <w:pPr>
              <w:widowControl/>
              <w:spacing w:line="400" w:lineRule="atLeast"/>
              <w:jc w:val="center"/>
              <w:rPr>
                <w:rFonts w:ascii="Arial" w:hAnsi="Arial" w:cs="Arial"/>
                <w:kern w:val="0"/>
                <w:szCs w:val="21"/>
              </w:rPr>
            </w:pPr>
          </w:p>
        </w:tc>
        <w:tc>
          <w:tcPr>
            <w:tcW w:w="1417" w:type="dxa"/>
            <w:tcBorders>
              <w:top w:val="single" w:color="000000" w:sz="4" w:space="0"/>
              <w:left w:val="nil"/>
              <w:bottom w:val="single" w:color="000000" w:sz="4" w:space="0"/>
              <w:right w:val="single" w:color="000000" w:sz="4" w:space="0"/>
            </w:tcBorders>
          </w:tcPr>
          <w:p w14:paraId="18A838BF">
            <w:pPr>
              <w:widowControl/>
              <w:spacing w:line="400" w:lineRule="atLeast"/>
              <w:jc w:val="center"/>
              <w:rPr>
                <w:rFonts w:ascii="Arial" w:hAnsi="Arial" w:cs="Arial"/>
                <w:kern w:val="0"/>
                <w:szCs w:val="21"/>
              </w:rPr>
            </w:pPr>
          </w:p>
        </w:tc>
        <w:tc>
          <w:tcPr>
            <w:tcW w:w="1516" w:type="dxa"/>
            <w:tcBorders>
              <w:top w:val="single" w:color="000000" w:sz="4" w:space="0"/>
              <w:left w:val="nil"/>
              <w:bottom w:val="single" w:color="000000" w:sz="4" w:space="0"/>
              <w:right w:val="single" w:color="000000" w:sz="4" w:space="0"/>
            </w:tcBorders>
          </w:tcPr>
          <w:p w14:paraId="2CE5D71E">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3AF9AE88">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7F0B65BF">
            <w:pPr>
              <w:widowControl/>
              <w:spacing w:line="400" w:lineRule="atLeast"/>
              <w:jc w:val="center"/>
              <w:rPr>
                <w:rFonts w:ascii="Arial" w:hAnsi="Arial" w:cs="Arial"/>
                <w:kern w:val="0"/>
                <w:szCs w:val="21"/>
              </w:rPr>
            </w:pPr>
          </w:p>
        </w:tc>
      </w:tr>
      <w:tr w14:paraId="0EC7B15C">
        <w:tblPrEx>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000000" w:sz="4" w:space="0"/>
            </w:tcBorders>
          </w:tcPr>
          <w:p w14:paraId="69BA54AF">
            <w:pPr>
              <w:widowControl/>
              <w:spacing w:line="400" w:lineRule="atLeast"/>
              <w:jc w:val="center"/>
              <w:rPr>
                <w:rFonts w:ascii="Arial" w:hAnsi="Arial" w:cs="Arial"/>
                <w:kern w:val="0"/>
                <w:szCs w:val="21"/>
              </w:rPr>
            </w:pPr>
          </w:p>
        </w:tc>
        <w:tc>
          <w:tcPr>
            <w:tcW w:w="1558" w:type="dxa"/>
            <w:tcBorders>
              <w:top w:val="single" w:color="000000" w:sz="4" w:space="0"/>
              <w:left w:val="nil"/>
              <w:bottom w:val="single" w:color="000000" w:sz="4" w:space="0"/>
              <w:right w:val="single" w:color="000000" w:sz="4" w:space="0"/>
            </w:tcBorders>
          </w:tcPr>
          <w:p w14:paraId="6886291A">
            <w:pPr>
              <w:widowControl/>
              <w:spacing w:line="400" w:lineRule="atLeast"/>
              <w:jc w:val="center"/>
              <w:rPr>
                <w:rFonts w:ascii="Arial" w:hAnsi="Arial" w:cs="Arial"/>
                <w:kern w:val="0"/>
                <w:szCs w:val="21"/>
              </w:rPr>
            </w:pPr>
          </w:p>
        </w:tc>
        <w:tc>
          <w:tcPr>
            <w:tcW w:w="1417" w:type="dxa"/>
            <w:tcBorders>
              <w:top w:val="single" w:color="000000" w:sz="4" w:space="0"/>
              <w:left w:val="nil"/>
              <w:bottom w:val="single" w:color="000000" w:sz="4" w:space="0"/>
              <w:right w:val="single" w:color="000000" w:sz="4" w:space="0"/>
            </w:tcBorders>
          </w:tcPr>
          <w:p w14:paraId="4BB3A2DD">
            <w:pPr>
              <w:widowControl/>
              <w:spacing w:line="400" w:lineRule="atLeast"/>
              <w:jc w:val="center"/>
              <w:rPr>
                <w:rFonts w:ascii="Arial" w:hAnsi="Arial" w:cs="Arial"/>
                <w:kern w:val="0"/>
                <w:szCs w:val="21"/>
              </w:rPr>
            </w:pPr>
          </w:p>
        </w:tc>
        <w:tc>
          <w:tcPr>
            <w:tcW w:w="1516" w:type="dxa"/>
            <w:tcBorders>
              <w:top w:val="single" w:color="000000" w:sz="4" w:space="0"/>
              <w:left w:val="nil"/>
              <w:bottom w:val="single" w:color="000000" w:sz="4" w:space="0"/>
              <w:right w:val="single" w:color="000000" w:sz="4" w:space="0"/>
            </w:tcBorders>
          </w:tcPr>
          <w:p w14:paraId="02E86444">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70087982">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6E7788D7">
            <w:pPr>
              <w:widowControl/>
              <w:spacing w:line="400" w:lineRule="atLeast"/>
              <w:jc w:val="center"/>
              <w:rPr>
                <w:rFonts w:ascii="Arial" w:hAnsi="Arial" w:cs="Arial"/>
                <w:kern w:val="0"/>
                <w:szCs w:val="21"/>
              </w:rPr>
            </w:pPr>
          </w:p>
        </w:tc>
      </w:tr>
      <w:tr w14:paraId="091FD71F">
        <w:tblPrEx>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000000" w:sz="4" w:space="0"/>
            </w:tcBorders>
          </w:tcPr>
          <w:p w14:paraId="1C623AA9">
            <w:pPr>
              <w:widowControl/>
              <w:spacing w:line="400" w:lineRule="atLeast"/>
              <w:jc w:val="center"/>
              <w:rPr>
                <w:rFonts w:ascii="Arial" w:hAnsi="Arial" w:cs="Arial"/>
                <w:kern w:val="0"/>
                <w:szCs w:val="21"/>
              </w:rPr>
            </w:pPr>
          </w:p>
        </w:tc>
        <w:tc>
          <w:tcPr>
            <w:tcW w:w="1558" w:type="dxa"/>
            <w:tcBorders>
              <w:top w:val="single" w:color="000000" w:sz="4" w:space="0"/>
              <w:left w:val="nil"/>
              <w:bottom w:val="single" w:color="000000" w:sz="4" w:space="0"/>
              <w:right w:val="single" w:color="000000" w:sz="4" w:space="0"/>
            </w:tcBorders>
          </w:tcPr>
          <w:p w14:paraId="6DE08DD5">
            <w:pPr>
              <w:widowControl/>
              <w:spacing w:line="400" w:lineRule="atLeast"/>
              <w:jc w:val="center"/>
              <w:rPr>
                <w:rFonts w:ascii="Arial" w:hAnsi="Arial" w:cs="Arial"/>
                <w:kern w:val="0"/>
                <w:szCs w:val="21"/>
              </w:rPr>
            </w:pPr>
          </w:p>
        </w:tc>
        <w:tc>
          <w:tcPr>
            <w:tcW w:w="1417" w:type="dxa"/>
            <w:tcBorders>
              <w:top w:val="single" w:color="000000" w:sz="4" w:space="0"/>
              <w:left w:val="nil"/>
              <w:bottom w:val="single" w:color="000000" w:sz="4" w:space="0"/>
              <w:right w:val="single" w:color="000000" w:sz="4" w:space="0"/>
            </w:tcBorders>
          </w:tcPr>
          <w:p w14:paraId="1CBD12C8">
            <w:pPr>
              <w:widowControl/>
              <w:spacing w:line="400" w:lineRule="atLeast"/>
              <w:jc w:val="center"/>
              <w:rPr>
                <w:rFonts w:ascii="Arial" w:hAnsi="Arial" w:cs="Arial"/>
                <w:kern w:val="0"/>
                <w:szCs w:val="21"/>
              </w:rPr>
            </w:pPr>
          </w:p>
        </w:tc>
        <w:tc>
          <w:tcPr>
            <w:tcW w:w="1516" w:type="dxa"/>
            <w:tcBorders>
              <w:top w:val="single" w:color="000000" w:sz="4" w:space="0"/>
              <w:left w:val="nil"/>
              <w:bottom w:val="single" w:color="000000" w:sz="4" w:space="0"/>
              <w:right w:val="single" w:color="000000" w:sz="4" w:space="0"/>
            </w:tcBorders>
          </w:tcPr>
          <w:p w14:paraId="18A1DDE4">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26948C9C">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5F0D95D5">
            <w:pPr>
              <w:widowControl/>
              <w:spacing w:line="400" w:lineRule="atLeast"/>
              <w:jc w:val="center"/>
              <w:rPr>
                <w:rFonts w:ascii="Arial" w:hAnsi="Arial" w:cs="Arial"/>
                <w:kern w:val="0"/>
                <w:szCs w:val="21"/>
              </w:rPr>
            </w:pPr>
          </w:p>
        </w:tc>
      </w:tr>
      <w:tr w14:paraId="2E9157EE">
        <w:tblPrEx>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000000" w:sz="4" w:space="0"/>
            </w:tcBorders>
          </w:tcPr>
          <w:p w14:paraId="40B0DDD4">
            <w:pPr>
              <w:widowControl/>
              <w:spacing w:line="400" w:lineRule="atLeast"/>
              <w:jc w:val="center"/>
              <w:rPr>
                <w:rFonts w:ascii="Arial" w:hAnsi="Arial" w:cs="Arial"/>
                <w:kern w:val="0"/>
                <w:szCs w:val="21"/>
              </w:rPr>
            </w:pPr>
          </w:p>
        </w:tc>
        <w:tc>
          <w:tcPr>
            <w:tcW w:w="1558" w:type="dxa"/>
            <w:tcBorders>
              <w:top w:val="single" w:color="000000" w:sz="4" w:space="0"/>
              <w:left w:val="nil"/>
              <w:bottom w:val="single" w:color="000000" w:sz="4" w:space="0"/>
              <w:right w:val="single" w:color="000000" w:sz="4" w:space="0"/>
            </w:tcBorders>
          </w:tcPr>
          <w:p w14:paraId="3B653C2F">
            <w:pPr>
              <w:widowControl/>
              <w:spacing w:line="400" w:lineRule="atLeast"/>
              <w:jc w:val="center"/>
              <w:rPr>
                <w:rFonts w:ascii="Arial" w:hAnsi="Arial" w:cs="Arial"/>
                <w:kern w:val="0"/>
                <w:szCs w:val="21"/>
              </w:rPr>
            </w:pPr>
          </w:p>
        </w:tc>
        <w:tc>
          <w:tcPr>
            <w:tcW w:w="1417" w:type="dxa"/>
            <w:tcBorders>
              <w:top w:val="single" w:color="000000" w:sz="4" w:space="0"/>
              <w:left w:val="nil"/>
              <w:bottom w:val="single" w:color="000000" w:sz="4" w:space="0"/>
              <w:right w:val="single" w:color="000000" w:sz="4" w:space="0"/>
            </w:tcBorders>
          </w:tcPr>
          <w:p w14:paraId="61242EB7">
            <w:pPr>
              <w:widowControl/>
              <w:spacing w:line="400" w:lineRule="atLeast"/>
              <w:jc w:val="center"/>
              <w:rPr>
                <w:rFonts w:ascii="Arial" w:hAnsi="Arial" w:cs="Arial"/>
                <w:kern w:val="0"/>
                <w:szCs w:val="21"/>
              </w:rPr>
            </w:pPr>
          </w:p>
        </w:tc>
        <w:tc>
          <w:tcPr>
            <w:tcW w:w="1516" w:type="dxa"/>
            <w:tcBorders>
              <w:top w:val="single" w:color="000000" w:sz="4" w:space="0"/>
              <w:left w:val="nil"/>
              <w:bottom w:val="single" w:color="000000" w:sz="4" w:space="0"/>
              <w:right w:val="single" w:color="000000" w:sz="4" w:space="0"/>
            </w:tcBorders>
          </w:tcPr>
          <w:p w14:paraId="3FD029B1">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38B51CC7">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192EE99B">
            <w:pPr>
              <w:widowControl/>
              <w:spacing w:line="400" w:lineRule="atLeast"/>
              <w:jc w:val="center"/>
              <w:rPr>
                <w:rFonts w:ascii="Arial" w:hAnsi="Arial" w:cs="Arial"/>
                <w:kern w:val="0"/>
                <w:szCs w:val="21"/>
              </w:rPr>
            </w:pPr>
          </w:p>
        </w:tc>
      </w:tr>
      <w:tr w14:paraId="1B7CB51C">
        <w:tblPrEx>
          <w:tblCellMar>
            <w:top w:w="0" w:type="dxa"/>
            <w:left w:w="108" w:type="dxa"/>
            <w:bottom w:w="0" w:type="dxa"/>
            <w:right w:w="108" w:type="dxa"/>
          </w:tblCellMar>
        </w:tblPrEx>
        <w:trPr>
          <w:jc w:val="center"/>
        </w:trPr>
        <w:tc>
          <w:tcPr>
            <w:tcW w:w="683" w:type="dxa"/>
            <w:tcBorders>
              <w:top w:val="single" w:color="000000" w:sz="4" w:space="0"/>
              <w:left w:val="single" w:color="000000" w:sz="4" w:space="0"/>
              <w:bottom w:val="single" w:color="000000" w:sz="4" w:space="0"/>
              <w:right w:val="single" w:color="000000" w:sz="4" w:space="0"/>
            </w:tcBorders>
          </w:tcPr>
          <w:p w14:paraId="62F16B67">
            <w:pPr>
              <w:widowControl/>
              <w:spacing w:line="400" w:lineRule="atLeast"/>
              <w:jc w:val="center"/>
              <w:rPr>
                <w:rFonts w:ascii="Arial" w:hAnsi="Arial" w:cs="Arial"/>
                <w:kern w:val="0"/>
                <w:szCs w:val="21"/>
              </w:rPr>
            </w:pPr>
          </w:p>
        </w:tc>
        <w:tc>
          <w:tcPr>
            <w:tcW w:w="1558" w:type="dxa"/>
            <w:tcBorders>
              <w:top w:val="single" w:color="000000" w:sz="4" w:space="0"/>
              <w:left w:val="nil"/>
              <w:bottom w:val="single" w:color="000000" w:sz="4" w:space="0"/>
              <w:right w:val="single" w:color="000000" w:sz="4" w:space="0"/>
            </w:tcBorders>
          </w:tcPr>
          <w:p w14:paraId="2B140F3C">
            <w:pPr>
              <w:widowControl/>
              <w:spacing w:line="400" w:lineRule="atLeast"/>
              <w:jc w:val="center"/>
              <w:rPr>
                <w:rFonts w:ascii="Arial" w:hAnsi="Arial" w:cs="Arial"/>
                <w:kern w:val="0"/>
                <w:szCs w:val="21"/>
              </w:rPr>
            </w:pPr>
          </w:p>
        </w:tc>
        <w:tc>
          <w:tcPr>
            <w:tcW w:w="1417" w:type="dxa"/>
            <w:tcBorders>
              <w:top w:val="single" w:color="000000" w:sz="4" w:space="0"/>
              <w:left w:val="nil"/>
              <w:bottom w:val="single" w:color="000000" w:sz="4" w:space="0"/>
              <w:right w:val="single" w:color="000000" w:sz="4" w:space="0"/>
            </w:tcBorders>
          </w:tcPr>
          <w:p w14:paraId="265152FC">
            <w:pPr>
              <w:widowControl/>
              <w:spacing w:line="400" w:lineRule="atLeast"/>
              <w:jc w:val="center"/>
              <w:rPr>
                <w:rFonts w:ascii="Arial" w:hAnsi="Arial" w:cs="Arial"/>
                <w:kern w:val="0"/>
                <w:szCs w:val="21"/>
              </w:rPr>
            </w:pPr>
          </w:p>
        </w:tc>
        <w:tc>
          <w:tcPr>
            <w:tcW w:w="1516" w:type="dxa"/>
            <w:tcBorders>
              <w:top w:val="single" w:color="000000" w:sz="4" w:space="0"/>
              <w:left w:val="nil"/>
              <w:bottom w:val="single" w:color="000000" w:sz="4" w:space="0"/>
              <w:right w:val="single" w:color="000000" w:sz="4" w:space="0"/>
            </w:tcBorders>
          </w:tcPr>
          <w:p w14:paraId="38810A31">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6C16BFB9">
            <w:pPr>
              <w:widowControl/>
              <w:spacing w:line="400" w:lineRule="atLeast"/>
              <w:jc w:val="center"/>
              <w:rPr>
                <w:rFonts w:ascii="Arial" w:hAnsi="Arial" w:cs="Arial"/>
                <w:kern w:val="0"/>
                <w:szCs w:val="21"/>
              </w:rPr>
            </w:pPr>
          </w:p>
        </w:tc>
        <w:tc>
          <w:tcPr>
            <w:tcW w:w="1133" w:type="dxa"/>
            <w:tcBorders>
              <w:top w:val="single" w:color="000000" w:sz="4" w:space="0"/>
              <w:left w:val="nil"/>
              <w:bottom w:val="single" w:color="000000" w:sz="4" w:space="0"/>
              <w:right w:val="single" w:color="000000" w:sz="4" w:space="0"/>
            </w:tcBorders>
          </w:tcPr>
          <w:p w14:paraId="3A52AA63">
            <w:pPr>
              <w:widowControl/>
              <w:spacing w:line="400" w:lineRule="atLeast"/>
              <w:jc w:val="center"/>
              <w:rPr>
                <w:rFonts w:ascii="Arial" w:hAnsi="Arial" w:cs="Arial"/>
                <w:kern w:val="0"/>
                <w:szCs w:val="21"/>
              </w:rPr>
            </w:pPr>
          </w:p>
        </w:tc>
      </w:tr>
    </w:tbl>
    <w:p w14:paraId="6691A96F">
      <w:pPr>
        <w:widowControl/>
        <w:shd w:val="clear" w:color="auto" w:fill="FFFFFF"/>
        <w:spacing w:line="360" w:lineRule="auto"/>
        <w:jc w:val="left"/>
        <w:rPr>
          <w:rFonts w:ascii="Arial" w:hAnsi="Arial" w:cs="Arial"/>
          <w:kern w:val="0"/>
          <w:szCs w:val="21"/>
        </w:rPr>
      </w:pPr>
      <w:r>
        <w:rPr>
          <w:rFonts w:hint="eastAsia" w:ascii="Arial" w:hAnsi="Arial" w:cs="Arial"/>
          <w:kern w:val="0"/>
          <w:szCs w:val="21"/>
        </w:rPr>
        <w:t>供应商（盖章）：</w:t>
      </w:r>
      <w:r>
        <w:rPr>
          <w:rFonts w:ascii="Arial" w:hAnsi="Arial" w:cs="Arial"/>
          <w:kern w:val="0"/>
          <w:szCs w:val="21"/>
          <w:u w:val="single"/>
        </w:rPr>
        <w:t>                             </w:t>
      </w:r>
    </w:p>
    <w:p w14:paraId="43C0C7F0">
      <w:pPr>
        <w:widowControl/>
        <w:shd w:val="clear" w:color="auto" w:fill="FFFFFF"/>
        <w:spacing w:line="360" w:lineRule="auto"/>
        <w:jc w:val="left"/>
        <w:rPr>
          <w:rFonts w:ascii="Arial" w:hAnsi="Arial" w:cs="Arial"/>
          <w:kern w:val="0"/>
          <w:szCs w:val="21"/>
          <w:u w:val="single"/>
        </w:rPr>
      </w:pPr>
      <w:r>
        <w:rPr>
          <w:rFonts w:hint="eastAsia" w:ascii="Arial" w:hAnsi="Arial" w:cs="Arial"/>
          <w:kern w:val="0"/>
          <w:szCs w:val="21"/>
        </w:rPr>
        <w:t>法定代表人或授权代表（签字）：</w:t>
      </w:r>
      <w:r>
        <w:rPr>
          <w:rFonts w:ascii="Arial" w:hAnsi="Arial" w:cs="Arial"/>
          <w:kern w:val="0"/>
          <w:szCs w:val="21"/>
          <w:u w:val="single"/>
        </w:rPr>
        <w:t>                              </w:t>
      </w:r>
    </w:p>
    <w:p w14:paraId="75BD34D7">
      <w:pPr>
        <w:widowControl/>
        <w:adjustRightInd w:val="0"/>
        <w:spacing w:line="360" w:lineRule="auto"/>
        <w:rPr>
          <w:rFonts w:ascii="Arial" w:hAnsi="Arial" w:cs="Arial"/>
          <w:b/>
          <w:bCs/>
          <w:kern w:val="0"/>
          <w:szCs w:val="21"/>
        </w:rPr>
      </w:pPr>
    </w:p>
    <w:p w14:paraId="6B7FC95F">
      <w:pPr>
        <w:widowControl/>
        <w:adjustRightInd w:val="0"/>
        <w:spacing w:line="360" w:lineRule="auto"/>
        <w:rPr>
          <w:rFonts w:ascii="Arial" w:hAnsi="Arial" w:cs="Arial"/>
          <w:b/>
          <w:bCs/>
          <w:kern w:val="0"/>
          <w:szCs w:val="21"/>
        </w:rPr>
      </w:pPr>
    </w:p>
    <w:p w14:paraId="52E27F44">
      <w:pPr>
        <w:spacing w:line="360" w:lineRule="auto"/>
        <w:rPr>
          <w:rFonts w:ascii="Arial" w:hAnsi="Arial" w:cs="Arial"/>
        </w:rPr>
      </w:pPr>
    </w:p>
    <w:p w14:paraId="1C38B7C5">
      <w:pPr>
        <w:spacing w:line="360" w:lineRule="auto"/>
        <w:rPr>
          <w:rFonts w:ascii="Arial" w:hAnsi="Arial" w:cs="Arial"/>
          <w:highlight w:val="cyan"/>
        </w:rPr>
      </w:pPr>
      <w:r>
        <w:rPr>
          <w:rFonts w:ascii="Arial" w:hAnsi="Arial" w:cs="Arial"/>
          <w:b/>
        </w:rPr>
        <w:br w:type="page"/>
      </w:r>
    </w:p>
    <w:p w14:paraId="534A1970">
      <w:pPr>
        <w:rPr>
          <w:rFonts w:ascii="Arial" w:hAnsi="Arial" w:cs="Arial"/>
          <w:b/>
        </w:rPr>
      </w:pPr>
    </w:p>
    <w:p w14:paraId="595C5606">
      <w:pPr>
        <w:autoSpaceDE w:val="0"/>
        <w:autoSpaceDN w:val="0"/>
        <w:adjustRightInd w:val="0"/>
        <w:spacing w:line="360" w:lineRule="auto"/>
        <w:rPr>
          <w:rFonts w:ascii="Arial" w:hAnsi="Arial" w:cs="Arial"/>
          <w:b/>
        </w:rPr>
      </w:pPr>
      <w:r>
        <w:rPr>
          <w:rFonts w:hint="eastAsia" w:ascii="Arial" w:hAnsi="Arial" w:cs="Arial"/>
          <w:b/>
        </w:rPr>
        <w:t>附件</w:t>
      </w:r>
      <w:r>
        <w:rPr>
          <w:rFonts w:hint="eastAsia" w:ascii="Arial" w:hAnsi="Arial" w:cs="Arial"/>
          <w:b/>
          <w:lang w:val="en-US" w:eastAsia="zh-CN"/>
        </w:rPr>
        <w:t>八</w:t>
      </w:r>
      <w:r>
        <w:rPr>
          <w:rFonts w:hint="eastAsia" w:ascii="Arial" w:hAnsi="Arial" w:cs="Arial"/>
          <w:b/>
        </w:rPr>
        <w:t>、资格资信证明文件</w:t>
      </w:r>
    </w:p>
    <w:bookmarkEnd w:id="51"/>
    <w:p w14:paraId="1D12A37B">
      <w:pPr>
        <w:spacing w:line="240" w:lineRule="atLeast"/>
        <w:jc w:val="center"/>
        <w:rPr>
          <w:rFonts w:hint="eastAsia" w:ascii="宋体" w:hAnsi="宋体" w:cs="宋体"/>
          <w:sz w:val="28"/>
          <w:szCs w:val="36"/>
        </w:rPr>
      </w:pPr>
    </w:p>
    <w:p w14:paraId="0197E2F0">
      <w:pPr>
        <w:spacing w:line="240" w:lineRule="atLeast"/>
        <w:jc w:val="center"/>
        <w:rPr>
          <w:rFonts w:hint="eastAsia" w:ascii="宋体" w:hAnsi="宋体" w:cs="宋体"/>
          <w:sz w:val="28"/>
          <w:szCs w:val="36"/>
        </w:rPr>
      </w:pPr>
      <w:r>
        <w:rPr>
          <w:rFonts w:hint="eastAsia" w:ascii="宋体" w:hAnsi="宋体" w:cs="宋体"/>
          <w:sz w:val="28"/>
          <w:szCs w:val="36"/>
        </w:rPr>
        <w:t>无重大违法记录声明</w:t>
      </w:r>
    </w:p>
    <w:p w14:paraId="7C233B2B">
      <w:pPr>
        <w:rPr>
          <w:rFonts w:hint="eastAsia" w:ascii="宋体" w:hAnsi="宋体" w:cs="宋体"/>
          <w:szCs w:val="21"/>
        </w:rPr>
      </w:pPr>
    </w:p>
    <w:p w14:paraId="1EBE499F">
      <w:pPr>
        <w:rPr>
          <w:rFonts w:hint="eastAsia" w:ascii="宋体" w:hAnsi="宋体" w:cs="宋体"/>
          <w:szCs w:val="21"/>
        </w:rPr>
      </w:pPr>
      <w:r>
        <w:rPr>
          <w:rFonts w:hint="eastAsia" w:ascii="宋体" w:hAnsi="宋体" w:cs="宋体"/>
          <w:szCs w:val="21"/>
        </w:rPr>
        <w:t>江苏省设备成套股份有限公司：</w:t>
      </w:r>
    </w:p>
    <w:p w14:paraId="61479987">
      <w:pPr>
        <w:rPr>
          <w:rFonts w:hint="eastAsia" w:ascii="宋体" w:hAnsi="宋体" w:cs="宋体"/>
        </w:rPr>
      </w:pPr>
    </w:p>
    <w:p w14:paraId="184F3C06">
      <w:pPr>
        <w:spacing w:line="360" w:lineRule="auto"/>
        <w:ind w:firstLine="420" w:firstLineChars="200"/>
        <w:rPr>
          <w:rFonts w:hint="eastAsia" w:ascii="宋体" w:hAnsi="宋体" w:cs="宋体"/>
        </w:rPr>
      </w:pPr>
      <w:r>
        <w:rPr>
          <w:rFonts w:hint="eastAsia" w:ascii="宋体" w:hAnsi="宋体" w:cs="宋体"/>
        </w:rPr>
        <w:t>我单位（供应商名称）郑重声明：</w:t>
      </w:r>
    </w:p>
    <w:p w14:paraId="0B084902">
      <w:pPr>
        <w:spacing w:line="360" w:lineRule="auto"/>
        <w:ind w:firstLine="420" w:firstLineChars="200"/>
        <w:rPr>
          <w:rFonts w:hint="eastAsia" w:ascii="宋体" w:hAnsi="宋体" w:cs="宋体"/>
        </w:rPr>
      </w:pPr>
      <w:r>
        <w:rPr>
          <w:rFonts w:hint="eastAsia" w:ascii="宋体" w:hAnsi="宋体" w:cs="宋体"/>
        </w:rPr>
        <w:t>参加政府采购活动前3年内在经营活动中（在下划线上如实填写：有或没有）重大违法记录。</w:t>
      </w:r>
    </w:p>
    <w:p w14:paraId="103B7218">
      <w:pPr>
        <w:spacing w:line="360" w:lineRule="auto"/>
        <w:ind w:firstLine="315" w:firstLineChars="150"/>
        <w:rPr>
          <w:rFonts w:hint="eastAsia" w:ascii="宋体" w:hAnsi="宋体" w:cs="宋体"/>
        </w:rPr>
      </w:pPr>
      <w:r>
        <w:rPr>
          <w:rFonts w:hint="eastAsia" w:ascii="宋体" w:hAnsi="宋体" w:cs="宋体"/>
        </w:rPr>
        <w:t>（说明：政府采购法第二十二条第一款第五项所称重大违法记录，是指供应商因违法经营受到刑事处罚或者责令停产停业、吊销许可证或者执照、较大数额罚款等行政处罚。）</w:t>
      </w:r>
    </w:p>
    <w:p w14:paraId="05ABF228">
      <w:pPr>
        <w:spacing w:line="360" w:lineRule="auto"/>
        <w:rPr>
          <w:rFonts w:hint="eastAsia" w:ascii="宋体" w:hAnsi="宋体" w:cs="宋体"/>
        </w:rPr>
      </w:pPr>
    </w:p>
    <w:p w14:paraId="2C55D18D">
      <w:pPr>
        <w:spacing w:line="360" w:lineRule="auto"/>
        <w:rPr>
          <w:rFonts w:hint="eastAsia" w:ascii="宋体" w:hAnsi="宋体" w:cs="宋体"/>
        </w:rPr>
      </w:pPr>
    </w:p>
    <w:p w14:paraId="655C5659">
      <w:pPr>
        <w:spacing w:line="360" w:lineRule="auto"/>
        <w:ind w:firstLine="5103" w:firstLineChars="2430"/>
        <w:rPr>
          <w:rFonts w:hint="eastAsia" w:ascii="宋体" w:hAnsi="宋体" w:cs="宋体"/>
        </w:rPr>
      </w:pPr>
      <w:r>
        <w:rPr>
          <w:rFonts w:hint="eastAsia" w:ascii="宋体" w:hAnsi="宋体" w:cs="宋体"/>
        </w:rPr>
        <w:t>声明人：（公章）</w:t>
      </w:r>
    </w:p>
    <w:p w14:paraId="11B7ACBD">
      <w:pPr>
        <w:widowControl/>
        <w:shd w:val="clear" w:color="auto" w:fill="FFFFFF"/>
        <w:spacing w:line="360" w:lineRule="auto"/>
        <w:ind w:firstLine="5250" w:firstLineChars="2500"/>
        <w:rPr>
          <w:rFonts w:hint="eastAsia" w:ascii="宋体" w:hAnsi="宋体" w:cs="宋体"/>
        </w:rPr>
      </w:pPr>
      <w:r>
        <w:rPr>
          <w:rFonts w:hint="eastAsia" w:ascii="宋体" w:hAnsi="宋体" w:cs="宋体"/>
          <w:lang w:val="zh-CN"/>
        </w:rPr>
        <w:t>日期：年</w:t>
      </w:r>
      <w:r>
        <w:rPr>
          <w:rFonts w:hint="eastAsia" w:ascii="宋体" w:hAnsi="宋体" w:cs="宋体"/>
        </w:rPr>
        <w:t xml:space="preserve"> </w:t>
      </w:r>
      <w:r>
        <w:rPr>
          <w:rFonts w:hint="eastAsia" w:ascii="宋体" w:hAnsi="宋体" w:cs="宋体"/>
          <w:lang w:val="zh-CN"/>
        </w:rPr>
        <w:t>月</w:t>
      </w:r>
      <w:r>
        <w:rPr>
          <w:rFonts w:hint="eastAsia" w:ascii="宋体" w:hAnsi="宋体" w:cs="宋体"/>
        </w:rPr>
        <w:t xml:space="preserve"> 日</w:t>
      </w:r>
    </w:p>
    <w:p w14:paraId="4B90486A">
      <w:pPr>
        <w:rPr>
          <w:rFonts w:hint="eastAsia" w:ascii="宋体" w:hAnsi="宋体"/>
          <w:spacing w:val="8"/>
          <w:kern w:val="0"/>
          <w:szCs w:val="21"/>
        </w:rPr>
      </w:pPr>
      <w:r>
        <w:rPr>
          <w:rFonts w:hint="eastAsia" w:ascii="宋体" w:hAnsi="宋体"/>
          <w:spacing w:val="8"/>
          <w:kern w:val="0"/>
          <w:szCs w:val="21"/>
        </w:rPr>
        <w:br w:type="page"/>
      </w:r>
    </w:p>
    <w:p w14:paraId="7346222E">
      <w:pPr>
        <w:widowControl/>
        <w:shd w:val="clear" w:color="auto" w:fill="FFFFFF"/>
        <w:spacing w:line="360" w:lineRule="auto"/>
        <w:jc w:val="left"/>
        <w:rPr>
          <w:rFonts w:ascii="Arial" w:hAnsi="Arial" w:cs="Arial"/>
          <w:b/>
          <w:bCs/>
          <w:kern w:val="0"/>
          <w:szCs w:val="21"/>
          <w:highlight w:val="none"/>
        </w:rPr>
      </w:pPr>
      <w:r>
        <w:rPr>
          <w:rFonts w:ascii="Arial" w:hAnsi="Arial" w:cs="Arial"/>
          <w:b/>
          <w:bCs/>
          <w:kern w:val="0"/>
          <w:szCs w:val="21"/>
          <w:highlight w:val="none"/>
        </w:rPr>
        <w:t>附件</w:t>
      </w:r>
      <w:r>
        <w:rPr>
          <w:rFonts w:hint="eastAsia" w:ascii="Arial" w:hAnsi="Arial" w:cs="Arial"/>
          <w:b/>
          <w:bCs/>
          <w:kern w:val="0"/>
          <w:szCs w:val="21"/>
          <w:highlight w:val="none"/>
          <w:lang w:val="en-US" w:eastAsia="zh-CN"/>
        </w:rPr>
        <w:t>九</w:t>
      </w:r>
      <w:r>
        <w:rPr>
          <w:rFonts w:ascii="Arial" w:hAnsi="Arial" w:cs="Arial"/>
          <w:b/>
          <w:bCs/>
          <w:kern w:val="0"/>
          <w:szCs w:val="21"/>
          <w:highlight w:val="none"/>
        </w:rPr>
        <w:t>、</w:t>
      </w:r>
      <w:r>
        <w:rPr>
          <w:rFonts w:hint="eastAsia" w:ascii="Arial" w:hAnsi="Arial" w:cs="Arial"/>
          <w:b/>
          <w:bCs/>
          <w:kern w:val="0"/>
          <w:szCs w:val="21"/>
          <w:highlight w:val="none"/>
        </w:rPr>
        <w:t>服务</w:t>
      </w:r>
      <w:r>
        <w:rPr>
          <w:rFonts w:ascii="Arial" w:hAnsi="Arial" w:cs="Arial"/>
          <w:b/>
          <w:bCs/>
          <w:kern w:val="0"/>
          <w:szCs w:val="21"/>
          <w:highlight w:val="none"/>
        </w:rPr>
        <w:t>方案</w:t>
      </w:r>
    </w:p>
    <w:p w14:paraId="77665596">
      <w:pPr>
        <w:rPr>
          <w:rFonts w:hint="eastAsia" w:ascii="宋体" w:hAnsi="宋体"/>
          <w:spacing w:val="8"/>
          <w:kern w:val="0"/>
          <w:szCs w:val="21"/>
        </w:rPr>
      </w:pPr>
      <w:r>
        <w:rPr>
          <w:rFonts w:ascii="宋体" w:hAnsi="宋体"/>
          <w:spacing w:val="8"/>
          <w:kern w:val="0"/>
          <w:szCs w:val="21"/>
        </w:rPr>
        <w:br w:type="page"/>
      </w:r>
    </w:p>
    <w:p w14:paraId="610DC148">
      <w:pPr>
        <w:widowControl/>
        <w:shd w:val="clear" w:color="auto" w:fill="FFFFFF"/>
        <w:spacing w:line="360" w:lineRule="auto"/>
        <w:jc w:val="left"/>
        <w:rPr>
          <w:rFonts w:ascii="Arial" w:hAnsi="Arial" w:cs="Arial"/>
          <w:b/>
          <w:bCs/>
          <w:kern w:val="0"/>
          <w:szCs w:val="21"/>
        </w:rPr>
      </w:pPr>
      <w:r>
        <w:rPr>
          <w:rFonts w:ascii="Arial" w:hAnsi="Arial" w:cs="Arial"/>
          <w:b/>
          <w:bCs/>
          <w:kern w:val="0"/>
          <w:szCs w:val="21"/>
        </w:rPr>
        <w:t>附件</w:t>
      </w:r>
      <w:r>
        <w:rPr>
          <w:rFonts w:hint="eastAsia" w:ascii="Arial" w:hAnsi="Arial" w:cs="Arial"/>
          <w:b/>
          <w:bCs/>
          <w:kern w:val="0"/>
          <w:szCs w:val="21"/>
        </w:rPr>
        <w:t>十</w:t>
      </w:r>
      <w:r>
        <w:rPr>
          <w:rFonts w:ascii="Arial" w:hAnsi="Arial" w:cs="Arial"/>
          <w:b/>
          <w:bCs/>
          <w:kern w:val="0"/>
          <w:szCs w:val="21"/>
        </w:rPr>
        <w:t>、</w:t>
      </w:r>
      <w:r>
        <w:rPr>
          <w:rFonts w:ascii="Arial" w:hAnsi="Arial" w:cs="Arial"/>
          <w:b/>
        </w:rPr>
        <w:t>其他</w:t>
      </w:r>
    </w:p>
    <w:p w14:paraId="52254816">
      <w:pPr>
        <w:widowControl/>
        <w:shd w:val="clear" w:color="auto" w:fill="FFFFFF"/>
        <w:spacing w:line="360" w:lineRule="auto"/>
        <w:rPr>
          <w:rFonts w:hint="eastAsia" w:ascii="宋体" w:hAnsi="宋体"/>
          <w:spacing w:val="8"/>
          <w:kern w:val="0"/>
          <w:szCs w:val="21"/>
        </w:rPr>
      </w:pPr>
    </w:p>
    <w:p w14:paraId="0FB4D973">
      <w:pPr>
        <w:widowControl/>
        <w:shd w:val="clear" w:color="auto" w:fill="FFFFFF"/>
        <w:spacing w:line="360" w:lineRule="auto"/>
        <w:ind w:firstLine="5250" w:firstLineChars="2500"/>
        <w:rPr>
          <w:rFonts w:hint="eastAsia" w:ascii="宋体" w:hAnsi="宋体" w:cs="宋体"/>
        </w:rPr>
      </w:pPr>
    </w:p>
    <w:p w14:paraId="1A8044F8">
      <w:pPr>
        <w:widowControl/>
        <w:shd w:val="clear" w:color="auto" w:fill="FFFFFF"/>
        <w:spacing w:line="360" w:lineRule="auto"/>
        <w:rPr>
          <w:rFonts w:hint="eastAsia" w:ascii="宋体" w:hAnsi="宋体"/>
          <w:spacing w:val="8"/>
          <w:kern w:val="0"/>
          <w:szCs w:val="21"/>
        </w:rPr>
      </w:pPr>
    </w:p>
    <w:p w14:paraId="2D151376">
      <w:pPr>
        <w:widowControl/>
        <w:shd w:val="clear" w:color="auto" w:fill="FFFFFF"/>
        <w:spacing w:line="360" w:lineRule="auto"/>
        <w:rPr>
          <w:rFonts w:hint="eastAsia" w:ascii="宋体" w:hAnsi="宋体"/>
          <w:spacing w:val="8"/>
          <w:kern w:val="0"/>
          <w:szCs w:val="21"/>
        </w:rPr>
      </w:pPr>
    </w:p>
    <w:p w14:paraId="25FCE93B">
      <w:pPr>
        <w:widowControl/>
        <w:shd w:val="clear" w:color="auto" w:fill="FFFFFF"/>
        <w:spacing w:line="360" w:lineRule="auto"/>
        <w:rPr>
          <w:rFonts w:hint="eastAsia" w:ascii="宋体" w:hAnsi="宋体" w:cs="宋体"/>
          <w:bCs/>
          <w:kern w:val="0"/>
          <w:lang w:val="zh-CN"/>
        </w:rPr>
      </w:pPr>
    </w:p>
    <w:p w14:paraId="03B35445">
      <w:pPr>
        <w:widowControl/>
        <w:shd w:val="clear" w:color="auto" w:fill="FFFFFF"/>
        <w:spacing w:line="360" w:lineRule="auto"/>
        <w:rPr>
          <w:rFonts w:hint="eastAsia" w:ascii="宋体" w:hAnsi="宋体"/>
          <w:spacing w:val="8"/>
          <w:kern w:val="0"/>
          <w:szCs w:val="21"/>
        </w:rPr>
      </w:pPr>
    </w:p>
    <w:p w14:paraId="5B529528">
      <w:pPr>
        <w:pStyle w:val="41"/>
        <w:rPr>
          <w:rFonts w:hint="eastAsia" w:ascii="宋体" w:hAnsi="宋体"/>
          <w:spacing w:val="8"/>
          <w:szCs w:val="21"/>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enlo">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KNLe">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EC2F2">
    <w:pPr>
      <w:pStyle w:val="3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795EC">
                          <w:pPr>
                            <w:pStyle w:val="31"/>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44C795EC">
                    <w:pPr>
                      <w:pStyle w:val="31"/>
                    </w:pPr>
                    <w:r>
                      <w:fldChar w:fldCharType="begin"/>
                    </w:r>
                    <w:r>
                      <w:instrText xml:space="preserve"> PAGE  \* MERGEFORMAT </w:instrText>
                    </w:r>
                    <w:r>
                      <w:fldChar w:fldCharType="separate"/>
                    </w:r>
                    <w:r>
                      <w:t>55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341F7">
    <w:pPr>
      <w:pStyle w:val="3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ACADE"/>
    <w:multiLevelType w:val="singleLevel"/>
    <w:tmpl w:val="902ACADE"/>
    <w:lvl w:ilvl="0" w:tentative="0">
      <w:start w:val="1"/>
      <w:numFmt w:val="decimal"/>
      <w:lvlText w:val="%1."/>
      <w:lvlJc w:val="left"/>
      <w:pPr>
        <w:tabs>
          <w:tab w:val="left" w:pos="312"/>
        </w:tabs>
      </w:pPr>
    </w:lvl>
  </w:abstractNum>
  <w:abstractNum w:abstractNumId="1">
    <w:nsid w:val="9FAB113E"/>
    <w:multiLevelType w:val="singleLevel"/>
    <w:tmpl w:val="9FAB113E"/>
    <w:lvl w:ilvl="0" w:tentative="0">
      <w:start w:val="2"/>
      <w:numFmt w:val="decimal"/>
      <w:lvlText w:val="%1."/>
      <w:lvlJc w:val="left"/>
      <w:pPr>
        <w:tabs>
          <w:tab w:val="left" w:pos="312"/>
        </w:tabs>
      </w:pPr>
    </w:lvl>
  </w:abstractNum>
  <w:abstractNum w:abstractNumId="2">
    <w:nsid w:val="00000006"/>
    <w:multiLevelType w:val="multilevel"/>
    <w:tmpl w:val="00000006"/>
    <w:lvl w:ilvl="0" w:tentative="0">
      <w:start w:val="1"/>
      <w:numFmt w:val="chineseCountingThousand"/>
      <w:pStyle w:val="3"/>
      <w:suff w:val="nothing"/>
      <w:lvlText w:val="第%1章"/>
      <w:lvlJc w:val="left"/>
      <w:rPr>
        <w:rFonts w:hint="eastAsia" w:cs="Times New Roman"/>
        <w:sz w:val="21"/>
        <w:szCs w:val="21"/>
      </w:rPr>
    </w:lvl>
    <w:lvl w:ilvl="1" w:tentative="0">
      <w:start w:val="1"/>
      <w:numFmt w:val="none"/>
      <w:pStyle w:val="2"/>
      <w:suff w:val="nothing"/>
      <w:lvlText w:val=""/>
      <w:lvlJc w:val="left"/>
      <w:rPr>
        <w:rFonts w:cs="Times New Roman"/>
      </w:rPr>
    </w:lvl>
    <w:lvl w:ilvl="2" w:tentative="0">
      <w:start w:val="1"/>
      <w:numFmt w:val="none"/>
      <w:pStyle w:val="4"/>
      <w:suff w:val="nothing"/>
      <w:lvlText w:val=""/>
      <w:lvlJc w:val="left"/>
      <w:rPr>
        <w:rFonts w:cs="Times New Roman"/>
      </w:rPr>
    </w:lvl>
    <w:lvl w:ilvl="3" w:tentative="0">
      <w:start w:val="1"/>
      <w:numFmt w:val="none"/>
      <w:pStyle w:val="5"/>
      <w:suff w:val="nothing"/>
      <w:lvlText w:val=""/>
      <w:lvlJc w:val="left"/>
      <w:rPr>
        <w:rFonts w:cs="Times New Roman"/>
      </w:rPr>
    </w:lvl>
    <w:lvl w:ilvl="4" w:tentative="0">
      <w:start w:val="1"/>
      <w:numFmt w:val="none"/>
      <w:pStyle w:val="6"/>
      <w:suff w:val="nothing"/>
      <w:lvlText w:val=""/>
      <w:lvlJc w:val="left"/>
      <w:rPr>
        <w:rFonts w:cs="Times New Roman"/>
      </w:rPr>
    </w:lvl>
    <w:lvl w:ilvl="5" w:tentative="0">
      <w:start w:val="1"/>
      <w:numFmt w:val="none"/>
      <w:pStyle w:val="7"/>
      <w:suff w:val="nothing"/>
      <w:lvlText w:val=""/>
      <w:lvlJc w:val="left"/>
      <w:rPr>
        <w:rFonts w:cs="Times New Roman"/>
      </w:rPr>
    </w:lvl>
    <w:lvl w:ilvl="6" w:tentative="0">
      <w:start w:val="1"/>
      <w:numFmt w:val="none"/>
      <w:pStyle w:val="8"/>
      <w:suff w:val="nothing"/>
      <w:lvlText w:val=""/>
      <w:lvlJc w:val="left"/>
      <w:rPr>
        <w:rFonts w:cs="Times New Roman"/>
      </w:rPr>
    </w:lvl>
    <w:lvl w:ilvl="7" w:tentative="0">
      <w:start w:val="1"/>
      <w:numFmt w:val="none"/>
      <w:pStyle w:val="9"/>
      <w:suff w:val="nothing"/>
      <w:lvlText w:val=""/>
      <w:lvlJc w:val="left"/>
      <w:rPr>
        <w:rFonts w:cs="Times New Roman"/>
      </w:rPr>
    </w:lvl>
    <w:lvl w:ilvl="8" w:tentative="0">
      <w:start w:val="1"/>
      <w:numFmt w:val="none"/>
      <w:pStyle w:val="10"/>
      <w:suff w:val="nothing"/>
      <w:lvlText w:val=""/>
      <w:lvlJc w:val="left"/>
      <w:rPr>
        <w:rFonts w:cs="Times New Roman"/>
      </w:rPr>
    </w:lvl>
  </w:abstractNum>
  <w:abstractNum w:abstractNumId="3">
    <w:nsid w:val="130A2188"/>
    <w:multiLevelType w:val="multilevel"/>
    <w:tmpl w:val="130A2188"/>
    <w:lvl w:ilvl="0" w:tentative="0">
      <w:start w:val="1"/>
      <w:numFmt w:val="chineseCountingThousand"/>
      <w:pStyle w:val="157"/>
      <w:lvlText w:val="%1"/>
      <w:lvlJc w:val="left"/>
      <w:pPr>
        <w:ind w:left="425" w:hanging="425"/>
      </w:pPr>
      <w:rPr>
        <w:rFonts w:hint="eastAsia" w:ascii="Arial Unicode MS" w:hAnsi="Arial Unicode MS" w:eastAsia="微软雅黑" w:cs="Times New Roman"/>
        <w:b/>
        <w:i w:val="0"/>
      </w:rPr>
    </w:lvl>
    <w:lvl w:ilvl="1" w:tentative="0">
      <w:start w:val="1"/>
      <w:numFmt w:val="decimal"/>
      <w:pStyle w:val="176"/>
      <w:isLgl/>
      <w:lvlText w:val="%1.%2"/>
      <w:lvlJc w:val="left"/>
      <w:pPr>
        <w:ind w:left="425" w:hanging="425"/>
      </w:pPr>
      <w:rPr>
        <w:rFonts w:hint="eastAsia" w:ascii="Arial Unicode MS" w:hAnsi="Arial Unicode MS" w:eastAsia="微软雅黑" w:cs="Times New Roman"/>
        <w:b/>
        <w:i w:val="0"/>
      </w:rPr>
    </w:lvl>
    <w:lvl w:ilvl="2" w:tentative="0">
      <w:start w:val="1"/>
      <w:numFmt w:val="decimal"/>
      <w:pStyle w:val="190"/>
      <w:isLgl/>
      <w:lvlText w:val="%1.%2.%3"/>
      <w:lvlJc w:val="left"/>
      <w:pPr>
        <w:ind w:left="425" w:hanging="425"/>
      </w:pPr>
      <w:rPr>
        <w:rFonts w:hint="eastAsia" w:ascii="Arial Unicode MS" w:hAnsi="Arial Unicode MS" w:eastAsia="微软雅黑" w:cs="Times New Roman"/>
        <w:b/>
        <w:i w:val="0"/>
      </w:rPr>
    </w:lvl>
    <w:lvl w:ilvl="3" w:tentative="0">
      <w:start w:val="1"/>
      <w:numFmt w:val="decimal"/>
      <w:isLgl/>
      <w:lvlText w:val="%1.%2.%3.%4"/>
      <w:lvlJc w:val="left"/>
      <w:pPr>
        <w:ind w:left="425" w:hanging="425"/>
      </w:pPr>
      <w:rPr>
        <w:rFonts w:hint="eastAsia" w:ascii="Arial Unicode MS" w:hAnsi="Arial Unicode MS" w:eastAsia="微软雅黑" w:cs="Times New Roman"/>
        <w:b/>
        <w:i w:val="0"/>
      </w:rPr>
    </w:lvl>
    <w:lvl w:ilvl="4" w:tentative="0">
      <w:start w:val="1"/>
      <w:numFmt w:val="decimal"/>
      <w:isLgl/>
      <w:lvlText w:val="%1.%2.%3.%4.%5"/>
      <w:lvlJc w:val="left"/>
      <w:pPr>
        <w:ind w:left="425" w:hanging="425"/>
      </w:pPr>
      <w:rPr>
        <w:rFonts w:hint="eastAsia" w:ascii="Arial Unicode MS" w:hAnsi="Arial Unicode MS" w:eastAsia="微软雅黑" w:cs="Times New Roman"/>
        <w:b/>
        <w:i w:val="0"/>
      </w:rPr>
    </w:lvl>
    <w:lvl w:ilvl="5" w:tentative="0">
      <w:start w:val="1"/>
      <w:numFmt w:val="none"/>
      <w:lvlText w:val="%1.%2.%3.%4.%5.%6"/>
      <w:lvlJc w:val="left"/>
      <w:pPr>
        <w:ind w:left="425" w:hanging="425"/>
      </w:pPr>
      <w:rPr>
        <w:rFonts w:hint="eastAsia" w:cs="Times New Roman"/>
      </w:rPr>
    </w:lvl>
    <w:lvl w:ilvl="6" w:tentative="0">
      <w:start w:val="1"/>
      <w:numFmt w:val="decimal"/>
      <w:lvlText w:val="%1.%2.%3.%4.%5.%6.%7"/>
      <w:lvlJc w:val="left"/>
      <w:pPr>
        <w:ind w:left="425" w:hanging="425"/>
      </w:pPr>
      <w:rPr>
        <w:rFonts w:hint="eastAsia" w:cs="Times New Roman"/>
      </w:rPr>
    </w:lvl>
    <w:lvl w:ilvl="7" w:tentative="0">
      <w:start w:val="1"/>
      <w:numFmt w:val="decimal"/>
      <w:lvlText w:val="%1.%2.%3.%4.%5.%6.%7.%8"/>
      <w:lvlJc w:val="left"/>
      <w:pPr>
        <w:ind w:left="425" w:hanging="425"/>
      </w:pPr>
      <w:rPr>
        <w:rFonts w:hint="eastAsia" w:cs="Times New Roman"/>
      </w:rPr>
    </w:lvl>
    <w:lvl w:ilvl="8" w:tentative="0">
      <w:start w:val="1"/>
      <w:numFmt w:val="decimal"/>
      <w:lvlText w:val="%1.%2.%3.%4.%5.%6.%7.%8.%9"/>
      <w:lvlJc w:val="left"/>
      <w:pPr>
        <w:ind w:left="425" w:hanging="425"/>
      </w:pPr>
      <w:rPr>
        <w:rFonts w:hint="eastAsia" w:cs="Times New Roman"/>
      </w:rPr>
    </w:lvl>
  </w:abstractNum>
  <w:abstractNum w:abstractNumId="4">
    <w:nsid w:val="24F55B10"/>
    <w:multiLevelType w:val="singleLevel"/>
    <w:tmpl w:val="24F55B10"/>
    <w:lvl w:ilvl="0" w:tentative="0">
      <w:start w:val="2"/>
      <w:numFmt w:val="decimal"/>
      <w:suff w:val="nothing"/>
      <w:lvlText w:val="（%1）"/>
      <w:lvlJc w:val="left"/>
    </w:lvl>
  </w:abstractNum>
  <w:abstractNum w:abstractNumId="5">
    <w:nsid w:val="5915610C"/>
    <w:multiLevelType w:val="singleLevel"/>
    <w:tmpl w:val="5915610C"/>
    <w:lvl w:ilvl="0" w:tentative="0">
      <w:start w:val="1"/>
      <w:numFmt w:val="decimal"/>
      <w:suff w:val="nothing"/>
      <w:lvlText w:val="%1、"/>
      <w:lvlJc w:val="left"/>
      <w:rPr>
        <w:rFonts w:cs="Times New Roman"/>
      </w:rPr>
    </w:lvl>
  </w:abstractNum>
  <w:abstractNum w:abstractNumId="6">
    <w:nsid w:val="726E125B"/>
    <w:multiLevelType w:val="singleLevel"/>
    <w:tmpl w:val="726E125B"/>
    <w:lvl w:ilvl="0" w:tentative="0">
      <w:start w:val="3"/>
      <w:numFmt w:val="decimal"/>
      <w:suff w:val="nothing"/>
      <w:lvlText w:val="（%1）"/>
      <w:lvlJc w:val="left"/>
    </w:lvl>
  </w:abstractNum>
  <w:num w:numId="1">
    <w:abstractNumId w:val="2"/>
  </w:num>
  <w:num w:numId="2">
    <w:abstractNumId w:val="3"/>
  </w:num>
  <w:num w:numId="3">
    <w:abstractNumId w:val="4"/>
  </w:num>
  <w:num w:numId="4">
    <w:abstractNumId w:val="0"/>
  </w:num>
  <w:num w:numId="5">
    <w:abstractNumId w:val="1"/>
  </w:num>
  <w:num w:numId="6">
    <w:abstractNumId w:val="6"/>
  </w:num>
  <w:num w:numId="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jMDZlM2M4NDdjYWZkN2NkNjk3MjM2MGEyYmQ1YzcifQ=="/>
  </w:docVars>
  <w:rsids>
    <w:rsidRoot w:val="00172A27"/>
    <w:rsid w:val="000033BC"/>
    <w:rsid w:val="00003464"/>
    <w:rsid w:val="00003E09"/>
    <w:rsid w:val="00004ADD"/>
    <w:rsid w:val="000050BB"/>
    <w:rsid w:val="00006C75"/>
    <w:rsid w:val="00007012"/>
    <w:rsid w:val="00010857"/>
    <w:rsid w:val="00010902"/>
    <w:rsid w:val="0001141E"/>
    <w:rsid w:val="00012D4E"/>
    <w:rsid w:val="00016028"/>
    <w:rsid w:val="00016168"/>
    <w:rsid w:val="00020570"/>
    <w:rsid w:val="000207B3"/>
    <w:rsid w:val="00020F19"/>
    <w:rsid w:val="00021387"/>
    <w:rsid w:val="000215F5"/>
    <w:rsid w:val="00023605"/>
    <w:rsid w:val="000240F2"/>
    <w:rsid w:val="00024232"/>
    <w:rsid w:val="00026D12"/>
    <w:rsid w:val="000276C0"/>
    <w:rsid w:val="00031EC9"/>
    <w:rsid w:val="00032B4A"/>
    <w:rsid w:val="00032EB2"/>
    <w:rsid w:val="00033F13"/>
    <w:rsid w:val="00033F73"/>
    <w:rsid w:val="00034845"/>
    <w:rsid w:val="00034A67"/>
    <w:rsid w:val="00034CDD"/>
    <w:rsid w:val="00035A5A"/>
    <w:rsid w:val="00037558"/>
    <w:rsid w:val="00037EFB"/>
    <w:rsid w:val="00040248"/>
    <w:rsid w:val="0004062C"/>
    <w:rsid w:val="000416F5"/>
    <w:rsid w:val="00042376"/>
    <w:rsid w:val="000427E1"/>
    <w:rsid w:val="00042948"/>
    <w:rsid w:val="00043931"/>
    <w:rsid w:val="00043A61"/>
    <w:rsid w:val="00044757"/>
    <w:rsid w:val="00044FB9"/>
    <w:rsid w:val="000458DD"/>
    <w:rsid w:val="000473B7"/>
    <w:rsid w:val="00047F5E"/>
    <w:rsid w:val="00051ABD"/>
    <w:rsid w:val="00051BCC"/>
    <w:rsid w:val="00051EB2"/>
    <w:rsid w:val="000522C5"/>
    <w:rsid w:val="000527C8"/>
    <w:rsid w:val="00054655"/>
    <w:rsid w:val="00054F7D"/>
    <w:rsid w:val="00056E6B"/>
    <w:rsid w:val="000607F5"/>
    <w:rsid w:val="00060B89"/>
    <w:rsid w:val="00062472"/>
    <w:rsid w:val="00063E26"/>
    <w:rsid w:val="000640E2"/>
    <w:rsid w:val="0006476D"/>
    <w:rsid w:val="00064BCC"/>
    <w:rsid w:val="00064C8B"/>
    <w:rsid w:val="000657E8"/>
    <w:rsid w:val="00065D21"/>
    <w:rsid w:val="00067D84"/>
    <w:rsid w:val="00071571"/>
    <w:rsid w:val="0007492E"/>
    <w:rsid w:val="000764D8"/>
    <w:rsid w:val="0007741E"/>
    <w:rsid w:val="00081250"/>
    <w:rsid w:val="00083671"/>
    <w:rsid w:val="0008432A"/>
    <w:rsid w:val="00084397"/>
    <w:rsid w:val="000851FF"/>
    <w:rsid w:val="000853B9"/>
    <w:rsid w:val="000860F9"/>
    <w:rsid w:val="0008631F"/>
    <w:rsid w:val="0008777F"/>
    <w:rsid w:val="0008787D"/>
    <w:rsid w:val="000941E4"/>
    <w:rsid w:val="000963C4"/>
    <w:rsid w:val="00096BB7"/>
    <w:rsid w:val="00097207"/>
    <w:rsid w:val="00097293"/>
    <w:rsid w:val="000978F6"/>
    <w:rsid w:val="00097C5F"/>
    <w:rsid w:val="000A1232"/>
    <w:rsid w:val="000A45A0"/>
    <w:rsid w:val="000A4671"/>
    <w:rsid w:val="000A5528"/>
    <w:rsid w:val="000A573E"/>
    <w:rsid w:val="000A7DA8"/>
    <w:rsid w:val="000B086C"/>
    <w:rsid w:val="000B169D"/>
    <w:rsid w:val="000B21A6"/>
    <w:rsid w:val="000B4113"/>
    <w:rsid w:val="000B4AC4"/>
    <w:rsid w:val="000B4C3E"/>
    <w:rsid w:val="000B68EA"/>
    <w:rsid w:val="000C1E25"/>
    <w:rsid w:val="000C2154"/>
    <w:rsid w:val="000C2401"/>
    <w:rsid w:val="000C3C47"/>
    <w:rsid w:val="000C6D9D"/>
    <w:rsid w:val="000C6F14"/>
    <w:rsid w:val="000C779E"/>
    <w:rsid w:val="000D18A2"/>
    <w:rsid w:val="000D1C93"/>
    <w:rsid w:val="000D1EC0"/>
    <w:rsid w:val="000D2920"/>
    <w:rsid w:val="000D33B2"/>
    <w:rsid w:val="000D3F4B"/>
    <w:rsid w:val="000D4CDD"/>
    <w:rsid w:val="000D4F20"/>
    <w:rsid w:val="000E0528"/>
    <w:rsid w:val="000E1DE2"/>
    <w:rsid w:val="000E317E"/>
    <w:rsid w:val="000E40D8"/>
    <w:rsid w:val="000E5792"/>
    <w:rsid w:val="000E595A"/>
    <w:rsid w:val="000E6AA0"/>
    <w:rsid w:val="000E70D0"/>
    <w:rsid w:val="000E72E4"/>
    <w:rsid w:val="000E7AEC"/>
    <w:rsid w:val="000F1417"/>
    <w:rsid w:val="000F374E"/>
    <w:rsid w:val="000F38C4"/>
    <w:rsid w:val="000F3ABC"/>
    <w:rsid w:val="000F4FF3"/>
    <w:rsid w:val="000F64B8"/>
    <w:rsid w:val="00100C2D"/>
    <w:rsid w:val="00101020"/>
    <w:rsid w:val="00104771"/>
    <w:rsid w:val="00105806"/>
    <w:rsid w:val="00106B44"/>
    <w:rsid w:val="00106DF5"/>
    <w:rsid w:val="00107AD2"/>
    <w:rsid w:val="00112C44"/>
    <w:rsid w:val="00114723"/>
    <w:rsid w:val="001152DD"/>
    <w:rsid w:val="00115888"/>
    <w:rsid w:val="00115A34"/>
    <w:rsid w:val="00115C20"/>
    <w:rsid w:val="00115E9A"/>
    <w:rsid w:val="00115FFE"/>
    <w:rsid w:val="00116623"/>
    <w:rsid w:val="00116AB7"/>
    <w:rsid w:val="00116E6D"/>
    <w:rsid w:val="00121249"/>
    <w:rsid w:val="00123A13"/>
    <w:rsid w:val="001241C6"/>
    <w:rsid w:val="00124253"/>
    <w:rsid w:val="00124DDA"/>
    <w:rsid w:val="00125655"/>
    <w:rsid w:val="00126AF1"/>
    <w:rsid w:val="0013061E"/>
    <w:rsid w:val="00130993"/>
    <w:rsid w:val="00130C01"/>
    <w:rsid w:val="00130DC6"/>
    <w:rsid w:val="0013138E"/>
    <w:rsid w:val="001315EC"/>
    <w:rsid w:val="00132750"/>
    <w:rsid w:val="00132D0F"/>
    <w:rsid w:val="00133C84"/>
    <w:rsid w:val="0013431C"/>
    <w:rsid w:val="00135E51"/>
    <w:rsid w:val="0014045A"/>
    <w:rsid w:val="0014108C"/>
    <w:rsid w:val="00142258"/>
    <w:rsid w:val="00143CD4"/>
    <w:rsid w:val="00145CD4"/>
    <w:rsid w:val="00147DF8"/>
    <w:rsid w:val="00151440"/>
    <w:rsid w:val="00152F91"/>
    <w:rsid w:val="001531A7"/>
    <w:rsid w:val="00153691"/>
    <w:rsid w:val="00154ACD"/>
    <w:rsid w:val="00155F5A"/>
    <w:rsid w:val="00156B27"/>
    <w:rsid w:val="00156C22"/>
    <w:rsid w:val="00157A2A"/>
    <w:rsid w:val="00160A3F"/>
    <w:rsid w:val="001620DA"/>
    <w:rsid w:val="001623ED"/>
    <w:rsid w:val="00163D70"/>
    <w:rsid w:val="00165899"/>
    <w:rsid w:val="001670F1"/>
    <w:rsid w:val="00167594"/>
    <w:rsid w:val="001709AF"/>
    <w:rsid w:val="00171DE4"/>
    <w:rsid w:val="001727B4"/>
    <w:rsid w:val="00172A27"/>
    <w:rsid w:val="00172BB0"/>
    <w:rsid w:val="001731AB"/>
    <w:rsid w:val="00175FA0"/>
    <w:rsid w:val="00176ACB"/>
    <w:rsid w:val="00176D17"/>
    <w:rsid w:val="00177028"/>
    <w:rsid w:val="00177C72"/>
    <w:rsid w:val="00180512"/>
    <w:rsid w:val="00184409"/>
    <w:rsid w:val="00184564"/>
    <w:rsid w:val="0018560C"/>
    <w:rsid w:val="00186F62"/>
    <w:rsid w:val="00190367"/>
    <w:rsid w:val="00190B4C"/>
    <w:rsid w:val="001915A7"/>
    <w:rsid w:val="0019215D"/>
    <w:rsid w:val="00193455"/>
    <w:rsid w:val="0019439B"/>
    <w:rsid w:val="001952F3"/>
    <w:rsid w:val="00197E0F"/>
    <w:rsid w:val="001A123F"/>
    <w:rsid w:val="001A1CA7"/>
    <w:rsid w:val="001A3289"/>
    <w:rsid w:val="001A38B9"/>
    <w:rsid w:val="001A3DFF"/>
    <w:rsid w:val="001A405D"/>
    <w:rsid w:val="001A5A4B"/>
    <w:rsid w:val="001A64A8"/>
    <w:rsid w:val="001A7DAF"/>
    <w:rsid w:val="001B0329"/>
    <w:rsid w:val="001B09FD"/>
    <w:rsid w:val="001B4A81"/>
    <w:rsid w:val="001B5F20"/>
    <w:rsid w:val="001B5F5A"/>
    <w:rsid w:val="001B686C"/>
    <w:rsid w:val="001B77CB"/>
    <w:rsid w:val="001B7E2E"/>
    <w:rsid w:val="001C158D"/>
    <w:rsid w:val="001C17EB"/>
    <w:rsid w:val="001C226C"/>
    <w:rsid w:val="001C29A3"/>
    <w:rsid w:val="001C29EE"/>
    <w:rsid w:val="001C34CC"/>
    <w:rsid w:val="001C46DF"/>
    <w:rsid w:val="001C66E0"/>
    <w:rsid w:val="001C6D1C"/>
    <w:rsid w:val="001D012A"/>
    <w:rsid w:val="001D12A3"/>
    <w:rsid w:val="001D3678"/>
    <w:rsid w:val="001D45A0"/>
    <w:rsid w:val="001D4C43"/>
    <w:rsid w:val="001D56B2"/>
    <w:rsid w:val="001E1907"/>
    <w:rsid w:val="001E1AC7"/>
    <w:rsid w:val="001E1FDE"/>
    <w:rsid w:val="001E4541"/>
    <w:rsid w:val="001E566C"/>
    <w:rsid w:val="001E6506"/>
    <w:rsid w:val="001E6A5E"/>
    <w:rsid w:val="001E7AF3"/>
    <w:rsid w:val="001F2EB7"/>
    <w:rsid w:val="001F3BDE"/>
    <w:rsid w:val="001F3EF6"/>
    <w:rsid w:val="001F475D"/>
    <w:rsid w:val="001F4F6D"/>
    <w:rsid w:val="001F5D90"/>
    <w:rsid w:val="001F6B22"/>
    <w:rsid w:val="00201CD1"/>
    <w:rsid w:val="00201D97"/>
    <w:rsid w:val="00202386"/>
    <w:rsid w:val="002035A8"/>
    <w:rsid w:val="0020409D"/>
    <w:rsid w:val="00204601"/>
    <w:rsid w:val="00204685"/>
    <w:rsid w:val="0020495E"/>
    <w:rsid w:val="00206E55"/>
    <w:rsid w:val="00206FDB"/>
    <w:rsid w:val="00207739"/>
    <w:rsid w:val="002079EB"/>
    <w:rsid w:val="00210841"/>
    <w:rsid w:val="00210C2B"/>
    <w:rsid w:val="00213F8B"/>
    <w:rsid w:val="00215B16"/>
    <w:rsid w:val="00215E2D"/>
    <w:rsid w:val="00216744"/>
    <w:rsid w:val="0021753F"/>
    <w:rsid w:val="002179DE"/>
    <w:rsid w:val="00220E32"/>
    <w:rsid w:val="002215ED"/>
    <w:rsid w:val="00222D2C"/>
    <w:rsid w:val="00223E8E"/>
    <w:rsid w:val="00226A2F"/>
    <w:rsid w:val="00233822"/>
    <w:rsid w:val="00235A36"/>
    <w:rsid w:val="002368B0"/>
    <w:rsid w:val="0023761F"/>
    <w:rsid w:val="00240A8C"/>
    <w:rsid w:val="00241C7D"/>
    <w:rsid w:val="002425C6"/>
    <w:rsid w:val="0024485D"/>
    <w:rsid w:val="00246C51"/>
    <w:rsid w:val="00246EF2"/>
    <w:rsid w:val="002507BB"/>
    <w:rsid w:val="00250EDD"/>
    <w:rsid w:val="00253197"/>
    <w:rsid w:val="002558B8"/>
    <w:rsid w:val="0025625C"/>
    <w:rsid w:val="002570EE"/>
    <w:rsid w:val="00257930"/>
    <w:rsid w:val="002604F0"/>
    <w:rsid w:val="00263349"/>
    <w:rsid w:val="00264779"/>
    <w:rsid w:val="00265EF0"/>
    <w:rsid w:val="00266381"/>
    <w:rsid w:val="00266F03"/>
    <w:rsid w:val="002708AF"/>
    <w:rsid w:val="00272706"/>
    <w:rsid w:val="00273D84"/>
    <w:rsid w:val="00273ED5"/>
    <w:rsid w:val="002740C3"/>
    <w:rsid w:val="0027735C"/>
    <w:rsid w:val="00277372"/>
    <w:rsid w:val="0027753E"/>
    <w:rsid w:val="002806CA"/>
    <w:rsid w:val="002810AC"/>
    <w:rsid w:val="002812CC"/>
    <w:rsid w:val="00281463"/>
    <w:rsid w:val="002828C5"/>
    <w:rsid w:val="00283AA1"/>
    <w:rsid w:val="002844AF"/>
    <w:rsid w:val="0028490F"/>
    <w:rsid w:val="002854D4"/>
    <w:rsid w:val="0028640E"/>
    <w:rsid w:val="002867C5"/>
    <w:rsid w:val="00286E71"/>
    <w:rsid w:val="00287249"/>
    <w:rsid w:val="00287353"/>
    <w:rsid w:val="002877EB"/>
    <w:rsid w:val="00291795"/>
    <w:rsid w:val="00292E95"/>
    <w:rsid w:val="00293EC3"/>
    <w:rsid w:val="00295A7F"/>
    <w:rsid w:val="002A05F6"/>
    <w:rsid w:val="002A2313"/>
    <w:rsid w:val="002A2725"/>
    <w:rsid w:val="002A3AF4"/>
    <w:rsid w:val="002A6D67"/>
    <w:rsid w:val="002A74F1"/>
    <w:rsid w:val="002A7B32"/>
    <w:rsid w:val="002B1131"/>
    <w:rsid w:val="002B1703"/>
    <w:rsid w:val="002B223E"/>
    <w:rsid w:val="002B4A55"/>
    <w:rsid w:val="002B608B"/>
    <w:rsid w:val="002B72E2"/>
    <w:rsid w:val="002B7B7D"/>
    <w:rsid w:val="002C084A"/>
    <w:rsid w:val="002C2DE0"/>
    <w:rsid w:val="002C4A64"/>
    <w:rsid w:val="002C6711"/>
    <w:rsid w:val="002C7297"/>
    <w:rsid w:val="002D2894"/>
    <w:rsid w:val="002D4F6B"/>
    <w:rsid w:val="002D533E"/>
    <w:rsid w:val="002D5528"/>
    <w:rsid w:val="002D63DD"/>
    <w:rsid w:val="002D696C"/>
    <w:rsid w:val="002D74D6"/>
    <w:rsid w:val="002D7BA2"/>
    <w:rsid w:val="002E0167"/>
    <w:rsid w:val="002E01C1"/>
    <w:rsid w:val="002E024B"/>
    <w:rsid w:val="002E04C1"/>
    <w:rsid w:val="002E0562"/>
    <w:rsid w:val="002E0FD5"/>
    <w:rsid w:val="002E35B5"/>
    <w:rsid w:val="002E3BC8"/>
    <w:rsid w:val="002E3FFE"/>
    <w:rsid w:val="002E5C5D"/>
    <w:rsid w:val="002E6496"/>
    <w:rsid w:val="002E67FB"/>
    <w:rsid w:val="002E6D7C"/>
    <w:rsid w:val="002F0738"/>
    <w:rsid w:val="002F07CE"/>
    <w:rsid w:val="002F08C5"/>
    <w:rsid w:val="002F0E19"/>
    <w:rsid w:val="002F4462"/>
    <w:rsid w:val="002F5066"/>
    <w:rsid w:val="002F5D82"/>
    <w:rsid w:val="002F6084"/>
    <w:rsid w:val="002F6925"/>
    <w:rsid w:val="0030167A"/>
    <w:rsid w:val="00304E56"/>
    <w:rsid w:val="00305886"/>
    <w:rsid w:val="00310495"/>
    <w:rsid w:val="003115A1"/>
    <w:rsid w:val="00311650"/>
    <w:rsid w:val="003120B1"/>
    <w:rsid w:val="003129FD"/>
    <w:rsid w:val="00312B26"/>
    <w:rsid w:val="00313484"/>
    <w:rsid w:val="00313AEF"/>
    <w:rsid w:val="00313BF3"/>
    <w:rsid w:val="003141CA"/>
    <w:rsid w:val="003154A3"/>
    <w:rsid w:val="00315639"/>
    <w:rsid w:val="00315A45"/>
    <w:rsid w:val="00317A74"/>
    <w:rsid w:val="003203E5"/>
    <w:rsid w:val="003212FB"/>
    <w:rsid w:val="003237B3"/>
    <w:rsid w:val="003246D4"/>
    <w:rsid w:val="00325651"/>
    <w:rsid w:val="0032595A"/>
    <w:rsid w:val="00326C8C"/>
    <w:rsid w:val="00327533"/>
    <w:rsid w:val="003309C5"/>
    <w:rsid w:val="003311E5"/>
    <w:rsid w:val="003313CF"/>
    <w:rsid w:val="00331BF2"/>
    <w:rsid w:val="003335D3"/>
    <w:rsid w:val="00334124"/>
    <w:rsid w:val="00334A0A"/>
    <w:rsid w:val="00335718"/>
    <w:rsid w:val="00335976"/>
    <w:rsid w:val="00335AF2"/>
    <w:rsid w:val="003402A2"/>
    <w:rsid w:val="00340850"/>
    <w:rsid w:val="0034418A"/>
    <w:rsid w:val="00345DB5"/>
    <w:rsid w:val="00346E30"/>
    <w:rsid w:val="00347032"/>
    <w:rsid w:val="0034735E"/>
    <w:rsid w:val="003476B3"/>
    <w:rsid w:val="00351AFA"/>
    <w:rsid w:val="003527FB"/>
    <w:rsid w:val="00352E13"/>
    <w:rsid w:val="00355020"/>
    <w:rsid w:val="0035603A"/>
    <w:rsid w:val="00357CF7"/>
    <w:rsid w:val="003600F4"/>
    <w:rsid w:val="003616FE"/>
    <w:rsid w:val="0036170F"/>
    <w:rsid w:val="0036277D"/>
    <w:rsid w:val="0036498B"/>
    <w:rsid w:val="00364E9E"/>
    <w:rsid w:val="003651BD"/>
    <w:rsid w:val="00366279"/>
    <w:rsid w:val="00367044"/>
    <w:rsid w:val="00367B81"/>
    <w:rsid w:val="00372333"/>
    <w:rsid w:val="00372366"/>
    <w:rsid w:val="00372537"/>
    <w:rsid w:val="003729B1"/>
    <w:rsid w:val="00372D7A"/>
    <w:rsid w:val="003743D3"/>
    <w:rsid w:val="00374628"/>
    <w:rsid w:val="003767C0"/>
    <w:rsid w:val="00376C84"/>
    <w:rsid w:val="00377B08"/>
    <w:rsid w:val="00381242"/>
    <w:rsid w:val="00382423"/>
    <w:rsid w:val="00383DDB"/>
    <w:rsid w:val="00383F1E"/>
    <w:rsid w:val="00385A7B"/>
    <w:rsid w:val="0038766E"/>
    <w:rsid w:val="00387887"/>
    <w:rsid w:val="00392E87"/>
    <w:rsid w:val="0039334A"/>
    <w:rsid w:val="00393EC0"/>
    <w:rsid w:val="003944EC"/>
    <w:rsid w:val="0039517F"/>
    <w:rsid w:val="00396584"/>
    <w:rsid w:val="003969C7"/>
    <w:rsid w:val="00396A16"/>
    <w:rsid w:val="003A03D8"/>
    <w:rsid w:val="003A0DDC"/>
    <w:rsid w:val="003A12C6"/>
    <w:rsid w:val="003A1936"/>
    <w:rsid w:val="003A1BF8"/>
    <w:rsid w:val="003A2501"/>
    <w:rsid w:val="003A2800"/>
    <w:rsid w:val="003A3E1F"/>
    <w:rsid w:val="003A4305"/>
    <w:rsid w:val="003A565F"/>
    <w:rsid w:val="003B1470"/>
    <w:rsid w:val="003B5593"/>
    <w:rsid w:val="003B57AF"/>
    <w:rsid w:val="003B5E57"/>
    <w:rsid w:val="003B65B6"/>
    <w:rsid w:val="003B6AFF"/>
    <w:rsid w:val="003B6BFB"/>
    <w:rsid w:val="003B6DB0"/>
    <w:rsid w:val="003B7147"/>
    <w:rsid w:val="003B7B57"/>
    <w:rsid w:val="003C0669"/>
    <w:rsid w:val="003C2A57"/>
    <w:rsid w:val="003C366F"/>
    <w:rsid w:val="003C5B1B"/>
    <w:rsid w:val="003D11A8"/>
    <w:rsid w:val="003D19A5"/>
    <w:rsid w:val="003D28FD"/>
    <w:rsid w:val="003D4E6C"/>
    <w:rsid w:val="003E0550"/>
    <w:rsid w:val="003E0F30"/>
    <w:rsid w:val="003E1379"/>
    <w:rsid w:val="003E18A6"/>
    <w:rsid w:val="003E582E"/>
    <w:rsid w:val="003E5A44"/>
    <w:rsid w:val="003E69FE"/>
    <w:rsid w:val="003F22CE"/>
    <w:rsid w:val="003F2F8E"/>
    <w:rsid w:val="003F2FB9"/>
    <w:rsid w:val="003F374E"/>
    <w:rsid w:val="003F49F0"/>
    <w:rsid w:val="003F5122"/>
    <w:rsid w:val="003F6921"/>
    <w:rsid w:val="003F7FBF"/>
    <w:rsid w:val="00400EF4"/>
    <w:rsid w:val="00401780"/>
    <w:rsid w:val="00401869"/>
    <w:rsid w:val="00401F54"/>
    <w:rsid w:val="004038CD"/>
    <w:rsid w:val="00403E2E"/>
    <w:rsid w:val="0040420E"/>
    <w:rsid w:val="004112F7"/>
    <w:rsid w:val="004119C7"/>
    <w:rsid w:val="00412332"/>
    <w:rsid w:val="00413B7E"/>
    <w:rsid w:val="00413DA2"/>
    <w:rsid w:val="00414326"/>
    <w:rsid w:val="004157AF"/>
    <w:rsid w:val="0041699A"/>
    <w:rsid w:val="00420A4C"/>
    <w:rsid w:val="00420DF0"/>
    <w:rsid w:val="00420F58"/>
    <w:rsid w:val="004216A1"/>
    <w:rsid w:val="00422624"/>
    <w:rsid w:val="00422C29"/>
    <w:rsid w:val="00422E27"/>
    <w:rsid w:val="00424C49"/>
    <w:rsid w:val="00425EDE"/>
    <w:rsid w:val="00432C4B"/>
    <w:rsid w:val="00434F67"/>
    <w:rsid w:val="004353F1"/>
    <w:rsid w:val="00435685"/>
    <w:rsid w:val="00435AEC"/>
    <w:rsid w:val="004361EB"/>
    <w:rsid w:val="004371FF"/>
    <w:rsid w:val="00440CD0"/>
    <w:rsid w:val="00440E64"/>
    <w:rsid w:val="0044226E"/>
    <w:rsid w:val="00443704"/>
    <w:rsid w:val="00444698"/>
    <w:rsid w:val="00446208"/>
    <w:rsid w:val="00447889"/>
    <w:rsid w:val="004506CC"/>
    <w:rsid w:val="00451FD8"/>
    <w:rsid w:val="004534AE"/>
    <w:rsid w:val="0045464A"/>
    <w:rsid w:val="00454690"/>
    <w:rsid w:val="0045557D"/>
    <w:rsid w:val="00455F44"/>
    <w:rsid w:val="004575D7"/>
    <w:rsid w:val="00460476"/>
    <w:rsid w:val="004621F8"/>
    <w:rsid w:val="00462305"/>
    <w:rsid w:val="0046330A"/>
    <w:rsid w:val="00463ACA"/>
    <w:rsid w:val="00463CB4"/>
    <w:rsid w:val="00464198"/>
    <w:rsid w:val="004642FE"/>
    <w:rsid w:val="00465763"/>
    <w:rsid w:val="00470C69"/>
    <w:rsid w:val="004726C8"/>
    <w:rsid w:val="00473B09"/>
    <w:rsid w:val="00476ECA"/>
    <w:rsid w:val="004775D3"/>
    <w:rsid w:val="00477B1A"/>
    <w:rsid w:val="00477F2A"/>
    <w:rsid w:val="00480DE6"/>
    <w:rsid w:val="00482A1F"/>
    <w:rsid w:val="00482C50"/>
    <w:rsid w:val="00483480"/>
    <w:rsid w:val="00484798"/>
    <w:rsid w:val="004860C3"/>
    <w:rsid w:val="00486486"/>
    <w:rsid w:val="00486C6B"/>
    <w:rsid w:val="00487B33"/>
    <w:rsid w:val="00491658"/>
    <w:rsid w:val="00492FA1"/>
    <w:rsid w:val="0049404E"/>
    <w:rsid w:val="004960F8"/>
    <w:rsid w:val="00497479"/>
    <w:rsid w:val="00497549"/>
    <w:rsid w:val="004A10C8"/>
    <w:rsid w:val="004A24F0"/>
    <w:rsid w:val="004A32A6"/>
    <w:rsid w:val="004A5728"/>
    <w:rsid w:val="004A5E41"/>
    <w:rsid w:val="004B3D81"/>
    <w:rsid w:val="004C0ADE"/>
    <w:rsid w:val="004C1F95"/>
    <w:rsid w:val="004C2EF6"/>
    <w:rsid w:val="004C4EF2"/>
    <w:rsid w:val="004C5EAB"/>
    <w:rsid w:val="004C6150"/>
    <w:rsid w:val="004C6A6C"/>
    <w:rsid w:val="004C6F0B"/>
    <w:rsid w:val="004C6F22"/>
    <w:rsid w:val="004C7623"/>
    <w:rsid w:val="004C78A3"/>
    <w:rsid w:val="004C7AB3"/>
    <w:rsid w:val="004D07DF"/>
    <w:rsid w:val="004D33ED"/>
    <w:rsid w:val="004D3CC0"/>
    <w:rsid w:val="004D42F8"/>
    <w:rsid w:val="004D4510"/>
    <w:rsid w:val="004D4AA5"/>
    <w:rsid w:val="004D611F"/>
    <w:rsid w:val="004D7D51"/>
    <w:rsid w:val="004D7E35"/>
    <w:rsid w:val="004E0075"/>
    <w:rsid w:val="004E3F50"/>
    <w:rsid w:val="004E4EFC"/>
    <w:rsid w:val="004E5632"/>
    <w:rsid w:val="004E58AB"/>
    <w:rsid w:val="004E58F5"/>
    <w:rsid w:val="004E6188"/>
    <w:rsid w:val="004F04EA"/>
    <w:rsid w:val="004F0BBC"/>
    <w:rsid w:val="004F1CD2"/>
    <w:rsid w:val="004F3AD1"/>
    <w:rsid w:val="004F582B"/>
    <w:rsid w:val="004F5899"/>
    <w:rsid w:val="004F5CA9"/>
    <w:rsid w:val="00501DC6"/>
    <w:rsid w:val="00502239"/>
    <w:rsid w:val="00502CFD"/>
    <w:rsid w:val="00502FF2"/>
    <w:rsid w:val="0050536F"/>
    <w:rsid w:val="005057CD"/>
    <w:rsid w:val="00507FE8"/>
    <w:rsid w:val="005110D3"/>
    <w:rsid w:val="005114C1"/>
    <w:rsid w:val="005122F4"/>
    <w:rsid w:val="00512C2D"/>
    <w:rsid w:val="00512D9D"/>
    <w:rsid w:val="005135E7"/>
    <w:rsid w:val="0051461D"/>
    <w:rsid w:val="00517247"/>
    <w:rsid w:val="00517586"/>
    <w:rsid w:val="00520ADE"/>
    <w:rsid w:val="0052251E"/>
    <w:rsid w:val="0052333A"/>
    <w:rsid w:val="00525906"/>
    <w:rsid w:val="005278AA"/>
    <w:rsid w:val="0053471D"/>
    <w:rsid w:val="005358FA"/>
    <w:rsid w:val="00535C12"/>
    <w:rsid w:val="00536CC0"/>
    <w:rsid w:val="005373B0"/>
    <w:rsid w:val="00537605"/>
    <w:rsid w:val="00537A17"/>
    <w:rsid w:val="0054021D"/>
    <w:rsid w:val="005424D8"/>
    <w:rsid w:val="00542510"/>
    <w:rsid w:val="005430D6"/>
    <w:rsid w:val="005444DF"/>
    <w:rsid w:val="005456A9"/>
    <w:rsid w:val="0054652E"/>
    <w:rsid w:val="005467E7"/>
    <w:rsid w:val="0054703C"/>
    <w:rsid w:val="005474DE"/>
    <w:rsid w:val="0054795F"/>
    <w:rsid w:val="00550D42"/>
    <w:rsid w:val="00550DC4"/>
    <w:rsid w:val="005514AF"/>
    <w:rsid w:val="00551A3B"/>
    <w:rsid w:val="00551B4A"/>
    <w:rsid w:val="00552394"/>
    <w:rsid w:val="005525C3"/>
    <w:rsid w:val="00552860"/>
    <w:rsid w:val="00554AFE"/>
    <w:rsid w:val="0055660B"/>
    <w:rsid w:val="00556A58"/>
    <w:rsid w:val="00557436"/>
    <w:rsid w:val="005627DD"/>
    <w:rsid w:val="00563278"/>
    <w:rsid w:val="00565E16"/>
    <w:rsid w:val="00565EA3"/>
    <w:rsid w:val="005678F7"/>
    <w:rsid w:val="00567F95"/>
    <w:rsid w:val="00572476"/>
    <w:rsid w:val="00572D64"/>
    <w:rsid w:val="00573C88"/>
    <w:rsid w:val="00573D75"/>
    <w:rsid w:val="0057474E"/>
    <w:rsid w:val="005762AD"/>
    <w:rsid w:val="00576AC5"/>
    <w:rsid w:val="005770BB"/>
    <w:rsid w:val="0057799A"/>
    <w:rsid w:val="00580AB2"/>
    <w:rsid w:val="00581DD1"/>
    <w:rsid w:val="00582092"/>
    <w:rsid w:val="005828D6"/>
    <w:rsid w:val="005855E9"/>
    <w:rsid w:val="00585A68"/>
    <w:rsid w:val="005861CD"/>
    <w:rsid w:val="0058683C"/>
    <w:rsid w:val="005868C9"/>
    <w:rsid w:val="00586A03"/>
    <w:rsid w:val="00586B6F"/>
    <w:rsid w:val="005870B3"/>
    <w:rsid w:val="00587547"/>
    <w:rsid w:val="005877F6"/>
    <w:rsid w:val="00590CF1"/>
    <w:rsid w:val="00591EA5"/>
    <w:rsid w:val="00592F71"/>
    <w:rsid w:val="00592FF1"/>
    <w:rsid w:val="005A0205"/>
    <w:rsid w:val="005A0D23"/>
    <w:rsid w:val="005A1F5A"/>
    <w:rsid w:val="005A3564"/>
    <w:rsid w:val="005A495B"/>
    <w:rsid w:val="005A56EA"/>
    <w:rsid w:val="005A7C30"/>
    <w:rsid w:val="005B02D4"/>
    <w:rsid w:val="005B3980"/>
    <w:rsid w:val="005B39FE"/>
    <w:rsid w:val="005B538C"/>
    <w:rsid w:val="005B6385"/>
    <w:rsid w:val="005B7896"/>
    <w:rsid w:val="005B7A0D"/>
    <w:rsid w:val="005C0FD4"/>
    <w:rsid w:val="005C1C00"/>
    <w:rsid w:val="005C31E6"/>
    <w:rsid w:val="005C3479"/>
    <w:rsid w:val="005C376E"/>
    <w:rsid w:val="005C3B44"/>
    <w:rsid w:val="005C43DF"/>
    <w:rsid w:val="005C4816"/>
    <w:rsid w:val="005C5E8D"/>
    <w:rsid w:val="005D00AF"/>
    <w:rsid w:val="005D3E66"/>
    <w:rsid w:val="005E0A69"/>
    <w:rsid w:val="005E1CA4"/>
    <w:rsid w:val="005E459C"/>
    <w:rsid w:val="005E5029"/>
    <w:rsid w:val="005E6299"/>
    <w:rsid w:val="005F2A6A"/>
    <w:rsid w:val="005F3334"/>
    <w:rsid w:val="005F35E4"/>
    <w:rsid w:val="005F46BB"/>
    <w:rsid w:val="005F52DA"/>
    <w:rsid w:val="005F5E49"/>
    <w:rsid w:val="00600CEF"/>
    <w:rsid w:val="00601094"/>
    <w:rsid w:val="00601B4B"/>
    <w:rsid w:val="00603813"/>
    <w:rsid w:val="006048D9"/>
    <w:rsid w:val="0060525D"/>
    <w:rsid w:val="00606B0C"/>
    <w:rsid w:val="00606EDF"/>
    <w:rsid w:val="00607C9F"/>
    <w:rsid w:val="00611002"/>
    <w:rsid w:val="006122C6"/>
    <w:rsid w:val="006128AC"/>
    <w:rsid w:val="0061346B"/>
    <w:rsid w:val="0061542D"/>
    <w:rsid w:val="00620715"/>
    <w:rsid w:val="0062348D"/>
    <w:rsid w:val="00624187"/>
    <w:rsid w:val="00624BD7"/>
    <w:rsid w:val="006252AF"/>
    <w:rsid w:val="00625D66"/>
    <w:rsid w:val="006301E9"/>
    <w:rsid w:val="006304CC"/>
    <w:rsid w:val="00631DEC"/>
    <w:rsid w:val="0063400A"/>
    <w:rsid w:val="00634CC2"/>
    <w:rsid w:val="00635435"/>
    <w:rsid w:val="006357A9"/>
    <w:rsid w:val="00636109"/>
    <w:rsid w:val="00637F2B"/>
    <w:rsid w:val="00640681"/>
    <w:rsid w:val="00643F13"/>
    <w:rsid w:val="00645CAF"/>
    <w:rsid w:val="0064679D"/>
    <w:rsid w:val="00646FBB"/>
    <w:rsid w:val="006476CE"/>
    <w:rsid w:val="006503D3"/>
    <w:rsid w:val="00652E53"/>
    <w:rsid w:val="00654CF6"/>
    <w:rsid w:val="00654F4F"/>
    <w:rsid w:val="00656945"/>
    <w:rsid w:val="00656D00"/>
    <w:rsid w:val="00660BB6"/>
    <w:rsid w:val="00661612"/>
    <w:rsid w:val="00661BA3"/>
    <w:rsid w:val="0066223F"/>
    <w:rsid w:val="00663806"/>
    <w:rsid w:val="00663C55"/>
    <w:rsid w:val="00672187"/>
    <w:rsid w:val="0067483E"/>
    <w:rsid w:val="00674C03"/>
    <w:rsid w:val="0067674F"/>
    <w:rsid w:val="00676AA0"/>
    <w:rsid w:val="00676B2B"/>
    <w:rsid w:val="00677342"/>
    <w:rsid w:val="006774B9"/>
    <w:rsid w:val="00680D25"/>
    <w:rsid w:val="00681700"/>
    <w:rsid w:val="0068230F"/>
    <w:rsid w:val="0068272F"/>
    <w:rsid w:val="00683EF6"/>
    <w:rsid w:val="0068417F"/>
    <w:rsid w:val="0068650D"/>
    <w:rsid w:val="00687E5A"/>
    <w:rsid w:val="00690931"/>
    <w:rsid w:val="006935CB"/>
    <w:rsid w:val="00693C0C"/>
    <w:rsid w:val="00694042"/>
    <w:rsid w:val="0069514B"/>
    <w:rsid w:val="006952B8"/>
    <w:rsid w:val="00696CD1"/>
    <w:rsid w:val="006973A4"/>
    <w:rsid w:val="00697D38"/>
    <w:rsid w:val="006A0153"/>
    <w:rsid w:val="006A0450"/>
    <w:rsid w:val="006A0781"/>
    <w:rsid w:val="006A0A7C"/>
    <w:rsid w:val="006A2FA2"/>
    <w:rsid w:val="006A400A"/>
    <w:rsid w:val="006A433A"/>
    <w:rsid w:val="006A442F"/>
    <w:rsid w:val="006A635D"/>
    <w:rsid w:val="006A6B7E"/>
    <w:rsid w:val="006A76FC"/>
    <w:rsid w:val="006B03BE"/>
    <w:rsid w:val="006B0B13"/>
    <w:rsid w:val="006B10BA"/>
    <w:rsid w:val="006B21F9"/>
    <w:rsid w:val="006B31F9"/>
    <w:rsid w:val="006B34CC"/>
    <w:rsid w:val="006B690E"/>
    <w:rsid w:val="006B70FF"/>
    <w:rsid w:val="006B7FF7"/>
    <w:rsid w:val="006C01BE"/>
    <w:rsid w:val="006C0812"/>
    <w:rsid w:val="006C333E"/>
    <w:rsid w:val="006C668C"/>
    <w:rsid w:val="006D0719"/>
    <w:rsid w:val="006D121D"/>
    <w:rsid w:val="006D1409"/>
    <w:rsid w:val="006D2198"/>
    <w:rsid w:val="006D261C"/>
    <w:rsid w:val="006D29B1"/>
    <w:rsid w:val="006D3D8B"/>
    <w:rsid w:val="006D4326"/>
    <w:rsid w:val="006E00EB"/>
    <w:rsid w:val="006E1B8C"/>
    <w:rsid w:val="006E3D7F"/>
    <w:rsid w:val="006E493C"/>
    <w:rsid w:val="006E7544"/>
    <w:rsid w:val="006E7B32"/>
    <w:rsid w:val="006E7D40"/>
    <w:rsid w:val="006F0012"/>
    <w:rsid w:val="006F083F"/>
    <w:rsid w:val="006F0FCE"/>
    <w:rsid w:val="006F24A7"/>
    <w:rsid w:val="006F31BB"/>
    <w:rsid w:val="006F36D3"/>
    <w:rsid w:val="006F6030"/>
    <w:rsid w:val="006F62A0"/>
    <w:rsid w:val="006F694F"/>
    <w:rsid w:val="006F75D1"/>
    <w:rsid w:val="006F7B4F"/>
    <w:rsid w:val="007019AE"/>
    <w:rsid w:val="00702083"/>
    <w:rsid w:val="00703446"/>
    <w:rsid w:val="007045EC"/>
    <w:rsid w:val="00706077"/>
    <w:rsid w:val="007101F3"/>
    <w:rsid w:val="007118A7"/>
    <w:rsid w:val="00711B4E"/>
    <w:rsid w:val="0071236C"/>
    <w:rsid w:val="007126DF"/>
    <w:rsid w:val="00712968"/>
    <w:rsid w:val="007139E4"/>
    <w:rsid w:val="00714140"/>
    <w:rsid w:val="00716BC0"/>
    <w:rsid w:val="007177BB"/>
    <w:rsid w:val="0072093F"/>
    <w:rsid w:val="00720E8A"/>
    <w:rsid w:val="007213DC"/>
    <w:rsid w:val="0072184F"/>
    <w:rsid w:val="007221B0"/>
    <w:rsid w:val="00722340"/>
    <w:rsid w:val="00722ED6"/>
    <w:rsid w:val="007259C2"/>
    <w:rsid w:val="00727531"/>
    <w:rsid w:val="00727891"/>
    <w:rsid w:val="0073090C"/>
    <w:rsid w:val="00731C02"/>
    <w:rsid w:val="0073200D"/>
    <w:rsid w:val="00732750"/>
    <w:rsid w:val="007335AE"/>
    <w:rsid w:val="007341A1"/>
    <w:rsid w:val="00735B54"/>
    <w:rsid w:val="007364B5"/>
    <w:rsid w:val="00736BF8"/>
    <w:rsid w:val="00737D57"/>
    <w:rsid w:val="00741688"/>
    <w:rsid w:val="007422E5"/>
    <w:rsid w:val="00742ACC"/>
    <w:rsid w:val="0074518B"/>
    <w:rsid w:val="007458B4"/>
    <w:rsid w:val="00746717"/>
    <w:rsid w:val="007467DE"/>
    <w:rsid w:val="00746BDA"/>
    <w:rsid w:val="007503CF"/>
    <w:rsid w:val="00751608"/>
    <w:rsid w:val="007527B8"/>
    <w:rsid w:val="00753361"/>
    <w:rsid w:val="00753FAC"/>
    <w:rsid w:val="0075473A"/>
    <w:rsid w:val="007571EB"/>
    <w:rsid w:val="00757A7B"/>
    <w:rsid w:val="007639EB"/>
    <w:rsid w:val="00763B1F"/>
    <w:rsid w:val="00764437"/>
    <w:rsid w:val="00764D39"/>
    <w:rsid w:val="007664D9"/>
    <w:rsid w:val="007666F9"/>
    <w:rsid w:val="0076736D"/>
    <w:rsid w:val="00772B9E"/>
    <w:rsid w:val="00773D1C"/>
    <w:rsid w:val="00774A96"/>
    <w:rsid w:val="007752BE"/>
    <w:rsid w:val="00775C02"/>
    <w:rsid w:val="007763D4"/>
    <w:rsid w:val="00776877"/>
    <w:rsid w:val="0077740E"/>
    <w:rsid w:val="00777E22"/>
    <w:rsid w:val="0078079A"/>
    <w:rsid w:val="00780954"/>
    <w:rsid w:val="00781498"/>
    <w:rsid w:val="00784A5B"/>
    <w:rsid w:val="007860E3"/>
    <w:rsid w:val="007903B1"/>
    <w:rsid w:val="00791125"/>
    <w:rsid w:val="00791F88"/>
    <w:rsid w:val="00793211"/>
    <w:rsid w:val="0079480A"/>
    <w:rsid w:val="0079589E"/>
    <w:rsid w:val="00795DE4"/>
    <w:rsid w:val="00796E32"/>
    <w:rsid w:val="007978BC"/>
    <w:rsid w:val="007A2910"/>
    <w:rsid w:val="007A3035"/>
    <w:rsid w:val="007A5697"/>
    <w:rsid w:val="007A6D30"/>
    <w:rsid w:val="007A74A8"/>
    <w:rsid w:val="007A7822"/>
    <w:rsid w:val="007B00C4"/>
    <w:rsid w:val="007B0587"/>
    <w:rsid w:val="007B2825"/>
    <w:rsid w:val="007B3FE7"/>
    <w:rsid w:val="007B4D43"/>
    <w:rsid w:val="007B4D6A"/>
    <w:rsid w:val="007B4F61"/>
    <w:rsid w:val="007B61EA"/>
    <w:rsid w:val="007B6685"/>
    <w:rsid w:val="007B6B90"/>
    <w:rsid w:val="007C040B"/>
    <w:rsid w:val="007C0B23"/>
    <w:rsid w:val="007C0C37"/>
    <w:rsid w:val="007C1804"/>
    <w:rsid w:val="007C273F"/>
    <w:rsid w:val="007C2BEF"/>
    <w:rsid w:val="007C3478"/>
    <w:rsid w:val="007C474E"/>
    <w:rsid w:val="007C49F6"/>
    <w:rsid w:val="007C701D"/>
    <w:rsid w:val="007C722A"/>
    <w:rsid w:val="007D1948"/>
    <w:rsid w:val="007D1A2E"/>
    <w:rsid w:val="007D23BF"/>
    <w:rsid w:val="007D242B"/>
    <w:rsid w:val="007D60DB"/>
    <w:rsid w:val="007D615F"/>
    <w:rsid w:val="007E03D6"/>
    <w:rsid w:val="007E05FE"/>
    <w:rsid w:val="007E0C57"/>
    <w:rsid w:val="007E38C5"/>
    <w:rsid w:val="007E4474"/>
    <w:rsid w:val="007E5512"/>
    <w:rsid w:val="007F0022"/>
    <w:rsid w:val="007F062B"/>
    <w:rsid w:val="007F172A"/>
    <w:rsid w:val="007F2C5A"/>
    <w:rsid w:val="007F3B04"/>
    <w:rsid w:val="007F403B"/>
    <w:rsid w:val="007F5123"/>
    <w:rsid w:val="00800176"/>
    <w:rsid w:val="00800F3F"/>
    <w:rsid w:val="00801882"/>
    <w:rsid w:val="00802408"/>
    <w:rsid w:val="00803143"/>
    <w:rsid w:val="00803D6E"/>
    <w:rsid w:val="00805591"/>
    <w:rsid w:val="0080647C"/>
    <w:rsid w:val="0080693E"/>
    <w:rsid w:val="00807B06"/>
    <w:rsid w:val="00807C1A"/>
    <w:rsid w:val="008100C8"/>
    <w:rsid w:val="00813ACF"/>
    <w:rsid w:val="00816635"/>
    <w:rsid w:val="00817670"/>
    <w:rsid w:val="00822EE4"/>
    <w:rsid w:val="00823E69"/>
    <w:rsid w:val="00824A67"/>
    <w:rsid w:val="00825B11"/>
    <w:rsid w:val="00826DF6"/>
    <w:rsid w:val="0082761A"/>
    <w:rsid w:val="00830124"/>
    <w:rsid w:val="0083055C"/>
    <w:rsid w:val="00830C0A"/>
    <w:rsid w:val="00830C2C"/>
    <w:rsid w:val="00831A1E"/>
    <w:rsid w:val="00831EEF"/>
    <w:rsid w:val="00832151"/>
    <w:rsid w:val="00832600"/>
    <w:rsid w:val="008332D9"/>
    <w:rsid w:val="0083386A"/>
    <w:rsid w:val="00833C7A"/>
    <w:rsid w:val="008353C5"/>
    <w:rsid w:val="00835672"/>
    <w:rsid w:val="00836244"/>
    <w:rsid w:val="0083704D"/>
    <w:rsid w:val="00837183"/>
    <w:rsid w:val="0084216B"/>
    <w:rsid w:val="008425DA"/>
    <w:rsid w:val="0084342C"/>
    <w:rsid w:val="00843B4D"/>
    <w:rsid w:val="00844B72"/>
    <w:rsid w:val="00844F9C"/>
    <w:rsid w:val="00845109"/>
    <w:rsid w:val="0084646F"/>
    <w:rsid w:val="00846CB3"/>
    <w:rsid w:val="00846FB4"/>
    <w:rsid w:val="00847253"/>
    <w:rsid w:val="008473B4"/>
    <w:rsid w:val="008504A3"/>
    <w:rsid w:val="00851EBD"/>
    <w:rsid w:val="0085290E"/>
    <w:rsid w:val="00852F78"/>
    <w:rsid w:val="00853475"/>
    <w:rsid w:val="00853EBB"/>
    <w:rsid w:val="008544E4"/>
    <w:rsid w:val="00854E96"/>
    <w:rsid w:val="00857A7A"/>
    <w:rsid w:val="00861FDD"/>
    <w:rsid w:val="0086227A"/>
    <w:rsid w:val="00862960"/>
    <w:rsid w:val="00863AA8"/>
    <w:rsid w:val="00864825"/>
    <w:rsid w:val="00864889"/>
    <w:rsid w:val="0086555B"/>
    <w:rsid w:val="0086783C"/>
    <w:rsid w:val="00867E44"/>
    <w:rsid w:val="00870D02"/>
    <w:rsid w:val="00870D28"/>
    <w:rsid w:val="00872E0F"/>
    <w:rsid w:val="00874F20"/>
    <w:rsid w:val="00876F9E"/>
    <w:rsid w:val="008772DE"/>
    <w:rsid w:val="00877FCD"/>
    <w:rsid w:val="00880BA2"/>
    <w:rsid w:val="00880F39"/>
    <w:rsid w:val="00881BD6"/>
    <w:rsid w:val="00882AB7"/>
    <w:rsid w:val="0088413D"/>
    <w:rsid w:val="0088575E"/>
    <w:rsid w:val="00885CAF"/>
    <w:rsid w:val="0088635F"/>
    <w:rsid w:val="00887B05"/>
    <w:rsid w:val="00887BAC"/>
    <w:rsid w:val="008922FC"/>
    <w:rsid w:val="00892596"/>
    <w:rsid w:val="008926FB"/>
    <w:rsid w:val="00892ACF"/>
    <w:rsid w:val="00892CD3"/>
    <w:rsid w:val="0089353F"/>
    <w:rsid w:val="00894799"/>
    <w:rsid w:val="00896EAB"/>
    <w:rsid w:val="008A28D6"/>
    <w:rsid w:val="008A3C15"/>
    <w:rsid w:val="008B0795"/>
    <w:rsid w:val="008B0C0F"/>
    <w:rsid w:val="008B1462"/>
    <w:rsid w:val="008B30E9"/>
    <w:rsid w:val="008B4D49"/>
    <w:rsid w:val="008B4DF5"/>
    <w:rsid w:val="008B4E7B"/>
    <w:rsid w:val="008B52CF"/>
    <w:rsid w:val="008B558C"/>
    <w:rsid w:val="008B6C7E"/>
    <w:rsid w:val="008B6E7A"/>
    <w:rsid w:val="008C0D8A"/>
    <w:rsid w:val="008C113C"/>
    <w:rsid w:val="008C163F"/>
    <w:rsid w:val="008C1984"/>
    <w:rsid w:val="008C1FE0"/>
    <w:rsid w:val="008C2F91"/>
    <w:rsid w:val="008C30C4"/>
    <w:rsid w:val="008C3213"/>
    <w:rsid w:val="008C3BF5"/>
    <w:rsid w:val="008C4534"/>
    <w:rsid w:val="008C502A"/>
    <w:rsid w:val="008D0BF3"/>
    <w:rsid w:val="008D2503"/>
    <w:rsid w:val="008D3AB5"/>
    <w:rsid w:val="008D3E2A"/>
    <w:rsid w:val="008D54FB"/>
    <w:rsid w:val="008D556A"/>
    <w:rsid w:val="008D5B43"/>
    <w:rsid w:val="008E1266"/>
    <w:rsid w:val="008E20C4"/>
    <w:rsid w:val="008E2C0E"/>
    <w:rsid w:val="008E2F2D"/>
    <w:rsid w:val="008E411E"/>
    <w:rsid w:val="008E4653"/>
    <w:rsid w:val="008E4EA4"/>
    <w:rsid w:val="008E4EF3"/>
    <w:rsid w:val="008E6170"/>
    <w:rsid w:val="008E7A24"/>
    <w:rsid w:val="008F1B24"/>
    <w:rsid w:val="008F1C48"/>
    <w:rsid w:val="008F37B6"/>
    <w:rsid w:val="008F3FF3"/>
    <w:rsid w:val="008F5667"/>
    <w:rsid w:val="008F57E9"/>
    <w:rsid w:val="008F67CB"/>
    <w:rsid w:val="008F74C8"/>
    <w:rsid w:val="009003BF"/>
    <w:rsid w:val="00903686"/>
    <w:rsid w:val="00903D0C"/>
    <w:rsid w:val="009108B8"/>
    <w:rsid w:val="00910F76"/>
    <w:rsid w:val="00912020"/>
    <w:rsid w:val="009132F4"/>
    <w:rsid w:val="009155A9"/>
    <w:rsid w:val="00915A2F"/>
    <w:rsid w:val="00917E2A"/>
    <w:rsid w:val="00921907"/>
    <w:rsid w:val="00921CD0"/>
    <w:rsid w:val="00923223"/>
    <w:rsid w:val="009238FC"/>
    <w:rsid w:val="00924003"/>
    <w:rsid w:val="00924FDF"/>
    <w:rsid w:val="00927BA0"/>
    <w:rsid w:val="00927E3C"/>
    <w:rsid w:val="009300DD"/>
    <w:rsid w:val="00930CF2"/>
    <w:rsid w:val="00930FF5"/>
    <w:rsid w:val="00931497"/>
    <w:rsid w:val="009344B9"/>
    <w:rsid w:val="00935A41"/>
    <w:rsid w:val="00935B11"/>
    <w:rsid w:val="009361D3"/>
    <w:rsid w:val="00936F46"/>
    <w:rsid w:val="00937AD9"/>
    <w:rsid w:val="0094375E"/>
    <w:rsid w:val="009462AE"/>
    <w:rsid w:val="0094685A"/>
    <w:rsid w:val="00947CAF"/>
    <w:rsid w:val="0095087E"/>
    <w:rsid w:val="00953CE9"/>
    <w:rsid w:val="00954BE0"/>
    <w:rsid w:val="00954C60"/>
    <w:rsid w:val="00955A1E"/>
    <w:rsid w:val="00956D3B"/>
    <w:rsid w:val="00957571"/>
    <w:rsid w:val="00960ACF"/>
    <w:rsid w:val="00961017"/>
    <w:rsid w:val="00961335"/>
    <w:rsid w:val="00962093"/>
    <w:rsid w:val="009627DA"/>
    <w:rsid w:val="00962E56"/>
    <w:rsid w:val="00964046"/>
    <w:rsid w:val="00964EE9"/>
    <w:rsid w:val="00966799"/>
    <w:rsid w:val="00966A7C"/>
    <w:rsid w:val="00967B35"/>
    <w:rsid w:val="00970DAE"/>
    <w:rsid w:val="00976721"/>
    <w:rsid w:val="00977701"/>
    <w:rsid w:val="00977CE1"/>
    <w:rsid w:val="00984280"/>
    <w:rsid w:val="00985AC0"/>
    <w:rsid w:val="009867A9"/>
    <w:rsid w:val="00987D75"/>
    <w:rsid w:val="009909B4"/>
    <w:rsid w:val="009914FD"/>
    <w:rsid w:val="00991D23"/>
    <w:rsid w:val="00991DED"/>
    <w:rsid w:val="00992892"/>
    <w:rsid w:val="009975B4"/>
    <w:rsid w:val="009A2408"/>
    <w:rsid w:val="009A3D01"/>
    <w:rsid w:val="009A3ECA"/>
    <w:rsid w:val="009A3FFB"/>
    <w:rsid w:val="009A4BD7"/>
    <w:rsid w:val="009A5BFA"/>
    <w:rsid w:val="009A77F2"/>
    <w:rsid w:val="009B1192"/>
    <w:rsid w:val="009B4BC4"/>
    <w:rsid w:val="009B69B0"/>
    <w:rsid w:val="009B6C8D"/>
    <w:rsid w:val="009B6F6E"/>
    <w:rsid w:val="009C052A"/>
    <w:rsid w:val="009C0D24"/>
    <w:rsid w:val="009C1978"/>
    <w:rsid w:val="009C243B"/>
    <w:rsid w:val="009C2E52"/>
    <w:rsid w:val="009C492E"/>
    <w:rsid w:val="009C5742"/>
    <w:rsid w:val="009C634D"/>
    <w:rsid w:val="009D09B2"/>
    <w:rsid w:val="009D1894"/>
    <w:rsid w:val="009D1FDE"/>
    <w:rsid w:val="009D4825"/>
    <w:rsid w:val="009D7A62"/>
    <w:rsid w:val="009D7E3A"/>
    <w:rsid w:val="009E0E6F"/>
    <w:rsid w:val="009E48AA"/>
    <w:rsid w:val="009E5EE5"/>
    <w:rsid w:val="009E724C"/>
    <w:rsid w:val="009E751E"/>
    <w:rsid w:val="009F005A"/>
    <w:rsid w:val="009F060E"/>
    <w:rsid w:val="009F0AAF"/>
    <w:rsid w:val="009F158C"/>
    <w:rsid w:val="009F2731"/>
    <w:rsid w:val="009F29FF"/>
    <w:rsid w:val="009F62C3"/>
    <w:rsid w:val="009F6B33"/>
    <w:rsid w:val="009F7546"/>
    <w:rsid w:val="00A009E1"/>
    <w:rsid w:val="00A00F92"/>
    <w:rsid w:val="00A03285"/>
    <w:rsid w:val="00A049BB"/>
    <w:rsid w:val="00A04CAD"/>
    <w:rsid w:val="00A054E9"/>
    <w:rsid w:val="00A05EBA"/>
    <w:rsid w:val="00A06538"/>
    <w:rsid w:val="00A0779C"/>
    <w:rsid w:val="00A10E9E"/>
    <w:rsid w:val="00A10EE8"/>
    <w:rsid w:val="00A122BB"/>
    <w:rsid w:val="00A124C4"/>
    <w:rsid w:val="00A127F5"/>
    <w:rsid w:val="00A128C2"/>
    <w:rsid w:val="00A15221"/>
    <w:rsid w:val="00A15782"/>
    <w:rsid w:val="00A166D9"/>
    <w:rsid w:val="00A171FE"/>
    <w:rsid w:val="00A174BA"/>
    <w:rsid w:val="00A17910"/>
    <w:rsid w:val="00A17CA6"/>
    <w:rsid w:val="00A17E00"/>
    <w:rsid w:val="00A20702"/>
    <w:rsid w:val="00A20DAE"/>
    <w:rsid w:val="00A20FCF"/>
    <w:rsid w:val="00A21FEB"/>
    <w:rsid w:val="00A22B25"/>
    <w:rsid w:val="00A23187"/>
    <w:rsid w:val="00A236B9"/>
    <w:rsid w:val="00A23A14"/>
    <w:rsid w:val="00A23AA3"/>
    <w:rsid w:val="00A23B5F"/>
    <w:rsid w:val="00A2770E"/>
    <w:rsid w:val="00A3278F"/>
    <w:rsid w:val="00A33A06"/>
    <w:rsid w:val="00A3443B"/>
    <w:rsid w:val="00A344A7"/>
    <w:rsid w:val="00A358EB"/>
    <w:rsid w:val="00A37343"/>
    <w:rsid w:val="00A4267A"/>
    <w:rsid w:val="00A4388C"/>
    <w:rsid w:val="00A43908"/>
    <w:rsid w:val="00A448BE"/>
    <w:rsid w:val="00A4567F"/>
    <w:rsid w:val="00A45C1D"/>
    <w:rsid w:val="00A45F50"/>
    <w:rsid w:val="00A46714"/>
    <w:rsid w:val="00A528D0"/>
    <w:rsid w:val="00A52F54"/>
    <w:rsid w:val="00A541EA"/>
    <w:rsid w:val="00A54843"/>
    <w:rsid w:val="00A5593E"/>
    <w:rsid w:val="00A566D5"/>
    <w:rsid w:val="00A56AC5"/>
    <w:rsid w:val="00A57715"/>
    <w:rsid w:val="00A57B1E"/>
    <w:rsid w:val="00A64CCC"/>
    <w:rsid w:val="00A6732B"/>
    <w:rsid w:val="00A6791F"/>
    <w:rsid w:val="00A70562"/>
    <w:rsid w:val="00A708ED"/>
    <w:rsid w:val="00A72122"/>
    <w:rsid w:val="00A722F2"/>
    <w:rsid w:val="00A75977"/>
    <w:rsid w:val="00A76125"/>
    <w:rsid w:val="00A76434"/>
    <w:rsid w:val="00A83C8B"/>
    <w:rsid w:val="00A84845"/>
    <w:rsid w:val="00A863E6"/>
    <w:rsid w:val="00A86830"/>
    <w:rsid w:val="00A86BBC"/>
    <w:rsid w:val="00A939FC"/>
    <w:rsid w:val="00A942DF"/>
    <w:rsid w:val="00A96587"/>
    <w:rsid w:val="00A96DDB"/>
    <w:rsid w:val="00AA0DFF"/>
    <w:rsid w:val="00AA2D5C"/>
    <w:rsid w:val="00AA37F9"/>
    <w:rsid w:val="00AA3F24"/>
    <w:rsid w:val="00AA48DB"/>
    <w:rsid w:val="00AA6D6C"/>
    <w:rsid w:val="00AA7036"/>
    <w:rsid w:val="00AA76E0"/>
    <w:rsid w:val="00AB0A91"/>
    <w:rsid w:val="00AB288E"/>
    <w:rsid w:val="00AB4907"/>
    <w:rsid w:val="00AB4B93"/>
    <w:rsid w:val="00AB7BC7"/>
    <w:rsid w:val="00AC0555"/>
    <w:rsid w:val="00AC19D2"/>
    <w:rsid w:val="00AC39B2"/>
    <w:rsid w:val="00AC3CE1"/>
    <w:rsid w:val="00AC3F2C"/>
    <w:rsid w:val="00AC5C4C"/>
    <w:rsid w:val="00AC5E26"/>
    <w:rsid w:val="00AD183F"/>
    <w:rsid w:val="00AD1E46"/>
    <w:rsid w:val="00AD5827"/>
    <w:rsid w:val="00AD5D52"/>
    <w:rsid w:val="00AD62B3"/>
    <w:rsid w:val="00AD6419"/>
    <w:rsid w:val="00AD664C"/>
    <w:rsid w:val="00AD6C25"/>
    <w:rsid w:val="00AD725B"/>
    <w:rsid w:val="00AD770E"/>
    <w:rsid w:val="00AD79DB"/>
    <w:rsid w:val="00AE170B"/>
    <w:rsid w:val="00AE1C40"/>
    <w:rsid w:val="00AE1CDC"/>
    <w:rsid w:val="00AE5D73"/>
    <w:rsid w:val="00AF043B"/>
    <w:rsid w:val="00AF115A"/>
    <w:rsid w:val="00AF1A28"/>
    <w:rsid w:val="00AF39AF"/>
    <w:rsid w:val="00AF4078"/>
    <w:rsid w:val="00AF4596"/>
    <w:rsid w:val="00AF5436"/>
    <w:rsid w:val="00AF62B4"/>
    <w:rsid w:val="00AF643A"/>
    <w:rsid w:val="00B01BE8"/>
    <w:rsid w:val="00B03681"/>
    <w:rsid w:val="00B0516F"/>
    <w:rsid w:val="00B0648B"/>
    <w:rsid w:val="00B0788D"/>
    <w:rsid w:val="00B10422"/>
    <w:rsid w:val="00B128F3"/>
    <w:rsid w:val="00B12E42"/>
    <w:rsid w:val="00B1458C"/>
    <w:rsid w:val="00B15064"/>
    <w:rsid w:val="00B16693"/>
    <w:rsid w:val="00B16FEB"/>
    <w:rsid w:val="00B174A4"/>
    <w:rsid w:val="00B208FC"/>
    <w:rsid w:val="00B21CD1"/>
    <w:rsid w:val="00B23AF3"/>
    <w:rsid w:val="00B245B8"/>
    <w:rsid w:val="00B245BE"/>
    <w:rsid w:val="00B26FE7"/>
    <w:rsid w:val="00B3135E"/>
    <w:rsid w:val="00B3595D"/>
    <w:rsid w:val="00B35BA3"/>
    <w:rsid w:val="00B36247"/>
    <w:rsid w:val="00B36260"/>
    <w:rsid w:val="00B36360"/>
    <w:rsid w:val="00B40276"/>
    <w:rsid w:val="00B40CB7"/>
    <w:rsid w:val="00B41173"/>
    <w:rsid w:val="00B41738"/>
    <w:rsid w:val="00B41B5C"/>
    <w:rsid w:val="00B41E08"/>
    <w:rsid w:val="00B43318"/>
    <w:rsid w:val="00B4362D"/>
    <w:rsid w:val="00B43BE5"/>
    <w:rsid w:val="00B43F73"/>
    <w:rsid w:val="00B44BA2"/>
    <w:rsid w:val="00B45AEE"/>
    <w:rsid w:val="00B471FD"/>
    <w:rsid w:val="00B50EB6"/>
    <w:rsid w:val="00B52690"/>
    <w:rsid w:val="00B527B1"/>
    <w:rsid w:val="00B52ABC"/>
    <w:rsid w:val="00B52BCB"/>
    <w:rsid w:val="00B52BDF"/>
    <w:rsid w:val="00B5396F"/>
    <w:rsid w:val="00B564D2"/>
    <w:rsid w:val="00B57137"/>
    <w:rsid w:val="00B57921"/>
    <w:rsid w:val="00B606E2"/>
    <w:rsid w:val="00B60C6E"/>
    <w:rsid w:val="00B6177A"/>
    <w:rsid w:val="00B62C19"/>
    <w:rsid w:val="00B62D07"/>
    <w:rsid w:val="00B62F5D"/>
    <w:rsid w:val="00B63854"/>
    <w:rsid w:val="00B6413B"/>
    <w:rsid w:val="00B6458E"/>
    <w:rsid w:val="00B646E8"/>
    <w:rsid w:val="00B64743"/>
    <w:rsid w:val="00B66A48"/>
    <w:rsid w:val="00B66E43"/>
    <w:rsid w:val="00B70C05"/>
    <w:rsid w:val="00B70D16"/>
    <w:rsid w:val="00B73B6F"/>
    <w:rsid w:val="00B74BB5"/>
    <w:rsid w:val="00B74BD1"/>
    <w:rsid w:val="00B75E8A"/>
    <w:rsid w:val="00B831D7"/>
    <w:rsid w:val="00B83525"/>
    <w:rsid w:val="00B83702"/>
    <w:rsid w:val="00B847F1"/>
    <w:rsid w:val="00B852CF"/>
    <w:rsid w:val="00B85A88"/>
    <w:rsid w:val="00B86BF1"/>
    <w:rsid w:val="00B8773D"/>
    <w:rsid w:val="00B91E25"/>
    <w:rsid w:val="00B960FC"/>
    <w:rsid w:val="00B96B13"/>
    <w:rsid w:val="00BA5931"/>
    <w:rsid w:val="00BA643D"/>
    <w:rsid w:val="00BA77B1"/>
    <w:rsid w:val="00BA7E6C"/>
    <w:rsid w:val="00BB0533"/>
    <w:rsid w:val="00BB2382"/>
    <w:rsid w:val="00BB5965"/>
    <w:rsid w:val="00BB6ABE"/>
    <w:rsid w:val="00BB6C34"/>
    <w:rsid w:val="00BB6E73"/>
    <w:rsid w:val="00BC039C"/>
    <w:rsid w:val="00BC0679"/>
    <w:rsid w:val="00BC0BF6"/>
    <w:rsid w:val="00BC299D"/>
    <w:rsid w:val="00BC4002"/>
    <w:rsid w:val="00BC4039"/>
    <w:rsid w:val="00BC4788"/>
    <w:rsid w:val="00BC6999"/>
    <w:rsid w:val="00BD1BFA"/>
    <w:rsid w:val="00BD218F"/>
    <w:rsid w:val="00BD239B"/>
    <w:rsid w:val="00BD2CBA"/>
    <w:rsid w:val="00BD3046"/>
    <w:rsid w:val="00BD424B"/>
    <w:rsid w:val="00BD6F8F"/>
    <w:rsid w:val="00BD75C8"/>
    <w:rsid w:val="00BD7A67"/>
    <w:rsid w:val="00BE2DCA"/>
    <w:rsid w:val="00BE3415"/>
    <w:rsid w:val="00BE47A9"/>
    <w:rsid w:val="00BE56CF"/>
    <w:rsid w:val="00BE73AA"/>
    <w:rsid w:val="00BF0008"/>
    <w:rsid w:val="00BF01FE"/>
    <w:rsid w:val="00BF0B43"/>
    <w:rsid w:val="00BF2141"/>
    <w:rsid w:val="00BF2DEB"/>
    <w:rsid w:val="00BF3BDE"/>
    <w:rsid w:val="00BF53AE"/>
    <w:rsid w:val="00BF58A6"/>
    <w:rsid w:val="00BF58FE"/>
    <w:rsid w:val="00C0020E"/>
    <w:rsid w:val="00C00D89"/>
    <w:rsid w:val="00C01E54"/>
    <w:rsid w:val="00C027B9"/>
    <w:rsid w:val="00C03316"/>
    <w:rsid w:val="00C04CEB"/>
    <w:rsid w:val="00C063BE"/>
    <w:rsid w:val="00C07CE5"/>
    <w:rsid w:val="00C07D8B"/>
    <w:rsid w:val="00C1099A"/>
    <w:rsid w:val="00C10A2A"/>
    <w:rsid w:val="00C1144E"/>
    <w:rsid w:val="00C1173F"/>
    <w:rsid w:val="00C118AB"/>
    <w:rsid w:val="00C141CF"/>
    <w:rsid w:val="00C16670"/>
    <w:rsid w:val="00C17EE9"/>
    <w:rsid w:val="00C22DF3"/>
    <w:rsid w:val="00C234C3"/>
    <w:rsid w:val="00C247F6"/>
    <w:rsid w:val="00C24D58"/>
    <w:rsid w:val="00C259D0"/>
    <w:rsid w:val="00C27231"/>
    <w:rsid w:val="00C274DF"/>
    <w:rsid w:val="00C34E2D"/>
    <w:rsid w:val="00C35F1A"/>
    <w:rsid w:val="00C360E7"/>
    <w:rsid w:val="00C368A2"/>
    <w:rsid w:val="00C40A53"/>
    <w:rsid w:val="00C416FC"/>
    <w:rsid w:val="00C4176C"/>
    <w:rsid w:val="00C42190"/>
    <w:rsid w:val="00C4331A"/>
    <w:rsid w:val="00C44F54"/>
    <w:rsid w:val="00C45F02"/>
    <w:rsid w:val="00C5138C"/>
    <w:rsid w:val="00C51FE2"/>
    <w:rsid w:val="00C52A8C"/>
    <w:rsid w:val="00C52F0D"/>
    <w:rsid w:val="00C536D8"/>
    <w:rsid w:val="00C55CB4"/>
    <w:rsid w:val="00C55E63"/>
    <w:rsid w:val="00C55F5D"/>
    <w:rsid w:val="00C5670D"/>
    <w:rsid w:val="00C567BC"/>
    <w:rsid w:val="00C60C03"/>
    <w:rsid w:val="00C61906"/>
    <w:rsid w:val="00C645F4"/>
    <w:rsid w:val="00C64A1E"/>
    <w:rsid w:val="00C65A0F"/>
    <w:rsid w:val="00C65E61"/>
    <w:rsid w:val="00C66416"/>
    <w:rsid w:val="00C664E8"/>
    <w:rsid w:val="00C6720B"/>
    <w:rsid w:val="00C72249"/>
    <w:rsid w:val="00C74F5D"/>
    <w:rsid w:val="00C75C2F"/>
    <w:rsid w:val="00C7722F"/>
    <w:rsid w:val="00C777EC"/>
    <w:rsid w:val="00C7784E"/>
    <w:rsid w:val="00C80836"/>
    <w:rsid w:val="00C828E7"/>
    <w:rsid w:val="00C83E44"/>
    <w:rsid w:val="00C85FB7"/>
    <w:rsid w:val="00C86EF1"/>
    <w:rsid w:val="00C87051"/>
    <w:rsid w:val="00C90158"/>
    <w:rsid w:val="00C90A1E"/>
    <w:rsid w:val="00C91C7A"/>
    <w:rsid w:val="00C92185"/>
    <w:rsid w:val="00C92B14"/>
    <w:rsid w:val="00C92DC5"/>
    <w:rsid w:val="00CA138A"/>
    <w:rsid w:val="00CA1D95"/>
    <w:rsid w:val="00CA2B62"/>
    <w:rsid w:val="00CA2BFC"/>
    <w:rsid w:val="00CA3030"/>
    <w:rsid w:val="00CA3CD3"/>
    <w:rsid w:val="00CA5876"/>
    <w:rsid w:val="00CA5B5B"/>
    <w:rsid w:val="00CA647B"/>
    <w:rsid w:val="00CA6AF6"/>
    <w:rsid w:val="00CB0495"/>
    <w:rsid w:val="00CB0CCF"/>
    <w:rsid w:val="00CB10D9"/>
    <w:rsid w:val="00CB3857"/>
    <w:rsid w:val="00CB3E3D"/>
    <w:rsid w:val="00CB6BC2"/>
    <w:rsid w:val="00CC01B0"/>
    <w:rsid w:val="00CC1044"/>
    <w:rsid w:val="00CC3BF3"/>
    <w:rsid w:val="00CC3FAB"/>
    <w:rsid w:val="00CC4D44"/>
    <w:rsid w:val="00CC51D2"/>
    <w:rsid w:val="00CD15B3"/>
    <w:rsid w:val="00CD1D11"/>
    <w:rsid w:val="00CD2114"/>
    <w:rsid w:val="00CD345C"/>
    <w:rsid w:val="00CD36E4"/>
    <w:rsid w:val="00CD3DEF"/>
    <w:rsid w:val="00CD5A74"/>
    <w:rsid w:val="00CD76FF"/>
    <w:rsid w:val="00CE03A7"/>
    <w:rsid w:val="00CE2CF9"/>
    <w:rsid w:val="00CE64EF"/>
    <w:rsid w:val="00CF07A6"/>
    <w:rsid w:val="00CF0FFE"/>
    <w:rsid w:val="00CF135B"/>
    <w:rsid w:val="00CF1853"/>
    <w:rsid w:val="00CF285E"/>
    <w:rsid w:val="00CF52B0"/>
    <w:rsid w:val="00CF586B"/>
    <w:rsid w:val="00CF5ADF"/>
    <w:rsid w:val="00CF715C"/>
    <w:rsid w:val="00CF7CF7"/>
    <w:rsid w:val="00D017ED"/>
    <w:rsid w:val="00D02F8E"/>
    <w:rsid w:val="00D0319A"/>
    <w:rsid w:val="00D03518"/>
    <w:rsid w:val="00D03886"/>
    <w:rsid w:val="00D04463"/>
    <w:rsid w:val="00D04600"/>
    <w:rsid w:val="00D10749"/>
    <w:rsid w:val="00D1163E"/>
    <w:rsid w:val="00D138FC"/>
    <w:rsid w:val="00D13DFA"/>
    <w:rsid w:val="00D14426"/>
    <w:rsid w:val="00D15918"/>
    <w:rsid w:val="00D205A8"/>
    <w:rsid w:val="00D23B2E"/>
    <w:rsid w:val="00D27127"/>
    <w:rsid w:val="00D27C79"/>
    <w:rsid w:val="00D302FB"/>
    <w:rsid w:val="00D3057D"/>
    <w:rsid w:val="00D32E9D"/>
    <w:rsid w:val="00D34579"/>
    <w:rsid w:val="00D351D3"/>
    <w:rsid w:val="00D36FB1"/>
    <w:rsid w:val="00D4087B"/>
    <w:rsid w:val="00D419D8"/>
    <w:rsid w:val="00D423C9"/>
    <w:rsid w:val="00D43ECE"/>
    <w:rsid w:val="00D43EFF"/>
    <w:rsid w:val="00D4423F"/>
    <w:rsid w:val="00D446D8"/>
    <w:rsid w:val="00D44CD7"/>
    <w:rsid w:val="00D4737E"/>
    <w:rsid w:val="00D47A8B"/>
    <w:rsid w:val="00D5050A"/>
    <w:rsid w:val="00D5051C"/>
    <w:rsid w:val="00D50CCA"/>
    <w:rsid w:val="00D51443"/>
    <w:rsid w:val="00D52343"/>
    <w:rsid w:val="00D52AB7"/>
    <w:rsid w:val="00D53374"/>
    <w:rsid w:val="00D54B6D"/>
    <w:rsid w:val="00D61239"/>
    <w:rsid w:val="00D613DA"/>
    <w:rsid w:val="00D61F9E"/>
    <w:rsid w:val="00D625A1"/>
    <w:rsid w:val="00D6460B"/>
    <w:rsid w:val="00D65CE2"/>
    <w:rsid w:val="00D674CF"/>
    <w:rsid w:val="00D67AB8"/>
    <w:rsid w:val="00D70374"/>
    <w:rsid w:val="00D72480"/>
    <w:rsid w:val="00D727E0"/>
    <w:rsid w:val="00D7295D"/>
    <w:rsid w:val="00D74F27"/>
    <w:rsid w:val="00D76010"/>
    <w:rsid w:val="00D76B39"/>
    <w:rsid w:val="00D80DD9"/>
    <w:rsid w:val="00D81FA7"/>
    <w:rsid w:val="00D82CE9"/>
    <w:rsid w:val="00D84AF4"/>
    <w:rsid w:val="00D85C23"/>
    <w:rsid w:val="00D85C78"/>
    <w:rsid w:val="00D85DE0"/>
    <w:rsid w:val="00D90426"/>
    <w:rsid w:val="00D90EE7"/>
    <w:rsid w:val="00D9189A"/>
    <w:rsid w:val="00D922E2"/>
    <w:rsid w:val="00D93066"/>
    <w:rsid w:val="00D95BAC"/>
    <w:rsid w:val="00D97E11"/>
    <w:rsid w:val="00DA13A4"/>
    <w:rsid w:val="00DA3526"/>
    <w:rsid w:val="00DA3C07"/>
    <w:rsid w:val="00DA4641"/>
    <w:rsid w:val="00DA79FF"/>
    <w:rsid w:val="00DB02DB"/>
    <w:rsid w:val="00DB1AD7"/>
    <w:rsid w:val="00DB1E2B"/>
    <w:rsid w:val="00DB2042"/>
    <w:rsid w:val="00DB2E4F"/>
    <w:rsid w:val="00DB6242"/>
    <w:rsid w:val="00DC32A5"/>
    <w:rsid w:val="00DC360B"/>
    <w:rsid w:val="00DC426A"/>
    <w:rsid w:val="00DC4D7D"/>
    <w:rsid w:val="00DC576B"/>
    <w:rsid w:val="00DD0B03"/>
    <w:rsid w:val="00DD3430"/>
    <w:rsid w:val="00DD4DEB"/>
    <w:rsid w:val="00DD5298"/>
    <w:rsid w:val="00DD5BAF"/>
    <w:rsid w:val="00DD5D0F"/>
    <w:rsid w:val="00DD7056"/>
    <w:rsid w:val="00DD73F2"/>
    <w:rsid w:val="00DD763F"/>
    <w:rsid w:val="00DD77AD"/>
    <w:rsid w:val="00DD7900"/>
    <w:rsid w:val="00DD7AE2"/>
    <w:rsid w:val="00DE1CA0"/>
    <w:rsid w:val="00DE32C9"/>
    <w:rsid w:val="00DE3AB2"/>
    <w:rsid w:val="00DE7E64"/>
    <w:rsid w:val="00DF05DB"/>
    <w:rsid w:val="00DF4FB8"/>
    <w:rsid w:val="00DF5142"/>
    <w:rsid w:val="00DF6EF6"/>
    <w:rsid w:val="00DF7ECE"/>
    <w:rsid w:val="00E00F42"/>
    <w:rsid w:val="00E014A6"/>
    <w:rsid w:val="00E01B2F"/>
    <w:rsid w:val="00E02272"/>
    <w:rsid w:val="00E027AE"/>
    <w:rsid w:val="00E02CEA"/>
    <w:rsid w:val="00E0387F"/>
    <w:rsid w:val="00E03CD9"/>
    <w:rsid w:val="00E04D4B"/>
    <w:rsid w:val="00E06192"/>
    <w:rsid w:val="00E070B5"/>
    <w:rsid w:val="00E0726B"/>
    <w:rsid w:val="00E10C80"/>
    <w:rsid w:val="00E12A33"/>
    <w:rsid w:val="00E13411"/>
    <w:rsid w:val="00E1366E"/>
    <w:rsid w:val="00E152BA"/>
    <w:rsid w:val="00E16141"/>
    <w:rsid w:val="00E16994"/>
    <w:rsid w:val="00E16B35"/>
    <w:rsid w:val="00E17DAE"/>
    <w:rsid w:val="00E2216C"/>
    <w:rsid w:val="00E2351F"/>
    <w:rsid w:val="00E24F8B"/>
    <w:rsid w:val="00E25817"/>
    <w:rsid w:val="00E259F3"/>
    <w:rsid w:val="00E26533"/>
    <w:rsid w:val="00E303F7"/>
    <w:rsid w:val="00E30714"/>
    <w:rsid w:val="00E309F6"/>
    <w:rsid w:val="00E31E64"/>
    <w:rsid w:val="00E32B6F"/>
    <w:rsid w:val="00E334F0"/>
    <w:rsid w:val="00E33DD7"/>
    <w:rsid w:val="00E34387"/>
    <w:rsid w:val="00E36628"/>
    <w:rsid w:val="00E41763"/>
    <w:rsid w:val="00E451F9"/>
    <w:rsid w:val="00E45F50"/>
    <w:rsid w:val="00E50342"/>
    <w:rsid w:val="00E503A3"/>
    <w:rsid w:val="00E514D6"/>
    <w:rsid w:val="00E51D1F"/>
    <w:rsid w:val="00E53084"/>
    <w:rsid w:val="00E53B1C"/>
    <w:rsid w:val="00E56503"/>
    <w:rsid w:val="00E56D9B"/>
    <w:rsid w:val="00E574B4"/>
    <w:rsid w:val="00E607E2"/>
    <w:rsid w:val="00E61798"/>
    <w:rsid w:val="00E658BE"/>
    <w:rsid w:val="00E674ED"/>
    <w:rsid w:val="00E70711"/>
    <w:rsid w:val="00E70714"/>
    <w:rsid w:val="00E7122E"/>
    <w:rsid w:val="00E71259"/>
    <w:rsid w:val="00E71A39"/>
    <w:rsid w:val="00E72932"/>
    <w:rsid w:val="00E72EBB"/>
    <w:rsid w:val="00E74C92"/>
    <w:rsid w:val="00E750A3"/>
    <w:rsid w:val="00E806EE"/>
    <w:rsid w:val="00E84123"/>
    <w:rsid w:val="00E85579"/>
    <w:rsid w:val="00E85F99"/>
    <w:rsid w:val="00E8637E"/>
    <w:rsid w:val="00E871F1"/>
    <w:rsid w:val="00E876F5"/>
    <w:rsid w:val="00E91061"/>
    <w:rsid w:val="00E93AD9"/>
    <w:rsid w:val="00E94531"/>
    <w:rsid w:val="00E946FB"/>
    <w:rsid w:val="00E968CF"/>
    <w:rsid w:val="00EA0DDD"/>
    <w:rsid w:val="00EA152B"/>
    <w:rsid w:val="00EA207A"/>
    <w:rsid w:val="00EA3DFF"/>
    <w:rsid w:val="00EA76B4"/>
    <w:rsid w:val="00EA7781"/>
    <w:rsid w:val="00EB1008"/>
    <w:rsid w:val="00EB2094"/>
    <w:rsid w:val="00EB226C"/>
    <w:rsid w:val="00EB2E75"/>
    <w:rsid w:val="00EB3296"/>
    <w:rsid w:val="00EB3C0D"/>
    <w:rsid w:val="00EB4048"/>
    <w:rsid w:val="00EB5814"/>
    <w:rsid w:val="00EB5CD5"/>
    <w:rsid w:val="00EB6B3F"/>
    <w:rsid w:val="00EB6DB1"/>
    <w:rsid w:val="00EB77BA"/>
    <w:rsid w:val="00EB7A4E"/>
    <w:rsid w:val="00EB7F9C"/>
    <w:rsid w:val="00EC083B"/>
    <w:rsid w:val="00EC0994"/>
    <w:rsid w:val="00EC2963"/>
    <w:rsid w:val="00EC4C7E"/>
    <w:rsid w:val="00EC6044"/>
    <w:rsid w:val="00EC6982"/>
    <w:rsid w:val="00ED016E"/>
    <w:rsid w:val="00ED113C"/>
    <w:rsid w:val="00ED2A85"/>
    <w:rsid w:val="00ED2BA7"/>
    <w:rsid w:val="00EE4E55"/>
    <w:rsid w:val="00EE59C9"/>
    <w:rsid w:val="00EE6BDE"/>
    <w:rsid w:val="00EE7001"/>
    <w:rsid w:val="00EF4558"/>
    <w:rsid w:val="00EF479D"/>
    <w:rsid w:val="00EF4C05"/>
    <w:rsid w:val="00EF52AB"/>
    <w:rsid w:val="00EF61E0"/>
    <w:rsid w:val="00EF762F"/>
    <w:rsid w:val="00F00286"/>
    <w:rsid w:val="00F015D8"/>
    <w:rsid w:val="00F01BD2"/>
    <w:rsid w:val="00F02E55"/>
    <w:rsid w:val="00F03588"/>
    <w:rsid w:val="00F04F70"/>
    <w:rsid w:val="00F060AA"/>
    <w:rsid w:val="00F06B84"/>
    <w:rsid w:val="00F07C10"/>
    <w:rsid w:val="00F109C7"/>
    <w:rsid w:val="00F10C97"/>
    <w:rsid w:val="00F112BF"/>
    <w:rsid w:val="00F12552"/>
    <w:rsid w:val="00F12790"/>
    <w:rsid w:val="00F131C0"/>
    <w:rsid w:val="00F135DB"/>
    <w:rsid w:val="00F137C2"/>
    <w:rsid w:val="00F13D3A"/>
    <w:rsid w:val="00F144BB"/>
    <w:rsid w:val="00F15A6D"/>
    <w:rsid w:val="00F15B03"/>
    <w:rsid w:val="00F15D28"/>
    <w:rsid w:val="00F16551"/>
    <w:rsid w:val="00F20F9C"/>
    <w:rsid w:val="00F21305"/>
    <w:rsid w:val="00F23C2B"/>
    <w:rsid w:val="00F265CF"/>
    <w:rsid w:val="00F26B83"/>
    <w:rsid w:val="00F27DDA"/>
    <w:rsid w:val="00F300F7"/>
    <w:rsid w:val="00F305F9"/>
    <w:rsid w:val="00F30BA7"/>
    <w:rsid w:val="00F310E9"/>
    <w:rsid w:val="00F3169A"/>
    <w:rsid w:val="00F31B19"/>
    <w:rsid w:val="00F31E88"/>
    <w:rsid w:val="00F40680"/>
    <w:rsid w:val="00F40906"/>
    <w:rsid w:val="00F415CF"/>
    <w:rsid w:val="00F42854"/>
    <w:rsid w:val="00F4340B"/>
    <w:rsid w:val="00F438A9"/>
    <w:rsid w:val="00F44E1D"/>
    <w:rsid w:val="00F45678"/>
    <w:rsid w:val="00F45A1A"/>
    <w:rsid w:val="00F46957"/>
    <w:rsid w:val="00F50BA2"/>
    <w:rsid w:val="00F52175"/>
    <w:rsid w:val="00F52A69"/>
    <w:rsid w:val="00F5397C"/>
    <w:rsid w:val="00F54DE4"/>
    <w:rsid w:val="00F55160"/>
    <w:rsid w:val="00F5599C"/>
    <w:rsid w:val="00F56742"/>
    <w:rsid w:val="00F57C79"/>
    <w:rsid w:val="00F57E0B"/>
    <w:rsid w:val="00F60E76"/>
    <w:rsid w:val="00F62A3D"/>
    <w:rsid w:val="00F62FD9"/>
    <w:rsid w:val="00F70EFE"/>
    <w:rsid w:val="00F711B4"/>
    <w:rsid w:val="00F72186"/>
    <w:rsid w:val="00F73134"/>
    <w:rsid w:val="00F735A6"/>
    <w:rsid w:val="00F73A04"/>
    <w:rsid w:val="00F74363"/>
    <w:rsid w:val="00F74F60"/>
    <w:rsid w:val="00F757A6"/>
    <w:rsid w:val="00F82D35"/>
    <w:rsid w:val="00F830C8"/>
    <w:rsid w:val="00F841AF"/>
    <w:rsid w:val="00F84879"/>
    <w:rsid w:val="00F8613C"/>
    <w:rsid w:val="00F90B71"/>
    <w:rsid w:val="00F90DF8"/>
    <w:rsid w:val="00F90EC6"/>
    <w:rsid w:val="00F91AE0"/>
    <w:rsid w:val="00F925CB"/>
    <w:rsid w:val="00F92FA8"/>
    <w:rsid w:val="00F93B98"/>
    <w:rsid w:val="00F94557"/>
    <w:rsid w:val="00F97D80"/>
    <w:rsid w:val="00FA088D"/>
    <w:rsid w:val="00FA13CB"/>
    <w:rsid w:val="00FA180A"/>
    <w:rsid w:val="00FA1C01"/>
    <w:rsid w:val="00FA1DF3"/>
    <w:rsid w:val="00FA4968"/>
    <w:rsid w:val="00FA4A03"/>
    <w:rsid w:val="00FA51D2"/>
    <w:rsid w:val="00FA6257"/>
    <w:rsid w:val="00FA62AE"/>
    <w:rsid w:val="00FA63F1"/>
    <w:rsid w:val="00FA65FB"/>
    <w:rsid w:val="00FB1C45"/>
    <w:rsid w:val="00FB1CA5"/>
    <w:rsid w:val="00FB1D95"/>
    <w:rsid w:val="00FB2707"/>
    <w:rsid w:val="00FB2C0F"/>
    <w:rsid w:val="00FB3A49"/>
    <w:rsid w:val="00FB42F5"/>
    <w:rsid w:val="00FB433B"/>
    <w:rsid w:val="00FB4547"/>
    <w:rsid w:val="00FB7A21"/>
    <w:rsid w:val="00FB7E77"/>
    <w:rsid w:val="00FC0121"/>
    <w:rsid w:val="00FC1F29"/>
    <w:rsid w:val="00FC2853"/>
    <w:rsid w:val="00FC2BD0"/>
    <w:rsid w:val="00FC36B9"/>
    <w:rsid w:val="00FC4492"/>
    <w:rsid w:val="00FC4D67"/>
    <w:rsid w:val="00FC4F35"/>
    <w:rsid w:val="00FC533C"/>
    <w:rsid w:val="00FD3178"/>
    <w:rsid w:val="00FD3392"/>
    <w:rsid w:val="00FD4892"/>
    <w:rsid w:val="00FD677A"/>
    <w:rsid w:val="00FD6875"/>
    <w:rsid w:val="00FD6B90"/>
    <w:rsid w:val="00FE04CE"/>
    <w:rsid w:val="00FE152C"/>
    <w:rsid w:val="00FE19E9"/>
    <w:rsid w:val="00FE2D29"/>
    <w:rsid w:val="00FE37A2"/>
    <w:rsid w:val="00FE3CC9"/>
    <w:rsid w:val="00FE42F7"/>
    <w:rsid w:val="00FE46EB"/>
    <w:rsid w:val="00FE570D"/>
    <w:rsid w:val="00FE6136"/>
    <w:rsid w:val="00FE675C"/>
    <w:rsid w:val="00FF04AB"/>
    <w:rsid w:val="00FF0DB2"/>
    <w:rsid w:val="00FF143A"/>
    <w:rsid w:val="00FF2F69"/>
    <w:rsid w:val="00FF42E3"/>
    <w:rsid w:val="00FF5AB4"/>
    <w:rsid w:val="00FF617C"/>
    <w:rsid w:val="00FF716E"/>
    <w:rsid w:val="01214A1E"/>
    <w:rsid w:val="012A0C66"/>
    <w:rsid w:val="01343AD8"/>
    <w:rsid w:val="01413291"/>
    <w:rsid w:val="014C0AF2"/>
    <w:rsid w:val="014F1B49"/>
    <w:rsid w:val="01602283"/>
    <w:rsid w:val="0161201C"/>
    <w:rsid w:val="01674AD8"/>
    <w:rsid w:val="01774753"/>
    <w:rsid w:val="017B15F7"/>
    <w:rsid w:val="01814321"/>
    <w:rsid w:val="019B2A51"/>
    <w:rsid w:val="019F32DC"/>
    <w:rsid w:val="01BB069A"/>
    <w:rsid w:val="01C506B1"/>
    <w:rsid w:val="01EE6DBE"/>
    <w:rsid w:val="01F96A30"/>
    <w:rsid w:val="01FD0AFB"/>
    <w:rsid w:val="020E7F3F"/>
    <w:rsid w:val="020F523E"/>
    <w:rsid w:val="021122CA"/>
    <w:rsid w:val="0213141D"/>
    <w:rsid w:val="021A6004"/>
    <w:rsid w:val="022E08B9"/>
    <w:rsid w:val="02301322"/>
    <w:rsid w:val="02352C16"/>
    <w:rsid w:val="023A07E4"/>
    <w:rsid w:val="024862A2"/>
    <w:rsid w:val="024B505A"/>
    <w:rsid w:val="025D291A"/>
    <w:rsid w:val="02663566"/>
    <w:rsid w:val="02694D2A"/>
    <w:rsid w:val="026B74AB"/>
    <w:rsid w:val="027202B1"/>
    <w:rsid w:val="02721F48"/>
    <w:rsid w:val="02805163"/>
    <w:rsid w:val="02815E8D"/>
    <w:rsid w:val="029D33DC"/>
    <w:rsid w:val="02A074BF"/>
    <w:rsid w:val="02A935E6"/>
    <w:rsid w:val="02E41BF4"/>
    <w:rsid w:val="02ED024F"/>
    <w:rsid w:val="02F07CB0"/>
    <w:rsid w:val="02FD2958"/>
    <w:rsid w:val="03024CD2"/>
    <w:rsid w:val="030D75EF"/>
    <w:rsid w:val="03112AC4"/>
    <w:rsid w:val="031168BC"/>
    <w:rsid w:val="032416C0"/>
    <w:rsid w:val="03426C59"/>
    <w:rsid w:val="03433AF1"/>
    <w:rsid w:val="03447D95"/>
    <w:rsid w:val="03501AE4"/>
    <w:rsid w:val="036341B3"/>
    <w:rsid w:val="03716722"/>
    <w:rsid w:val="0381685A"/>
    <w:rsid w:val="0385165F"/>
    <w:rsid w:val="039B623A"/>
    <w:rsid w:val="03B44AA5"/>
    <w:rsid w:val="03B65BCA"/>
    <w:rsid w:val="03C047BD"/>
    <w:rsid w:val="03C230FA"/>
    <w:rsid w:val="03E12426"/>
    <w:rsid w:val="03FF434E"/>
    <w:rsid w:val="040020A7"/>
    <w:rsid w:val="04044345"/>
    <w:rsid w:val="04142214"/>
    <w:rsid w:val="04275653"/>
    <w:rsid w:val="042973CE"/>
    <w:rsid w:val="043D782E"/>
    <w:rsid w:val="04473247"/>
    <w:rsid w:val="044D2B93"/>
    <w:rsid w:val="046B296B"/>
    <w:rsid w:val="04833676"/>
    <w:rsid w:val="048F4139"/>
    <w:rsid w:val="04930DBB"/>
    <w:rsid w:val="049C4162"/>
    <w:rsid w:val="049F4F72"/>
    <w:rsid w:val="04A2371F"/>
    <w:rsid w:val="04A53BA4"/>
    <w:rsid w:val="04AA1834"/>
    <w:rsid w:val="04B9070C"/>
    <w:rsid w:val="04BA7090"/>
    <w:rsid w:val="04C4770E"/>
    <w:rsid w:val="04D17C83"/>
    <w:rsid w:val="04E374DE"/>
    <w:rsid w:val="04ED4C70"/>
    <w:rsid w:val="04FE63B4"/>
    <w:rsid w:val="04FF00EB"/>
    <w:rsid w:val="04FF2219"/>
    <w:rsid w:val="0501459E"/>
    <w:rsid w:val="05175FCF"/>
    <w:rsid w:val="052263A0"/>
    <w:rsid w:val="052E47BF"/>
    <w:rsid w:val="054E23E8"/>
    <w:rsid w:val="05586075"/>
    <w:rsid w:val="056306FB"/>
    <w:rsid w:val="05852631"/>
    <w:rsid w:val="058E5789"/>
    <w:rsid w:val="05917228"/>
    <w:rsid w:val="05984986"/>
    <w:rsid w:val="059C5E7A"/>
    <w:rsid w:val="059F3F35"/>
    <w:rsid w:val="05A86320"/>
    <w:rsid w:val="05AB2DB2"/>
    <w:rsid w:val="05C127AF"/>
    <w:rsid w:val="05C20EC3"/>
    <w:rsid w:val="05C342DE"/>
    <w:rsid w:val="05D56659"/>
    <w:rsid w:val="05EB76F4"/>
    <w:rsid w:val="05EC4B85"/>
    <w:rsid w:val="05ED6517"/>
    <w:rsid w:val="05F56B6A"/>
    <w:rsid w:val="05F7106C"/>
    <w:rsid w:val="06027766"/>
    <w:rsid w:val="061D3A4E"/>
    <w:rsid w:val="062D1406"/>
    <w:rsid w:val="06305727"/>
    <w:rsid w:val="06322461"/>
    <w:rsid w:val="063228F6"/>
    <w:rsid w:val="0644429B"/>
    <w:rsid w:val="06647C6C"/>
    <w:rsid w:val="06665E33"/>
    <w:rsid w:val="067B3A34"/>
    <w:rsid w:val="06936D88"/>
    <w:rsid w:val="06953148"/>
    <w:rsid w:val="069A65B0"/>
    <w:rsid w:val="06A31CA0"/>
    <w:rsid w:val="06AC62CA"/>
    <w:rsid w:val="06AC66B5"/>
    <w:rsid w:val="06B457E8"/>
    <w:rsid w:val="06BC13DD"/>
    <w:rsid w:val="06D31947"/>
    <w:rsid w:val="06D92562"/>
    <w:rsid w:val="06E760D7"/>
    <w:rsid w:val="06EA54F3"/>
    <w:rsid w:val="06F650AE"/>
    <w:rsid w:val="07000C57"/>
    <w:rsid w:val="07017172"/>
    <w:rsid w:val="07075B45"/>
    <w:rsid w:val="07091B77"/>
    <w:rsid w:val="070A76BD"/>
    <w:rsid w:val="071A0584"/>
    <w:rsid w:val="072950F8"/>
    <w:rsid w:val="072E5643"/>
    <w:rsid w:val="073A744C"/>
    <w:rsid w:val="073D7196"/>
    <w:rsid w:val="073F3D84"/>
    <w:rsid w:val="07504429"/>
    <w:rsid w:val="07530EAF"/>
    <w:rsid w:val="07590E76"/>
    <w:rsid w:val="075F6EB2"/>
    <w:rsid w:val="07612720"/>
    <w:rsid w:val="076A1A5C"/>
    <w:rsid w:val="07792B42"/>
    <w:rsid w:val="07795E91"/>
    <w:rsid w:val="077E3D0B"/>
    <w:rsid w:val="078C511B"/>
    <w:rsid w:val="078D2D8A"/>
    <w:rsid w:val="07AB20F7"/>
    <w:rsid w:val="07AE50AB"/>
    <w:rsid w:val="07B7677D"/>
    <w:rsid w:val="07BB74D8"/>
    <w:rsid w:val="07BE2A34"/>
    <w:rsid w:val="07D43E3E"/>
    <w:rsid w:val="07DF1893"/>
    <w:rsid w:val="07E53F70"/>
    <w:rsid w:val="07F03CBF"/>
    <w:rsid w:val="07F42B67"/>
    <w:rsid w:val="080D0CE3"/>
    <w:rsid w:val="080E352C"/>
    <w:rsid w:val="0829536C"/>
    <w:rsid w:val="0842480A"/>
    <w:rsid w:val="085254A5"/>
    <w:rsid w:val="086626CB"/>
    <w:rsid w:val="08790814"/>
    <w:rsid w:val="08817F9A"/>
    <w:rsid w:val="088968DD"/>
    <w:rsid w:val="08933F38"/>
    <w:rsid w:val="089E56D2"/>
    <w:rsid w:val="08B472FE"/>
    <w:rsid w:val="08B614BD"/>
    <w:rsid w:val="08B937A7"/>
    <w:rsid w:val="08BE77F6"/>
    <w:rsid w:val="08CD671D"/>
    <w:rsid w:val="08D83875"/>
    <w:rsid w:val="08DF7A5D"/>
    <w:rsid w:val="08EC3D12"/>
    <w:rsid w:val="08F56067"/>
    <w:rsid w:val="08F56798"/>
    <w:rsid w:val="09072AF5"/>
    <w:rsid w:val="09074429"/>
    <w:rsid w:val="090C4633"/>
    <w:rsid w:val="090D78C9"/>
    <w:rsid w:val="09101FB3"/>
    <w:rsid w:val="09137555"/>
    <w:rsid w:val="09283AB5"/>
    <w:rsid w:val="09296C06"/>
    <w:rsid w:val="093C56FD"/>
    <w:rsid w:val="095073FA"/>
    <w:rsid w:val="09526CCE"/>
    <w:rsid w:val="09672FE9"/>
    <w:rsid w:val="096D3B08"/>
    <w:rsid w:val="09802E1D"/>
    <w:rsid w:val="09840DCC"/>
    <w:rsid w:val="09A54FB9"/>
    <w:rsid w:val="09D27E84"/>
    <w:rsid w:val="09D334FB"/>
    <w:rsid w:val="09D5328A"/>
    <w:rsid w:val="09D9119E"/>
    <w:rsid w:val="09F8752F"/>
    <w:rsid w:val="0A0D439F"/>
    <w:rsid w:val="0A0F0D09"/>
    <w:rsid w:val="0A1720E0"/>
    <w:rsid w:val="0A1D4600"/>
    <w:rsid w:val="0A1F68B2"/>
    <w:rsid w:val="0A210F95"/>
    <w:rsid w:val="0A22681A"/>
    <w:rsid w:val="0A2836E0"/>
    <w:rsid w:val="0A29194C"/>
    <w:rsid w:val="0A375EC4"/>
    <w:rsid w:val="0A412227"/>
    <w:rsid w:val="0A425AA3"/>
    <w:rsid w:val="0A455A91"/>
    <w:rsid w:val="0A593073"/>
    <w:rsid w:val="0A59408D"/>
    <w:rsid w:val="0A6F1B02"/>
    <w:rsid w:val="0A8E5529"/>
    <w:rsid w:val="0A9C2606"/>
    <w:rsid w:val="0AB44EF5"/>
    <w:rsid w:val="0AC159A6"/>
    <w:rsid w:val="0AD278DA"/>
    <w:rsid w:val="0ADF52ED"/>
    <w:rsid w:val="0AE34BB1"/>
    <w:rsid w:val="0AE6229D"/>
    <w:rsid w:val="0AED0B6E"/>
    <w:rsid w:val="0AF04597"/>
    <w:rsid w:val="0AF9714F"/>
    <w:rsid w:val="0B4B7099"/>
    <w:rsid w:val="0B5E5DFE"/>
    <w:rsid w:val="0B642CE9"/>
    <w:rsid w:val="0B66762E"/>
    <w:rsid w:val="0B747542"/>
    <w:rsid w:val="0B87320D"/>
    <w:rsid w:val="0B991CAF"/>
    <w:rsid w:val="0B9E1A60"/>
    <w:rsid w:val="0BA53B3F"/>
    <w:rsid w:val="0BAC5F11"/>
    <w:rsid w:val="0BAD28E2"/>
    <w:rsid w:val="0BAD70EA"/>
    <w:rsid w:val="0BB6032A"/>
    <w:rsid w:val="0BBA4BCB"/>
    <w:rsid w:val="0BE20BB6"/>
    <w:rsid w:val="0BE60C5C"/>
    <w:rsid w:val="0BFA3510"/>
    <w:rsid w:val="0BFB5E14"/>
    <w:rsid w:val="0C216E2C"/>
    <w:rsid w:val="0C296CAE"/>
    <w:rsid w:val="0C2A3F33"/>
    <w:rsid w:val="0C365370"/>
    <w:rsid w:val="0C3B22C4"/>
    <w:rsid w:val="0C3B7AE8"/>
    <w:rsid w:val="0C3E1F99"/>
    <w:rsid w:val="0C442C80"/>
    <w:rsid w:val="0C4B30F1"/>
    <w:rsid w:val="0C7376A8"/>
    <w:rsid w:val="0C801F53"/>
    <w:rsid w:val="0C8076E1"/>
    <w:rsid w:val="0C9413AC"/>
    <w:rsid w:val="0CA97841"/>
    <w:rsid w:val="0CC9733E"/>
    <w:rsid w:val="0CD77A6F"/>
    <w:rsid w:val="0CDF3893"/>
    <w:rsid w:val="0CF22F65"/>
    <w:rsid w:val="0CFB1B8E"/>
    <w:rsid w:val="0CFD3771"/>
    <w:rsid w:val="0D001BEA"/>
    <w:rsid w:val="0D0A7F77"/>
    <w:rsid w:val="0D2B56A9"/>
    <w:rsid w:val="0D4D0748"/>
    <w:rsid w:val="0D5A5FE3"/>
    <w:rsid w:val="0D5F5515"/>
    <w:rsid w:val="0D7A67F4"/>
    <w:rsid w:val="0D8943DC"/>
    <w:rsid w:val="0D8A04E4"/>
    <w:rsid w:val="0D932BB8"/>
    <w:rsid w:val="0D98461B"/>
    <w:rsid w:val="0DAD0977"/>
    <w:rsid w:val="0DAF0B93"/>
    <w:rsid w:val="0DB904D9"/>
    <w:rsid w:val="0DBB0918"/>
    <w:rsid w:val="0DBD6D81"/>
    <w:rsid w:val="0DC65EDD"/>
    <w:rsid w:val="0DE25782"/>
    <w:rsid w:val="0DE66F7A"/>
    <w:rsid w:val="0DEE271A"/>
    <w:rsid w:val="0DF148E8"/>
    <w:rsid w:val="0DFF1EE9"/>
    <w:rsid w:val="0E210D90"/>
    <w:rsid w:val="0E280BF1"/>
    <w:rsid w:val="0E2A2732"/>
    <w:rsid w:val="0E2F7B01"/>
    <w:rsid w:val="0E44204B"/>
    <w:rsid w:val="0E4B5699"/>
    <w:rsid w:val="0E512E80"/>
    <w:rsid w:val="0E6E1A32"/>
    <w:rsid w:val="0E76520D"/>
    <w:rsid w:val="0E915BD0"/>
    <w:rsid w:val="0E982ADE"/>
    <w:rsid w:val="0EB06115"/>
    <w:rsid w:val="0ECA75E7"/>
    <w:rsid w:val="0ECD4128"/>
    <w:rsid w:val="0EF05635"/>
    <w:rsid w:val="0EF909E4"/>
    <w:rsid w:val="0F0913A4"/>
    <w:rsid w:val="0F360DD3"/>
    <w:rsid w:val="0F386966"/>
    <w:rsid w:val="0F3E2DC6"/>
    <w:rsid w:val="0F4E0A02"/>
    <w:rsid w:val="0F501F02"/>
    <w:rsid w:val="0F5D09FB"/>
    <w:rsid w:val="0F5F0397"/>
    <w:rsid w:val="0F5F5730"/>
    <w:rsid w:val="0F6B1793"/>
    <w:rsid w:val="0F7819E4"/>
    <w:rsid w:val="0F7B5DFB"/>
    <w:rsid w:val="0F9301BE"/>
    <w:rsid w:val="0FA364D6"/>
    <w:rsid w:val="0FBD0C1A"/>
    <w:rsid w:val="0FC12061"/>
    <w:rsid w:val="0FEE5B2D"/>
    <w:rsid w:val="0FF37EF3"/>
    <w:rsid w:val="0FFE4C46"/>
    <w:rsid w:val="10064480"/>
    <w:rsid w:val="10065FE7"/>
    <w:rsid w:val="100930B7"/>
    <w:rsid w:val="10156FD1"/>
    <w:rsid w:val="10246EEB"/>
    <w:rsid w:val="10371F2F"/>
    <w:rsid w:val="104B091B"/>
    <w:rsid w:val="104D6100"/>
    <w:rsid w:val="105A46BB"/>
    <w:rsid w:val="105A6D80"/>
    <w:rsid w:val="107B23CF"/>
    <w:rsid w:val="107E1871"/>
    <w:rsid w:val="10807EDF"/>
    <w:rsid w:val="10824E25"/>
    <w:rsid w:val="109A1D7F"/>
    <w:rsid w:val="10A600D1"/>
    <w:rsid w:val="10B52DF5"/>
    <w:rsid w:val="10BD5626"/>
    <w:rsid w:val="10C85301"/>
    <w:rsid w:val="10E723F2"/>
    <w:rsid w:val="10EB1377"/>
    <w:rsid w:val="10F5099F"/>
    <w:rsid w:val="10FE20C3"/>
    <w:rsid w:val="11046680"/>
    <w:rsid w:val="11081F58"/>
    <w:rsid w:val="111B02EE"/>
    <w:rsid w:val="1129409B"/>
    <w:rsid w:val="11423CF0"/>
    <w:rsid w:val="114F7421"/>
    <w:rsid w:val="1159255C"/>
    <w:rsid w:val="115D038D"/>
    <w:rsid w:val="116632C1"/>
    <w:rsid w:val="11667EA6"/>
    <w:rsid w:val="116741A8"/>
    <w:rsid w:val="11887A9E"/>
    <w:rsid w:val="119E030F"/>
    <w:rsid w:val="11AC3296"/>
    <w:rsid w:val="11BF3764"/>
    <w:rsid w:val="11BF5D6D"/>
    <w:rsid w:val="11BF6C6B"/>
    <w:rsid w:val="11C10712"/>
    <w:rsid w:val="11CB3AC2"/>
    <w:rsid w:val="11E02DF3"/>
    <w:rsid w:val="11E81C43"/>
    <w:rsid w:val="11EF6486"/>
    <w:rsid w:val="11F23CBD"/>
    <w:rsid w:val="11F75962"/>
    <w:rsid w:val="11FC0451"/>
    <w:rsid w:val="12084D21"/>
    <w:rsid w:val="120C4EB8"/>
    <w:rsid w:val="121D6EDA"/>
    <w:rsid w:val="121E62E8"/>
    <w:rsid w:val="12266F4A"/>
    <w:rsid w:val="122D760A"/>
    <w:rsid w:val="12311F5A"/>
    <w:rsid w:val="12380A2C"/>
    <w:rsid w:val="123B7D8C"/>
    <w:rsid w:val="123F22A7"/>
    <w:rsid w:val="12427601"/>
    <w:rsid w:val="125944FB"/>
    <w:rsid w:val="125A4EA1"/>
    <w:rsid w:val="12624EB7"/>
    <w:rsid w:val="12703202"/>
    <w:rsid w:val="12706417"/>
    <w:rsid w:val="127E28E2"/>
    <w:rsid w:val="1282388F"/>
    <w:rsid w:val="12825FEA"/>
    <w:rsid w:val="128572E6"/>
    <w:rsid w:val="128A0F8B"/>
    <w:rsid w:val="129139EE"/>
    <w:rsid w:val="129E1945"/>
    <w:rsid w:val="12B26461"/>
    <w:rsid w:val="12D228CA"/>
    <w:rsid w:val="12EF328E"/>
    <w:rsid w:val="12F36759"/>
    <w:rsid w:val="1300045E"/>
    <w:rsid w:val="13083D93"/>
    <w:rsid w:val="130A6921"/>
    <w:rsid w:val="130E5887"/>
    <w:rsid w:val="1319260B"/>
    <w:rsid w:val="131B6178"/>
    <w:rsid w:val="13250FB0"/>
    <w:rsid w:val="133D024F"/>
    <w:rsid w:val="133D6D87"/>
    <w:rsid w:val="133D7557"/>
    <w:rsid w:val="13426E76"/>
    <w:rsid w:val="13575083"/>
    <w:rsid w:val="136C4E31"/>
    <w:rsid w:val="13716BB4"/>
    <w:rsid w:val="13821EE1"/>
    <w:rsid w:val="138661D5"/>
    <w:rsid w:val="13890B9C"/>
    <w:rsid w:val="139525D9"/>
    <w:rsid w:val="13AB4EB9"/>
    <w:rsid w:val="13AD0458"/>
    <w:rsid w:val="13B3480E"/>
    <w:rsid w:val="13C500F4"/>
    <w:rsid w:val="13C775FF"/>
    <w:rsid w:val="13CB4137"/>
    <w:rsid w:val="13CF5FF6"/>
    <w:rsid w:val="13D11AEC"/>
    <w:rsid w:val="13D825F1"/>
    <w:rsid w:val="13DB5398"/>
    <w:rsid w:val="13E40E6B"/>
    <w:rsid w:val="13EE5846"/>
    <w:rsid w:val="13F27FD8"/>
    <w:rsid w:val="13F8539C"/>
    <w:rsid w:val="13FA3C10"/>
    <w:rsid w:val="140256A7"/>
    <w:rsid w:val="14037DD1"/>
    <w:rsid w:val="140B4E5D"/>
    <w:rsid w:val="141259D8"/>
    <w:rsid w:val="14197590"/>
    <w:rsid w:val="141C7AF8"/>
    <w:rsid w:val="142D5867"/>
    <w:rsid w:val="14311C3C"/>
    <w:rsid w:val="145B17C5"/>
    <w:rsid w:val="145B7F0E"/>
    <w:rsid w:val="149E2D6C"/>
    <w:rsid w:val="14A05CEA"/>
    <w:rsid w:val="14BA7BD0"/>
    <w:rsid w:val="14BE0DA8"/>
    <w:rsid w:val="14CC3AE7"/>
    <w:rsid w:val="14D0319D"/>
    <w:rsid w:val="14D35CE3"/>
    <w:rsid w:val="14DD61EA"/>
    <w:rsid w:val="14DF2DE8"/>
    <w:rsid w:val="14E20E88"/>
    <w:rsid w:val="14E71B9C"/>
    <w:rsid w:val="14ED24C4"/>
    <w:rsid w:val="14FE6E45"/>
    <w:rsid w:val="15016C29"/>
    <w:rsid w:val="15030DD2"/>
    <w:rsid w:val="15120EBC"/>
    <w:rsid w:val="151246C1"/>
    <w:rsid w:val="1514752E"/>
    <w:rsid w:val="152B0543"/>
    <w:rsid w:val="15300534"/>
    <w:rsid w:val="15352656"/>
    <w:rsid w:val="15366A75"/>
    <w:rsid w:val="15430081"/>
    <w:rsid w:val="1549179A"/>
    <w:rsid w:val="155855A0"/>
    <w:rsid w:val="155E4D93"/>
    <w:rsid w:val="15632D12"/>
    <w:rsid w:val="156B18A2"/>
    <w:rsid w:val="15760A82"/>
    <w:rsid w:val="15857A9F"/>
    <w:rsid w:val="15883A78"/>
    <w:rsid w:val="15885993"/>
    <w:rsid w:val="1589612A"/>
    <w:rsid w:val="158D0A5B"/>
    <w:rsid w:val="15943580"/>
    <w:rsid w:val="159F71E4"/>
    <w:rsid w:val="15AF1A98"/>
    <w:rsid w:val="15B14B1C"/>
    <w:rsid w:val="15B24AD3"/>
    <w:rsid w:val="15C619DE"/>
    <w:rsid w:val="15CA247D"/>
    <w:rsid w:val="15DA54BE"/>
    <w:rsid w:val="15DE1A29"/>
    <w:rsid w:val="15E06753"/>
    <w:rsid w:val="15FE686D"/>
    <w:rsid w:val="16281DFE"/>
    <w:rsid w:val="164756E1"/>
    <w:rsid w:val="164B76F4"/>
    <w:rsid w:val="16883ABF"/>
    <w:rsid w:val="16897AA8"/>
    <w:rsid w:val="16A95608"/>
    <w:rsid w:val="16AA3EEF"/>
    <w:rsid w:val="16B05E6A"/>
    <w:rsid w:val="16B8449D"/>
    <w:rsid w:val="16BB65F1"/>
    <w:rsid w:val="16C30E50"/>
    <w:rsid w:val="16C956B3"/>
    <w:rsid w:val="16DF50E8"/>
    <w:rsid w:val="16DF70C3"/>
    <w:rsid w:val="16E36A8E"/>
    <w:rsid w:val="16FB1C35"/>
    <w:rsid w:val="16FE0496"/>
    <w:rsid w:val="17040F39"/>
    <w:rsid w:val="17174321"/>
    <w:rsid w:val="17225136"/>
    <w:rsid w:val="17345ECA"/>
    <w:rsid w:val="17382C6C"/>
    <w:rsid w:val="1744492D"/>
    <w:rsid w:val="17500772"/>
    <w:rsid w:val="17504CC2"/>
    <w:rsid w:val="17590141"/>
    <w:rsid w:val="176A4EEB"/>
    <w:rsid w:val="176E0A57"/>
    <w:rsid w:val="177C42B9"/>
    <w:rsid w:val="177C4845"/>
    <w:rsid w:val="17A53C98"/>
    <w:rsid w:val="17AF79E2"/>
    <w:rsid w:val="17B15508"/>
    <w:rsid w:val="17B2733D"/>
    <w:rsid w:val="17CA6350"/>
    <w:rsid w:val="17D32110"/>
    <w:rsid w:val="17D544D4"/>
    <w:rsid w:val="17DF7B71"/>
    <w:rsid w:val="17E83635"/>
    <w:rsid w:val="17EF034F"/>
    <w:rsid w:val="17EF333D"/>
    <w:rsid w:val="17F51B28"/>
    <w:rsid w:val="17F736BA"/>
    <w:rsid w:val="180B1C8C"/>
    <w:rsid w:val="18386C8A"/>
    <w:rsid w:val="18426C9E"/>
    <w:rsid w:val="1856228A"/>
    <w:rsid w:val="185B1070"/>
    <w:rsid w:val="18655549"/>
    <w:rsid w:val="187176B1"/>
    <w:rsid w:val="187D1C71"/>
    <w:rsid w:val="188D75FC"/>
    <w:rsid w:val="189D5730"/>
    <w:rsid w:val="18AE6BDF"/>
    <w:rsid w:val="18BC41FE"/>
    <w:rsid w:val="18C012EA"/>
    <w:rsid w:val="18C179CD"/>
    <w:rsid w:val="18C7137B"/>
    <w:rsid w:val="18D255E8"/>
    <w:rsid w:val="18DA6CE0"/>
    <w:rsid w:val="18E73115"/>
    <w:rsid w:val="190A6030"/>
    <w:rsid w:val="190F64E9"/>
    <w:rsid w:val="191206D3"/>
    <w:rsid w:val="191D0D40"/>
    <w:rsid w:val="192E2BD3"/>
    <w:rsid w:val="193006AE"/>
    <w:rsid w:val="19362545"/>
    <w:rsid w:val="1937306E"/>
    <w:rsid w:val="19373536"/>
    <w:rsid w:val="19435186"/>
    <w:rsid w:val="196F7429"/>
    <w:rsid w:val="197B5636"/>
    <w:rsid w:val="19872F3F"/>
    <w:rsid w:val="198D30EC"/>
    <w:rsid w:val="19905C84"/>
    <w:rsid w:val="1998697F"/>
    <w:rsid w:val="19C53A1E"/>
    <w:rsid w:val="19CF447C"/>
    <w:rsid w:val="19DD1606"/>
    <w:rsid w:val="1A0F29BA"/>
    <w:rsid w:val="1A200C49"/>
    <w:rsid w:val="1A2C7C12"/>
    <w:rsid w:val="1A2C7E8A"/>
    <w:rsid w:val="1A2E0B04"/>
    <w:rsid w:val="1A367F46"/>
    <w:rsid w:val="1A382E26"/>
    <w:rsid w:val="1A5724ED"/>
    <w:rsid w:val="1A5C16D9"/>
    <w:rsid w:val="1A5C6D63"/>
    <w:rsid w:val="1A7636B6"/>
    <w:rsid w:val="1A7B17BE"/>
    <w:rsid w:val="1A806CBB"/>
    <w:rsid w:val="1A840CB2"/>
    <w:rsid w:val="1A844B30"/>
    <w:rsid w:val="1AA51C02"/>
    <w:rsid w:val="1AA933C0"/>
    <w:rsid w:val="1AAC0209"/>
    <w:rsid w:val="1AAE5D2F"/>
    <w:rsid w:val="1AE133EF"/>
    <w:rsid w:val="1AEF4DAE"/>
    <w:rsid w:val="1AF35E37"/>
    <w:rsid w:val="1AF77FAB"/>
    <w:rsid w:val="1AFB020E"/>
    <w:rsid w:val="1B0835CA"/>
    <w:rsid w:val="1B1B351F"/>
    <w:rsid w:val="1B1E35D7"/>
    <w:rsid w:val="1B3D7BBC"/>
    <w:rsid w:val="1B492FF3"/>
    <w:rsid w:val="1B4950A4"/>
    <w:rsid w:val="1B4A3CA9"/>
    <w:rsid w:val="1B556620"/>
    <w:rsid w:val="1B5F450D"/>
    <w:rsid w:val="1BA324C2"/>
    <w:rsid w:val="1BA61267"/>
    <w:rsid w:val="1BAC346D"/>
    <w:rsid w:val="1BAF2B44"/>
    <w:rsid w:val="1BE82E1F"/>
    <w:rsid w:val="1BEA548C"/>
    <w:rsid w:val="1BF574D2"/>
    <w:rsid w:val="1BFA15DD"/>
    <w:rsid w:val="1C01429E"/>
    <w:rsid w:val="1C0F0649"/>
    <w:rsid w:val="1C2663BF"/>
    <w:rsid w:val="1C2744BE"/>
    <w:rsid w:val="1C2A3ADB"/>
    <w:rsid w:val="1C326D2B"/>
    <w:rsid w:val="1C36433C"/>
    <w:rsid w:val="1C376E21"/>
    <w:rsid w:val="1C4B32C7"/>
    <w:rsid w:val="1C4F6411"/>
    <w:rsid w:val="1C503963"/>
    <w:rsid w:val="1C5E7A7E"/>
    <w:rsid w:val="1C607E4F"/>
    <w:rsid w:val="1C663DAF"/>
    <w:rsid w:val="1C6A3ED7"/>
    <w:rsid w:val="1C721035"/>
    <w:rsid w:val="1C73566C"/>
    <w:rsid w:val="1C782A98"/>
    <w:rsid w:val="1C887DF5"/>
    <w:rsid w:val="1C89288A"/>
    <w:rsid w:val="1C8F65DD"/>
    <w:rsid w:val="1CA47846"/>
    <w:rsid w:val="1CB27AD3"/>
    <w:rsid w:val="1CC57360"/>
    <w:rsid w:val="1CD217D6"/>
    <w:rsid w:val="1CD565D5"/>
    <w:rsid w:val="1CDF6675"/>
    <w:rsid w:val="1CEF14EF"/>
    <w:rsid w:val="1CF43006"/>
    <w:rsid w:val="1D077570"/>
    <w:rsid w:val="1D1B2514"/>
    <w:rsid w:val="1D2D5738"/>
    <w:rsid w:val="1D325942"/>
    <w:rsid w:val="1D570C1E"/>
    <w:rsid w:val="1D5A03F0"/>
    <w:rsid w:val="1D672B1F"/>
    <w:rsid w:val="1D8B3670"/>
    <w:rsid w:val="1DA73124"/>
    <w:rsid w:val="1DAE0556"/>
    <w:rsid w:val="1DB1270C"/>
    <w:rsid w:val="1DB573D4"/>
    <w:rsid w:val="1DB67C12"/>
    <w:rsid w:val="1DC00253"/>
    <w:rsid w:val="1DD50B1E"/>
    <w:rsid w:val="1DD65CC8"/>
    <w:rsid w:val="1DE657E0"/>
    <w:rsid w:val="1DEE0C30"/>
    <w:rsid w:val="1E060554"/>
    <w:rsid w:val="1E0F6E32"/>
    <w:rsid w:val="1E14234D"/>
    <w:rsid w:val="1E3E011E"/>
    <w:rsid w:val="1E415560"/>
    <w:rsid w:val="1E4C2A91"/>
    <w:rsid w:val="1E5D18EA"/>
    <w:rsid w:val="1E604A81"/>
    <w:rsid w:val="1E706AC5"/>
    <w:rsid w:val="1E706D9C"/>
    <w:rsid w:val="1E7271A2"/>
    <w:rsid w:val="1E841A5F"/>
    <w:rsid w:val="1E8474D2"/>
    <w:rsid w:val="1EA33881"/>
    <w:rsid w:val="1EA40105"/>
    <w:rsid w:val="1EA41923"/>
    <w:rsid w:val="1EA972F9"/>
    <w:rsid w:val="1EBC7CC4"/>
    <w:rsid w:val="1EC42B8A"/>
    <w:rsid w:val="1EC665E8"/>
    <w:rsid w:val="1EDC6093"/>
    <w:rsid w:val="1EE241F9"/>
    <w:rsid w:val="1EE53CE9"/>
    <w:rsid w:val="1EED6E0E"/>
    <w:rsid w:val="1EF26B32"/>
    <w:rsid w:val="1F037161"/>
    <w:rsid w:val="1F042F3E"/>
    <w:rsid w:val="1F524DE1"/>
    <w:rsid w:val="1F5E564A"/>
    <w:rsid w:val="1F69585D"/>
    <w:rsid w:val="1F6B38B0"/>
    <w:rsid w:val="1F71370E"/>
    <w:rsid w:val="1F9502EA"/>
    <w:rsid w:val="1F996FAD"/>
    <w:rsid w:val="1FB0418D"/>
    <w:rsid w:val="1FBC7140"/>
    <w:rsid w:val="1FD0749B"/>
    <w:rsid w:val="1FD3171B"/>
    <w:rsid w:val="1FDA58A8"/>
    <w:rsid w:val="1FE35ADC"/>
    <w:rsid w:val="1FE83B06"/>
    <w:rsid w:val="1FF113C8"/>
    <w:rsid w:val="1FF441C6"/>
    <w:rsid w:val="2007660D"/>
    <w:rsid w:val="20093651"/>
    <w:rsid w:val="200D1749"/>
    <w:rsid w:val="20140D2A"/>
    <w:rsid w:val="201450C0"/>
    <w:rsid w:val="20340495"/>
    <w:rsid w:val="2037473B"/>
    <w:rsid w:val="203A5CDB"/>
    <w:rsid w:val="203B70D5"/>
    <w:rsid w:val="204328FC"/>
    <w:rsid w:val="204755AC"/>
    <w:rsid w:val="20605D1D"/>
    <w:rsid w:val="206823A1"/>
    <w:rsid w:val="206C46C2"/>
    <w:rsid w:val="207A43DF"/>
    <w:rsid w:val="207F6629"/>
    <w:rsid w:val="20B24112"/>
    <w:rsid w:val="20C306C0"/>
    <w:rsid w:val="20C430DA"/>
    <w:rsid w:val="20CB4F5C"/>
    <w:rsid w:val="20D91DD8"/>
    <w:rsid w:val="20DD5762"/>
    <w:rsid w:val="20EA3E93"/>
    <w:rsid w:val="20ED20AB"/>
    <w:rsid w:val="20EE43F2"/>
    <w:rsid w:val="20F301B2"/>
    <w:rsid w:val="20F716A2"/>
    <w:rsid w:val="20F903BB"/>
    <w:rsid w:val="21011A51"/>
    <w:rsid w:val="21096B24"/>
    <w:rsid w:val="210B25F8"/>
    <w:rsid w:val="21140445"/>
    <w:rsid w:val="211508B6"/>
    <w:rsid w:val="211E2099"/>
    <w:rsid w:val="2123675E"/>
    <w:rsid w:val="21354AB4"/>
    <w:rsid w:val="21375B72"/>
    <w:rsid w:val="215018EE"/>
    <w:rsid w:val="215313DE"/>
    <w:rsid w:val="215D225D"/>
    <w:rsid w:val="21637A27"/>
    <w:rsid w:val="21644B2C"/>
    <w:rsid w:val="216655B5"/>
    <w:rsid w:val="216C08BA"/>
    <w:rsid w:val="216C24A0"/>
    <w:rsid w:val="21A63C04"/>
    <w:rsid w:val="21A665AD"/>
    <w:rsid w:val="21AA2FE7"/>
    <w:rsid w:val="21B24356"/>
    <w:rsid w:val="21B33C19"/>
    <w:rsid w:val="21BB34D8"/>
    <w:rsid w:val="21D45E53"/>
    <w:rsid w:val="21D722C1"/>
    <w:rsid w:val="21DF24FF"/>
    <w:rsid w:val="22010E3A"/>
    <w:rsid w:val="220661D9"/>
    <w:rsid w:val="22136A87"/>
    <w:rsid w:val="222C0C93"/>
    <w:rsid w:val="224B3D5F"/>
    <w:rsid w:val="2258252F"/>
    <w:rsid w:val="225E4F1E"/>
    <w:rsid w:val="22602004"/>
    <w:rsid w:val="22654148"/>
    <w:rsid w:val="226D6370"/>
    <w:rsid w:val="227D5773"/>
    <w:rsid w:val="22840EB2"/>
    <w:rsid w:val="22853819"/>
    <w:rsid w:val="228F63A9"/>
    <w:rsid w:val="229258C8"/>
    <w:rsid w:val="229F39D8"/>
    <w:rsid w:val="22A177E6"/>
    <w:rsid w:val="22A7378F"/>
    <w:rsid w:val="22BC4085"/>
    <w:rsid w:val="22E6677E"/>
    <w:rsid w:val="22F400F0"/>
    <w:rsid w:val="22F57002"/>
    <w:rsid w:val="231D3794"/>
    <w:rsid w:val="233236E3"/>
    <w:rsid w:val="233B768D"/>
    <w:rsid w:val="233F3ECE"/>
    <w:rsid w:val="23406150"/>
    <w:rsid w:val="2346752C"/>
    <w:rsid w:val="23585DD8"/>
    <w:rsid w:val="235B4AD3"/>
    <w:rsid w:val="23781571"/>
    <w:rsid w:val="237D05D8"/>
    <w:rsid w:val="239B1C02"/>
    <w:rsid w:val="23AB3963"/>
    <w:rsid w:val="23BA793E"/>
    <w:rsid w:val="23C358BC"/>
    <w:rsid w:val="23D17044"/>
    <w:rsid w:val="23D172B3"/>
    <w:rsid w:val="23DB3521"/>
    <w:rsid w:val="23E40684"/>
    <w:rsid w:val="23F23381"/>
    <w:rsid w:val="2411563C"/>
    <w:rsid w:val="24150BCD"/>
    <w:rsid w:val="24201795"/>
    <w:rsid w:val="242447AF"/>
    <w:rsid w:val="24247062"/>
    <w:rsid w:val="24334C53"/>
    <w:rsid w:val="24625A42"/>
    <w:rsid w:val="24647EF0"/>
    <w:rsid w:val="24771FAD"/>
    <w:rsid w:val="24A87C93"/>
    <w:rsid w:val="24BB4358"/>
    <w:rsid w:val="24C206F0"/>
    <w:rsid w:val="24C51975"/>
    <w:rsid w:val="24CC6A64"/>
    <w:rsid w:val="24D75451"/>
    <w:rsid w:val="24DC47FF"/>
    <w:rsid w:val="25005256"/>
    <w:rsid w:val="250439EF"/>
    <w:rsid w:val="25126858"/>
    <w:rsid w:val="25324CD8"/>
    <w:rsid w:val="2540611D"/>
    <w:rsid w:val="25465465"/>
    <w:rsid w:val="25563D9B"/>
    <w:rsid w:val="2557729C"/>
    <w:rsid w:val="255A6A4F"/>
    <w:rsid w:val="255F1C0B"/>
    <w:rsid w:val="256021B5"/>
    <w:rsid w:val="2562646D"/>
    <w:rsid w:val="256D37AA"/>
    <w:rsid w:val="257239B5"/>
    <w:rsid w:val="257A31F9"/>
    <w:rsid w:val="257A3E03"/>
    <w:rsid w:val="258C3DF5"/>
    <w:rsid w:val="259F5166"/>
    <w:rsid w:val="25A71CF8"/>
    <w:rsid w:val="25AB17E9"/>
    <w:rsid w:val="25BA7C7E"/>
    <w:rsid w:val="25E1786F"/>
    <w:rsid w:val="25EB11E1"/>
    <w:rsid w:val="25F252DE"/>
    <w:rsid w:val="25F25B13"/>
    <w:rsid w:val="25F453F1"/>
    <w:rsid w:val="25F574EA"/>
    <w:rsid w:val="25F74363"/>
    <w:rsid w:val="260809E9"/>
    <w:rsid w:val="260B280F"/>
    <w:rsid w:val="26157637"/>
    <w:rsid w:val="262A1A06"/>
    <w:rsid w:val="26301DF1"/>
    <w:rsid w:val="263C3EBB"/>
    <w:rsid w:val="263F3EBB"/>
    <w:rsid w:val="2655633E"/>
    <w:rsid w:val="265F2454"/>
    <w:rsid w:val="26674D67"/>
    <w:rsid w:val="266E1364"/>
    <w:rsid w:val="26803A38"/>
    <w:rsid w:val="268E2249"/>
    <w:rsid w:val="269131FA"/>
    <w:rsid w:val="26A67D94"/>
    <w:rsid w:val="26AF70B6"/>
    <w:rsid w:val="26B77CB6"/>
    <w:rsid w:val="26BC3931"/>
    <w:rsid w:val="26C52C94"/>
    <w:rsid w:val="26E51871"/>
    <w:rsid w:val="26EC52C4"/>
    <w:rsid w:val="26F33AED"/>
    <w:rsid w:val="26F96565"/>
    <w:rsid w:val="26FD1062"/>
    <w:rsid w:val="270903A9"/>
    <w:rsid w:val="27127645"/>
    <w:rsid w:val="27224B0F"/>
    <w:rsid w:val="272F1E9F"/>
    <w:rsid w:val="272F5068"/>
    <w:rsid w:val="27353D08"/>
    <w:rsid w:val="27411811"/>
    <w:rsid w:val="274E1A68"/>
    <w:rsid w:val="27532138"/>
    <w:rsid w:val="27562A7E"/>
    <w:rsid w:val="2764417B"/>
    <w:rsid w:val="277801BA"/>
    <w:rsid w:val="27795A37"/>
    <w:rsid w:val="278476CC"/>
    <w:rsid w:val="27A30C0C"/>
    <w:rsid w:val="27A62E40"/>
    <w:rsid w:val="27A85D6E"/>
    <w:rsid w:val="27A974B2"/>
    <w:rsid w:val="27BF157B"/>
    <w:rsid w:val="27C22E19"/>
    <w:rsid w:val="27E37443"/>
    <w:rsid w:val="27F710A0"/>
    <w:rsid w:val="282467FF"/>
    <w:rsid w:val="282E0D0A"/>
    <w:rsid w:val="283659E1"/>
    <w:rsid w:val="28441A80"/>
    <w:rsid w:val="28447694"/>
    <w:rsid w:val="284D6B9F"/>
    <w:rsid w:val="284F7247"/>
    <w:rsid w:val="2854115A"/>
    <w:rsid w:val="285B74AA"/>
    <w:rsid w:val="286744CD"/>
    <w:rsid w:val="287B2854"/>
    <w:rsid w:val="2887096F"/>
    <w:rsid w:val="28891A68"/>
    <w:rsid w:val="288F308A"/>
    <w:rsid w:val="28A52767"/>
    <w:rsid w:val="28B0142C"/>
    <w:rsid w:val="28B031C4"/>
    <w:rsid w:val="28B813D8"/>
    <w:rsid w:val="28C05393"/>
    <w:rsid w:val="28C15F16"/>
    <w:rsid w:val="28C8217E"/>
    <w:rsid w:val="28CE0F1D"/>
    <w:rsid w:val="28D13A25"/>
    <w:rsid w:val="28E23AA6"/>
    <w:rsid w:val="28E8256F"/>
    <w:rsid w:val="28ED6847"/>
    <w:rsid w:val="290667D3"/>
    <w:rsid w:val="290F50C9"/>
    <w:rsid w:val="291433AE"/>
    <w:rsid w:val="291C4C64"/>
    <w:rsid w:val="292274D8"/>
    <w:rsid w:val="293571E9"/>
    <w:rsid w:val="29432A42"/>
    <w:rsid w:val="294855A0"/>
    <w:rsid w:val="294F62D4"/>
    <w:rsid w:val="29656152"/>
    <w:rsid w:val="29663110"/>
    <w:rsid w:val="2976043F"/>
    <w:rsid w:val="29834CA6"/>
    <w:rsid w:val="2985733D"/>
    <w:rsid w:val="29AA7F26"/>
    <w:rsid w:val="29D250A3"/>
    <w:rsid w:val="29D97152"/>
    <w:rsid w:val="29DF3D3B"/>
    <w:rsid w:val="29E42F49"/>
    <w:rsid w:val="29EA6773"/>
    <w:rsid w:val="2A144256"/>
    <w:rsid w:val="2A194E7B"/>
    <w:rsid w:val="2A2622F9"/>
    <w:rsid w:val="2A2E7A7E"/>
    <w:rsid w:val="2A3007A8"/>
    <w:rsid w:val="2A4735A8"/>
    <w:rsid w:val="2A5F40B6"/>
    <w:rsid w:val="2A5F6B69"/>
    <w:rsid w:val="2A5F7045"/>
    <w:rsid w:val="2A7B3DF0"/>
    <w:rsid w:val="2AD74E2E"/>
    <w:rsid w:val="2ADD54FD"/>
    <w:rsid w:val="2AE20E8F"/>
    <w:rsid w:val="2AF52FFD"/>
    <w:rsid w:val="2AFA0B1C"/>
    <w:rsid w:val="2B03057F"/>
    <w:rsid w:val="2B0A6FB1"/>
    <w:rsid w:val="2B1A174A"/>
    <w:rsid w:val="2B332625"/>
    <w:rsid w:val="2B5144BB"/>
    <w:rsid w:val="2B5372E6"/>
    <w:rsid w:val="2B565E56"/>
    <w:rsid w:val="2B7865F9"/>
    <w:rsid w:val="2B7E34FB"/>
    <w:rsid w:val="2B8C374E"/>
    <w:rsid w:val="2B8F46B6"/>
    <w:rsid w:val="2B991DFF"/>
    <w:rsid w:val="2BA31534"/>
    <w:rsid w:val="2BB24D3C"/>
    <w:rsid w:val="2BB84560"/>
    <w:rsid w:val="2BBD04C8"/>
    <w:rsid w:val="2BC421B1"/>
    <w:rsid w:val="2BC62A64"/>
    <w:rsid w:val="2BCC2A9E"/>
    <w:rsid w:val="2BCE0BF3"/>
    <w:rsid w:val="2BF24C23"/>
    <w:rsid w:val="2BFC6B25"/>
    <w:rsid w:val="2C097269"/>
    <w:rsid w:val="2C0D7BBA"/>
    <w:rsid w:val="2C114781"/>
    <w:rsid w:val="2C2125AE"/>
    <w:rsid w:val="2C421FD2"/>
    <w:rsid w:val="2C5F157F"/>
    <w:rsid w:val="2C6B4093"/>
    <w:rsid w:val="2C997AF3"/>
    <w:rsid w:val="2C997CDE"/>
    <w:rsid w:val="2C9E14E5"/>
    <w:rsid w:val="2CA168DA"/>
    <w:rsid w:val="2CAD7613"/>
    <w:rsid w:val="2CAF1053"/>
    <w:rsid w:val="2CBE4378"/>
    <w:rsid w:val="2CD25FF8"/>
    <w:rsid w:val="2CE13F15"/>
    <w:rsid w:val="2CF3392B"/>
    <w:rsid w:val="2D033B54"/>
    <w:rsid w:val="2D051917"/>
    <w:rsid w:val="2D1C7DF4"/>
    <w:rsid w:val="2D377655"/>
    <w:rsid w:val="2D3E7D26"/>
    <w:rsid w:val="2D403484"/>
    <w:rsid w:val="2D651E34"/>
    <w:rsid w:val="2DA54273"/>
    <w:rsid w:val="2DAB5DC1"/>
    <w:rsid w:val="2DB07C25"/>
    <w:rsid w:val="2DC25921"/>
    <w:rsid w:val="2DC4273E"/>
    <w:rsid w:val="2DE41C02"/>
    <w:rsid w:val="2DEF37F3"/>
    <w:rsid w:val="2DF14475"/>
    <w:rsid w:val="2DF83A39"/>
    <w:rsid w:val="2DF83CAE"/>
    <w:rsid w:val="2E1036F7"/>
    <w:rsid w:val="2E143904"/>
    <w:rsid w:val="2E1D6FFC"/>
    <w:rsid w:val="2E204D3E"/>
    <w:rsid w:val="2E2F76FC"/>
    <w:rsid w:val="2E3B1F9E"/>
    <w:rsid w:val="2E3B3187"/>
    <w:rsid w:val="2E422DCC"/>
    <w:rsid w:val="2E5276E9"/>
    <w:rsid w:val="2E5B7B24"/>
    <w:rsid w:val="2E5D019E"/>
    <w:rsid w:val="2E5F219A"/>
    <w:rsid w:val="2E674BE4"/>
    <w:rsid w:val="2E6D0CD1"/>
    <w:rsid w:val="2E754540"/>
    <w:rsid w:val="2E76230B"/>
    <w:rsid w:val="2E791CCC"/>
    <w:rsid w:val="2E831384"/>
    <w:rsid w:val="2E8452CD"/>
    <w:rsid w:val="2E894D60"/>
    <w:rsid w:val="2E905186"/>
    <w:rsid w:val="2E9372BE"/>
    <w:rsid w:val="2E951CE1"/>
    <w:rsid w:val="2E98559A"/>
    <w:rsid w:val="2E9D013C"/>
    <w:rsid w:val="2EA370F5"/>
    <w:rsid w:val="2EB67F2E"/>
    <w:rsid w:val="2EC1505F"/>
    <w:rsid w:val="2EC24A17"/>
    <w:rsid w:val="2ECC5889"/>
    <w:rsid w:val="2ED0766D"/>
    <w:rsid w:val="2ED2330B"/>
    <w:rsid w:val="2ED7364E"/>
    <w:rsid w:val="2EDC447A"/>
    <w:rsid w:val="2EDF01FA"/>
    <w:rsid w:val="2EE5733A"/>
    <w:rsid w:val="2EEB5F39"/>
    <w:rsid w:val="2EEE11AC"/>
    <w:rsid w:val="2EFE35E8"/>
    <w:rsid w:val="2F1321AD"/>
    <w:rsid w:val="2F1E7DD9"/>
    <w:rsid w:val="2F250BCC"/>
    <w:rsid w:val="2F280B6B"/>
    <w:rsid w:val="2F315682"/>
    <w:rsid w:val="2F436F36"/>
    <w:rsid w:val="2F4E6128"/>
    <w:rsid w:val="2F593497"/>
    <w:rsid w:val="2F59736F"/>
    <w:rsid w:val="2F5E7443"/>
    <w:rsid w:val="2F603644"/>
    <w:rsid w:val="2F6628DC"/>
    <w:rsid w:val="2F6B752D"/>
    <w:rsid w:val="2F80221D"/>
    <w:rsid w:val="2F8064C5"/>
    <w:rsid w:val="2F865FF8"/>
    <w:rsid w:val="2F9C3F10"/>
    <w:rsid w:val="2FA340D1"/>
    <w:rsid w:val="2FA6202F"/>
    <w:rsid w:val="2FB860AF"/>
    <w:rsid w:val="2FC621CE"/>
    <w:rsid w:val="2FD47278"/>
    <w:rsid w:val="2FDB47FA"/>
    <w:rsid w:val="303F08C7"/>
    <w:rsid w:val="30412492"/>
    <w:rsid w:val="304704C5"/>
    <w:rsid w:val="30496CCB"/>
    <w:rsid w:val="30556305"/>
    <w:rsid w:val="30615FED"/>
    <w:rsid w:val="3080124A"/>
    <w:rsid w:val="308B0B94"/>
    <w:rsid w:val="309713C6"/>
    <w:rsid w:val="309B06AC"/>
    <w:rsid w:val="30A232E4"/>
    <w:rsid w:val="30B1104A"/>
    <w:rsid w:val="30BE1091"/>
    <w:rsid w:val="30C157E9"/>
    <w:rsid w:val="30C50C66"/>
    <w:rsid w:val="30C70626"/>
    <w:rsid w:val="30CE6CD3"/>
    <w:rsid w:val="30ED1711"/>
    <w:rsid w:val="30F41285"/>
    <w:rsid w:val="311341B9"/>
    <w:rsid w:val="31140B8A"/>
    <w:rsid w:val="31167200"/>
    <w:rsid w:val="312608BD"/>
    <w:rsid w:val="312C69BA"/>
    <w:rsid w:val="313528AE"/>
    <w:rsid w:val="31393DCB"/>
    <w:rsid w:val="31470B66"/>
    <w:rsid w:val="31636DC3"/>
    <w:rsid w:val="316A224B"/>
    <w:rsid w:val="316D2048"/>
    <w:rsid w:val="316D2854"/>
    <w:rsid w:val="31712EBC"/>
    <w:rsid w:val="317A64B6"/>
    <w:rsid w:val="317D5FB6"/>
    <w:rsid w:val="31855612"/>
    <w:rsid w:val="318A603A"/>
    <w:rsid w:val="318C7F04"/>
    <w:rsid w:val="319C5AA7"/>
    <w:rsid w:val="319D5F93"/>
    <w:rsid w:val="319F465C"/>
    <w:rsid w:val="31AB491E"/>
    <w:rsid w:val="31C32FA3"/>
    <w:rsid w:val="31C44544"/>
    <w:rsid w:val="31CD468B"/>
    <w:rsid w:val="31D9148B"/>
    <w:rsid w:val="31D91BE1"/>
    <w:rsid w:val="31E60582"/>
    <w:rsid w:val="31E60856"/>
    <w:rsid w:val="31E71DFA"/>
    <w:rsid w:val="31EA35E8"/>
    <w:rsid w:val="31F40F27"/>
    <w:rsid w:val="31F75DB5"/>
    <w:rsid w:val="32064F15"/>
    <w:rsid w:val="3210797E"/>
    <w:rsid w:val="32272962"/>
    <w:rsid w:val="322C0610"/>
    <w:rsid w:val="322E1BFD"/>
    <w:rsid w:val="3234096D"/>
    <w:rsid w:val="323A3E96"/>
    <w:rsid w:val="323E22F7"/>
    <w:rsid w:val="32467B23"/>
    <w:rsid w:val="32486505"/>
    <w:rsid w:val="325C2A3D"/>
    <w:rsid w:val="32761B39"/>
    <w:rsid w:val="328D1767"/>
    <w:rsid w:val="3291409C"/>
    <w:rsid w:val="329B0E37"/>
    <w:rsid w:val="32A5173A"/>
    <w:rsid w:val="32AE3F94"/>
    <w:rsid w:val="32BB148C"/>
    <w:rsid w:val="32BB6217"/>
    <w:rsid w:val="32C20171"/>
    <w:rsid w:val="32C946DF"/>
    <w:rsid w:val="32CA1E0E"/>
    <w:rsid w:val="32CD4892"/>
    <w:rsid w:val="32E73C6F"/>
    <w:rsid w:val="32E847CF"/>
    <w:rsid w:val="32F34A25"/>
    <w:rsid w:val="32F9670A"/>
    <w:rsid w:val="32FD41BB"/>
    <w:rsid w:val="33152997"/>
    <w:rsid w:val="33162750"/>
    <w:rsid w:val="33291ACF"/>
    <w:rsid w:val="332D6A13"/>
    <w:rsid w:val="333D7CDA"/>
    <w:rsid w:val="33421C25"/>
    <w:rsid w:val="334760AD"/>
    <w:rsid w:val="334C371C"/>
    <w:rsid w:val="334D4BFC"/>
    <w:rsid w:val="336C20F6"/>
    <w:rsid w:val="337D6DD6"/>
    <w:rsid w:val="339670C9"/>
    <w:rsid w:val="339B1966"/>
    <w:rsid w:val="33A23507"/>
    <w:rsid w:val="33A52079"/>
    <w:rsid w:val="33C1178D"/>
    <w:rsid w:val="33C337C4"/>
    <w:rsid w:val="33C65265"/>
    <w:rsid w:val="33CD5CBF"/>
    <w:rsid w:val="33CF6A93"/>
    <w:rsid w:val="33D52CF0"/>
    <w:rsid w:val="33E3198C"/>
    <w:rsid w:val="33EE7A94"/>
    <w:rsid w:val="33F352AE"/>
    <w:rsid w:val="33F672DC"/>
    <w:rsid w:val="33F94067"/>
    <w:rsid w:val="340A6274"/>
    <w:rsid w:val="341663D8"/>
    <w:rsid w:val="3446181C"/>
    <w:rsid w:val="34491953"/>
    <w:rsid w:val="344F1FA8"/>
    <w:rsid w:val="345721E6"/>
    <w:rsid w:val="34581CF7"/>
    <w:rsid w:val="34751483"/>
    <w:rsid w:val="34794F5B"/>
    <w:rsid w:val="34880BD9"/>
    <w:rsid w:val="34AF2977"/>
    <w:rsid w:val="34B00BE8"/>
    <w:rsid w:val="34B44B7E"/>
    <w:rsid w:val="34C14813"/>
    <w:rsid w:val="34C415C2"/>
    <w:rsid w:val="34F34F5A"/>
    <w:rsid w:val="35056F41"/>
    <w:rsid w:val="35075F67"/>
    <w:rsid w:val="350A4AD0"/>
    <w:rsid w:val="350F0702"/>
    <w:rsid w:val="35151C0C"/>
    <w:rsid w:val="352944D8"/>
    <w:rsid w:val="353566C7"/>
    <w:rsid w:val="35537C83"/>
    <w:rsid w:val="357942B2"/>
    <w:rsid w:val="35953F88"/>
    <w:rsid w:val="35A873D1"/>
    <w:rsid w:val="35BB78D2"/>
    <w:rsid w:val="35C76FEA"/>
    <w:rsid w:val="35D80623"/>
    <w:rsid w:val="360F303D"/>
    <w:rsid w:val="36123918"/>
    <w:rsid w:val="36312097"/>
    <w:rsid w:val="36460B81"/>
    <w:rsid w:val="36495886"/>
    <w:rsid w:val="364A7156"/>
    <w:rsid w:val="36592B9B"/>
    <w:rsid w:val="36637A63"/>
    <w:rsid w:val="36751EAC"/>
    <w:rsid w:val="36767E84"/>
    <w:rsid w:val="367F4F73"/>
    <w:rsid w:val="368B2089"/>
    <w:rsid w:val="368C3D98"/>
    <w:rsid w:val="36A06B8E"/>
    <w:rsid w:val="36DF1B09"/>
    <w:rsid w:val="36E7464B"/>
    <w:rsid w:val="36F5558D"/>
    <w:rsid w:val="36FA75CB"/>
    <w:rsid w:val="36FE69CC"/>
    <w:rsid w:val="37077031"/>
    <w:rsid w:val="370A446C"/>
    <w:rsid w:val="370B658B"/>
    <w:rsid w:val="37113475"/>
    <w:rsid w:val="37175554"/>
    <w:rsid w:val="37186290"/>
    <w:rsid w:val="371F5514"/>
    <w:rsid w:val="371F65D0"/>
    <w:rsid w:val="371F778C"/>
    <w:rsid w:val="37236D14"/>
    <w:rsid w:val="373B14E6"/>
    <w:rsid w:val="373F420B"/>
    <w:rsid w:val="37403D5B"/>
    <w:rsid w:val="374A1271"/>
    <w:rsid w:val="37647851"/>
    <w:rsid w:val="376806DB"/>
    <w:rsid w:val="376B702A"/>
    <w:rsid w:val="37723723"/>
    <w:rsid w:val="37751C56"/>
    <w:rsid w:val="37846EE5"/>
    <w:rsid w:val="37903D10"/>
    <w:rsid w:val="379461DF"/>
    <w:rsid w:val="379C5527"/>
    <w:rsid w:val="379F25AA"/>
    <w:rsid w:val="37AE6378"/>
    <w:rsid w:val="37B7331B"/>
    <w:rsid w:val="37BE432D"/>
    <w:rsid w:val="37C0269B"/>
    <w:rsid w:val="37C20289"/>
    <w:rsid w:val="37CC113C"/>
    <w:rsid w:val="37DD3769"/>
    <w:rsid w:val="37FE4685"/>
    <w:rsid w:val="37FF4557"/>
    <w:rsid w:val="38316343"/>
    <w:rsid w:val="38540962"/>
    <w:rsid w:val="3862667F"/>
    <w:rsid w:val="38727B02"/>
    <w:rsid w:val="38812AD7"/>
    <w:rsid w:val="388C1416"/>
    <w:rsid w:val="38937AD5"/>
    <w:rsid w:val="389F5CD8"/>
    <w:rsid w:val="38AA6BDA"/>
    <w:rsid w:val="38B279EB"/>
    <w:rsid w:val="38B82AF5"/>
    <w:rsid w:val="38BA3990"/>
    <w:rsid w:val="38C7204D"/>
    <w:rsid w:val="38CA7D80"/>
    <w:rsid w:val="38E47094"/>
    <w:rsid w:val="38EA6C83"/>
    <w:rsid w:val="39167469"/>
    <w:rsid w:val="392752C5"/>
    <w:rsid w:val="392B1828"/>
    <w:rsid w:val="393C2B9A"/>
    <w:rsid w:val="3944117A"/>
    <w:rsid w:val="394471A2"/>
    <w:rsid w:val="394D58E5"/>
    <w:rsid w:val="39534219"/>
    <w:rsid w:val="397D02D4"/>
    <w:rsid w:val="39933B19"/>
    <w:rsid w:val="39986B83"/>
    <w:rsid w:val="39A33CED"/>
    <w:rsid w:val="39A74D48"/>
    <w:rsid w:val="39B63F14"/>
    <w:rsid w:val="39B7382F"/>
    <w:rsid w:val="39BB11C0"/>
    <w:rsid w:val="39C173D5"/>
    <w:rsid w:val="39ED5AEC"/>
    <w:rsid w:val="39F25C1A"/>
    <w:rsid w:val="39FE6631"/>
    <w:rsid w:val="3A041B64"/>
    <w:rsid w:val="3A071EAD"/>
    <w:rsid w:val="3A2B463D"/>
    <w:rsid w:val="3A386A14"/>
    <w:rsid w:val="3A3C0A2C"/>
    <w:rsid w:val="3A453174"/>
    <w:rsid w:val="3A507D03"/>
    <w:rsid w:val="3A5133D0"/>
    <w:rsid w:val="3A52381C"/>
    <w:rsid w:val="3A58654F"/>
    <w:rsid w:val="3A687E26"/>
    <w:rsid w:val="3A8322BE"/>
    <w:rsid w:val="3A85143D"/>
    <w:rsid w:val="3A862A09"/>
    <w:rsid w:val="3AB170F0"/>
    <w:rsid w:val="3AB177D6"/>
    <w:rsid w:val="3AC727C9"/>
    <w:rsid w:val="3AC7728A"/>
    <w:rsid w:val="3ACB380C"/>
    <w:rsid w:val="3AE74B3F"/>
    <w:rsid w:val="3AF6205F"/>
    <w:rsid w:val="3AFB06C4"/>
    <w:rsid w:val="3B003F2D"/>
    <w:rsid w:val="3B050D2B"/>
    <w:rsid w:val="3B1D2FE9"/>
    <w:rsid w:val="3B1F566C"/>
    <w:rsid w:val="3B265D2B"/>
    <w:rsid w:val="3B497D60"/>
    <w:rsid w:val="3B4D0406"/>
    <w:rsid w:val="3B4F3729"/>
    <w:rsid w:val="3B5C1C29"/>
    <w:rsid w:val="3B716F78"/>
    <w:rsid w:val="3B7364AD"/>
    <w:rsid w:val="3B841B0F"/>
    <w:rsid w:val="3B8725C8"/>
    <w:rsid w:val="3B8E4873"/>
    <w:rsid w:val="3BB32D4D"/>
    <w:rsid w:val="3BB54638"/>
    <w:rsid w:val="3BD01B51"/>
    <w:rsid w:val="3BD30204"/>
    <w:rsid w:val="3BD62991"/>
    <w:rsid w:val="3BD95935"/>
    <w:rsid w:val="3BF34A5A"/>
    <w:rsid w:val="3BF56BC0"/>
    <w:rsid w:val="3BFD71E6"/>
    <w:rsid w:val="3BFF7ABA"/>
    <w:rsid w:val="3C241772"/>
    <w:rsid w:val="3C2A50F0"/>
    <w:rsid w:val="3C2B11E4"/>
    <w:rsid w:val="3C367A7D"/>
    <w:rsid w:val="3C40286C"/>
    <w:rsid w:val="3C4373C4"/>
    <w:rsid w:val="3C483FC3"/>
    <w:rsid w:val="3C502B4D"/>
    <w:rsid w:val="3C542E8E"/>
    <w:rsid w:val="3C6504EB"/>
    <w:rsid w:val="3C7000A7"/>
    <w:rsid w:val="3C7B735D"/>
    <w:rsid w:val="3C90124E"/>
    <w:rsid w:val="3C9508B9"/>
    <w:rsid w:val="3CB274A9"/>
    <w:rsid w:val="3CBE1861"/>
    <w:rsid w:val="3CD06F1D"/>
    <w:rsid w:val="3CD9405C"/>
    <w:rsid w:val="3CDB019A"/>
    <w:rsid w:val="3CE83CA8"/>
    <w:rsid w:val="3CF672F5"/>
    <w:rsid w:val="3D0C22C4"/>
    <w:rsid w:val="3D0F48FB"/>
    <w:rsid w:val="3D11065F"/>
    <w:rsid w:val="3D32517E"/>
    <w:rsid w:val="3D3D7F10"/>
    <w:rsid w:val="3D5228D4"/>
    <w:rsid w:val="3D5A250F"/>
    <w:rsid w:val="3D5B4B1B"/>
    <w:rsid w:val="3D6E011A"/>
    <w:rsid w:val="3D7778E1"/>
    <w:rsid w:val="3DCD70D3"/>
    <w:rsid w:val="3DD64A42"/>
    <w:rsid w:val="3DFF7691"/>
    <w:rsid w:val="3E21293C"/>
    <w:rsid w:val="3E23511C"/>
    <w:rsid w:val="3E4B54BF"/>
    <w:rsid w:val="3E5770D9"/>
    <w:rsid w:val="3E5F6A1A"/>
    <w:rsid w:val="3E690DF4"/>
    <w:rsid w:val="3E6A644A"/>
    <w:rsid w:val="3E711D4C"/>
    <w:rsid w:val="3E7D62A3"/>
    <w:rsid w:val="3E861F2A"/>
    <w:rsid w:val="3E865C72"/>
    <w:rsid w:val="3E8A248B"/>
    <w:rsid w:val="3E8A7D88"/>
    <w:rsid w:val="3E920965"/>
    <w:rsid w:val="3E92378D"/>
    <w:rsid w:val="3EC57D85"/>
    <w:rsid w:val="3ECF0202"/>
    <w:rsid w:val="3ED81093"/>
    <w:rsid w:val="3EDC4C19"/>
    <w:rsid w:val="3EE83100"/>
    <w:rsid w:val="3EE90097"/>
    <w:rsid w:val="3EEB0A50"/>
    <w:rsid w:val="3EEF22EE"/>
    <w:rsid w:val="3EF76DEB"/>
    <w:rsid w:val="3F147322"/>
    <w:rsid w:val="3F16769C"/>
    <w:rsid w:val="3F1B7BDA"/>
    <w:rsid w:val="3F3C40E0"/>
    <w:rsid w:val="3F463DF1"/>
    <w:rsid w:val="3F4D7EEB"/>
    <w:rsid w:val="3F4F53D8"/>
    <w:rsid w:val="3F544847"/>
    <w:rsid w:val="3F656A54"/>
    <w:rsid w:val="3F7561FB"/>
    <w:rsid w:val="3F775D8A"/>
    <w:rsid w:val="3F8175A9"/>
    <w:rsid w:val="3F9110FB"/>
    <w:rsid w:val="3F970AC9"/>
    <w:rsid w:val="3F983970"/>
    <w:rsid w:val="3FA04C1F"/>
    <w:rsid w:val="3FAB0FB0"/>
    <w:rsid w:val="3FAB3EF2"/>
    <w:rsid w:val="3FB377C0"/>
    <w:rsid w:val="3FB74B79"/>
    <w:rsid w:val="3FB97FE1"/>
    <w:rsid w:val="3FC62C11"/>
    <w:rsid w:val="3FD62416"/>
    <w:rsid w:val="3FDA1064"/>
    <w:rsid w:val="3FE10133"/>
    <w:rsid w:val="3FF03FC2"/>
    <w:rsid w:val="40077B0C"/>
    <w:rsid w:val="40080BF4"/>
    <w:rsid w:val="400F586A"/>
    <w:rsid w:val="40225FCC"/>
    <w:rsid w:val="402C43AB"/>
    <w:rsid w:val="402D0F85"/>
    <w:rsid w:val="4031573F"/>
    <w:rsid w:val="403645F3"/>
    <w:rsid w:val="40491F46"/>
    <w:rsid w:val="404A137E"/>
    <w:rsid w:val="40575432"/>
    <w:rsid w:val="407A0D49"/>
    <w:rsid w:val="40844CB8"/>
    <w:rsid w:val="409D0FAB"/>
    <w:rsid w:val="40A35A86"/>
    <w:rsid w:val="40A86353"/>
    <w:rsid w:val="40C61B26"/>
    <w:rsid w:val="40CC47B9"/>
    <w:rsid w:val="40D27F8E"/>
    <w:rsid w:val="40E41DEF"/>
    <w:rsid w:val="40F17FA1"/>
    <w:rsid w:val="40F2485A"/>
    <w:rsid w:val="40FC3EF1"/>
    <w:rsid w:val="40FC47E1"/>
    <w:rsid w:val="411876B8"/>
    <w:rsid w:val="412934FC"/>
    <w:rsid w:val="41345493"/>
    <w:rsid w:val="4138297C"/>
    <w:rsid w:val="414A1A09"/>
    <w:rsid w:val="415A2583"/>
    <w:rsid w:val="415C484C"/>
    <w:rsid w:val="4188317F"/>
    <w:rsid w:val="41924FB9"/>
    <w:rsid w:val="41A94A2E"/>
    <w:rsid w:val="41AC096A"/>
    <w:rsid w:val="41B34DF1"/>
    <w:rsid w:val="41BB0480"/>
    <w:rsid w:val="41BF708C"/>
    <w:rsid w:val="41C761B0"/>
    <w:rsid w:val="41CB0305"/>
    <w:rsid w:val="41E0578B"/>
    <w:rsid w:val="41E53F7A"/>
    <w:rsid w:val="41F91821"/>
    <w:rsid w:val="42041BE8"/>
    <w:rsid w:val="42097713"/>
    <w:rsid w:val="420D42E6"/>
    <w:rsid w:val="42100EF9"/>
    <w:rsid w:val="42156510"/>
    <w:rsid w:val="42186FAF"/>
    <w:rsid w:val="4229039A"/>
    <w:rsid w:val="42436B6D"/>
    <w:rsid w:val="425930E7"/>
    <w:rsid w:val="42635B8E"/>
    <w:rsid w:val="426F381D"/>
    <w:rsid w:val="42723962"/>
    <w:rsid w:val="42AF5206"/>
    <w:rsid w:val="42BB2A5D"/>
    <w:rsid w:val="42C73711"/>
    <w:rsid w:val="42CB6444"/>
    <w:rsid w:val="42DE4B54"/>
    <w:rsid w:val="42E82069"/>
    <w:rsid w:val="42FE63FF"/>
    <w:rsid w:val="430A6E5A"/>
    <w:rsid w:val="430F2511"/>
    <w:rsid w:val="43180601"/>
    <w:rsid w:val="431C549B"/>
    <w:rsid w:val="43241723"/>
    <w:rsid w:val="4330416F"/>
    <w:rsid w:val="4335673E"/>
    <w:rsid w:val="433E2AAC"/>
    <w:rsid w:val="434C374E"/>
    <w:rsid w:val="434F7A62"/>
    <w:rsid w:val="4352109E"/>
    <w:rsid w:val="4355638B"/>
    <w:rsid w:val="436752A6"/>
    <w:rsid w:val="43804E58"/>
    <w:rsid w:val="43843FDD"/>
    <w:rsid w:val="439F0E69"/>
    <w:rsid w:val="43D1290A"/>
    <w:rsid w:val="43D7406A"/>
    <w:rsid w:val="43DC5799"/>
    <w:rsid w:val="43DF332A"/>
    <w:rsid w:val="43E727A0"/>
    <w:rsid w:val="43F37DE8"/>
    <w:rsid w:val="43F42B17"/>
    <w:rsid w:val="43F70D2B"/>
    <w:rsid w:val="43FB06B5"/>
    <w:rsid w:val="440F51E1"/>
    <w:rsid w:val="44185E43"/>
    <w:rsid w:val="441A3D23"/>
    <w:rsid w:val="441E1F6C"/>
    <w:rsid w:val="442438B1"/>
    <w:rsid w:val="442567B2"/>
    <w:rsid w:val="44284DFE"/>
    <w:rsid w:val="443B29FC"/>
    <w:rsid w:val="443B4DCB"/>
    <w:rsid w:val="443D5D23"/>
    <w:rsid w:val="44436D76"/>
    <w:rsid w:val="445F3A72"/>
    <w:rsid w:val="4464327A"/>
    <w:rsid w:val="44663053"/>
    <w:rsid w:val="446A3FBF"/>
    <w:rsid w:val="4472660D"/>
    <w:rsid w:val="44775260"/>
    <w:rsid w:val="447D7D11"/>
    <w:rsid w:val="44931781"/>
    <w:rsid w:val="44964BBE"/>
    <w:rsid w:val="44CD30D2"/>
    <w:rsid w:val="44D8473A"/>
    <w:rsid w:val="44E07A4E"/>
    <w:rsid w:val="44E37827"/>
    <w:rsid w:val="44E701A5"/>
    <w:rsid w:val="44EF6DE1"/>
    <w:rsid w:val="45080D22"/>
    <w:rsid w:val="450E74EC"/>
    <w:rsid w:val="45265484"/>
    <w:rsid w:val="452D74E0"/>
    <w:rsid w:val="45396AC7"/>
    <w:rsid w:val="453A32C5"/>
    <w:rsid w:val="453C3DB3"/>
    <w:rsid w:val="457C4123"/>
    <w:rsid w:val="45855844"/>
    <w:rsid w:val="458B69F6"/>
    <w:rsid w:val="45A647C9"/>
    <w:rsid w:val="45BB5620"/>
    <w:rsid w:val="45C36283"/>
    <w:rsid w:val="45C943D0"/>
    <w:rsid w:val="45D64208"/>
    <w:rsid w:val="45DA6D30"/>
    <w:rsid w:val="45DE14B8"/>
    <w:rsid w:val="45EC7588"/>
    <w:rsid w:val="460142EB"/>
    <w:rsid w:val="46091CAA"/>
    <w:rsid w:val="460F76F5"/>
    <w:rsid w:val="46245FE1"/>
    <w:rsid w:val="46366E3E"/>
    <w:rsid w:val="463842DE"/>
    <w:rsid w:val="46386E53"/>
    <w:rsid w:val="4639036D"/>
    <w:rsid w:val="463A05A5"/>
    <w:rsid w:val="463A5557"/>
    <w:rsid w:val="46460291"/>
    <w:rsid w:val="464A0A81"/>
    <w:rsid w:val="46585AA8"/>
    <w:rsid w:val="46625A9D"/>
    <w:rsid w:val="4666004F"/>
    <w:rsid w:val="46694FAF"/>
    <w:rsid w:val="4684077A"/>
    <w:rsid w:val="468C4784"/>
    <w:rsid w:val="469506DA"/>
    <w:rsid w:val="46967151"/>
    <w:rsid w:val="469B1818"/>
    <w:rsid w:val="46A9385A"/>
    <w:rsid w:val="46AB4F07"/>
    <w:rsid w:val="46CA4E0D"/>
    <w:rsid w:val="46F379AB"/>
    <w:rsid w:val="470B23CA"/>
    <w:rsid w:val="472762D3"/>
    <w:rsid w:val="47310B44"/>
    <w:rsid w:val="47454177"/>
    <w:rsid w:val="474F15D8"/>
    <w:rsid w:val="4754049B"/>
    <w:rsid w:val="47541888"/>
    <w:rsid w:val="475E7C0D"/>
    <w:rsid w:val="476415D8"/>
    <w:rsid w:val="476C7258"/>
    <w:rsid w:val="47701558"/>
    <w:rsid w:val="477426A5"/>
    <w:rsid w:val="477C7BB5"/>
    <w:rsid w:val="47873BD6"/>
    <w:rsid w:val="479F13B5"/>
    <w:rsid w:val="47B2336A"/>
    <w:rsid w:val="47BA4F6E"/>
    <w:rsid w:val="47D6229D"/>
    <w:rsid w:val="47D7366E"/>
    <w:rsid w:val="47D93B3C"/>
    <w:rsid w:val="47DD7536"/>
    <w:rsid w:val="47E12DA0"/>
    <w:rsid w:val="47FE0DCE"/>
    <w:rsid w:val="480C1D5D"/>
    <w:rsid w:val="4829677E"/>
    <w:rsid w:val="484C7242"/>
    <w:rsid w:val="48643D4D"/>
    <w:rsid w:val="486820B1"/>
    <w:rsid w:val="486C3D94"/>
    <w:rsid w:val="48773686"/>
    <w:rsid w:val="487B6FA5"/>
    <w:rsid w:val="487F1E12"/>
    <w:rsid w:val="48A226AD"/>
    <w:rsid w:val="48B222DB"/>
    <w:rsid w:val="48B2699F"/>
    <w:rsid w:val="48B67D8D"/>
    <w:rsid w:val="48C260C0"/>
    <w:rsid w:val="48CC18F2"/>
    <w:rsid w:val="48CD394B"/>
    <w:rsid w:val="48D647F7"/>
    <w:rsid w:val="48E20896"/>
    <w:rsid w:val="48EA070F"/>
    <w:rsid w:val="4902628A"/>
    <w:rsid w:val="490B2882"/>
    <w:rsid w:val="49115557"/>
    <w:rsid w:val="492412C0"/>
    <w:rsid w:val="492E340D"/>
    <w:rsid w:val="494E7D53"/>
    <w:rsid w:val="49545F16"/>
    <w:rsid w:val="495A6D39"/>
    <w:rsid w:val="49733F06"/>
    <w:rsid w:val="4988006D"/>
    <w:rsid w:val="499646A6"/>
    <w:rsid w:val="499F4D25"/>
    <w:rsid w:val="49B0392D"/>
    <w:rsid w:val="49B26E0D"/>
    <w:rsid w:val="49BB06FB"/>
    <w:rsid w:val="49BC2A68"/>
    <w:rsid w:val="49CC2EDA"/>
    <w:rsid w:val="49D9691D"/>
    <w:rsid w:val="49E07403"/>
    <w:rsid w:val="49F02ED2"/>
    <w:rsid w:val="49F04BCB"/>
    <w:rsid w:val="49FD451C"/>
    <w:rsid w:val="4A01737A"/>
    <w:rsid w:val="4A0A26D2"/>
    <w:rsid w:val="4A152F65"/>
    <w:rsid w:val="4A2F038B"/>
    <w:rsid w:val="4A395C01"/>
    <w:rsid w:val="4A3A1EF4"/>
    <w:rsid w:val="4A3E0914"/>
    <w:rsid w:val="4A3F1207"/>
    <w:rsid w:val="4A57472F"/>
    <w:rsid w:val="4A5E14E9"/>
    <w:rsid w:val="4A715E3D"/>
    <w:rsid w:val="4A733048"/>
    <w:rsid w:val="4A942924"/>
    <w:rsid w:val="4AB72982"/>
    <w:rsid w:val="4ABA28C3"/>
    <w:rsid w:val="4ABC5235"/>
    <w:rsid w:val="4ABE3098"/>
    <w:rsid w:val="4AD056CA"/>
    <w:rsid w:val="4ADA6439"/>
    <w:rsid w:val="4AE253FD"/>
    <w:rsid w:val="4B045373"/>
    <w:rsid w:val="4B0709C0"/>
    <w:rsid w:val="4B0E7FA0"/>
    <w:rsid w:val="4B1B2082"/>
    <w:rsid w:val="4B207620"/>
    <w:rsid w:val="4B26633E"/>
    <w:rsid w:val="4B275A70"/>
    <w:rsid w:val="4B350CBF"/>
    <w:rsid w:val="4B3C1F61"/>
    <w:rsid w:val="4B577B99"/>
    <w:rsid w:val="4B6328C8"/>
    <w:rsid w:val="4B635F8B"/>
    <w:rsid w:val="4B65032C"/>
    <w:rsid w:val="4B712A43"/>
    <w:rsid w:val="4B773D97"/>
    <w:rsid w:val="4B7E5126"/>
    <w:rsid w:val="4B82202B"/>
    <w:rsid w:val="4B85327E"/>
    <w:rsid w:val="4B9B636D"/>
    <w:rsid w:val="4BAD77B9"/>
    <w:rsid w:val="4BB52B12"/>
    <w:rsid w:val="4BBD055E"/>
    <w:rsid w:val="4BBE1692"/>
    <w:rsid w:val="4BCA0C2B"/>
    <w:rsid w:val="4BD42F98"/>
    <w:rsid w:val="4BD65A7B"/>
    <w:rsid w:val="4BE13907"/>
    <w:rsid w:val="4BF4363A"/>
    <w:rsid w:val="4BF7344E"/>
    <w:rsid w:val="4C0B49E3"/>
    <w:rsid w:val="4C180EC0"/>
    <w:rsid w:val="4C347834"/>
    <w:rsid w:val="4C391F4E"/>
    <w:rsid w:val="4C3A06B4"/>
    <w:rsid w:val="4C404189"/>
    <w:rsid w:val="4C431D10"/>
    <w:rsid w:val="4C550CDA"/>
    <w:rsid w:val="4C696745"/>
    <w:rsid w:val="4C6F0833"/>
    <w:rsid w:val="4C737423"/>
    <w:rsid w:val="4C9771F8"/>
    <w:rsid w:val="4C987A51"/>
    <w:rsid w:val="4C993ABE"/>
    <w:rsid w:val="4C9E5354"/>
    <w:rsid w:val="4CAA2DCE"/>
    <w:rsid w:val="4CB96EE9"/>
    <w:rsid w:val="4CD66C96"/>
    <w:rsid w:val="4CD67B67"/>
    <w:rsid w:val="4CDC5A3B"/>
    <w:rsid w:val="4CDF0E5D"/>
    <w:rsid w:val="4CE376D5"/>
    <w:rsid w:val="4CE555D4"/>
    <w:rsid w:val="4CEE4FA5"/>
    <w:rsid w:val="4D0D3FCB"/>
    <w:rsid w:val="4D0F7FFF"/>
    <w:rsid w:val="4D3216F4"/>
    <w:rsid w:val="4D4B67D6"/>
    <w:rsid w:val="4D547564"/>
    <w:rsid w:val="4D6C65CD"/>
    <w:rsid w:val="4D8217BA"/>
    <w:rsid w:val="4D942E5A"/>
    <w:rsid w:val="4D9C1BB4"/>
    <w:rsid w:val="4DA03F5C"/>
    <w:rsid w:val="4DA53D9D"/>
    <w:rsid w:val="4DAC584E"/>
    <w:rsid w:val="4DAD3AA0"/>
    <w:rsid w:val="4DC65A69"/>
    <w:rsid w:val="4DD53783"/>
    <w:rsid w:val="4DDA4E7A"/>
    <w:rsid w:val="4DF4626D"/>
    <w:rsid w:val="4DFC20A2"/>
    <w:rsid w:val="4DFF1B97"/>
    <w:rsid w:val="4E020B1B"/>
    <w:rsid w:val="4E043535"/>
    <w:rsid w:val="4E0E50C7"/>
    <w:rsid w:val="4E1362FB"/>
    <w:rsid w:val="4E1A6C5C"/>
    <w:rsid w:val="4E1E3172"/>
    <w:rsid w:val="4E25360E"/>
    <w:rsid w:val="4E2719FC"/>
    <w:rsid w:val="4E4E6C0D"/>
    <w:rsid w:val="4E5E12F1"/>
    <w:rsid w:val="4E62045F"/>
    <w:rsid w:val="4E783F31"/>
    <w:rsid w:val="4E7C617F"/>
    <w:rsid w:val="4E802F63"/>
    <w:rsid w:val="4E806307"/>
    <w:rsid w:val="4E8159B7"/>
    <w:rsid w:val="4E9C3B15"/>
    <w:rsid w:val="4EA66A95"/>
    <w:rsid w:val="4EA77519"/>
    <w:rsid w:val="4EAC689C"/>
    <w:rsid w:val="4EB25AA5"/>
    <w:rsid w:val="4EC9384C"/>
    <w:rsid w:val="4EDD2691"/>
    <w:rsid w:val="4EE31744"/>
    <w:rsid w:val="4EF911E3"/>
    <w:rsid w:val="4EF94046"/>
    <w:rsid w:val="4F0048E8"/>
    <w:rsid w:val="4F075432"/>
    <w:rsid w:val="4F0C760F"/>
    <w:rsid w:val="4F142183"/>
    <w:rsid w:val="4F15188C"/>
    <w:rsid w:val="4F255836"/>
    <w:rsid w:val="4F29165C"/>
    <w:rsid w:val="4F3F22D2"/>
    <w:rsid w:val="4F3F24FD"/>
    <w:rsid w:val="4F4F67C3"/>
    <w:rsid w:val="4F500191"/>
    <w:rsid w:val="4F580453"/>
    <w:rsid w:val="4F647CAE"/>
    <w:rsid w:val="4F7F4759"/>
    <w:rsid w:val="4F8A3560"/>
    <w:rsid w:val="4F8A6E9D"/>
    <w:rsid w:val="4F9842DC"/>
    <w:rsid w:val="4FA00EA1"/>
    <w:rsid w:val="4FA62E9D"/>
    <w:rsid w:val="4FA7410F"/>
    <w:rsid w:val="4FB10DBD"/>
    <w:rsid w:val="4FB614EF"/>
    <w:rsid w:val="4FBD6B72"/>
    <w:rsid w:val="4FD02150"/>
    <w:rsid w:val="4FD47514"/>
    <w:rsid w:val="4FDA48F5"/>
    <w:rsid w:val="4FDB17EB"/>
    <w:rsid w:val="4FDC31A9"/>
    <w:rsid w:val="4FE15CB0"/>
    <w:rsid w:val="4FF525AA"/>
    <w:rsid w:val="4FF63DCE"/>
    <w:rsid w:val="4FFE4A87"/>
    <w:rsid w:val="500A5543"/>
    <w:rsid w:val="501D01A2"/>
    <w:rsid w:val="501D19C7"/>
    <w:rsid w:val="502B5150"/>
    <w:rsid w:val="502F05C6"/>
    <w:rsid w:val="50324731"/>
    <w:rsid w:val="5033035A"/>
    <w:rsid w:val="50372FFC"/>
    <w:rsid w:val="50381A05"/>
    <w:rsid w:val="503A35E5"/>
    <w:rsid w:val="504030AB"/>
    <w:rsid w:val="504305E6"/>
    <w:rsid w:val="504C6018"/>
    <w:rsid w:val="504D4F36"/>
    <w:rsid w:val="50500C93"/>
    <w:rsid w:val="50594829"/>
    <w:rsid w:val="506E1264"/>
    <w:rsid w:val="50711B18"/>
    <w:rsid w:val="50852AB2"/>
    <w:rsid w:val="508B7406"/>
    <w:rsid w:val="509F73B0"/>
    <w:rsid w:val="50B26A6B"/>
    <w:rsid w:val="50B50A85"/>
    <w:rsid w:val="50C20F4E"/>
    <w:rsid w:val="50C84E7A"/>
    <w:rsid w:val="50D40C4B"/>
    <w:rsid w:val="50DD469C"/>
    <w:rsid w:val="50E46F54"/>
    <w:rsid w:val="510D31B6"/>
    <w:rsid w:val="511172BC"/>
    <w:rsid w:val="51126924"/>
    <w:rsid w:val="51215689"/>
    <w:rsid w:val="512328D2"/>
    <w:rsid w:val="513149E8"/>
    <w:rsid w:val="5139564B"/>
    <w:rsid w:val="514069D9"/>
    <w:rsid w:val="5144267E"/>
    <w:rsid w:val="514D07CA"/>
    <w:rsid w:val="5158127E"/>
    <w:rsid w:val="51604849"/>
    <w:rsid w:val="51681CC1"/>
    <w:rsid w:val="516F52F7"/>
    <w:rsid w:val="51747844"/>
    <w:rsid w:val="51777F08"/>
    <w:rsid w:val="51825EE0"/>
    <w:rsid w:val="5183249D"/>
    <w:rsid w:val="51840FBC"/>
    <w:rsid w:val="518B100F"/>
    <w:rsid w:val="51912DDA"/>
    <w:rsid w:val="519B5EE7"/>
    <w:rsid w:val="51AB47E1"/>
    <w:rsid w:val="51B047FE"/>
    <w:rsid w:val="51B204B9"/>
    <w:rsid w:val="51B56296"/>
    <w:rsid w:val="51C20013"/>
    <w:rsid w:val="51C72834"/>
    <w:rsid w:val="51C86B4D"/>
    <w:rsid w:val="51CA7B04"/>
    <w:rsid w:val="51DB6783"/>
    <w:rsid w:val="51E437AD"/>
    <w:rsid w:val="51E74EF3"/>
    <w:rsid w:val="520C2961"/>
    <w:rsid w:val="521452F0"/>
    <w:rsid w:val="522F500B"/>
    <w:rsid w:val="523852D6"/>
    <w:rsid w:val="523E768F"/>
    <w:rsid w:val="5242577E"/>
    <w:rsid w:val="52462715"/>
    <w:rsid w:val="52594B4F"/>
    <w:rsid w:val="52611934"/>
    <w:rsid w:val="52691B99"/>
    <w:rsid w:val="527076ED"/>
    <w:rsid w:val="52783884"/>
    <w:rsid w:val="527B5FD7"/>
    <w:rsid w:val="528B3F86"/>
    <w:rsid w:val="52A02931"/>
    <w:rsid w:val="52AC28BC"/>
    <w:rsid w:val="52AC68B8"/>
    <w:rsid w:val="52B05067"/>
    <w:rsid w:val="52B07B8F"/>
    <w:rsid w:val="52BE04FE"/>
    <w:rsid w:val="52C378C2"/>
    <w:rsid w:val="52CC23E6"/>
    <w:rsid w:val="52D27B05"/>
    <w:rsid w:val="52D7787C"/>
    <w:rsid w:val="52E00474"/>
    <w:rsid w:val="52E07238"/>
    <w:rsid w:val="52EA11D5"/>
    <w:rsid w:val="53043513"/>
    <w:rsid w:val="530B53FD"/>
    <w:rsid w:val="53193986"/>
    <w:rsid w:val="5329120F"/>
    <w:rsid w:val="53635071"/>
    <w:rsid w:val="536C1D08"/>
    <w:rsid w:val="536C47E9"/>
    <w:rsid w:val="5382736B"/>
    <w:rsid w:val="53951EDF"/>
    <w:rsid w:val="539A6875"/>
    <w:rsid w:val="539D6365"/>
    <w:rsid w:val="539E491F"/>
    <w:rsid w:val="53A40C16"/>
    <w:rsid w:val="53A7661D"/>
    <w:rsid w:val="53B17A70"/>
    <w:rsid w:val="53B24EEA"/>
    <w:rsid w:val="53B97E84"/>
    <w:rsid w:val="53BF4F14"/>
    <w:rsid w:val="53C72845"/>
    <w:rsid w:val="53CA6414"/>
    <w:rsid w:val="53D00E36"/>
    <w:rsid w:val="53D31D47"/>
    <w:rsid w:val="53D66FDC"/>
    <w:rsid w:val="53DD499C"/>
    <w:rsid w:val="53E03B99"/>
    <w:rsid w:val="53EF09CA"/>
    <w:rsid w:val="53F014B1"/>
    <w:rsid w:val="53F56F41"/>
    <w:rsid w:val="5408182A"/>
    <w:rsid w:val="540E7263"/>
    <w:rsid w:val="54125F57"/>
    <w:rsid w:val="54187343"/>
    <w:rsid w:val="541C31AF"/>
    <w:rsid w:val="5420466B"/>
    <w:rsid w:val="5433414C"/>
    <w:rsid w:val="543604DE"/>
    <w:rsid w:val="54465F20"/>
    <w:rsid w:val="545147D1"/>
    <w:rsid w:val="545D4199"/>
    <w:rsid w:val="546057B0"/>
    <w:rsid w:val="5481389E"/>
    <w:rsid w:val="54831B18"/>
    <w:rsid w:val="548824E9"/>
    <w:rsid w:val="549502FD"/>
    <w:rsid w:val="54AB09A6"/>
    <w:rsid w:val="54AD3CB4"/>
    <w:rsid w:val="54AF20D4"/>
    <w:rsid w:val="54B10B96"/>
    <w:rsid w:val="54B72A99"/>
    <w:rsid w:val="54BC2612"/>
    <w:rsid w:val="54BC49A0"/>
    <w:rsid w:val="54BE47E5"/>
    <w:rsid w:val="54CA33BA"/>
    <w:rsid w:val="55022976"/>
    <w:rsid w:val="551C096F"/>
    <w:rsid w:val="55240097"/>
    <w:rsid w:val="552842A0"/>
    <w:rsid w:val="552C3D46"/>
    <w:rsid w:val="55354EA7"/>
    <w:rsid w:val="55417E40"/>
    <w:rsid w:val="554D13EE"/>
    <w:rsid w:val="554F7048"/>
    <w:rsid w:val="55640CA7"/>
    <w:rsid w:val="556F1F83"/>
    <w:rsid w:val="557355B3"/>
    <w:rsid w:val="55775A2B"/>
    <w:rsid w:val="55927D4F"/>
    <w:rsid w:val="559341A6"/>
    <w:rsid w:val="55A22D73"/>
    <w:rsid w:val="55AF69BD"/>
    <w:rsid w:val="55BA1450"/>
    <w:rsid w:val="55C57ADE"/>
    <w:rsid w:val="55CE22F2"/>
    <w:rsid w:val="55EE4C56"/>
    <w:rsid w:val="55F253AA"/>
    <w:rsid w:val="560B1CDC"/>
    <w:rsid w:val="560E000C"/>
    <w:rsid w:val="56157F4A"/>
    <w:rsid w:val="56160365"/>
    <w:rsid w:val="561717F3"/>
    <w:rsid w:val="562B220B"/>
    <w:rsid w:val="56372AA1"/>
    <w:rsid w:val="563B3C13"/>
    <w:rsid w:val="56521689"/>
    <w:rsid w:val="56543CF4"/>
    <w:rsid w:val="565E220C"/>
    <w:rsid w:val="566E6821"/>
    <w:rsid w:val="568455BA"/>
    <w:rsid w:val="56A26130"/>
    <w:rsid w:val="56AD68BF"/>
    <w:rsid w:val="56BC2FA6"/>
    <w:rsid w:val="56C9042C"/>
    <w:rsid w:val="56DD747D"/>
    <w:rsid w:val="56EE039D"/>
    <w:rsid w:val="56F96728"/>
    <w:rsid w:val="57016775"/>
    <w:rsid w:val="570D59F6"/>
    <w:rsid w:val="57117C05"/>
    <w:rsid w:val="571F273F"/>
    <w:rsid w:val="572F7A73"/>
    <w:rsid w:val="57376898"/>
    <w:rsid w:val="57387E1C"/>
    <w:rsid w:val="575B5634"/>
    <w:rsid w:val="575D7EC0"/>
    <w:rsid w:val="576001C0"/>
    <w:rsid w:val="576138FC"/>
    <w:rsid w:val="578736CD"/>
    <w:rsid w:val="578739BB"/>
    <w:rsid w:val="57893C0F"/>
    <w:rsid w:val="5798256F"/>
    <w:rsid w:val="579840C7"/>
    <w:rsid w:val="57B45586"/>
    <w:rsid w:val="57BE420E"/>
    <w:rsid w:val="57C2221D"/>
    <w:rsid w:val="57E1536E"/>
    <w:rsid w:val="57FD4D3D"/>
    <w:rsid w:val="57FD673B"/>
    <w:rsid w:val="58037648"/>
    <w:rsid w:val="581F02F7"/>
    <w:rsid w:val="583A7FA8"/>
    <w:rsid w:val="584D3B83"/>
    <w:rsid w:val="58544955"/>
    <w:rsid w:val="58566AE7"/>
    <w:rsid w:val="585962B5"/>
    <w:rsid w:val="585F5B75"/>
    <w:rsid w:val="585F780A"/>
    <w:rsid w:val="5868275A"/>
    <w:rsid w:val="587642D6"/>
    <w:rsid w:val="587A4269"/>
    <w:rsid w:val="588011BC"/>
    <w:rsid w:val="588E44CE"/>
    <w:rsid w:val="588E4FF6"/>
    <w:rsid w:val="5893613D"/>
    <w:rsid w:val="58964669"/>
    <w:rsid w:val="589A5A5F"/>
    <w:rsid w:val="58A957AC"/>
    <w:rsid w:val="58AD0DF8"/>
    <w:rsid w:val="58B94375"/>
    <w:rsid w:val="58BA4A70"/>
    <w:rsid w:val="58DF1EF1"/>
    <w:rsid w:val="58DF2D14"/>
    <w:rsid w:val="5902444F"/>
    <w:rsid w:val="590B1B60"/>
    <w:rsid w:val="5912601F"/>
    <w:rsid w:val="59184CAA"/>
    <w:rsid w:val="591B5CBF"/>
    <w:rsid w:val="5927514C"/>
    <w:rsid w:val="59320BCA"/>
    <w:rsid w:val="593D2BEE"/>
    <w:rsid w:val="59427A44"/>
    <w:rsid w:val="594D3549"/>
    <w:rsid w:val="594F610B"/>
    <w:rsid w:val="59591ABB"/>
    <w:rsid w:val="595D7842"/>
    <w:rsid w:val="59600EE5"/>
    <w:rsid w:val="59634BDC"/>
    <w:rsid w:val="5963595B"/>
    <w:rsid w:val="59723DF0"/>
    <w:rsid w:val="5990113A"/>
    <w:rsid w:val="59941B20"/>
    <w:rsid w:val="59946F61"/>
    <w:rsid w:val="599A4004"/>
    <w:rsid w:val="599B086D"/>
    <w:rsid w:val="59A31C4D"/>
    <w:rsid w:val="59A548B6"/>
    <w:rsid w:val="59A83A7F"/>
    <w:rsid w:val="59B53A9F"/>
    <w:rsid w:val="59B63F9A"/>
    <w:rsid w:val="59B927ED"/>
    <w:rsid w:val="59BF5C8E"/>
    <w:rsid w:val="59C1543A"/>
    <w:rsid w:val="59D97EC2"/>
    <w:rsid w:val="59E27409"/>
    <w:rsid w:val="59E52BA1"/>
    <w:rsid w:val="59ED36DC"/>
    <w:rsid w:val="59F20A8D"/>
    <w:rsid w:val="59FC781F"/>
    <w:rsid w:val="59FE56A9"/>
    <w:rsid w:val="5A1350A8"/>
    <w:rsid w:val="5A1B7FE4"/>
    <w:rsid w:val="5A3526A3"/>
    <w:rsid w:val="5A494B51"/>
    <w:rsid w:val="5A4E41C1"/>
    <w:rsid w:val="5A6210CC"/>
    <w:rsid w:val="5A7348C9"/>
    <w:rsid w:val="5A7521D8"/>
    <w:rsid w:val="5A7E7218"/>
    <w:rsid w:val="5A9725BE"/>
    <w:rsid w:val="5A9C6CB5"/>
    <w:rsid w:val="5AC266B1"/>
    <w:rsid w:val="5AC76508"/>
    <w:rsid w:val="5AD2376D"/>
    <w:rsid w:val="5AD45AFB"/>
    <w:rsid w:val="5AD86008"/>
    <w:rsid w:val="5AEF24F4"/>
    <w:rsid w:val="5AFC1624"/>
    <w:rsid w:val="5B095493"/>
    <w:rsid w:val="5B115BA8"/>
    <w:rsid w:val="5B1D0DAE"/>
    <w:rsid w:val="5B235AE9"/>
    <w:rsid w:val="5B246A53"/>
    <w:rsid w:val="5B416E74"/>
    <w:rsid w:val="5B437EA2"/>
    <w:rsid w:val="5B5267C6"/>
    <w:rsid w:val="5B534ED1"/>
    <w:rsid w:val="5B61411C"/>
    <w:rsid w:val="5B6634E0"/>
    <w:rsid w:val="5B692B86"/>
    <w:rsid w:val="5B7745BE"/>
    <w:rsid w:val="5B8859A0"/>
    <w:rsid w:val="5B890B71"/>
    <w:rsid w:val="5B9A46F8"/>
    <w:rsid w:val="5B9F7743"/>
    <w:rsid w:val="5BB522B5"/>
    <w:rsid w:val="5BB93F58"/>
    <w:rsid w:val="5BB95B85"/>
    <w:rsid w:val="5BBA4618"/>
    <w:rsid w:val="5BCB7CE3"/>
    <w:rsid w:val="5BCE6430"/>
    <w:rsid w:val="5BCE6F35"/>
    <w:rsid w:val="5BD04624"/>
    <w:rsid w:val="5BF84DDB"/>
    <w:rsid w:val="5C021B42"/>
    <w:rsid w:val="5C111338"/>
    <w:rsid w:val="5C3509E2"/>
    <w:rsid w:val="5C691941"/>
    <w:rsid w:val="5C7919DF"/>
    <w:rsid w:val="5C9C516F"/>
    <w:rsid w:val="5CB35D47"/>
    <w:rsid w:val="5CC85C68"/>
    <w:rsid w:val="5CC93D27"/>
    <w:rsid w:val="5CEC3A93"/>
    <w:rsid w:val="5CEE5E83"/>
    <w:rsid w:val="5CEF405D"/>
    <w:rsid w:val="5CFE5040"/>
    <w:rsid w:val="5D1341B2"/>
    <w:rsid w:val="5D251093"/>
    <w:rsid w:val="5D287B54"/>
    <w:rsid w:val="5D2A4273"/>
    <w:rsid w:val="5D2B2394"/>
    <w:rsid w:val="5D2C6168"/>
    <w:rsid w:val="5D3047D1"/>
    <w:rsid w:val="5D380EAD"/>
    <w:rsid w:val="5D494018"/>
    <w:rsid w:val="5D683540"/>
    <w:rsid w:val="5D6B14A2"/>
    <w:rsid w:val="5D845813"/>
    <w:rsid w:val="5D910B16"/>
    <w:rsid w:val="5D9A56C3"/>
    <w:rsid w:val="5D9B0E6A"/>
    <w:rsid w:val="5D9C65A0"/>
    <w:rsid w:val="5D9E1AED"/>
    <w:rsid w:val="5D9E4E16"/>
    <w:rsid w:val="5DA16738"/>
    <w:rsid w:val="5DAA0FDA"/>
    <w:rsid w:val="5DB91FED"/>
    <w:rsid w:val="5DBA0135"/>
    <w:rsid w:val="5DCD5DE5"/>
    <w:rsid w:val="5DD15589"/>
    <w:rsid w:val="5DD437EF"/>
    <w:rsid w:val="5DE27796"/>
    <w:rsid w:val="5DED0051"/>
    <w:rsid w:val="5DF16302"/>
    <w:rsid w:val="5DFF4B46"/>
    <w:rsid w:val="5E3B0A10"/>
    <w:rsid w:val="5E424B71"/>
    <w:rsid w:val="5E473A9D"/>
    <w:rsid w:val="5E581806"/>
    <w:rsid w:val="5E881A80"/>
    <w:rsid w:val="5E88402F"/>
    <w:rsid w:val="5E967D94"/>
    <w:rsid w:val="5EB07C21"/>
    <w:rsid w:val="5EB51AB3"/>
    <w:rsid w:val="5EC33621"/>
    <w:rsid w:val="5EE65064"/>
    <w:rsid w:val="5EF115AC"/>
    <w:rsid w:val="5EF31C67"/>
    <w:rsid w:val="5EF4004E"/>
    <w:rsid w:val="5EFA106E"/>
    <w:rsid w:val="5EFF06CD"/>
    <w:rsid w:val="5F010576"/>
    <w:rsid w:val="5F0251FA"/>
    <w:rsid w:val="5F117C07"/>
    <w:rsid w:val="5F20741E"/>
    <w:rsid w:val="5F212A81"/>
    <w:rsid w:val="5F415441"/>
    <w:rsid w:val="5F4475AE"/>
    <w:rsid w:val="5F4A6799"/>
    <w:rsid w:val="5F4D6E91"/>
    <w:rsid w:val="5F6C2424"/>
    <w:rsid w:val="5F7C1524"/>
    <w:rsid w:val="5F7C7B38"/>
    <w:rsid w:val="5F800D46"/>
    <w:rsid w:val="5F946A7C"/>
    <w:rsid w:val="5FBA79B0"/>
    <w:rsid w:val="5FC61813"/>
    <w:rsid w:val="5FCB78B7"/>
    <w:rsid w:val="5FD14A15"/>
    <w:rsid w:val="5FD57CF6"/>
    <w:rsid w:val="5FDE3840"/>
    <w:rsid w:val="5FF50EAD"/>
    <w:rsid w:val="600676E3"/>
    <w:rsid w:val="601577B0"/>
    <w:rsid w:val="601C5687"/>
    <w:rsid w:val="60237BF2"/>
    <w:rsid w:val="602B7B91"/>
    <w:rsid w:val="60391C4C"/>
    <w:rsid w:val="603B021E"/>
    <w:rsid w:val="603E4F52"/>
    <w:rsid w:val="60562CC9"/>
    <w:rsid w:val="60584683"/>
    <w:rsid w:val="60634492"/>
    <w:rsid w:val="606E582C"/>
    <w:rsid w:val="606F768E"/>
    <w:rsid w:val="60781824"/>
    <w:rsid w:val="608D00E3"/>
    <w:rsid w:val="608F1263"/>
    <w:rsid w:val="60992490"/>
    <w:rsid w:val="60A1419A"/>
    <w:rsid w:val="60A32B2C"/>
    <w:rsid w:val="60A43A47"/>
    <w:rsid w:val="60AF6A2D"/>
    <w:rsid w:val="60C33C2B"/>
    <w:rsid w:val="60E3062F"/>
    <w:rsid w:val="60E6759D"/>
    <w:rsid w:val="60E97ACC"/>
    <w:rsid w:val="61160E7E"/>
    <w:rsid w:val="61311E12"/>
    <w:rsid w:val="613B6ACF"/>
    <w:rsid w:val="615A7643"/>
    <w:rsid w:val="61637659"/>
    <w:rsid w:val="61774699"/>
    <w:rsid w:val="617C570B"/>
    <w:rsid w:val="6182125E"/>
    <w:rsid w:val="61853804"/>
    <w:rsid w:val="619A4F16"/>
    <w:rsid w:val="619B53CA"/>
    <w:rsid w:val="61A56DFA"/>
    <w:rsid w:val="61AB4A4A"/>
    <w:rsid w:val="61B02A45"/>
    <w:rsid w:val="61B21CCD"/>
    <w:rsid w:val="61B56D74"/>
    <w:rsid w:val="61B9080E"/>
    <w:rsid w:val="61C4390A"/>
    <w:rsid w:val="61CA2054"/>
    <w:rsid w:val="61D7066F"/>
    <w:rsid w:val="61E604CC"/>
    <w:rsid w:val="61EB5F1D"/>
    <w:rsid w:val="61ED495B"/>
    <w:rsid w:val="621B5631"/>
    <w:rsid w:val="624C1F91"/>
    <w:rsid w:val="626D5F91"/>
    <w:rsid w:val="626F35C2"/>
    <w:rsid w:val="627837EC"/>
    <w:rsid w:val="627E7D9D"/>
    <w:rsid w:val="628407FE"/>
    <w:rsid w:val="62880405"/>
    <w:rsid w:val="628E1204"/>
    <w:rsid w:val="629073C4"/>
    <w:rsid w:val="62996318"/>
    <w:rsid w:val="62A04418"/>
    <w:rsid w:val="62AA6D2C"/>
    <w:rsid w:val="62B0179B"/>
    <w:rsid w:val="62B72874"/>
    <w:rsid w:val="62CA4A84"/>
    <w:rsid w:val="62CC094F"/>
    <w:rsid w:val="62D93C3C"/>
    <w:rsid w:val="62E06EE1"/>
    <w:rsid w:val="62E579B9"/>
    <w:rsid w:val="62F51814"/>
    <w:rsid w:val="62FD7E87"/>
    <w:rsid w:val="630334E9"/>
    <w:rsid w:val="63114B46"/>
    <w:rsid w:val="63242B23"/>
    <w:rsid w:val="632B7C6B"/>
    <w:rsid w:val="633B6E41"/>
    <w:rsid w:val="635C73A1"/>
    <w:rsid w:val="636B3D8A"/>
    <w:rsid w:val="63707F90"/>
    <w:rsid w:val="63716434"/>
    <w:rsid w:val="63743838"/>
    <w:rsid w:val="637455EF"/>
    <w:rsid w:val="637509AF"/>
    <w:rsid w:val="63A23228"/>
    <w:rsid w:val="63AB5D44"/>
    <w:rsid w:val="63B04CF8"/>
    <w:rsid w:val="63B41BCF"/>
    <w:rsid w:val="63B65E3B"/>
    <w:rsid w:val="63BA7188"/>
    <w:rsid w:val="63C11BFC"/>
    <w:rsid w:val="63D9513F"/>
    <w:rsid w:val="63DF59C2"/>
    <w:rsid w:val="63E6136F"/>
    <w:rsid w:val="63EA625B"/>
    <w:rsid w:val="63FA510E"/>
    <w:rsid w:val="63FC6F31"/>
    <w:rsid w:val="641F1628"/>
    <w:rsid w:val="6425456E"/>
    <w:rsid w:val="642E4F72"/>
    <w:rsid w:val="644338BB"/>
    <w:rsid w:val="64541701"/>
    <w:rsid w:val="6454481E"/>
    <w:rsid w:val="645472F7"/>
    <w:rsid w:val="646469D4"/>
    <w:rsid w:val="64687300"/>
    <w:rsid w:val="647A419D"/>
    <w:rsid w:val="64846083"/>
    <w:rsid w:val="64850E7B"/>
    <w:rsid w:val="64851089"/>
    <w:rsid w:val="64983CC9"/>
    <w:rsid w:val="64A16CAC"/>
    <w:rsid w:val="64A96E72"/>
    <w:rsid w:val="64B109D5"/>
    <w:rsid w:val="64BF129D"/>
    <w:rsid w:val="64C55E11"/>
    <w:rsid w:val="64C71494"/>
    <w:rsid w:val="64E02555"/>
    <w:rsid w:val="64E43E7F"/>
    <w:rsid w:val="64E600A1"/>
    <w:rsid w:val="64EA33D4"/>
    <w:rsid w:val="64EB7388"/>
    <w:rsid w:val="64FD6C64"/>
    <w:rsid w:val="64FE5C71"/>
    <w:rsid w:val="64FF0919"/>
    <w:rsid w:val="65035652"/>
    <w:rsid w:val="65073BD2"/>
    <w:rsid w:val="65107E36"/>
    <w:rsid w:val="651A71B3"/>
    <w:rsid w:val="651D10B4"/>
    <w:rsid w:val="65261895"/>
    <w:rsid w:val="6530528B"/>
    <w:rsid w:val="653835EE"/>
    <w:rsid w:val="654E476E"/>
    <w:rsid w:val="65571F4A"/>
    <w:rsid w:val="655E133F"/>
    <w:rsid w:val="656B5634"/>
    <w:rsid w:val="657B11CD"/>
    <w:rsid w:val="65843ACA"/>
    <w:rsid w:val="658A6BCD"/>
    <w:rsid w:val="658B0832"/>
    <w:rsid w:val="65923103"/>
    <w:rsid w:val="659D0782"/>
    <w:rsid w:val="659D7C90"/>
    <w:rsid w:val="65A13A93"/>
    <w:rsid w:val="65BF51F9"/>
    <w:rsid w:val="65C52E95"/>
    <w:rsid w:val="65CD100F"/>
    <w:rsid w:val="65D04EEB"/>
    <w:rsid w:val="65D424B9"/>
    <w:rsid w:val="65DC47E3"/>
    <w:rsid w:val="66001BA4"/>
    <w:rsid w:val="66025947"/>
    <w:rsid w:val="661E207D"/>
    <w:rsid w:val="66252916"/>
    <w:rsid w:val="663C7469"/>
    <w:rsid w:val="66534215"/>
    <w:rsid w:val="66552D5E"/>
    <w:rsid w:val="66882EA5"/>
    <w:rsid w:val="669C2BD4"/>
    <w:rsid w:val="66A01175"/>
    <w:rsid w:val="66B8269C"/>
    <w:rsid w:val="66C0619B"/>
    <w:rsid w:val="66DA6749"/>
    <w:rsid w:val="66FF7499"/>
    <w:rsid w:val="67136C12"/>
    <w:rsid w:val="671D46C8"/>
    <w:rsid w:val="671F22A3"/>
    <w:rsid w:val="67267230"/>
    <w:rsid w:val="67291A35"/>
    <w:rsid w:val="673669FF"/>
    <w:rsid w:val="67393CB7"/>
    <w:rsid w:val="673C6439"/>
    <w:rsid w:val="67692E11"/>
    <w:rsid w:val="676A0B2B"/>
    <w:rsid w:val="676C3006"/>
    <w:rsid w:val="6778313D"/>
    <w:rsid w:val="67827A7F"/>
    <w:rsid w:val="67982C68"/>
    <w:rsid w:val="679F2254"/>
    <w:rsid w:val="67A60E33"/>
    <w:rsid w:val="67A667D3"/>
    <w:rsid w:val="67A74C82"/>
    <w:rsid w:val="67A95111"/>
    <w:rsid w:val="67C365BF"/>
    <w:rsid w:val="67D8341E"/>
    <w:rsid w:val="67E46FF5"/>
    <w:rsid w:val="67ED6C16"/>
    <w:rsid w:val="680A6C82"/>
    <w:rsid w:val="6824034C"/>
    <w:rsid w:val="68273865"/>
    <w:rsid w:val="68294347"/>
    <w:rsid w:val="682B6CB1"/>
    <w:rsid w:val="682E35D8"/>
    <w:rsid w:val="68320D52"/>
    <w:rsid w:val="6838676F"/>
    <w:rsid w:val="683E3347"/>
    <w:rsid w:val="684A618B"/>
    <w:rsid w:val="68522967"/>
    <w:rsid w:val="685B244C"/>
    <w:rsid w:val="685E57CE"/>
    <w:rsid w:val="685F4AA0"/>
    <w:rsid w:val="68623D3F"/>
    <w:rsid w:val="686C7E0A"/>
    <w:rsid w:val="686D4100"/>
    <w:rsid w:val="68703C97"/>
    <w:rsid w:val="68757042"/>
    <w:rsid w:val="687855F8"/>
    <w:rsid w:val="687D6111"/>
    <w:rsid w:val="688356D2"/>
    <w:rsid w:val="6886166B"/>
    <w:rsid w:val="689234E8"/>
    <w:rsid w:val="68954A3C"/>
    <w:rsid w:val="68970A5A"/>
    <w:rsid w:val="689B0DF8"/>
    <w:rsid w:val="689C49E5"/>
    <w:rsid w:val="68A37B22"/>
    <w:rsid w:val="68B5096E"/>
    <w:rsid w:val="68C36121"/>
    <w:rsid w:val="68C54A06"/>
    <w:rsid w:val="68CC10BC"/>
    <w:rsid w:val="68D60F10"/>
    <w:rsid w:val="68F44B09"/>
    <w:rsid w:val="68FA1B9A"/>
    <w:rsid w:val="68FD36D6"/>
    <w:rsid w:val="690229D5"/>
    <w:rsid w:val="69044C74"/>
    <w:rsid w:val="69166502"/>
    <w:rsid w:val="691B3B5C"/>
    <w:rsid w:val="69385FBF"/>
    <w:rsid w:val="69390486"/>
    <w:rsid w:val="694E046E"/>
    <w:rsid w:val="6958054D"/>
    <w:rsid w:val="69652D27"/>
    <w:rsid w:val="69815344"/>
    <w:rsid w:val="69952A0C"/>
    <w:rsid w:val="699A1218"/>
    <w:rsid w:val="699B4BDB"/>
    <w:rsid w:val="69A51678"/>
    <w:rsid w:val="69AD1ECC"/>
    <w:rsid w:val="69BB329B"/>
    <w:rsid w:val="69BD4C61"/>
    <w:rsid w:val="69C515A5"/>
    <w:rsid w:val="69C56409"/>
    <w:rsid w:val="69CD4627"/>
    <w:rsid w:val="69FC56C6"/>
    <w:rsid w:val="69FD3B6F"/>
    <w:rsid w:val="6A0065EF"/>
    <w:rsid w:val="6A0C7949"/>
    <w:rsid w:val="6A1F1C32"/>
    <w:rsid w:val="6A476FE2"/>
    <w:rsid w:val="6A616283"/>
    <w:rsid w:val="6A641407"/>
    <w:rsid w:val="6A656882"/>
    <w:rsid w:val="6A6839F3"/>
    <w:rsid w:val="6A7A48B2"/>
    <w:rsid w:val="6A8B60FB"/>
    <w:rsid w:val="6A93393D"/>
    <w:rsid w:val="6A9674BF"/>
    <w:rsid w:val="6A9A37E0"/>
    <w:rsid w:val="6AA604CA"/>
    <w:rsid w:val="6AA656A7"/>
    <w:rsid w:val="6AA849E3"/>
    <w:rsid w:val="6AA95198"/>
    <w:rsid w:val="6AB2229E"/>
    <w:rsid w:val="6AB63143"/>
    <w:rsid w:val="6AB67B97"/>
    <w:rsid w:val="6AC53268"/>
    <w:rsid w:val="6AC64AC4"/>
    <w:rsid w:val="6AD65C9A"/>
    <w:rsid w:val="6ADB41F3"/>
    <w:rsid w:val="6AFB4F4A"/>
    <w:rsid w:val="6AFF4B1A"/>
    <w:rsid w:val="6B12444F"/>
    <w:rsid w:val="6B2A12A7"/>
    <w:rsid w:val="6B310FCC"/>
    <w:rsid w:val="6B4533C9"/>
    <w:rsid w:val="6B580922"/>
    <w:rsid w:val="6B5B1E7F"/>
    <w:rsid w:val="6B5C39DF"/>
    <w:rsid w:val="6B5E11EE"/>
    <w:rsid w:val="6B611EB1"/>
    <w:rsid w:val="6B6317EA"/>
    <w:rsid w:val="6B6E48EE"/>
    <w:rsid w:val="6B76151E"/>
    <w:rsid w:val="6B961766"/>
    <w:rsid w:val="6BC8334A"/>
    <w:rsid w:val="6BD61A98"/>
    <w:rsid w:val="6BD80F02"/>
    <w:rsid w:val="6BDB5258"/>
    <w:rsid w:val="6BE25787"/>
    <w:rsid w:val="6BE27D92"/>
    <w:rsid w:val="6BF77F96"/>
    <w:rsid w:val="6BFB38C5"/>
    <w:rsid w:val="6BFE19E1"/>
    <w:rsid w:val="6C050A47"/>
    <w:rsid w:val="6C0B1A74"/>
    <w:rsid w:val="6C16659B"/>
    <w:rsid w:val="6C1928E4"/>
    <w:rsid w:val="6C27235B"/>
    <w:rsid w:val="6C2D5F41"/>
    <w:rsid w:val="6C3342D8"/>
    <w:rsid w:val="6C394A8B"/>
    <w:rsid w:val="6C420156"/>
    <w:rsid w:val="6C465394"/>
    <w:rsid w:val="6C5142B7"/>
    <w:rsid w:val="6C55600C"/>
    <w:rsid w:val="6C7041BF"/>
    <w:rsid w:val="6C71496E"/>
    <w:rsid w:val="6C7457E7"/>
    <w:rsid w:val="6C7D6E82"/>
    <w:rsid w:val="6C7D7EB8"/>
    <w:rsid w:val="6C8311C3"/>
    <w:rsid w:val="6C891725"/>
    <w:rsid w:val="6C997D89"/>
    <w:rsid w:val="6C9C57AD"/>
    <w:rsid w:val="6CA5691E"/>
    <w:rsid w:val="6CBB5DE9"/>
    <w:rsid w:val="6CE0695E"/>
    <w:rsid w:val="6CEE7C40"/>
    <w:rsid w:val="6CFA3D33"/>
    <w:rsid w:val="6CFC1EEB"/>
    <w:rsid w:val="6CFD2D93"/>
    <w:rsid w:val="6CFF266E"/>
    <w:rsid w:val="6D1409DF"/>
    <w:rsid w:val="6D1B3C07"/>
    <w:rsid w:val="6D20048B"/>
    <w:rsid w:val="6D23676A"/>
    <w:rsid w:val="6D290842"/>
    <w:rsid w:val="6D55622F"/>
    <w:rsid w:val="6D601360"/>
    <w:rsid w:val="6D680792"/>
    <w:rsid w:val="6D73217F"/>
    <w:rsid w:val="6DA265FA"/>
    <w:rsid w:val="6DAB0FE0"/>
    <w:rsid w:val="6DB12CE1"/>
    <w:rsid w:val="6DC00FA7"/>
    <w:rsid w:val="6DC9627D"/>
    <w:rsid w:val="6DCF3167"/>
    <w:rsid w:val="6DD367F7"/>
    <w:rsid w:val="6DE704B1"/>
    <w:rsid w:val="6DEE7FF8"/>
    <w:rsid w:val="6DF24290"/>
    <w:rsid w:val="6E0B6604"/>
    <w:rsid w:val="6E166FE8"/>
    <w:rsid w:val="6E1B6493"/>
    <w:rsid w:val="6E1D36B9"/>
    <w:rsid w:val="6E1E5CB1"/>
    <w:rsid w:val="6E202D8D"/>
    <w:rsid w:val="6E25722B"/>
    <w:rsid w:val="6E2860C8"/>
    <w:rsid w:val="6E38569A"/>
    <w:rsid w:val="6E51496A"/>
    <w:rsid w:val="6E6D6F6D"/>
    <w:rsid w:val="6E8555D0"/>
    <w:rsid w:val="6E876629"/>
    <w:rsid w:val="6E893B3A"/>
    <w:rsid w:val="6E9817AB"/>
    <w:rsid w:val="6EAB1000"/>
    <w:rsid w:val="6EAC1A79"/>
    <w:rsid w:val="6EB87BD5"/>
    <w:rsid w:val="6EDA7020"/>
    <w:rsid w:val="6EDF1C43"/>
    <w:rsid w:val="6EDF7971"/>
    <w:rsid w:val="6EEA247C"/>
    <w:rsid w:val="6F076D5E"/>
    <w:rsid w:val="6F08338C"/>
    <w:rsid w:val="6F131548"/>
    <w:rsid w:val="6F1A6664"/>
    <w:rsid w:val="6F3573F7"/>
    <w:rsid w:val="6F3632C3"/>
    <w:rsid w:val="6F492FDA"/>
    <w:rsid w:val="6F561A7D"/>
    <w:rsid w:val="6F577FED"/>
    <w:rsid w:val="6F6005AE"/>
    <w:rsid w:val="6F660A7D"/>
    <w:rsid w:val="6F6852B4"/>
    <w:rsid w:val="6F7271E3"/>
    <w:rsid w:val="6F87387F"/>
    <w:rsid w:val="6F8D32DA"/>
    <w:rsid w:val="6F954251"/>
    <w:rsid w:val="6F9603E0"/>
    <w:rsid w:val="6F9D6FEF"/>
    <w:rsid w:val="6FA629B9"/>
    <w:rsid w:val="6FB158B1"/>
    <w:rsid w:val="6FB30C74"/>
    <w:rsid w:val="6FB41CDF"/>
    <w:rsid w:val="6FC26822"/>
    <w:rsid w:val="6FD44A65"/>
    <w:rsid w:val="6FE52B7F"/>
    <w:rsid w:val="70047746"/>
    <w:rsid w:val="700D1F14"/>
    <w:rsid w:val="70114285"/>
    <w:rsid w:val="701B22C2"/>
    <w:rsid w:val="703A64CE"/>
    <w:rsid w:val="70483B44"/>
    <w:rsid w:val="704A18A5"/>
    <w:rsid w:val="704B77FD"/>
    <w:rsid w:val="70535193"/>
    <w:rsid w:val="705353D7"/>
    <w:rsid w:val="70595CFD"/>
    <w:rsid w:val="706A005F"/>
    <w:rsid w:val="706A3CEE"/>
    <w:rsid w:val="70731CBA"/>
    <w:rsid w:val="708D2CD3"/>
    <w:rsid w:val="709B516D"/>
    <w:rsid w:val="70AB2A5F"/>
    <w:rsid w:val="70AD3868"/>
    <w:rsid w:val="70B83E13"/>
    <w:rsid w:val="70B86B2A"/>
    <w:rsid w:val="70C40F6B"/>
    <w:rsid w:val="70D144B9"/>
    <w:rsid w:val="70DC1E23"/>
    <w:rsid w:val="70EB02B8"/>
    <w:rsid w:val="70FF2B52"/>
    <w:rsid w:val="71035E00"/>
    <w:rsid w:val="71053071"/>
    <w:rsid w:val="710C4547"/>
    <w:rsid w:val="71146B3B"/>
    <w:rsid w:val="7117779D"/>
    <w:rsid w:val="7119499F"/>
    <w:rsid w:val="71196401"/>
    <w:rsid w:val="711B6664"/>
    <w:rsid w:val="711C4915"/>
    <w:rsid w:val="711E1A75"/>
    <w:rsid w:val="711F5B0F"/>
    <w:rsid w:val="7137174F"/>
    <w:rsid w:val="715414DE"/>
    <w:rsid w:val="715E5257"/>
    <w:rsid w:val="716428AE"/>
    <w:rsid w:val="716518F8"/>
    <w:rsid w:val="717F3757"/>
    <w:rsid w:val="718176C8"/>
    <w:rsid w:val="71860EE9"/>
    <w:rsid w:val="71873240"/>
    <w:rsid w:val="71B44B4E"/>
    <w:rsid w:val="71BB1264"/>
    <w:rsid w:val="71C14470"/>
    <w:rsid w:val="71CA0847"/>
    <w:rsid w:val="71DD01AD"/>
    <w:rsid w:val="71E01DDD"/>
    <w:rsid w:val="7211498A"/>
    <w:rsid w:val="721B697B"/>
    <w:rsid w:val="7221576A"/>
    <w:rsid w:val="722E4900"/>
    <w:rsid w:val="723D68AF"/>
    <w:rsid w:val="724721AC"/>
    <w:rsid w:val="725028EF"/>
    <w:rsid w:val="72705108"/>
    <w:rsid w:val="72730565"/>
    <w:rsid w:val="727367B7"/>
    <w:rsid w:val="72802C82"/>
    <w:rsid w:val="729452D5"/>
    <w:rsid w:val="72977E6F"/>
    <w:rsid w:val="72AA7CFF"/>
    <w:rsid w:val="72B62B48"/>
    <w:rsid w:val="72B82F01"/>
    <w:rsid w:val="72B87EBC"/>
    <w:rsid w:val="72BB1F0C"/>
    <w:rsid w:val="72F250C6"/>
    <w:rsid w:val="72F657B0"/>
    <w:rsid w:val="72FC409A"/>
    <w:rsid w:val="73032FC0"/>
    <w:rsid w:val="730F48D7"/>
    <w:rsid w:val="73253B84"/>
    <w:rsid w:val="732B3CC8"/>
    <w:rsid w:val="732C1C99"/>
    <w:rsid w:val="733D0BED"/>
    <w:rsid w:val="73415C03"/>
    <w:rsid w:val="73520AC2"/>
    <w:rsid w:val="7377177D"/>
    <w:rsid w:val="738707F8"/>
    <w:rsid w:val="738754CA"/>
    <w:rsid w:val="738B6F89"/>
    <w:rsid w:val="7399049F"/>
    <w:rsid w:val="73A075E9"/>
    <w:rsid w:val="73BC23E0"/>
    <w:rsid w:val="73C056D8"/>
    <w:rsid w:val="73C05A2C"/>
    <w:rsid w:val="73CB6AC4"/>
    <w:rsid w:val="73ED1A3A"/>
    <w:rsid w:val="73F05696"/>
    <w:rsid w:val="73F50B6F"/>
    <w:rsid w:val="74097111"/>
    <w:rsid w:val="74146799"/>
    <w:rsid w:val="741A1B16"/>
    <w:rsid w:val="741D04D4"/>
    <w:rsid w:val="741E67C6"/>
    <w:rsid w:val="742C5E27"/>
    <w:rsid w:val="74351C12"/>
    <w:rsid w:val="743C7CD8"/>
    <w:rsid w:val="744C3135"/>
    <w:rsid w:val="74551D23"/>
    <w:rsid w:val="745D7B18"/>
    <w:rsid w:val="745F299C"/>
    <w:rsid w:val="746960C4"/>
    <w:rsid w:val="746F1484"/>
    <w:rsid w:val="747131CA"/>
    <w:rsid w:val="74726622"/>
    <w:rsid w:val="74775D17"/>
    <w:rsid w:val="748E62A4"/>
    <w:rsid w:val="74933140"/>
    <w:rsid w:val="74AA2238"/>
    <w:rsid w:val="74AD2D77"/>
    <w:rsid w:val="74B454CD"/>
    <w:rsid w:val="74B800CA"/>
    <w:rsid w:val="74D15901"/>
    <w:rsid w:val="74DC4D29"/>
    <w:rsid w:val="74EA266F"/>
    <w:rsid w:val="74F55B27"/>
    <w:rsid w:val="753D165B"/>
    <w:rsid w:val="754D7A50"/>
    <w:rsid w:val="75511543"/>
    <w:rsid w:val="756B2471"/>
    <w:rsid w:val="756F2EEC"/>
    <w:rsid w:val="75726F76"/>
    <w:rsid w:val="75761242"/>
    <w:rsid w:val="757A21D0"/>
    <w:rsid w:val="758D6086"/>
    <w:rsid w:val="758F1A33"/>
    <w:rsid w:val="759057CE"/>
    <w:rsid w:val="759A405B"/>
    <w:rsid w:val="75A93D59"/>
    <w:rsid w:val="75B41C13"/>
    <w:rsid w:val="75B41E33"/>
    <w:rsid w:val="75B570E6"/>
    <w:rsid w:val="75BB7DBB"/>
    <w:rsid w:val="75C331C4"/>
    <w:rsid w:val="75C93B85"/>
    <w:rsid w:val="75C95B4E"/>
    <w:rsid w:val="75D032A7"/>
    <w:rsid w:val="75F42514"/>
    <w:rsid w:val="75F8009A"/>
    <w:rsid w:val="761C0C50"/>
    <w:rsid w:val="762D4A79"/>
    <w:rsid w:val="763A3819"/>
    <w:rsid w:val="76471DE8"/>
    <w:rsid w:val="76481D09"/>
    <w:rsid w:val="764C1D57"/>
    <w:rsid w:val="76600137"/>
    <w:rsid w:val="76701D3D"/>
    <w:rsid w:val="76951140"/>
    <w:rsid w:val="76974BD9"/>
    <w:rsid w:val="76977026"/>
    <w:rsid w:val="769D4A3B"/>
    <w:rsid w:val="76A25559"/>
    <w:rsid w:val="76A70C95"/>
    <w:rsid w:val="76B35F63"/>
    <w:rsid w:val="76D01F34"/>
    <w:rsid w:val="76D15D09"/>
    <w:rsid w:val="76D4309F"/>
    <w:rsid w:val="76E903F8"/>
    <w:rsid w:val="76EB626F"/>
    <w:rsid w:val="76EF7C99"/>
    <w:rsid w:val="76F57B1F"/>
    <w:rsid w:val="770C2D36"/>
    <w:rsid w:val="771349E5"/>
    <w:rsid w:val="7714635C"/>
    <w:rsid w:val="771C30FA"/>
    <w:rsid w:val="77206134"/>
    <w:rsid w:val="772F3A61"/>
    <w:rsid w:val="773553A7"/>
    <w:rsid w:val="77507C70"/>
    <w:rsid w:val="77580A66"/>
    <w:rsid w:val="77844FB1"/>
    <w:rsid w:val="778D01FE"/>
    <w:rsid w:val="77905715"/>
    <w:rsid w:val="77A3436B"/>
    <w:rsid w:val="77B86288"/>
    <w:rsid w:val="77C74EAF"/>
    <w:rsid w:val="77DF38DC"/>
    <w:rsid w:val="77E06B1D"/>
    <w:rsid w:val="77F437B1"/>
    <w:rsid w:val="780738D1"/>
    <w:rsid w:val="781D73E6"/>
    <w:rsid w:val="782226C6"/>
    <w:rsid w:val="783D4AFF"/>
    <w:rsid w:val="784D30F3"/>
    <w:rsid w:val="78581323"/>
    <w:rsid w:val="785B3F75"/>
    <w:rsid w:val="78693C27"/>
    <w:rsid w:val="78806D36"/>
    <w:rsid w:val="78870836"/>
    <w:rsid w:val="788A2C6A"/>
    <w:rsid w:val="78917138"/>
    <w:rsid w:val="789C1394"/>
    <w:rsid w:val="78AD0D21"/>
    <w:rsid w:val="78B11DE7"/>
    <w:rsid w:val="78B73B4F"/>
    <w:rsid w:val="78B934ED"/>
    <w:rsid w:val="78BB2C66"/>
    <w:rsid w:val="78C37C8A"/>
    <w:rsid w:val="78CD2E6F"/>
    <w:rsid w:val="78D538AA"/>
    <w:rsid w:val="78D83CD2"/>
    <w:rsid w:val="78DE2D7C"/>
    <w:rsid w:val="78E53ACA"/>
    <w:rsid w:val="78E84650"/>
    <w:rsid w:val="78E94706"/>
    <w:rsid w:val="78F56B5C"/>
    <w:rsid w:val="790F0C27"/>
    <w:rsid w:val="7922596C"/>
    <w:rsid w:val="792F01A6"/>
    <w:rsid w:val="79382965"/>
    <w:rsid w:val="794C1894"/>
    <w:rsid w:val="795161CA"/>
    <w:rsid w:val="795D6D03"/>
    <w:rsid w:val="795F7A95"/>
    <w:rsid w:val="79644C01"/>
    <w:rsid w:val="79660E24"/>
    <w:rsid w:val="797440EB"/>
    <w:rsid w:val="79751263"/>
    <w:rsid w:val="79820F11"/>
    <w:rsid w:val="799955E8"/>
    <w:rsid w:val="79A81252"/>
    <w:rsid w:val="79AC037E"/>
    <w:rsid w:val="79B4594A"/>
    <w:rsid w:val="79B978EA"/>
    <w:rsid w:val="79BC708D"/>
    <w:rsid w:val="79BE67A1"/>
    <w:rsid w:val="79CB6ED9"/>
    <w:rsid w:val="79D95D28"/>
    <w:rsid w:val="79EB1C7D"/>
    <w:rsid w:val="7A0D382E"/>
    <w:rsid w:val="7A1B476E"/>
    <w:rsid w:val="7A330821"/>
    <w:rsid w:val="7A3F3A6A"/>
    <w:rsid w:val="7A4308C5"/>
    <w:rsid w:val="7A50702E"/>
    <w:rsid w:val="7A5275FA"/>
    <w:rsid w:val="7A5F1D21"/>
    <w:rsid w:val="7A8E73B7"/>
    <w:rsid w:val="7A9722EA"/>
    <w:rsid w:val="7AA274F5"/>
    <w:rsid w:val="7AAD4830"/>
    <w:rsid w:val="7AAD4E1F"/>
    <w:rsid w:val="7AD673B5"/>
    <w:rsid w:val="7AEB48AA"/>
    <w:rsid w:val="7AEB53A0"/>
    <w:rsid w:val="7AEC0D6A"/>
    <w:rsid w:val="7AEF6BF7"/>
    <w:rsid w:val="7AF27BF0"/>
    <w:rsid w:val="7AFD1314"/>
    <w:rsid w:val="7AFE0ECF"/>
    <w:rsid w:val="7B0252D9"/>
    <w:rsid w:val="7B073F40"/>
    <w:rsid w:val="7B0E0DC5"/>
    <w:rsid w:val="7B0E3521"/>
    <w:rsid w:val="7B170E7E"/>
    <w:rsid w:val="7B1A6AB5"/>
    <w:rsid w:val="7B1E74DC"/>
    <w:rsid w:val="7B22485D"/>
    <w:rsid w:val="7B252618"/>
    <w:rsid w:val="7B327BB5"/>
    <w:rsid w:val="7B33563C"/>
    <w:rsid w:val="7B4C0E94"/>
    <w:rsid w:val="7B537186"/>
    <w:rsid w:val="7B540A1C"/>
    <w:rsid w:val="7B5737ED"/>
    <w:rsid w:val="7B594633"/>
    <w:rsid w:val="7B6A1F6E"/>
    <w:rsid w:val="7B763FD0"/>
    <w:rsid w:val="7B8D6D12"/>
    <w:rsid w:val="7B9147B3"/>
    <w:rsid w:val="7B947682"/>
    <w:rsid w:val="7BA30CD1"/>
    <w:rsid w:val="7BA847EB"/>
    <w:rsid w:val="7BAC1017"/>
    <w:rsid w:val="7BB57A83"/>
    <w:rsid w:val="7BC5015F"/>
    <w:rsid w:val="7BDB40C8"/>
    <w:rsid w:val="7BE75B20"/>
    <w:rsid w:val="7BF74446"/>
    <w:rsid w:val="7BFC639E"/>
    <w:rsid w:val="7C1060A4"/>
    <w:rsid w:val="7C186EBE"/>
    <w:rsid w:val="7C212B16"/>
    <w:rsid w:val="7C2C239B"/>
    <w:rsid w:val="7C2D79D7"/>
    <w:rsid w:val="7C344D27"/>
    <w:rsid w:val="7C4B294C"/>
    <w:rsid w:val="7C502FDA"/>
    <w:rsid w:val="7C537681"/>
    <w:rsid w:val="7C6034EF"/>
    <w:rsid w:val="7C765821"/>
    <w:rsid w:val="7C79572F"/>
    <w:rsid w:val="7C7A0BDD"/>
    <w:rsid w:val="7C86235A"/>
    <w:rsid w:val="7C8F3841"/>
    <w:rsid w:val="7C927737"/>
    <w:rsid w:val="7C943EFA"/>
    <w:rsid w:val="7CB7057E"/>
    <w:rsid w:val="7CC7068C"/>
    <w:rsid w:val="7CE055BA"/>
    <w:rsid w:val="7CE20629"/>
    <w:rsid w:val="7CF50C5A"/>
    <w:rsid w:val="7CFC1051"/>
    <w:rsid w:val="7D15058B"/>
    <w:rsid w:val="7D157DA1"/>
    <w:rsid w:val="7D213138"/>
    <w:rsid w:val="7D2521B2"/>
    <w:rsid w:val="7D317598"/>
    <w:rsid w:val="7D3230DC"/>
    <w:rsid w:val="7D4D08D5"/>
    <w:rsid w:val="7D551F58"/>
    <w:rsid w:val="7D5E09A3"/>
    <w:rsid w:val="7D63567A"/>
    <w:rsid w:val="7D6637B7"/>
    <w:rsid w:val="7D6A282B"/>
    <w:rsid w:val="7D89581A"/>
    <w:rsid w:val="7DC32777"/>
    <w:rsid w:val="7DC46119"/>
    <w:rsid w:val="7DCE1912"/>
    <w:rsid w:val="7DD33DF7"/>
    <w:rsid w:val="7DF04831"/>
    <w:rsid w:val="7DF22A1C"/>
    <w:rsid w:val="7E0E1134"/>
    <w:rsid w:val="7E282CD5"/>
    <w:rsid w:val="7E3175C6"/>
    <w:rsid w:val="7E325778"/>
    <w:rsid w:val="7E3672A9"/>
    <w:rsid w:val="7E4618EE"/>
    <w:rsid w:val="7E49452F"/>
    <w:rsid w:val="7E524570"/>
    <w:rsid w:val="7E535DCD"/>
    <w:rsid w:val="7E577B57"/>
    <w:rsid w:val="7E600870"/>
    <w:rsid w:val="7E6478FC"/>
    <w:rsid w:val="7E79688F"/>
    <w:rsid w:val="7E7A400D"/>
    <w:rsid w:val="7E7E3C49"/>
    <w:rsid w:val="7E873820"/>
    <w:rsid w:val="7E8C3F75"/>
    <w:rsid w:val="7E923375"/>
    <w:rsid w:val="7E9832EF"/>
    <w:rsid w:val="7EA77D7D"/>
    <w:rsid w:val="7EA80241"/>
    <w:rsid w:val="7EAB6E1B"/>
    <w:rsid w:val="7EBC15C0"/>
    <w:rsid w:val="7EC155F8"/>
    <w:rsid w:val="7EC34622"/>
    <w:rsid w:val="7ED76DD4"/>
    <w:rsid w:val="7EDE2EB6"/>
    <w:rsid w:val="7EE354CD"/>
    <w:rsid w:val="7EE92D82"/>
    <w:rsid w:val="7F054C3B"/>
    <w:rsid w:val="7F06366D"/>
    <w:rsid w:val="7F13011A"/>
    <w:rsid w:val="7F1A05E1"/>
    <w:rsid w:val="7F2E6766"/>
    <w:rsid w:val="7F5456A0"/>
    <w:rsid w:val="7F5C0130"/>
    <w:rsid w:val="7F73429A"/>
    <w:rsid w:val="7F79289E"/>
    <w:rsid w:val="7F7C64E2"/>
    <w:rsid w:val="7F834CB8"/>
    <w:rsid w:val="7F8F1F7C"/>
    <w:rsid w:val="7FA8445B"/>
    <w:rsid w:val="7FC55D53"/>
    <w:rsid w:val="7FCA114D"/>
    <w:rsid w:val="7FD338C7"/>
    <w:rsid w:val="7FD422E4"/>
    <w:rsid w:val="7FFB7DEC"/>
    <w:rsid w:val="7FFF420D"/>
  </w:rsids>
  <m:mathPr>
    <m:mathFont m:val="Cambria Math"/>
    <m:brkBin m:val="before"/>
    <m:brkBinSub m:val="--"/>
    <m:smallFrac m:val="1"/>
    <m:dispDef/>
    <m:lMargin m:val="0"/>
    <m:rMargin m:val="0"/>
    <m:defJc m:val="centerGroup"/>
    <m:wrapIndent m:val="1440"/>
    <m:intLim m:val="subSup"/>
    <m:naryLim m:val="undOvr"/>
  </m:mathPr>
  <w:attachedSchema w:val="urn:schemas-microsoft-com:office:smarttags"/>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qFormat="1" w:unhideWhenUsed="0" w:uiPriority="99" w:semiHidden="0" w:name="index 4"/>
    <w:lsdException w:qFormat="1" w:unhideWhenUsed="0" w:uiPriority="0" w:semiHidden="0"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0"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0" w:semiHidden="0" w:name="Normal Indent"/>
    <w:lsdException w:qFormat="1" w:unhideWhenUsed="0" w:uiPriority="0" w:semiHidden="0" w:name="footnote text" w:locked="1"/>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0"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0" w:semiHidden="0" w:name="Date"/>
    <w:lsdException w:qFormat="1" w:unhideWhenUsed="0" w:uiPriority="99" w:semiHidden="0" w:name="Body Text First Indent" w:locked="1"/>
    <w:lsdException w:qFormat="1" w:unhideWhenUsed="0" w:uiPriority="0" w:semiHidden="0" w:name="Body Text First Indent 2" w:locked="1"/>
    <w:lsdException w:uiPriority="99" w:name="Note Heading" w:locked="1"/>
    <w:lsdException w:uiPriority="99" w:name="Body Text 2" w:locked="1"/>
    <w:lsdException w:qFormat="1" w:unhideWhenUsed="0" w:uiPriority="99" w:semiHidden="0" w:name="Body Text 3"/>
    <w:lsdException w:qFormat="1" w:unhideWhenUsed="0" w:uiPriority="0"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qFormat="1" w:unhideWhenUsed="0" w:uiPriority="99" w:semiHidden="0" w:name="HTML Cite"/>
    <w:lsdException w:qFormat="1" w:unhideWhenUsed="0" w:uiPriority="99" w:semiHidden="0" w:name="HTML Code" w:locked="1"/>
    <w:lsdException w:qFormat="1" w:unhideWhenUsed="0" w:uiPriority="99" w:semiHidden="0" w:name="HTML Definition" w:locked="1"/>
    <w:lsdException w:qFormat="1" w:unhideWhenUsed="0" w:uiPriority="99" w:semiHidden="0" w:name="HTML Keyboard" w:locked="1"/>
    <w:lsdException w:qFormat="1" w:unhideWhenUsed="0" w:uiPriority="0" w:semiHidden="0" w:name="HTML Preformatted"/>
    <w:lsdException w:qFormat="1" w:unhideWhenUsed="0" w:uiPriority="99" w:semiHidden="0"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7"/>
    <w:autoRedefine/>
    <w:qFormat/>
    <w:uiPriority w:val="0"/>
    <w:pPr>
      <w:keepNext/>
      <w:keepLines/>
      <w:numPr>
        <w:ilvl w:val="0"/>
        <w:numId w:val="1"/>
      </w:numPr>
      <w:spacing w:before="340" w:after="330" w:line="578" w:lineRule="auto"/>
      <w:jc w:val="center"/>
      <w:outlineLvl w:val="0"/>
    </w:pPr>
    <w:rPr>
      <w:b/>
      <w:kern w:val="44"/>
      <w:sz w:val="44"/>
      <w:szCs w:val="20"/>
    </w:rPr>
  </w:style>
  <w:style w:type="paragraph" w:styleId="2">
    <w:name w:val="heading 2"/>
    <w:basedOn w:val="1"/>
    <w:next w:val="1"/>
    <w:link w:val="68"/>
    <w:autoRedefine/>
    <w:qFormat/>
    <w:uiPriority w:val="0"/>
    <w:pPr>
      <w:keepNext/>
      <w:keepLines/>
      <w:numPr>
        <w:ilvl w:val="1"/>
        <w:numId w:val="1"/>
      </w:numPr>
      <w:spacing w:before="260" w:after="260" w:line="416" w:lineRule="auto"/>
      <w:outlineLvl w:val="1"/>
    </w:pPr>
    <w:rPr>
      <w:rFonts w:ascii="Cambria" w:hAnsi="Cambria"/>
      <w:b/>
      <w:sz w:val="32"/>
      <w:szCs w:val="20"/>
    </w:rPr>
  </w:style>
  <w:style w:type="paragraph" w:styleId="4">
    <w:name w:val="heading 3"/>
    <w:basedOn w:val="1"/>
    <w:next w:val="1"/>
    <w:link w:val="69"/>
    <w:autoRedefine/>
    <w:qFormat/>
    <w:uiPriority w:val="0"/>
    <w:pPr>
      <w:keepNext/>
      <w:keepLines/>
      <w:numPr>
        <w:ilvl w:val="2"/>
        <w:numId w:val="1"/>
      </w:numPr>
      <w:spacing w:before="260" w:after="260" w:line="416" w:lineRule="auto"/>
      <w:outlineLvl w:val="2"/>
    </w:pPr>
    <w:rPr>
      <w:b/>
      <w:sz w:val="32"/>
      <w:szCs w:val="20"/>
    </w:rPr>
  </w:style>
  <w:style w:type="paragraph" w:styleId="5">
    <w:name w:val="heading 4"/>
    <w:basedOn w:val="1"/>
    <w:next w:val="1"/>
    <w:link w:val="70"/>
    <w:autoRedefine/>
    <w:qFormat/>
    <w:uiPriority w:val="99"/>
    <w:pPr>
      <w:keepNext/>
      <w:keepLines/>
      <w:numPr>
        <w:ilvl w:val="3"/>
        <w:numId w:val="1"/>
      </w:numPr>
      <w:spacing w:before="280" w:after="290" w:line="376" w:lineRule="auto"/>
      <w:outlineLvl w:val="3"/>
    </w:pPr>
    <w:rPr>
      <w:rFonts w:ascii="Cambria" w:hAnsi="Cambria"/>
      <w:b/>
      <w:sz w:val="28"/>
      <w:szCs w:val="20"/>
    </w:rPr>
  </w:style>
  <w:style w:type="paragraph" w:styleId="6">
    <w:name w:val="heading 5"/>
    <w:basedOn w:val="1"/>
    <w:next w:val="1"/>
    <w:link w:val="71"/>
    <w:autoRedefine/>
    <w:qFormat/>
    <w:uiPriority w:val="99"/>
    <w:pPr>
      <w:keepNext/>
      <w:keepLines/>
      <w:numPr>
        <w:ilvl w:val="4"/>
        <w:numId w:val="1"/>
      </w:numPr>
      <w:spacing w:before="280" w:after="290" w:line="376" w:lineRule="auto"/>
      <w:outlineLvl w:val="4"/>
    </w:pPr>
    <w:rPr>
      <w:b/>
      <w:sz w:val="28"/>
      <w:szCs w:val="20"/>
    </w:rPr>
  </w:style>
  <w:style w:type="paragraph" w:styleId="7">
    <w:name w:val="heading 6"/>
    <w:basedOn w:val="1"/>
    <w:next w:val="1"/>
    <w:link w:val="72"/>
    <w:autoRedefine/>
    <w:qFormat/>
    <w:uiPriority w:val="99"/>
    <w:pPr>
      <w:keepNext/>
      <w:keepLines/>
      <w:numPr>
        <w:ilvl w:val="5"/>
        <w:numId w:val="1"/>
      </w:numPr>
      <w:spacing w:before="240" w:after="64" w:line="320" w:lineRule="auto"/>
      <w:outlineLvl w:val="5"/>
    </w:pPr>
    <w:rPr>
      <w:rFonts w:ascii="Cambria" w:hAnsi="Cambria"/>
      <w:b/>
      <w:sz w:val="24"/>
      <w:szCs w:val="20"/>
    </w:rPr>
  </w:style>
  <w:style w:type="paragraph" w:styleId="8">
    <w:name w:val="heading 7"/>
    <w:basedOn w:val="1"/>
    <w:next w:val="1"/>
    <w:link w:val="73"/>
    <w:autoRedefine/>
    <w:qFormat/>
    <w:uiPriority w:val="99"/>
    <w:pPr>
      <w:keepNext/>
      <w:keepLines/>
      <w:numPr>
        <w:ilvl w:val="6"/>
        <w:numId w:val="1"/>
      </w:numPr>
      <w:spacing w:before="240" w:after="64" w:line="320" w:lineRule="auto"/>
      <w:outlineLvl w:val="6"/>
    </w:pPr>
    <w:rPr>
      <w:b/>
      <w:sz w:val="24"/>
      <w:szCs w:val="20"/>
    </w:rPr>
  </w:style>
  <w:style w:type="paragraph" w:styleId="9">
    <w:name w:val="heading 8"/>
    <w:basedOn w:val="1"/>
    <w:next w:val="1"/>
    <w:link w:val="74"/>
    <w:autoRedefine/>
    <w:qFormat/>
    <w:uiPriority w:val="99"/>
    <w:pPr>
      <w:keepNext/>
      <w:keepLines/>
      <w:numPr>
        <w:ilvl w:val="7"/>
        <w:numId w:val="1"/>
      </w:numPr>
      <w:spacing w:before="240" w:after="64" w:line="320" w:lineRule="auto"/>
      <w:outlineLvl w:val="7"/>
    </w:pPr>
    <w:rPr>
      <w:rFonts w:ascii="Cambria" w:hAnsi="Cambria"/>
      <w:sz w:val="24"/>
      <w:szCs w:val="20"/>
    </w:rPr>
  </w:style>
  <w:style w:type="paragraph" w:styleId="10">
    <w:name w:val="heading 9"/>
    <w:basedOn w:val="1"/>
    <w:next w:val="1"/>
    <w:link w:val="75"/>
    <w:autoRedefine/>
    <w:qFormat/>
    <w:uiPriority w:val="99"/>
    <w:pPr>
      <w:keepNext/>
      <w:keepLines/>
      <w:numPr>
        <w:ilvl w:val="8"/>
        <w:numId w:val="1"/>
      </w:numPr>
      <w:spacing w:before="240" w:after="64" w:line="320" w:lineRule="auto"/>
      <w:outlineLvl w:val="8"/>
    </w:pPr>
    <w:rPr>
      <w:rFonts w:ascii="Cambria" w:hAnsi="Cambria"/>
      <w:szCs w:val="20"/>
    </w:rPr>
  </w:style>
  <w:style w:type="character" w:default="1" w:styleId="50">
    <w:name w:val="Default Paragraph Font"/>
    <w:autoRedefine/>
    <w:semiHidden/>
    <w:unhideWhenUsed/>
    <w:qFormat/>
    <w:uiPriority w:val="1"/>
  </w:style>
  <w:style w:type="table" w:default="1" w:styleId="48">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99"/>
    <w:pPr>
      <w:spacing w:before="100" w:beforeAutospacing="1" w:after="100" w:afterAutospacing="1"/>
      <w:ind w:left="1260" w:hanging="420"/>
    </w:pPr>
    <w:rPr>
      <w:szCs w:val="21"/>
    </w:rPr>
  </w:style>
  <w:style w:type="paragraph" w:styleId="12">
    <w:name w:val="toc 7"/>
    <w:basedOn w:val="1"/>
    <w:next w:val="1"/>
    <w:autoRedefine/>
    <w:qFormat/>
    <w:uiPriority w:val="99"/>
    <w:pPr>
      <w:ind w:left="2520" w:leftChars="1200"/>
    </w:pPr>
  </w:style>
  <w:style w:type="paragraph" w:styleId="13">
    <w:name w:val="Normal Indent"/>
    <w:basedOn w:val="1"/>
    <w:link w:val="234"/>
    <w:autoRedefine/>
    <w:qFormat/>
    <w:uiPriority w:val="0"/>
    <w:pPr>
      <w:ind w:firstLine="420"/>
    </w:pPr>
    <w:rPr>
      <w:b/>
      <w:sz w:val="24"/>
      <w:szCs w:val="20"/>
    </w:rPr>
  </w:style>
  <w:style w:type="paragraph" w:styleId="14">
    <w:name w:val="caption"/>
    <w:basedOn w:val="1"/>
    <w:next w:val="1"/>
    <w:autoRedefine/>
    <w:qFormat/>
    <w:uiPriority w:val="99"/>
    <w:rPr>
      <w:rFonts w:ascii="Cambria" w:hAnsi="Cambria" w:eastAsia="黑体"/>
      <w:sz w:val="20"/>
      <w:szCs w:val="22"/>
    </w:rPr>
  </w:style>
  <w:style w:type="paragraph" w:styleId="15">
    <w:name w:val="index 5"/>
    <w:basedOn w:val="1"/>
    <w:next w:val="1"/>
    <w:autoRedefine/>
    <w:qFormat/>
    <w:locked/>
    <w:uiPriority w:val="0"/>
    <w:pPr>
      <w:ind w:left="798" w:leftChars="380"/>
      <w:jc w:val="left"/>
    </w:pPr>
    <w:rPr>
      <w:rFonts w:ascii="Calibri" w:hAnsi="Calibri"/>
    </w:rPr>
  </w:style>
  <w:style w:type="paragraph" w:styleId="16">
    <w:name w:val="Document Map"/>
    <w:basedOn w:val="1"/>
    <w:link w:val="76"/>
    <w:autoRedefine/>
    <w:qFormat/>
    <w:uiPriority w:val="99"/>
    <w:rPr>
      <w:rFonts w:ascii="宋体"/>
      <w:sz w:val="18"/>
      <w:szCs w:val="20"/>
    </w:rPr>
  </w:style>
  <w:style w:type="paragraph" w:styleId="17">
    <w:name w:val="annotation text"/>
    <w:basedOn w:val="1"/>
    <w:link w:val="231"/>
    <w:autoRedefine/>
    <w:qFormat/>
    <w:uiPriority w:val="0"/>
    <w:pPr>
      <w:jc w:val="left"/>
    </w:pPr>
    <w:rPr>
      <w:sz w:val="24"/>
      <w:szCs w:val="20"/>
    </w:rPr>
  </w:style>
  <w:style w:type="paragraph" w:styleId="18">
    <w:name w:val="Body Text 3"/>
    <w:basedOn w:val="1"/>
    <w:link w:val="78"/>
    <w:autoRedefine/>
    <w:qFormat/>
    <w:uiPriority w:val="99"/>
    <w:rPr>
      <w:rFonts w:ascii="宋体"/>
      <w:sz w:val="24"/>
      <w:szCs w:val="20"/>
    </w:rPr>
  </w:style>
  <w:style w:type="paragraph" w:styleId="19">
    <w:name w:val="Body Text"/>
    <w:basedOn w:val="1"/>
    <w:next w:val="13"/>
    <w:link w:val="79"/>
    <w:autoRedefine/>
    <w:qFormat/>
    <w:uiPriority w:val="0"/>
    <w:pPr>
      <w:jc w:val="center"/>
    </w:pPr>
    <w:rPr>
      <w:rFonts w:eastAsia="幼圆"/>
      <w:b/>
      <w:sz w:val="24"/>
      <w:szCs w:val="20"/>
    </w:rPr>
  </w:style>
  <w:style w:type="paragraph" w:styleId="20">
    <w:name w:val="Body Text Indent"/>
    <w:basedOn w:val="1"/>
    <w:next w:val="21"/>
    <w:link w:val="80"/>
    <w:autoRedefine/>
    <w:qFormat/>
    <w:uiPriority w:val="0"/>
    <w:pPr>
      <w:spacing w:after="120"/>
      <w:ind w:left="420" w:leftChars="200"/>
    </w:pPr>
    <w:rPr>
      <w:sz w:val="24"/>
      <w:szCs w:val="20"/>
    </w:rPr>
  </w:style>
  <w:style w:type="paragraph" w:styleId="21">
    <w:name w:val="envelope return"/>
    <w:basedOn w:val="1"/>
    <w:autoRedefine/>
    <w:qFormat/>
    <w:locked/>
    <w:uiPriority w:val="0"/>
    <w:pPr>
      <w:snapToGrid w:val="0"/>
    </w:pPr>
    <w:rPr>
      <w:rFonts w:ascii="Arial" w:hAnsi="Arial"/>
    </w:rPr>
  </w:style>
  <w:style w:type="paragraph" w:styleId="22">
    <w:name w:val="Block Text"/>
    <w:basedOn w:val="1"/>
    <w:autoRedefine/>
    <w:qFormat/>
    <w:locked/>
    <w:uiPriority w:val="99"/>
    <w:pPr>
      <w:spacing w:after="120"/>
      <w:ind w:left="1440" w:leftChars="700" w:right="1440" w:rightChars="700"/>
    </w:pPr>
  </w:style>
  <w:style w:type="paragraph" w:styleId="23">
    <w:name w:val="index 4"/>
    <w:basedOn w:val="1"/>
    <w:next w:val="1"/>
    <w:autoRedefine/>
    <w:qFormat/>
    <w:uiPriority w:val="99"/>
    <w:pPr>
      <w:ind w:left="600" w:leftChars="600"/>
    </w:pPr>
    <w:rPr>
      <w:rFonts w:ascii="Calibri" w:hAnsi="Calibri"/>
    </w:rPr>
  </w:style>
  <w:style w:type="paragraph" w:styleId="24">
    <w:name w:val="toc 5"/>
    <w:basedOn w:val="1"/>
    <w:next w:val="1"/>
    <w:autoRedefine/>
    <w:qFormat/>
    <w:uiPriority w:val="99"/>
    <w:pPr>
      <w:ind w:left="1680" w:leftChars="800"/>
    </w:pPr>
  </w:style>
  <w:style w:type="paragraph" w:styleId="25">
    <w:name w:val="toc 3"/>
    <w:basedOn w:val="1"/>
    <w:next w:val="1"/>
    <w:autoRedefine/>
    <w:qFormat/>
    <w:uiPriority w:val="99"/>
    <w:pPr>
      <w:ind w:left="840" w:leftChars="400"/>
    </w:pPr>
  </w:style>
  <w:style w:type="paragraph" w:styleId="26">
    <w:name w:val="Plain Text"/>
    <w:basedOn w:val="1"/>
    <w:link w:val="81"/>
    <w:autoRedefine/>
    <w:qFormat/>
    <w:uiPriority w:val="0"/>
    <w:rPr>
      <w:rFonts w:ascii="Ari"/>
      <w:kern w:val="0"/>
      <w:sz w:val="20"/>
      <w:szCs w:val="20"/>
    </w:rPr>
  </w:style>
  <w:style w:type="paragraph" w:styleId="27">
    <w:name w:val="toc 8"/>
    <w:basedOn w:val="1"/>
    <w:next w:val="1"/>
    <w:autoRedefine/>
    <w:qFormat/>
    <w:uiPriority w:val="99"/>
    <w:pPr>
      <w:ind w:left="2940" w:leftChars="1400"/>
    </w:pPr>
  </w:style>
  <w:style w:type="paragraph" w:styleId="28">
    <w:name w:val="Date"/>
    <w:basedOn w:val="1"/>
    <w:next w:val="1"/>
    <w:link w:val="82"/>
    <w:autoRedefine/>
    <w:qFormat/>
    <w:uiPriority w:val="0"/>
    <w:rPr>
      <w:sz w:val="24"/>
      <w:szCs w:val="20"/>
    </w:rPr>
  </w:style>
  <w:style w:type="paragraph" w:styleId="29">
    <w:name w:val="Body Text Indent 2"/>
    <w:basedOn w:val="1"/>
    <w:link w:val="83"/>
    <w:autoRedefine/>
    <w:qFormat/>
    <w:uiPriority w:val="0"/>
    <w:pPr>
      <w:spacing w:line="420" w:lineRule="exact"/>
      <w:ind w:firstLine="525"/>
    </w:pPr>
    <w:rPr>
      <w:rFonts w:ascii="宋体"/>
      <w:kern w:val="0"/>
      <w:sz w:val="20"/>
      <w:szCs w:val="20"/>
    </w:rPr>
  </w:style>
  <w:style w:type="paragraph" w:styleId="30">
    <w:name w:val="Balloon Text"/>
    <w:basedOn w:val="1"/>
    <w:link w:val="84"/>
    <w:autoRedefine/>
    <w:qFormat/>
    <w:uiPriority w:val="0"/>
    <w:rPr>
      <w:sz w:val="18"/>
      <w:szCs w:val="20"/>
    </w:rPr>
  </w:style>
  <w:style w:type="paragraph" w:styleId="31">
    <w:name w:val="footer"/>
    <w:basedOn w:val="1"/>
    <w:link w:val="85"/>
    <w:autoRedefine/>
    <w:qFormat/>
    <w:uiPriority w:val="0"/>
    <w:pPr>
      <w:tabs>
        <w:tab w:val="center" w:pos="4153"/>
        <w:tab w:val="right" w:pos="8306"/>
      </w:tabs>
      <w:snapToGrid w:val="0"/>
      <w:jc w:val="left"/>
    </w:pPr>
    <w:rPr>
      <w:sz w:val="18"/>
      <w:szCs w:val="20"/>
    </w:rPr>
  </w:style>
  <w:style w:type="paragraph" w:styleId="32">
    <w:name w:val="header"/>
    <w:basedOn w:val="1"/>
    <w:link w:val="86"/>
    <w:autoRedefine/>
    <w:qFormat/>
    <w:uiPriority w:val="99"/>
    <w:pPr>
      <w:pBdr>
        <w:bottom w:val="single" w:color="auto" w:sz="6" w:space="1"/>
      </w:pBdr>
      <w:tabs>
        <w:tab w:val="center" w:pos="4153"/>
        <w:tab w:val="right" w:pos="8306"/>
      </w:tabs>
      <w:snapToGrid w:val="0"/>
      <w:jc w:val="center"/>
    </w:pPr>
    <w:rPr>
      <w:sz w:val="18"/>
      <w:szCs w:val="20"/>
    </w:rPr>
  </w:style>
  <w:style w:type="paragraph" w:styleId="33">
    <w:name w:val="toc 1"/>
    <w:basedOn w:val="1"/>
    <w:next w:val="1"/>
    <w:autoRedefine/>
    <w:qFormat/>
    <w:uiPriority w:val="39"/>
  </w:style>
  <w:style w:type="paragraph" w:styleId="34">
    <w:name w:val="toc 4"/>
    <w:basedOn w:val="1"/>
    <w:next w:val="1"/>
    <w:autoRedefine/>
    <w:qFormat/>
    <w:uiPriority w:val="99"/>
    <w:pPr>
      <w:ind w:left="1260" w:leftChars="600"/>
    </w:pPr>
  </w:style>
  <w:style w:type="paragraph" w:styleId="35">
    <w:name w:val="Subtitle"/>
    <w:basedOn w:val="1"/>
    <w:next w:val="1"/>
    <w:link w:val="87"/>
    <w:autoRedefine/>
    <w:qFormat/>
    <w:uiPriority w:val="99"/>
    <w:pPr>
      <w:spacing w:before="240" w:after="60" w:line="312" w:lineRule="auto"/>
      <w:jc w:val="center"/>
      <w:outlineLvl w:val="1"/>
    </w:pPr>
    <w:rPr>
      <w:rFonts w:ascii="Cambria" w:hAnsi="Cambria"/>
      <w:b/>
      <w:kern w:val="28"/>
      <w:sz w:val="32"/>
      <w:szCs w:val="20"/>
    </w:rPr>
  </w:style>
  <w:style w:type="paragraph" w:styleId="36">
    <w:name w:val="footnote text"/>
    <w:basedOn w:val="1"/>
    <w:next w:val="15"/>
    <w:link w:val="238"/>
    <w:autoRedefine/>
    <w:qFormat/>
    <w:locked/>
    <w:uiPriority w:val="0"/>
    <w:pPr>
      <w:snapToGrid w:val="0"/>
      <w:jc w:val="left"/>
    </w:pPr>
    <w:rPr>
      <w:rFonts w:ascii="宋体" w:eastAsia="Times New Roman"/>
      <w:snapToGrid w:val="0"/>
      <w:kern w:val="21"/>
      <w:sz w:val="18"/>
      <w:szCs w:val="18"/>
    </w:rPr>
  </w:style>
  <w:style w:type="paragraph" w:styleId="37">
    <w:name w:val="toc 6"/>
    <w:basedOn w:val="1"/>
    <w:next w:val="1"/>
    <w:autoRedefine/>
    <w:qFormat/>
    <w:uiPriority w:val="99"/>
    <w:pPr>
      <w:ind w:left="2100" w:leftChars="1000"/>
    </w:pPr>
  </w:style>
  <w:style w:type="paragraph" w:styleId="38">
    <w:name w:val="Body Text Indent 3"/>
    <w:basedOn w:val="1"/>
    <w:link w:val="88"/>
    <w:autoRedefine/>
    <w:qFormat/>
    <w:uiPriority w:val="99"/>
    <w:pPr>
      <w:spacing w:after="120"/>
      <w:ind w:left="420" w:leftChars="200"/>
    </w:pPr>
    <w:rPr>
      <w:sz w:val="16"/>
      <w:szCs w:val="20"/>
    </w:rPr>
  </w:style>
  <w:style w:type="paragraph" w:styleId="39">
    <w:name w:val="toc 2"/>
    <w:basedOn w:val="1"/>
    <w:next w:val="1"/>
    <w:autoRedefine/>
    <w:qFormat/>
    <w:uiPriority w:val="0"/>
    <w:pPr>
      <w:ind w:left="420" w:leftChars="200"/>
    </w:pPr>
  </w:style>
  <w:style w:type="paragraph" w:styleId="40">
    <w:name w:val="toc 9"/>
    <w:basedOn w:val="1"/>
    <w:next w:val="1"/>
    <w:autoRedefine/>
    <w:qFormat/>
    <w:uiPriority w:val="99"/>
    <w:pPr>
      <w:ind w:left="3360" w:leftChars="1600"/>
    </w:pPr>
  </w:style>
  <w:style w:type="paragraph" w:styleId="41">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42">
    <w:name w:val="Normal (Web)"/>
    <w:basedOn w:val="1"/>
    <w:link w:val="246"/>
    <w:autoRedefine/>
    <w:qFormat/>
    <w:uiPriority w:val="99"/>
    <w:pPr>
      <w:widowControl/>
      <w:spacing w:before="100" w:beforeAutospacing="1" w:after="100" w:afterAutospacing="1"/>
      <w:jc w:val="left"/>
    </w:pPr>
    <w:rPr>
      <w:rFonts w:ascii="宋体" w:hAnsi="宋体" w:cs="宋体"/>
      <w:kern w:val="0"/>
      <w:sz w:val="24"/>
    </w:rPr>
  </w:style>
  <w:style w:type="paragraph" w:styleId="43">
    <w:name w:val="index 1"/>
    <w:basedOn w:val="1"/>
    <w:next w:val="1"/>
    <w:autoRedefine/>
    <w:qFormat/>
    <w:uiPriority w:val="99"/>
    <w:pPr>
      <w:spacing w:line="220" w:lineRule="exact"/>
      <w:jc w:val="center"/>
    </w:pPr>
    <w:rPr>
      <w:rFonts w:ascii="仿宋_GB2312" w:hAnsi="Calibri" w:eastAsia="仿宋_GB2312"/>
      <w:szCs w:val="22"/>
    </w:rPr>
  </w:style>
  <w:style w:type="paragraph" w:styleId="44">
    <w:name w:val="Title"/>
    <w:basedOn w:val="1"/>
    <w:link w:val="90"/>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link w:val="91"/>
    <w:autoRedefine/>
    <w:qFormat/>
    <w:uiPriority w:val="0"/>
    <w:rPr>
      <w:b/>
    </w:rPr>
  </w:style>
  <w:style w:type="paragraph" w:styleId="46">
    <w:name w:val="Body Text First Indent"/>
    <w:basedOn w:val="19"/>
    <w:autoRedefine/>
    <w:qFormat/>
    <w:locked/>
    <w:uiPriority w:val="99"/>
    <w:pPr>
      <w:spacing w:after="120"/>
      <w:ind w:firstLine="420" w:firstLineChars="100"/>
    </w:pPr>
    <w:rPr>
      <w:sz w:val="21"/>
      <w:szCs w:val="24"/>
    </w:rPr>
  </w:style>
  <w:style w:type="paragraph" w:styleId="47">
    <w:name w:val="Body Text First Indent 2"/>
    <w:basedOn w:val="20"/>
    <w:next w:val="1"/>
    <w:link w:val="239"/>
    <w:autoRedefine/>
    <w:qFormat/>
    <w:locked/>
    <w:uiPriority w:val="0"/>
    <w:pPr>
      <w:ind w:firstLine="420" w:firstLineChars="200"/>
    </w:pPr>
    <w:rPr>
      <w:sz w:val="21"/>
      <w:szCs w:val="24"/>
    </w:rPr>
  </w:style>
  <w:style w:type="table" w:styleId="49">
    <w:name w:val="Table Grid"/>
    <w:basedOn w:val="48"/>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basedOn w:val="50"/>
    <w:autoRedefine/>
    <w:qFormat/>
    <w:uiPriority w:val="22"/>
    <w:rPr>
      <w:rFonts w:cs="Times New Roman"/>
      <w:b/>
    </w:rPr>
  </w:style>
  <w:style w:type="character" w:styleId="52">
    <w:name w:val="page number"/>
    <w:basedOn w:val="50"/>
    <w:autoRedefine/>
    <w:qFormat/>
    <w:uiPriority w:val="0"/>
    <w:rPr>
      <w:rFonts w:eastAsia="宋体" w:cs="Times New Roman"/>
      <w:b/>
      <w:spacing w:val="0"/>
      <w:kern w:val="2"/>
      <w:sz w:val="24"/>
      <w:vertAlign w:val="baseline"/>
      <w:lang w:val="en-US" w:eastAsia="zh-CN"/>
    </w:rPr>
  </w:style>
  <w:style w:type="character" w:styleId="53">
    <w:name w:val="FollowedHyperlink"/>
    <w:autoRedefine/>
    <w:qFormat/>
    <w:uiPriority w:val="0"/>
    <w:rPr>
      <w:rFonts w:cs="Times New Roman"/>
      <w:color w:val="800080"/>
      <w:u w:val="single"/>
    </w:rPr>
  </w:style>
  <w:style w:type="character" w:styleId="54">
    <w:name w:val="Emphasis"/>
    <w:autoRedefine/>
    <w:qFormat/>
    <w:uiPriority w:val="20"/>
    <w:rPr>
      <w:rFonts w:cs="Times New Roman"/>
      <w:color w:val="CC0000"/>
    </w:rPr>
  </w:style>
  <w:style w:type="character" w:styleId="55">
    <w:name w:val="HTML Definition"/>
    <w:autoRedefine/>
    <w:qFormat/>
    <w:locked/>
    <w:uiPriority w:val="99"/>
    <w:rPr>
      <w:rFonts w:cs="Times New Roman"/>
      <w:i/>
    </w:rPr>
  </w:style>
  <w:style w:type="character" w:styleId="56">
    <w:name w:val="Hyperlink"/>
    <w:autoRedefine/>
    <w:qFormat/>
    <w:uiPriority w:val="99"/>
    <w:rPr>
      <w:rFonts w:cs="Times New Roman"/>
      <w:color w:val="0000FF"/>
      <w:u w:val="single"/>
    </w:rPr>
  </w:style>
  <w:style w:type="character" w:styleId="57">
    <w:name w:val="HTML Code"/>
    <w:autoRedefine/>
    <w:qFormat/>
    <w:locked/>
    <w:uiPriority w:val="99"/>
    <w:rPr>
      <w:rFonts w:ascii="Menlo" w:hAnsi="Menlo" w:cs="Times New Roman"/>
      <w:color w:val="C7254E"/>
      <w:sz w:val="21"/>
      <w:shd w:val="clear" w:color="auto" w:fill="F9F2F4"/>
    </w:rPr>
  </w:style>
  <w:style w:type="character" w:styleId="58">
    <w:name w:val="annotation reference"/>
    <w:basedOn w:val="50"/>
    <w:autoRedefine/>
    <w:qFormat/>
    <w:uiPriority w:val="0"/>
    <w:rPr>
      <w:rFonts w:cs="Times New Roman"/>
      <w:sz w:val="21"/>
    </w:rPr>
  </w:style>
  <w:style w:type="character" w:styleId="59">
    <w:name w:val="HTML Cite"/>
    <w:autoRedefine/>
    <w:qFormat/>
    <w:uiPriority w:val="99"/>
    <w:rPr>
      <w:rFonts w:cs="Times New Roman"/>
      <w:color w:val="008000"/>
    </w:rPr>
  </w:style>
  <w:style w:type="character" w:styleId="60">
    <w:name w:val="HTML Keyboard"/>
    <w:autoRedefine/>
    <w:qFormat/>
    <w:locked/>
    <w:uiPriority w:val="99"/>
    <w:rPr>
      <w:rFonts w:ascii="Menlo" w:hAnsi="Menlo" w:cs="Times New Roman"/>
      <w:color w:val="FFFFFF"/>
      <w:sz w:val="21"/>
      <w:shd w:val="clear" w:color="auto" w:fill="333333"/>
    </w:rPr>
  </w:style>
  <w:style w:type="character" w:styleId="61">
    <w:name w:val="HTML Sample"/>
    <w:autoRedefine/>
    <w:qFormat/>
    <w:locked/>
    <w:uiPriority w:val="99"/>
    <w:rPr>
      <w:rFonts w:ascii="Menlo" w:hAnsi="Menlo" w:cs="Times New Roman"/>
      <w:color w:val="333333"/>
      <w:sz w:val="21"/>
      <w:shd w:val="clear" w:color="auto" w:fill="F8F8F8"/>
    </w:rPr>
  </w:style>
  <w:style w:type="paragraph" w:customStyle="1" w:styleId="6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3">
    <w:name w:val="列表段落1"/>
    <w:basedOn w:val="1"/>
    <w:autoRedefine/>
    <w:qFormat/>
    <w:uiPriority w:val="99"/>
    <w:pPr>
      <w:ind w:firstLine="420" w:firstLineChars="200"/>
    </w:pPr>
    <w:rPr>
      <w:rFonts w:ascii="Calibri" w:hAnsi="Calibri"/>
      <w:szCs w:val="22"/>
    </w:rPr>
  </w:style>
  <w:style w:type="character" w:customStyle="1" w:styleId="64">
    <w:name w:val="标题 1 Char"/>
    <w:autoRedefine/>
    <w:qFormat/>
    <w:uiPriority w:val="99"/>
    <w:rPr>
      <w:b/>
      <w:kern w:val="44"/>
      <w:sz w:val="44"/>
    </w:rPr>
  </w:style>
  <w:style w:type="paragraph" w:customStyle="1" w:styleId="65">
    <w:name w:val="首行缩进"/>
    <w:basedOn w:val="1"/>
    <w:autoRedefine/>
    <w:qFormat/>
    <w:uiPriority w:val="0"/>
    <w:pPr>
      <w:spacing w:line="360" w:lineRule="auto"/>
      <w:ind w:firstLine="200" w:firstLineChars="200"/>
    </w:pPr>
    <w:rPr>
      <w:rFonts w:ascii="宋体"/>
      <w:sz w:val="24"/>
    </w:rPr>
  </w:style>
  <w:style w:type="paragraph" w:customStyle="1" w:styleId="66">
    <w:name w:val="Fließtext"/>
    <w:basedOn w:val="1"/>
    <w:autoRedefine/>
    <w:qFormat/>
    <w:uiPriority w:val="0"/>
    <w:pPr>
      <w:overflowPunct w:val="0"/>
      <w:autoSpaceDE w:val="0"/>
      <w:autoSpaceDN w:val="0"/>
      <w:adjustRightInd w:val="0"/>
      <w:textAlignment w:val="baseline"/>
    </w:pPr>
    <w:rPr>
      <w:kern w:val="28"/>
      <w:szCs w:val="20"/>
    </w:rPr>
  </w:style>
  <w:style w:type="character" w:customStyle="1" w:styleId="67">
    <w:name w:val="标题 1 字符"/>
    <w:link w:val="3"/>
    <w:autoRedefine/>
    <w:qFormat/>
    <w:locked/>
    <w:uiPriority w:val="0"/>
    <w:rPr>
      <w:rFonts w:ascii="Times New Roman" w:hAnsi="Times New Roman" w:eastAsia="宋体" w:cs="Times New Roman"/>
      <w:b/>
      <w:kern w:val="44"/>
      <w:sz w:val="44"/>
    </w:rPr>
  </w:style>
  <w:style w:type="character" w:customStyle="1" w:styleId="68">
    <w:name w:val="标题 2 字符"/>
    <w:link w:val="2"/>
    <w:autoRedefine/>
    <w:qFormat/>
    <w:locked/>
    <w:uiPriority w:val="99"/>
    <w:rPr>
      <w:rFonts w:ascii="Cambria" w:hAnsi="Cambria" w:cs="Times New Roman"/>
      <w:b/>
      <w:kern w:val="2"/>
      <w:sz w:val="32"/>
    </w:rPr>
  </w:style>
  <w:style w:type="character" w:customStyle="1" w:styleId="69">
    <w:name w:val="标题 3 字符"/>
    <w:link w:val="4"/>
    <w:autoRedefine/>
    <w:qFormat/>
    <w:locked/>
    <w:uiPriority w:val="99"/>
    <w:rPr>
      <w:rFonts w:cs="Times New Roman"/>
      <w:b/>
      <w:kern w:val="2"/>
      <w:sz w:val="32"/>
    </w:rPr>
  </w:style>
  <w:style w:type="character" w:customStyle="1" w:styleId="70">
    <w:name w:val="标题 4 字符"/>
    <w:link w:val="5"/>
    <w:autoRedefine/>
    <w:qFormat/>
    <w:locked/>
    <w:uiPriority w:val="99"/>
    <w:rPr>
      <w:rFonts w:ascii="Cambria" w:hAnsi="Cambria" w:eastAsia="宋体" w:cs="Times New Roman"/>
      <w:b/>
      <w:kern w:val="2"/>
      <w:sz w:val="28"/>
    </w:rPr>
  </w:style>
  <w:style w:type="character" w:customStyle="1" w:styleId="71">
    <w:name w:val="标题 5 字符"/>
    <w:link w:val="6"/>
    <w:autoRedefine/>
    <w:qFormat/>
    <w:locked/>
    <w:uiPriority w:val="99"/>
    <w:rPr>
      <w:rFonts w:cs="Times New Roman"/>
      <w:b/>
      <w:kern w:val="2"/>
      <w:sz w:val="28"/>
    </w:rPr>
  </w:style>
  <w:style w:type="character" w:customStyle="1" w:styleId="72">
    <w:name w:val="标题 6 字符"/>
    <w:link w:val="7"/>
    <w:autoRedefine/>
    <w:qFormat/>
    <w:locked/>
    <w:uiPriority w:val="99"/>
    <w:rPr>
      <w:rFonts w:ascii="Cambria" w:hAnsi="Cambria" w:eastAsia="宋体" w:cs="Times New Roman"/>
      <w:b/>
      <w:kern w:val="2"/>
      <w:sz w:val="24"/>
    </w:rPr>
  </w:style>
  <w:style w:type="character" w:customStyle="1" w:styleId="73">
    <w:name w:val="标题 7 字符"/>
    <w:link w:val="8"/>
    <w:autoRedefine/>
    <w:qFormat/>
    <w:locked/>
    <w:uiPriority w:val="99"/>
    <w:rPr>
      <w:rFonts w:cs="Times New Roman"/>
      <w:b/>
      <w:kern w:val="2"/>
      <w:sz w:val="24"/>
    </w:rPr>
  </w:style>
  <w:style w:type="character" w:customStyle="1" w:styleId="74">
    <w:name w:val="标题 8 字符"/>
    <w:link w:val="9"/>
    <w:autoRedefine/>
    <w:qFormat/>
    <w:locked/>
    <w:uiPriority w:val="99"/>
    <w:rPr>
      <w:rFonts w:ascii="Cambria" w:hAnsi="Cambria" w:eastAsia="宋体" w:cs="Times New Roman"/>
      <w:kern w:val="2"/>
      <w:sz w:val="24"/>
    </w:rPr>
  </w:style>
  <w:style w:type="character" w:customStyle="1" w:styleId="75">
    <w:name w:val="标题 9 字符"/>
    <w:link w:val="10"/>
    <w:autoRedefine/>
    <w:qFormat/>
    <w:locked/>
    <w:uiPriority w:val="99"/>
    <w:rPr>
      <w:rFonts w:ascii="Cambria" w:hAnsi="Cambria" w:eastAsia="宋体" w:cs="Times New Roman"/>
      <w:kern w:val="2"/>
      <w:sz w:val="21"/>
    </w:rPr>
  </w:style>
  <w:style w:type="character" w:customStyle="1" w:styleId="76">
    <w:name w:val="文档结构图 字符"/>
    <w:link w:val="16"/>
    <w:autoRedefine/>
    <w:qFormat/>
    <w:locked/>
    <w:uiPriority w:val="99"/>
    <w:rPr>
      <w:rFonts w:ascii="宋体" w:cs="Times New Roman"/>
      <w:kern w:val="2"/>
      <w:sz w:val="18"/>
    </w:rPr>
  </w:style>
  <w:style w:type="character" w:customStyle="1" w:styleId="77">
    <w:name w:val="批注文字 字符"/>
    <w:autoRedefine/>
    <w:qFormat/>
    <w:locked/>
    <w:uiPriority w:val="0"/>
    <w:rPr>
      <w:rFonts w:cs="Times New Roman"/>
      <w:kern w:val="2"/>
      <w:sz w:val="24"/>
    </w:rPr>
  </w:style>
  <w:style w:type="character" w:customStyle="1" w:styleId="78">
    <w:name w:val="正文文本 3 字符"/>
    <w:link w:val="18"/>
    <w:autoRedefine/>
    <w:qFormat/>
    <w:locked/>
    <w:uiPriority w:val="99"/>
    <w:rPr>
      <w:rFonts w:ascii="宋体" w:cs="Times New Roman"/>
      <w:kern w:val="2"/>
      <w:sz w:val="24"/>
    </w:rPr>
  </w:style>
  <w:style w:type="character" w:customStyle="1" w:styleId="79">
    <w:name w:val="正文文本 字符"/>
    <w:link w:val="19"/>
    <w:autoRedefine/>
    <w:qFormat/>
    <w:locked/>
    <w:uiPriority w:val="0"/>
    <w:rPr>
      <w:rFonts w:eastAsia="幼圆" w:cs="Times New Roman"/>
      <w:b/>
      <w:kern w:val="2"/>
      <w:sz w:val="24"/>
    </w:rPr>
  </w:style>
  <w:style w:type="character" w:customStyle="1" w:styleId="80">
    <w:name w:val="正文文本缩进 字符"/>
    <w:link w:val="20"/>
    <w:autoRedefine/>
    <w:qFormat/>
    <w:locked/>
    <w:uiPriority w:val="99"/>
    <w:rPr>
      <w:rFonts w:cs="Times New Roman"/>
      <w:kern w:val="2"/>
      <w:sz w:val="24"/>
    </w:rPr>
  </w:style>
  <w:style w:type="character" w:customStyle="1" w:styleId="81">
    <w:name w:val="纯文本 字符"/>
    <w:link w:val="26"/>
    <w:autoRedefine/>
    <w:qFormat/>
    <w:locked/>
    <w:uiPriority w:val="99"/>
    <w:rPr>
      <w:rFonts w:ascii="Ari" w:cs="Times New Roman"/>
      <w:lang w:val="en-US" w:eastAsia="zh-CN"/>
    </w:rPr>
  </w:style>
  <w:style w:type="character" w:customStyle="1" w:styleId="82">
    <w:name w:val="日期 字符"/>
    <w:link w:val="28"/>
    <w:autoRedefine/>
    <w:qFormat/>
    <w:locked/>
    <w:uiPriority w:val="99"/>
    <w:rPr>
      <w:rFonts w:cs="Times New Roman"/>
      <w:kern w:val="2"/>
      <w:sz w:val="24"/>
    </w:rPr>
  </w:style>
  <w:style w:type="character" w:customStyle="1" w:styleId="83">
    <w:name w:val="正文文本缩进 2 字符"/>
    <w:link w:val="29"/>
    <w:autoRedefine/>
    <w:qFormat/>
    <w:locked/>
    <w:uiPriority w:val="0"/>
    <w:rPr>
      <w:rFonts w:ascii="宋体" w:cs="Times New Roman"/>
    </w:rPr>
  </w:style>
  <w:style w:type="character" w:customStyle="1" w:styleId="84">
    <w:name w:val="批注框文本 字符"/>
    <w:link w:val="30"/>
    <w:autoRedefine/>
    <w:qFormat/>
    <w:locked/>
    <w:uiPriority w:val="0"/>
    <w:rPr>
      <w:rFonts w:cs="Times New Roman"/>
      <w:kern w:val="2"/>
      <w:sz w:val="18"/>
    </w:rPr>
  </w:style>
  <w:style w:type="character" w:customStyle="1" w:styleId="85">
    <w:name w:val="页脚 字符"/>
    <w:link w:val="31"/>
    <w:autoRedefine/>
    <w:qFormat/>
    <w:locked/>
    <w:uiPriority w:val="99"/>
    <w:rPr>
      <w:rFonts w:cs="Times New Roman"/>
      <w:kern w:val="2"/>
      <w:sz w:val="18"/>
    </w:rPr>
  </w:style>
  <w:style w:type="character" w:customStyle="1" w:styleId="86">
    <w:name w:val="页眉 字符"/>
    <w:link w:val="32"/>
    <w:autoRedefine/>
    <w:qFormat/>
    <w:locked/>
    <w:uiPriority w:val="99"/>
    <w:rPr>
      <w:rFonts w:cs="Times New Roman"/>
      <w:kern w:val="2"/>
      <w:sz w:val="18"/>
    </w:rPr>
  </w:style>
  <w:style w:type="character" w:customStyle="1" w:styleId="87">
    <w:name w:val="副标题 字符"/>
    <w:link w:val="35"/>
    <w:autoRedefine/>
    <w:qFormat/>
    <w:locked/>
    <w:uiPriority w:val="99"/>
    <w:rPr>
      <w:rFonts w:ascii="Cambria" w:hAnsi="Cambria" w:cs="Times New Roman"/>
      <w:b/>
      <w:kern w:val="28"/>
      <w:sz w:val="32"/>
    </w:rPr>
  </w:style>
  <w:style w:type="character" w:customStyle="1" w:styleId="88">
    <w:name w:val="正文文本缩进 3 字符"/>
    <w:link w:val="38"/>
    <w:autoRedefine/>
    <w:qFormat/>
    <w:locked/>
    <w:uiPriority w:val="99"/>
    <w:rPr>
      <w:rFonts w:cs="Times New Roman"/>
      <w:kern w:val="2"/>
      <w:sz w:val="16"/>
    </w:rPr>
  </w:style>
  <w:style w:type="character" w:customStyle="1" w:styleId="89">
    <w:name w:val="HTML 预设格式 字符"/>
    <w:link w:val="41"/>
    <w:autoRedefine/>
    <w:qFormat/>
    <w:locked/>
    <w:uiPriority w:val="0"/>
    <w:rPr>
      <w:rFonts w:ascii="Courier New" w:hAnsi="Courier New" w:cs="Times New Roman"/>
      <w:sz w:val="20"/>
    </w:rPr>
  </w:style>
  <w:style w:type="character" w:customStyle="1" w:styleId="90">
    <w:name w:val="标题 字符"/>
    <w:link w:val="44"/>
    <w:autoRedefine/>
    <w:qFormat/>
    <w:locked/>
    <w:uiPriority w:val="99"/>
    <w:rPr>
      <w:rFonts w:ascii="Arial" w:hAnsi="Arial" w:cs="Times New Roman"/>
      <w:b/>
      <w:sz w:val="32"/>
    </w:rPr>
  </w:style>
  <w:style w:type="character" w:customStyle="1" w:styleId="91">
    <w:name w:val="批注主题 字符"/>
    <w:link w:val="45"/>
    <w:autoRedefine/>
    <w:qFormat/>
    <w:locked/>
    <w:uiPriority w:val="0"/>
    <w:rPr>
      <w:rFonts w:cs="Times New Roman"/>
      <w:b/>
      <w:kern w:val="2"/>
      <w:sz w:val="24"/>
    </w:rPr>
  </w:style>
  <w:style w:type="character" w:customStyle="1" w:styleId="92">
    <w:name w:val="明显强调1"/>
    <w:autoRedefine/>
    <w:qFormat/>
    <w:uiPriority w:val="99"/>
    <w:rPr>
      <w:b/>
      <w:i/>
      <w:color w:val="4F81BD"/>
    </w:rPr>
  </w:style>
  <w:style w:type="character" w:customStyle="1" w:styleId="93">
    <w:name w:val="批注文字 Char2"/>
    <w:autoRedefine/>
    <w:qFormat/>
    <w:uiPriority w:val="99"/>
    <w:rPr>
      <w:kern w:val="2"/>
      <w:sz w:val="21"/>
    </w:rPr>
  </w:style>
  <w:style w:type="character" w:customStyle="1" w:styleId="94">
    <w:name w:val="标题 3 Char_0"/>
    <w:link w:val="95"/>
    <w:autoRedefine/>
    <w:qFormat/>
    <w:locked/>
    <w:uiPriority w:val="99"/>
    <w:rPr>
      <w:b/>
      <w:sz w:val="32"/>
    </w:rPr>
  </w:style>
  <w:style w:type="paragraph" w:customStyle="1" w:styleId="95">
    <w:name w:val="标题 3_0"/>
    <w:basedOn w:val="96"/>
    <w:next w:val="96"/>
    <w:link w:val="94"/>
    <w:autoRedefine/>
    <w:qFormat/>
    <w:uiPriority w:val="99"/>
    <w:pPr>
      <w:keepNext/>
      <w:keepLines/>
      <w:spacing w:before="260" w:after="260" w:line="416" w:lineRule="auto"/>
      <w:outlineLvl w:val="2"/>
    </w:pPr>
    <w:rPr>
      <w:b/>
      <w:sz w:val="32"/>
      <w:szCs w:val="20"/>
    </w:rPr>
  </w:style>
  <w:style w:type="paragraph" w:customStyle="1" w:styleId="96">
    <w:name w:val="正文_0"/>
    <w:autoRedefine/>
    <w:qFormat/>
    <w:uiPriority w:val="99"/>
    <w:pPr>
      <w:widowControl w:val="0"/>
      <w:jc w:val="both"/>
    </w:pPr>
    <w:rPr>
      <w:rFonts w:ascii="Times New Roman" w:hAnsi="Times New Roman" w:eastAsia="宋体" w:cs="Times New Roman"/>
      <w:szCs w:val="24"/>
      <w:lang w:val="en-US" w:eastAsia="zh-CN" w:bidi="ar-SA"/>
    </w:rPr>
  </w:style>
  <w:style w:type="character" w:customStyle="1" w:styleId="97">
    <w:name w:val="正文文本 Char2"/>
    <w:autoRedefine/>
    <w:semiHidden/>
    <w:qFormat/>
    <w:uiPriority w:val="99"/>
    <w:rPr>
      <w:rFonts w:ascii="Calibri" w:hAnsi="Calibri" w:eastAsia="宋体"/>
    </w:rPr>
  </w:style>
  <w:style w:type="character" w:customStyle="1" w:styleId="98">
    <w:name w:val="页脚 Char1"/>
    <w:autoRedefine/>
    <w:semiHidden/>
    <w:qFormat/>
    <w:uiPriority w:val="99"/>
    <w:rPr>
      <w:rFonts w:ascii="Calibri" w:hAnsi="Calibri" w:eastAsia="宋体"/>
      <w:sz w:val="18"/>
    </w:rPr>
  </w:style>
  <w:style w:type="character" w:customStyle="1" w:styleId="99">
    <w:name w:val="明显引用 Char2"/>
    <w:autoRedefine/>
    <w:qFormat/>
    <w:uiPriority w:val="99"/>
    <w:rPr>
      <w:b/>
      <w:i/>
      <w:color w:val="4F81BD"/>
      <w:kern w:val="2"/>
      <w:sz w:val="24"/>
    </w:rPr>
  </w:style>
  <w:style w:type="character" w:customStyle="1" w:styleId="100">
    <w:name w:val="引用 Char"/>
    <w:link w:val="101"/>
    <w:autoRedefine/>
    <w:qFormat/>
    <w:locked/>
    <w:uiPriority w:val="99"/>
    <w:rPr>
      <w:i/>
      <w:color w:val="000000"/>
    </w:rPr>
  </w:style>
  <w:style w:type="paragraph" w:customStyle="1" w:styleId="101">
    <w:name w:val="引用1"/>
    <w:basedOn w:val="1"/>
    <w:next w:val="1"/>
    <w:link w:val="100"/>
    <w:autoRedefine/>
    <w:qFormat/>
    <w:uiPriority w:val="99"/>
    <w:rPr>
      <w:i/>
      <w:color w:val="000000"/>
      <w:kern w:val="0"/>
      <w:sz w:val="20"/>
      <w:szCs w:val="20"/>
    </w:rPr>
  </w:style>
  <w:style w:type="character" w:customStyle="1" w:styleId="102">
    <w:name w:val="标题 1 Char_0"/>
    <w:link w:val="103"/>
    <w:autoRedefine/>
    <w:qFormat/>
    <w:locked/>
    <w:uiPriority w:val="99"/>
    <w:rPr>
      <w:b/>
      <w:kern w:val="44"/>
      <w:sz w:val="44"/>
    </w:rPr>
  </w:style>
  <w:style w:type="paragraph" w:customStyle="1" w:styleId="103">
    <w:name w:val="标题 1_0"/>
    <w:basedOn w:val="96"/>
    <w:next w:val="96"/>
    <w:link w:val="102"/>
    <w:autoRedefine/>
    <w:qFormat/>
    <w:uiPriority w:val="99"/>
    <w:pPr>
      <w:keepNext/>
      <w:keepLines/>
      <w:spacing w:before="340" w:after="330" w:line="578" w:lineRule="auto"/>
      <w:outlineLvl w:val="0"/>
    </w:pPr>
    <w:rPr>
      <w:b/>
      <w:kern w:val="44"/>
      <w:sz w:val="44"/>
      <w:szCs w:val="20"/>
    </w:rPr>
  </w:style>
  <w:style w:type="character" w:customStyle="1" w:styleId="104">
    <w:name w:val="正文文本缩进 3 Char1"/>
    <w:autoRedefine/>
    <w:semiHidden/>
    <w:qFormat/>
    <w:uiPriority w:val="99"/>
    <w:rPr>
      <w:kern w:val="2"/>
      <w:sz w:val="16"/>
    </w:rPr>
  </w:style>
  <w:style w:type="character" w:customStyle="1" w:styleId="105">
    <w:name w:val="引用 Char1"/>
    <w:autoRedefine/>
    <w:qFormat/>
    <w:uiPriority w:val="99"/>
    <w:rPr>
      <w:i/>
      <w:color w:val="000000"/>
      <w:kern w:val="2"/>
      <w:sz w:val="21"/>
    </w:rPr>
  </w:style>
  <w:style w:type="character" w:customStyle="1" w:styleId="106">
    <w:name w:val="font161"/>
    <w:autoRedefine/>
    <w:qFormat/>
    <w:uiPriority w:val="99"/>
    <w:rPr>
      <w:b/>
      <w:sz w:val="32"/>
    </w:rPr>
  </w:style>
  <w:style w:type="character" w:customStyle="1" w:styleId="107">
    <w:name w:val="标题 4 Char_0"/>
    <w:link w:val="108"/>
    <w:autoRedefine/>
    <w:qFormat/>
    <w:locked/>
    <w:uiPriority w:val="99"/>
    <w:rPr>
      <w:rFonts w:ascii="Arial" w:hAnsi="Arial" w:eastAsia="黑体"/>
      <w:b/>
      <w:sz w:val="28"/>
    </w:rPr>
  </w:style>
  <w:style w:type="paragraph" w:customStyle="1" w:styleId="108">
    <w:name w:val="标题 4_0"/>
    <w:basedOn w:val="96"/>
    <w:next w:val="96"/>
    <w:link w:val="107"/>
    <w:autoRedefine/>
    <w:qFormat/>
    <w:uiPriority w:val="99"/>
    <w:pPr>
      <w:keepNext/>
      <w:keepLines/>
      <w:spacing w:before="280" w:after="290" w:line="376" w:lineRule="auto"/>
      <w:outlineLvl w:val="3"/>
    </w:pPr>
    <w:rPr>
      <w:rFonts w:ascii="Arial" w:hAnsi="Arial" w:eastAsia="黑体"/>
      <w:b/>
      <w:sz w:val="28"/>
      <w:szCs w:val="20"/>
    </w:rPr>
  </w:style>
  <w:style w:type="character" w:customStyle="1" w:styleId="109">
    <w:name w:val="引用 Char2"/>
    <w:autoRedefine/>
    <w:qFormat/>
    <w:uiPriority w:val="99"/>
    <w:rPr>
      <w:i/>
      <w:color w:val="000000"/>
      <w:kern w:val="2"/>
      <w:sz w:val="24"/>
    </w:rPr>
  </w:style>
  <w:style w:type="character" w:customStyle="1" w:styleId="110">
    <w:name w:val="rvts11"/>
    <w:autoRedefine/>
    <w:qFormat/>
    <w:uiPriority w:val="99"/>
    <w:rPr>
      <w:rFonts w:ascii="KNLe" w:hAnsi="KNLe"/>
      <w:sz w:val="24"/>
      <w:u w:val="single"/>
    </w:rPr>
  </w:style>
  <w:style w:type="character" w:customStyle="1" w:styleId="111">
    <w:name w:val="标题5 Char Char"/>
    <w:link w:val="112"/>
    <w:autoRedefine/>
    <w:qFormat/>
    <w:locked/>
    <w:uiPriority w:val="99"/>
    <w:rPr>
      <w:rFonts w:ascii="Arial" w:hAnsi="Arial"/>
      <w:b/>
      <w:sz w:val="32"/>
    </w:rPr>
  </w:style>
  <w:style w:type="paragraph" w:customStyle="1" w:styleId="112">
    <w:name w:val="标题5"/>
    <w:basedOn w:val="4"/>
    <w:link w:val="111"/>
    <w:autoRedefine/>
    <w:qFormat/>
    <w:uiPriority w:val="99"/>
    <w:pPr>
      <w:numPr>
        <w:ilvl w:val="0"/>
        <w:numId w:val="0"/>
      </w:numPr>
      <w:spacing w:line="413" w:lineRule="auto"/>
    </w:pPr>
    <w:rPr>
      <w:rFonts w:ascii="Arial" w:hAnsi="Arial"/>
      <w:kern w:val="0"/>
    </w:rPr>
  </w:style>
  <w:style w:type="character" w:customStyle="1" w:styleId="113">
    <w:name w:val="副标题 Char2"/>
    <w:autoRedefine/>
    <w:qFormat/>
    <w:uiPriority w:val="99"/>
    <w:rPr>
      <w:rFonts w:ascii="Cambria" w:hAnsi="Cambria"/>
      <w:b/>
      <w:kern w:val="28"/>
      <w:sz w:val="32"/>
    </w:rPr>
  </w:style>
  <w:style w:type="character" w:customStyle="1" w:styleId="114">
    <w:name w:val="批注主题 Char1"/>
    <w:autoRedefine/>
    <w:qFormat/>
    <w:uiPriority w:val="99"/>
    <w:rPr>
      <w:b/>
      <w:kern w:val="2"/>
      <w:sz w:val="22"/>
    </w:rPr>
  </w:style>
  <w:style w:type="character" w:customStyle="1" w:styleId="115">
    <w:name w:val="font31"/>
    <w:autoRedefine/>
    <w:qFormat/>
    <w:uiPriority w:val="0"/>
    <w:rPr>
      <w:rFonts w:ascii="宋体" w:hAnsi="宋体" w:eastAsia="宋体"/>
      <w:color w:val="000000"/>
      <w:sz w:val="20"/>
      <w:u w:val="none"/>
    </w:rPr>
  </w:style>
  <w:style w:type="character" w:customStyle="1" w:styleId="116">
    <w:name w:val="明显引用 Char"/>
    <w:link w:val="117"/>
    <w:autoRedefine/>
    <w:qFormat/>
    <w:locked/>
    <w:uiPriority w:val="99"/>
    <w:rPr>
      <w:b/>
      <w:i/>
      <w:color w:val="4F81BD"/>
    </w:rPr>
  </w:style>
  <w:style w:type="paragraph" w:customStyle="1" w:styleId="117">
    <w:name w:val="明显引用1"/>
    <w:basedOn w:val="1"/>
    <w:next w:val="1"/>
    <w:link w:val="116"/>
    <w:autoRedefine/>
    <w:qFormat/>
    <w:uiPriority w:val="99"/>
    <w:pPr>
      <w:pBdr>
        <w:bottom w:val="single" w:color="4F81BD" w:sz="4" w:space="4"/>
      </w:pBdr>
      <w:spacing w:before="200" w:after="280"/>
      <w:ind w:left="936" w:right="936"/>
    </w:pPr>
    <w:rPr>
      <w:b/>
      <w:i/>
      <w:color w:val="4F81BD"/>
      <w:kern w:val="0"/>
      <w:sz w:val="20"/>
      <w:szCs w:val="20"/>
    </w:rPr>
  </w:style>
  <w:style w:type="character" w:customStyle="1" w:styleId="118">
    <w:name w:val="日期 Char1"/>
    <w:autoRedefine/>
    <w:qFormat/>
    <w:uiPriority w:val="99"/>
    <w:rPr>
      <w:rFonts w:ascii="Calibri" w:hAnsi="Calibri" w:eastAsia="宋体"/>
    </w:rPr>
  </w:style>
  <w:style w:type="character" w:customStyle="1" w:styleId="119">
    <w:name w:val="批注框文本 Char1"/>
    <w:autoRedefine/>
    <w:qFormat/>
    <w:uiPriority w:val="99"/>
    <w:rPr>
      <w:kern w:val="2"/>
      <w:sz w:val="18"/>
    </w:rPr>
  </w:style>
  <w:style w:type="character" w:customStyle="1" w:styleId="120">
    <w:name w:val="标题 Char1"/>
    <w:autoRedefine/>
    <w:qFormat/>
    <w:uiPriority w:val="99"/>
    <w:rPr>
      <w:rFonts w:ascii="Cambria" w:hAnsi="Cambria" w:eastAsia="宋体"/>
      <w:b/>
      <w:sz w:val="32"/>
    </w:rPr>
  </w:style>
  <w:style w:type="character" w:customStyle="1" w:styleId="121">
    <w:name w:val="不明显参考1"/>
    <w:autoRedefine/>
    <w:qFormat/>
    <w:uiPriority w:val="99"/>
    <w:rPr>
      <w:smallCaps/>
      <w:color w:val="C0504D"/>
      <w:u w:val="single"/>
    </w:rPr>
  </w:style>
  <w:style w:type="character" w:customStyle="1" w:styleId="122">
    <w:name w:val="批注文字 Char1"/>
    <w:autoRedefine/>
    <w:qFormat/>
    <w:uiPriority w:val="99"/>
    <w:rPr>
      <w:rFonts w:ascii="Calibri" w:hAnsi="Calibri" w:eastAsia="宋体"/>
    </w:rPr>
  </w:style>
  <w:style w:type="character" w:customStyle="1" w:styleId="123">
    <w:name w:val="标题 Char2"/>
    <w:autoRedefine/>
    <w:qFormat/>
    <w:uiPriority w:val="99"/>
    <w:rPr>
      <w:rFonts w:ascii="Cambria" w:hAnsi="Cambria"/>
      <w:b/>
      <w:kern w:val="2"/>
      <w:sz w:val="32"/>
    </w:rPr>
  </w:style>
  <w:style w:type="character" w:customStyle="1" w:styleId="124">
    <w:name w:val="正文文本 3 Char1"/>
    <w:autoRedefine/>
    <w:semiHidden/>
    <w:qFormat/>
    <w:uiPriority w:val="99"/>
    <w:rPr>
      <w:kern w:val="2"/>
      <w:sz w:val="16"/>
    </w:rPr>
  </w:style>
  <w:style w:type="character" w:customStyle="1" w:styleId="125">
    <w:name w:val="批注主题 Char2"/>
    <w:autoRedefine/>
    <w:qFormat/>
    <w:uiPriority w:val="99"/>
    <w:rPr>
      <w:b/>
      <w:kern w:val="2"/>
      <w:sz w:val="21"/>
    </w:rPr>
  </w:style>
  <w:style w:type="character" w:customStyle="1" w:styleId="126">
    <w:name w:val="正文文本 Char_0"/>
    <w:link w:val="127"/>
    <w:autoRedefine/>
    <w:qFormat/>
    <w:locked/>
    <w:uiPriority w:val="99"/>
    <w:rPr>
      <w:sz w:val="24"/>
    </w:rPr>
  </w:style>
  <w:style w:type="paragraph" w:customStyle="1" w:styleId="127">
    <w:name w:val="正文文本_0"/>
    <w:basedOn w:val="96"/>
    <w:link w:val="126"/>
    <w:autoRedefine/>
    <w:qFormat/>
    <w:uiPriority w:val="99"/>
    <w:pPr>
      <w:spacing w:after="120"/>
    </w:pPr>
    <w:rPr>
      <w:sz w:val="24"/>
      <w:szCs w:val="20"/>
    </w:rPr>
  </w:style>
  <w:style w:type="character" w:customStyle="1" w:styleId="128">
    <w:name w:val="bookmark"/>
    <w:autoRedefine/>
    <w:qFormat/>
    <w:uiPriority w:val="99"/>
  </w:style>
  <w:style w:type="character" w:customStyle="1" w:styleId="129">
    <w:name w:val="标题 5 Char_0"/>
    <w:link w:val="130"/>
    <w:autoRedefine/>
    <w:qFormat/>
    <w:locked/>
    <w:uiPriority w:val="99"/>
    <w:rPr>
      <w:rFonts w:ascii="Calibri" w:hAnsi="Calibri"/>
      <w:b/>
      <w:sz w:val="28"/>
    </w:rPr>
  </w:style>
  <w:style w:type="paragraph" w:customStyle="1" w:styleId="130">
    <w:name w:val="标题 5_0"/>
    <w:basedOn w:val="96"/>
    <w:next w:val="96"/>
    <w:link w:val="129"/>
    <w:autoRedefine/>
    <w:qFormat/>
    <w:uiPriority w:val="99"/>
    <w:pPr>
      <w:keepNext/>
      <w:keepLines/>
      <w:spacing w:before="280" w:after="290" w:line="372" w:lineRule="auto"/>
      <w:outlineLvl w:val="4"/>
    </w:pPr>
    <w:rPr>
      <w:rFonts w:ascii="Calibri" w:hAnsi="Calibri"/>
      <w:b/>
      <w:sz w:val="28"/>
      <w:szCs w:val="20"/>
    </w:rPr>
  </w:style>
  <w:style w:type="character" w:customStyle="1" w:styleId="131">
    <w:name w:val="font11"/>
    <w:autoRedefine/>
    <w:qFormat/>
    <w:uiPriority w:val="0"/>
    <w:rPr>
      <w:rFonts w:ascii="宋体" w:hAnsi="宋体" w:eastAsia="宋体"/>
      <w:color w:val="000000"/>
      <w:sz w:val="20"/>
      <w:u w:val="none"/>
    </w:rPr>
  </w:style>
  <w:style w:type="character" w:customStyle="1" w:styleId="132">
    <w:name w:val="明显参考1"/>
    <w:autoRedefine/>
    <w:qFormat/>
    <w:uiPriority w:val="99"/>
    <w:rPr>
      <w:b/>
      <w:smallCaps/>
      <w:color w:val="C0504D"/>
      <w:spacing w:val="5"/>
      <w:u w:val="single"/>
    </w:rPr>
  </w:style>
  <w:style w:type="character" w:customStyle="1" w:styleId="133">
    <w:name w:val="超链接_0"/>
    <w:autoRedefine/>
    <w:qFormat/>
    <w:uiPriority w:val="99"/>
    <w:rPr>
      <w:rFonts w:ascii="Calibri" w:hAnsi="Calibri"/>
      <w:color w:val="0000FF"/>
      <w:u w:val="single"/>
    </w:rPr>
  </w:style>
  <w:style w:type="character" w:customStyle="1" w:styleId="134">
    <w:name w:val="文档结构图 Char2"/>
    <w:autoRedefine/>
    <w:semiHidden/>
    <w:qFormat/>
    <w:uiPriority w:val="99"/>
    <w:rPr>
      <w:rFonts w:ascii="宋体" w:hAnsi="Calibri" w:eastAsia="宋体"/>
      <w:sz w:val="18"/>
    </w:rPr>
  </w:style>
  <w:style w:type="character" w:customStyle="1" w:styleId="135">
    <w:name w:val="textcontents"/>
    <w:autoRedefine/>
    <w:qFormat/>
    <w:uiPriority w:val="99"/>
  </w:style>
  <w:style w:type="character" w:customStyle="1" w:styleId="136">
    <w:name w:val="副标题 Char1"/>
    <w:autoRedefine/>
    <w:qFormat/>
    <w:uiPriority w:val="99"/>
    <w:rPr>
      <w:rFonts w:ascii="Cambria" w:hAnsi="Cambria"/>
      <w:b/>
      <w:kern w:val="28"/>
      <w:sz w:val="32"/>
    </w:rPr>
  </w:style>
  <w:style w:type="character" w:customStyle="1" w:styleId="137">
    <w:name w:val="书籍标题1"/>
    <w:autoRedefine/>
    <w:qFormat/>
    <w:uiPriority w:val="99"/>
    <w:rPr>
      <w:b/>
      <w:smallCaps/>
      <w:spacing w:val="5"/>
    </w:rPr>
  </w:style>
  <w:style w:type="character" w:customStyle="1" w:styleId="138">
    <w:name w:val="标题4 Char Char"/>
    <w:link w:val="139"/>
    <w:autoRedefine/>
    <w:qFormat/>
    <w:locked/>
    <w:uiPriority w:val="99"/>
    <w:rPr>
      <w:rFonts w:ascii="Arial" w:hAnsi="Arial"/>
      <w:b/>
      <w:sz w:val="32"/>
    </w:rPr>
  </w:style>
  <w:style w:type="paragraph" w:customStyle="1" w:styleId="139">
    <w:name w:val="标题4"/>
    <w:basedOn w:val="2"/>
    <w:next w:val="23"/>
    <w:link w:val="138"/>
    <w:autoRedefine/>
    <w:qFormat/>
    <w:uiPriority w:val="99"/>
    <w:pPr>
      <w:numPr>
        <w:ilvl w:val="0"/>
        <w:numId w:val="0"/>
      </w:numPr>
      <w:spacing w:line="413" w:lineRule="auto"/>
    </w:pPr>
    <w:rPr>
      <w:rFonts w:ascii="Arial" w:hAnsi="Arial"/>
      <w:kern w:val="0"/>
    </w:rPr>
  </w:style>
  <w:style w:type="character" w:customStyle="1" w:styleId="140">
    <w:name w:val="正文文本 Char1"/>
    <w:autoRedefine/>
    <w:qFormat/>
    <w:uiPriority w:val="99"/>
    <w:rPr>
      <w:rFonts w:ascii="Calibri" w:hAnsi="Calibri" w:eastAsia="宋体"/>
    </w:rPr>
  </w:style>
  <w:style w:type="character" w:customStyle="1" w:styleId="141">
    <w:name w:val="明显引用 Char1"/>
    <w:autoRedefine/>
    <w:qFormat/>
    <w:uiPriority w:val="99"/>
    <w:rPr>
      <w:b/>
      <w:i/>
      <w:color w:val="4F81BD"/>
      <w:kern w:val="2"/>
      <w:sz w:val="21"/>
    </w:rPr>
  </w:style>
  <w:style w:type="character" w:customStyle="1" w:styleId="142">
    <w:name w:val="页眉 Char1"/>
    <w:autoRedefine/>
    <w:semiHidden/>
    <w:qFormat/>
    <w:uiPriority w:val="99"/>
    <w:rPr>
      <w:rFonts w:ascii="Calibri" w:hAnsi="Calibri" w:eastAsia="宋体"/>
      <w:sz w:val="18"/>
    </w:rPr>
  </w:style>
  <w:style w:type="character" w:customStyle="1" w:styleId="143">
    <w:name w:val="不明显强调1"/>
    <w:autoRedefine/>
    <w:qFormat/>
    <w:uiPriority w:val="99"/>
    <w:rPr>
      <w:i/>
      <w:color w:val="808080"/>
    </w:rPr>
  </w:style>
  <w:style w:type="character" w:customStyle="1" w:styleId="144">
    <w:name w:val="font21"/>
    <w:autoRedefine/>
    <w:qFormat/>
    <w:uiPriority w:val="0"/>
    <w:rPr>
      <w:rFonts w:ascii="宋体" w:hAnsi="宋体" w:eastAsia="宋体"/>
      <w:color w:val="000000"/>
      <w:sz w:val="20"/>
      <w:u w:val="none"/>
    </w:rPr>
  </w:style>
  <w:style w:type="character" w:customStyle="1" w:styleId="145">
    <w:name w:val="文档结构图 Char1"/>
    <w:autoRedefine/>
    <w:qFormat/>
    <w:uiPriority w:val="99"/>
    <w:rPr>
      <w:rFonts w:ascii="宋体" w:hAnsi="Calibri" w:eastAsia="宋体"/>
      <w:sz w:val="18"/>
    </w:rPr>
  </w:style>
  <w:style w:type="character" w:customStyle="1" w:styleId="146">
    <w:name w:val="标题 2 Char_0"/>
    <w:link w:val="147"/>
    <w:autoRedefine/>
    <w:qFormat/>
    <w:locked/>
    <w:uiPriority w:val="99"/>
    <w:rPr>
      <w:rFonts w:ascii="Cambria" w:hAnsi="Cambria"/>
      <w:b/>
      <w:sz w:val="32"/>
    </w:rPr>
  </w:style>
  <w:style w:type="paragraph" w:customStyle="1" w:styleId="147">
    <w:name w:val="标题 2_0"/>
    <w:basedOn w:val="96"/>
    <w:next w:val="96"/>
    <w:link w:val="146"/>
    <w:autoRedefine/>
    <w:qFormat/>
    <w:uiPriority w:val="99"/>
    <w:pPr>
      <w:keepNext/>
      <w:keepLines/>
      <w:spacing w:before="260" w:after="260" w:line="416" w:lineRule="auto"/>
      <w:outlineLvl w:val="1"/>
    </w:pPr>
    <w:rPr>
      <w:rFonts w:ascii="Cambria" w:hAnsi="Cambria"/>
      <w:b/>
      <w:sz w:val="32"/>
      <w:szCs w:val="20"/>
    </w:rPr>
  </w:style>
  <w:style w:type="character" w:customStyle="1" w:styleId="148">
    <w:name w:val="日期 Char2"/>
    <w:autoRedefine/>
    <w:semiHidden/>
    <w:qFormat/>
    <w:uiPriority w:val="99"/>
    <w:rPr>
      <w:rFonts w:ascii="Calibri" w:hAnsi="Calibri" w:eastAsia="宋体"/>
    </w:rPr>
  </w:style>
  <w:style w:type="character" w:customStyle="1" w:styleId="149">
    <w:name w:val="批注框文本 Char2"/>
    <w:autoRedefine/>
    <w:semiHidden/>
    <w:qFormat/>
    <w:uiPriority w:val="99"/>
    <w:rPr>
      <w:rFonts w:ascii="Calibri" w:hAnsi="Calibri" w:eastAsia="宋体"/>
      <w:sz w:val="18"/>
    </w:rPr>
  </w:style>
  <w:style w:type="character" w:customStyle="1" w:styleId="150">
    <w:name w:val="列出段落 Char"/>
    <w:link w:val="151"/>
    <w:autoRedefine/>
    <w:qFormat/>
    <w:locked/>
    <w:uiPriority w:val="99"/>
    <w:rPr>
      <w:kern w:val="2"/>
      <w:sz w:val="24"/>
    </w:rPr>
  </w:style>
  <w:style w:type="paragraph" w:customStyle="1" w:styleId="151">
    <w:name w:val="List Paragraph1"/>
    <w:basedOn w:val="1"/>
    <w:link w:val="150"/>
    <w:autoRedefine/>
    <w:qFormat/>
    <w:uiPriority w:val="99"/>
    <w:pPr>
      <w:ind w:firstLine="420" w:firstLineChars="200"/>
    </w:pPr>
    <w:rPr>
      <w:sz w:val="24"/>
      <w:szCs w:val="20"/>
    </w:rPr>
  </w:style>
  <w:style w:type="paragraph" w:customStyle="1" w:styleId="152">
    <w:name w:val="样式 标题 3 + (中文) 黑体 小四 非加粗 段前: 7.8 磅 段后: 0 磅 行距: 固定值 20 磅"/>
    <w:basedOn w:val="4"/>
    <w:next w:val="1"/>
    <w:autoRedefine/>
    <w:qFormat/>
    <w:uiPriority w:val="99"/>
    <w:pPr>
      <w:spacing w:before="0" w:after="0" w:line="400" w:lineRule="exact"/>
    </w:pPr>
    <w:rPr>
      <w:rFonts w:eastAsia="黑体" w:cs="宋体"/>
      <w:b w:val="0"/>
      <w:sz w:val="24"/>
    </w:rPr>
  </w:style>
  <w:style w:type="paragraph" w:customStyle="1" w:styleId="153">
    <w:name w:val="_Style 34"/>
    <w:next w:val="1"/>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4">
    <w:name w:val="正文_3"/>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155">
    <w:name w:val="_Style 36"/>
    <w:next w:val="1"/>
    <w:autoRedefine/>
    <w:qFormat/>
    <w:uiPriority w:val="99"/>
    <w:pPr>
      <w:widowControl w:val="0"/>
      <w:jc w:val="both"/>
    </w:pPr>
    <w:rPr>
      <w:rFonts w:ascii="Times New Roman" w:hAnsi="Times New Roman" w:eastAsia="宋体" w:cs="Times New Roman"/>
      <w:kern w:val="2"/>
      <w:sz w:val="21"/>
      <w:lang w:val="en-US" w:eastAsia="zh-CN" w:bidi="ar-SA"/>
    </w:rPr>
  </w:style>
  <w:style w:type="paragraph" w:customStyle="1" w:styleId="156">
    <w:name w:val="空半行"/>
    <w:basedOn w:val="1"/>
    <w:autoRedefine/>
    <w:qFormat/>
    <w:uiPriority w:val="99"/>
    <w:pPr>
      <w:adjustRightInd w:val="0"/>
      <w:spacing w:line="120" w:lineRule="exact"/>
      <w:textAlignment w:val="baseline"/>
    </w:pPr>
    <w:rPr>
      <w:rFonts w:ascii="Calibri" w:hAnsi="Calibri" w:eastAsia="仿宋_GB2312"/>
      <w:color w:val="FFFFFF"/>
      <w:kern w:val="0"/>
      <w:sz w:val="30"/>
      <w:szCs w:val="22"/>
    </w:rPr>
  </w:style>
  <w:style w:type="paragraph" w:customStyle="1" w:styleId="157">
    <w:name w:val="1方案格式1"/>
    <w:basedOn w:val="3"/>
    <w:autoRedefine/>
    <w:qFormat/>
    <w:uiPriority w:val="99"/>
    <w:pPr>
      <w:numPr>
        <w:numId w:val="2"/>
      </w:numPr>
      <w:tabs>
        <w:tab w:val="left" w:pos="360"/>
      </w:tabs>
      <w:spacing w:beforeLines="50" w:afterLines="50" w:line="360" w:lineRule="auto"/>
    </w:pPr>
    <w:rPr>
      <w:rFonts w:eastAsia="微软雅黑"/>
      <w:sz w:val="48"/>
    </w:rPr>
  </w:style>
  <w:style w:type="paragraph" w:customStyle="1" w:styleId="158">
    <w:name w:val="格式３"/>
    <w:basedOn w:val="1"/>
    <w:autoRedefine/>
    <w:qFormat/>
    <w:uiPriority w:val="99"/>
    <w:pPr>
      <w:spacing w:line="420" w:lineRule="exact"/>
      <w:ind w:left="600" w:hanging="600" w:hangingChars="250"/>
    </w:pPr>
    <w:rPr>
      <w:rFonts w:ascii="宋体" w:hAnsi="宋体"/>
      <w:color w:val="000000"/>
      <w:sz w:val="24"/>
      <w:szCs w:val="20"/>
    </w:rPr>
  </w:style>
  <w:style w:type="paragraph" w:customStyle="1" w:styleId="159">
    <w:name w:val="正文1"/>
    <w:autoRedefine/>
    <w:qFormat/>
    <w:uiPriority w:val="99"/>
    <w:pPr>
      <w:widowControl w:val="0"/>
      <w:jc w:val="both"/>
    </w:pPr>
    <w:rPr>
      <w:rFonts w:ascii="Calibri" w:hAnsi="Calibri" w:eastAsia="宋体" w:cs="Times New Roman"/>
      <w:lang w:val="en-US" w:eastAsia="zh-CN" w:bidi="ar-SA"/>
    </w:rPr>
  </w:style>
  <w:style w:type="paragraph" w:customStyle="1" w:styleId="160">
    <w:name w:val="列出段落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61">
    <w:name w:val="正文空2字"/>
    <w:basedOn w:val="1"/>
    <w:autoRedefine/>
    <w:qFormat/>
    <w:locked/>
    <w:uiPriority w:val="99"/>
    <w:pPr>
      <w:spacing w:beforeLines="40" w:afterLines="40" w:line="360" w:lineRule="auto"/>
      <w:ind w:firstLine="200" w:firstLineChars="200"/>
    </w:pPr>
    <w:rPr>
      <w:kern w:val="0"/>
      <w:sz w:val="24"/>
    </w:rPr>
  </w:style>
  <w:style w:type="paragraph" w:customStyle="1" w:styleId="162">
    <w:name w:val="正文_0_0_0"/>
    <w:autoRedefine/>
    <w:qFormat/>
    <w:uiPriority w:val="99"/>
    <w:pPr>
      <w:widowControl w:val="0"/>
      <w:jc w:val="both"/>
    </w:pPr>
    <w:rPr>
      <w:rFonts w:ascii="Times New Roman" w:hAnsi="Times New Roman" w:eastAsia="宋体" w:cs="Times New Roman"/>
      <w:lang w:val="en-US" w:eastAsia="zh-CN" w:bidi="ar-SA"/>
    </w:rPr>
  </w:style>
  <w:style w:type="paragraph" w:customStyle="1" w:styleId="163">
    <w:name w:val="目录 5_0"/>
    <w:basedOn w:val="96"/>
    <w:next w:val="96"/>
    <w:autoRedefine/>
    <w:qFormat/>
    <w:uiPriority w:val="99"/>
    <w:pPr>
      <w:ind w:left="1680" w:leftChars="800"/>
    </w:pPr>
    <w:rPr>
      <w:rFonts w:ascii="Calibri" w:hAnsi="Calibri"/>
    </w:rPr>
  </w:style>
  <w:style w:type="paragraph" w:customStyle="1" w:styleId="164">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165">
    <w:name w:val="标题 11"/>
    <w:basedOn w:val="159"/>
    <w:next w:val="159"/>
    <w:autoRedefine/>
    <w:qFormat/>
    <w:uiPriority w:val="99"/>
    <w:pPr>
      <w:keepNext/>
      <w:keepLines/>
      <w:spacing w:before="340" w:after="330" w:line="576" w:lineRule="auto"/>
      <w:outlineLvl w:val="0"/>
    </w:pPr>
    <w:rPr>
      <w:rFonts w:ascii="Times New Roman" w:hAnsi="Times New Roman"/>
      <w:b/>
      <w:kern w:val="44"/>
      <w:sz w:val="44"/>
      <w:lang w:val="zh-CN"/>
    </w:rPr>
  </w:style>
  <w:style w:type="paragraph" w:customStyle="1" w:styleId="166">
    <w:name w:val="正文 + 行距: 固定值 20 磅"/>
    <w:basedOn w:val="1"/>
    <w:autoRedefine/>
    <w:qFormat/>
    <w:uiPriority w:val="99"/>
    <w:pPr>
      <w:spacing w:line="400" w:lineRule="exact"/>
      <w:ind w:firstLine="716" w:firstLineChars="341"/>
    </w:pPr>
    <w:rPr>
      <w:rFonts w:ascii="Calibri" w:hAnsi="Calibri"/>
      <w:szCs w:val="22"/>
    </w:rPr>
  </w:style>
  <w:style w:type="paragraph" w:customStyle="1" w:styleId="167">
    <w:name w:val="TOC 标题1"/>
    <w:basedOn w:val="3"/>
    <w:next w:val="1"/>
    <w:autoRedefine/>
    <w:qFormat/>
    <w:uiPriority w:val="99"/>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68">
    <w:name w:val="表格文字"/>
    <w:basedOn w:val="1"/>
    <w:link w:val="198"/>
    <w:autoRedefine/>
    <w:qFormat/>
    <w:uiPriority w:val="99"/>
    <w:pPr>
      <w:adjustRightInd w:val="0"/>
      <w:spacing w:line="420" w:lineRule="atLeast"/>
      <w:jc w:val="left"/>
      <w:textAlignment w:val="baseline"/>
    </w:pPr>
    <w:rPr>
      <w:rFonts w:ascii="Calibri" w:hAnsi="Calibri"/>
      <w:kern w:val="0"/>
      <w:sz w:val="22"/>
      <w:szCs w:val="20"/>
    </w:rPr>
  </w:style>
  <w:style w:type="paragraph" w:customStyle="1" w:styleId="169">
    <w:name w:val="flNote"/>
    <w:basedOn w:val="1"/>
    <w:autoRedefine/>
    <w:qFormat/>
    <w:uiPriority w:val="99"/>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70">
    <w:name w:val="文章正文"/>
    <w:basedOn w:val="1"/>
    <w:autoRedefine/>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71">
    <w:name w:val="表格"/>
    <w:basedOn w:val="1"/>
    <w:autoRedefine/>
    <w:qFormat/>
    <w:uiPriority w:val="99"/>
    <w:pPr>
      <w:jc w:val="center"/>
      <w:textAlignment w:val="center"/>
    </w:pPr>
    <w:rPr>
      <w:rFonts w:ascii="华文细黑" w:hAnsi="华文细黑"/>
      <w:kern w:val="0"/>
      <w:szCs w:val="22"/>
    </w:rPr>
  </w:style>
  <w:style w:type="paragraph" w:customStyle="1" w:styleId="172">
    <w:name w:val="Char"/>
    <w:basedOn w:val="16"/>
    <w:autoRedefine/>
    <w:qFormat/>
    <w:uiPriority w:val="99"/>
    <w:pPr>
      <w:widowControl/>
      <w:spacing w:after="160" w:line="240" w:lineRule="exact"/>
      <w:jc w:val="left"/>
    </w:pPr>
    <w:rPr>
      <w:rFonts w:ascii="Verdana" w:hAnsi="Verdana"/>
      <w:kern w:val="0"/>
      <w:sz w:val="20"/>
      <w:lang w:eastAsia="en-US"/>
    </w:rPr>
  </w:style>
  <w:style w:type="paragraph" w:customStyle="1" w:styleId="173">
    <w:name w:val="列出段落2"/>
    <w:basedOn w:val="1"/>
    <w:autoRedefine/>
    <w:qFormat/>
    <w:uiPriority w:val="99"/>
    <w:pPr>
      <w:ind w:firstLine="420" w:firstLineChars="200"/>
    </w:pPr>
  </w:style>
  <w:style w:type="paragraph" w:customStyle="1" w:styleId="174">
    <w:name w:val="6'"/>
    <w:basedOn w:val="1"/>
    <w:autoRedefine/>
    <w:qFormat/>
    <w:uiPriority w:val="99"/>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75">
    <w:name w:val="Char Char Char Char Char Char Char"/>
    <w:basedOn w:val="1"/>
    <w:autoRedefine/>
    <w:qFormat/>
    <w:uiPriority w:val="99"/>
    <w:pPr>
      <w:adjustRightInd w:val="0"/>
      <w:spacing w:line="360" w:lineRule="auto"/>
    </w:pPr>
    <w:rPr>
      <w:kern w:val="0"/>
      <w:sz w:val="24"/>
      <w:szCs w:val="20"/>
    </w:rPr>
  </w:style>
  <w:style w:type="paragraph" w:customStyle="1" w:styleId="176">
    <w:name w:val="2方案格式2"/>
    <w:basedOn w:val="157"/>
    <w:autoRedefine/>
    <w:qFormat/>
    <w:uiPriority w:val="99"/>
    <w:pPr>
      <w:numPr>
        <w:ilvl w:val="1"/>
      </w:numPr>
      <w:spacing w:before="50" w:after="50" w:line="240" w:lineRule="auto"/>
      <w:outlineLvl w:val="1"/>
    </w:pPr>
    <w:rPr>
      <w:sz w:val="44"/>
    </w:rPr>
  </w:style>
  <w:style w:type="paragraph" w:customStyle="1" w:styleId="177">
    <w:name w:val="无间隔1"/>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178">
    <w:name w:val="文档正文"/>
    <w:basedOn w:val="1"/>
    <w:autoRedefine/>
    <w:qFormat/>
    <w:uiPriority w:val="99"/>
    <w:pPr>
      <w:adjustRightInd w:val="0"/>
      <w:spacing w:line="480" w:lineRule="atLeast"/>
      <w:ind w:firstLine="567"/>
      <w:textAlignment w:val="baseline"/>
    </w:pPr>
    <w:rPr>
      <w:rFonts w:ascii="Ari" w:eastAsia="Times New Roman"/>
      <w:kern w:val="0"/>
      <w:sz w:val="28"/>
      <w:szCs w:val="20"/>
    </w:rPr>
  </w:style>
  <w:style w:type="paragraph" w:customStyle="1" w:styleId="179">
    <w:name w:val="tx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80">
    <w:name w:val="目录 4_0"/>
    <w:basedOn w:val="96"/>
    <w:next w:val="96"/>
    <w:autoRedefine/>
    <w:qFormat/>
    <w:uiPriority w:val="99"/>
    <w:pPr>
      <w:ind w:left="1260" w:leftChars="600"/>
    </w:pPr>
    <w:rPr>
      <w:rFonts w:ascii="Calibri" w:hAnsi="Calibri"/>
    </w:rPr>
  </w:style>
  <w:style w:type="paragraph" w:customStyle="1" w:styleId="181">
    <w:name w:val="目录 3_0"/>
    <w:basedOn w:val="96"/>
    <w:next w:val="96"/>
    <w:autoRedefine/>
    <w:qFormat/>
    <w:uiPriority w:val="99"/>
    <w:pPr>
      <w:ind w:left="840" w:leftChars="400"/>
    </w:pPr>
    <w:rPr>
      <w:rFonts w:ascii="Calibri" w:hAnsi="Calibri"/>
    </w:rPr>
  </w:style>
  <w:style w:type="paragraph" w:customStyle="1" w:styleId="182">
    <w:name w:val="样式 标题 1 + 黑体 三号 非加粗 居中 段前: 6 磅 段后: 6 磅 行距: 固定值 20 磅"/>
    <w:basedOn w:val="3"/>
    <w:autoRedefine/>
    <w:qFormat/>
    <w:uiPriority w:val="99"/>
    <w:pPr>
      <w:numPr>
        <w:numId w:val="0"/>
      </w:numPr>
      <w:spacing w:before="120" w:after="120" w:line="400" w:lineRule="exact"/>
    </w:pPr>
    <w:rPr>
      <w:rFonts w:ascii="黑体" w:hAnsi="黑体" w:eastAsia="黑体"/>
      <w:b w:val="0"/>
    </w:rPr>
  </w:style>
  <w:style w:type="paragraph" w:customStyle="1" w:styleId="183">
    <w:name w:val="1"/>
    <w:basedOn w:val="1"/>
    <w:next w:val="1"/>
    <w:autoRedefine/>
    <w:qFormat/>
    <w:uiPriority w:val="99"/>
    <w:rPr>
      <w:rFonts w:ascii="Calibri" w:hAnsi="Calibri"/>
      <w:szCs w:val="22"/>
    </w:rPr>
  </w:style>
  <w:style w:type="paragraph" w:customStyle="1" w:styleId="184">
    <w:name w:val="Blockquote_0"/>
    <w:basedOn w:val="96"/>
    <w:autoRedefine/>
    <w:qFormat/>
    <w:uiPriority w:val="99"/>
    <w:pPr>
      <w:autoSpaceDE w:val="0"/>
      <w:autoSpaceDN w:val="0"/>
      <w:adjustRightInd w:val="0"/>
      <w:spacing w:before="100" w:after="100"/>
      <w:ind w:left="360" w:right="360"/>
      <w:jc w:val="left"/>
    </w:pPr>
    <w:rPr>
      <w:rFonts w:ascii="Calibri" w:hAnsi="Calibri"/>
      <w:sz w:val="24"/>
      <w:szCs w:val="20"/>
    </w:rPr>
  </w:style>
  <w:style w:type="paragraph" w:customStyle="1" w:styleId="185">
    <w:name w:val="列出段落11"/>
    <w:basedOn w:val="1"/>
    <w:autoRedefine/>
    <w:qFormat/>
    <w:uiPriority w:val="99"/>
    <w:pPr>
      <w:widowControl/>
      <w:ind w:left="720"/>
      <w:contextualSpacing/>
      <w:jc w:val="left"/>
    </w:pPr>
    <w:rPr>
      <w:rFonts w:ascii="Arial" w:hAnsi="Arial" w:eastAsia="黑体"/>
      <w:kern w:val="0"/>
      <w:sz w:val="24"/>
      <w:lang w:eastAsia="en-US"/>
    </w:rPr>
  </w:style>
  <w:style w:type="paragraph" w:customStyle="1" w:styleId="186">
    <w:name w:val="样式 标题 2 + Times New Roman 四号 非加粗 段前: 5 磅 段后: 0 磅 行距: 固定值 20..._0"/>
    <w:basedOn w:val="1"/>
    <w:autoRedefine/>
    <w:qFormat/>
    <w:uiPriority w:val="99"/>
    <w:pPr>
      <w:keepNext/>
      <w:keepLines/>
      <w:spacing w:before="100" w:line="360" w:lineRule="auto"/>
      <w:outlineLvl w:val="1"/>
    </w:pPr>
    <w:rPr>
      <w:rFonts w:cs="宋体"/>
      <w:kern w:val="0"/>
      <w:sz w:val="28"/>
      <w:szCs w:val="20"/>
    </w:rPr>
  </w:style>
  <w:style w:type="paragraph" w:customStyle="1" w:styleId="187">
    <w:name w:val="op_mapdots_lef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188">
    <w:name w:val="p0"/>
    <w:basedOn w:val="1"/>
    <w:autoRedefine/>
    <w:qFormat/>
    <w:uiPriority w:val="99"/>
    <w:pPr>
      <w:widowControl/>
    </w:pPr>
    <w:rPr>
      <w:b/>
      <w:bCs/>
      <w:kern w:val="0"/>
      <w:sz w:val="24"/>
    </w:rPr>
  </w:style>
  <w:style w:type="paragraph" w:customStyle="1" w:styleId="189">
    <w:name w:val="Blockquote"/>
    <w:basedOn w:val="1"/>
    <w:autoRedefine/>
    <w:qFormat/>
    <w:uiPriority w:val="99"/>
    <w:pPr>
      <w:autoSpaceDE w:val="0"/>
      <w:autoSpaceDN w:val="0"/>
      <w:adjustRightInd w:val="0"/>
      <w:spacing w:before="100" w:after="100"/>
      <w:ind w:left="360" w:right="360"/>
      <w:jc w:val="left"/>
    </w:pPr>
    <w:rPr>
      <w:rFonts w:ascii="Calibri" w:hAnsi="Calibri"/>
      <w:kern w:val="0"/>
      <w:sz w:val="24"/>
      <w:szCs w:val="22"/>
    </w:rPr>
  </w:style>
  <w:style w:type="paragraph" w:customStyle="1" w:styleId="190">
    <w:name w:val="3方案格式3"/>
    <w:basedOn w:val="176"/>
    <w:autoRedefine/>
    <w:qFormat/>
    <w:uiPriority w:val="99"/>
    <w:pPr>
      <w:numPr>
        <w:ilvl w:val="2"/>
      </w:numPr>
      <w:outlineLvl w:val="2"/>
    </w:pPr>
    <w:rPr>
      <w:sz w:val="32"/>
    </w:rPr>
  </w:style>
  <w:style w:type="paragraph" w:customStyle="1" w:styleId="191">
    <w:name w:val="样式 标题 2 + Times New Roman 四号 非加粗 段前: 5 磅 段后: 0 磅 行距: 固定值 20..."/>
    <w:basedOn w:val="2"/>
    <w:autoRedefine/>
    <w:qFormat/>
    <w:uiPriority w:val="99"/>
    <w:pPr>
      <w:numPr>
        <w:ilvl w:val="0"/>
        <w:numId w:val="0"/>
      </w:numPr>
      <w:spacing w:before="100" w:after="0" w:line="400" w:lineRule="exact"/>
    </w:pPr>
    <w:rPr>
      <w:rFonts w:ascii="Times New Roman" w:hAnsi="Times New Roman" w:eastAsia="黑体"/>
      <w:b w:val="0"/>
      <w:sz w:val="28"/>
    </w:rPr>
  </w:style>
  <w:style w:type="paragraph" w:customStyle="1" w:styleId="192">
    <w:name w:val="标题2"/>
    <w:basedOn w:val="2"/>
    <w:next w:val="19"/>
    <w:autoRedefine/>
    <w:qFormat/>
    <w:uiPriority w:val="99"/>
    <w:pPr>
      <w:spacing w:before="156" w:after="156" w:line="360" w:lineRule="auto"/>
    </w:pPr>
    <w:rPr>
      <w:sz w:val="24"/>
    </w:rPr>
  </w:style>
  <w:style w:type="paragraph" w:customStyle="1" w:styleId="193">
    <w:name w:val="普通正文"/>
    <w:basedOn w:val="1"/>
    <w:autoRedefine/>
    <w:qFormat/>
    <w:uiPriority w:val="99"/>
    <w:pPr>
      <w:adjustRightInd w:val="0"/>
      <w:spacing w:before="120" w:after="120" w:line="360" w:lineRule="auto"/>
      <w:ind w:firstLine="480"/>
      <w:jc w:val="left"/>
      <w:textAlignment w:val="baseline"/>
    </w:pPr>
    <w:rPr>
      <w:rFonts w:ascii="Arial" w:hAnsi="Arial"/>
      <w:kern w:val="0"/>
      <w:sz w:val="24"/>
    </w:rPr>
  </w:style>
  <w:style w:type="paragraph" w:customStyle="1" w:styleId="194">
    <w:name w:val="正文11"/>
    <w:autoRedefine/>
    <w:qFormat/>
    <w:uiPriority w:val="99"/>
    <w:rPr>
      <w:rFonts w:ascii="Calibri" w:hAnsi="Calibri" w:eastAsia="宋体" w:cs="Calibri"/>
      <w:sz w:val="24"/>
      <w:szCs w:val="24"/>
      <w:lang w:val="en-US" w:eastAsia="zh-CN" w:bidi="ar-SA"/>
    </w:rPr>
  </w:style>
  <w:style w:type="paragraph" w:customStyle="1" w:styleId="195">
    <w:name w:val="正文2"/>
    <w:autoRedefine/>
    <w:qFormat/>
    <w:uiPriority w:val="99"/>
    <w:rPr>
      <w:rFonts w:ascii="Times New Roman" w:hAnsi="Times New Roman" w:eastAsia="微软雅黑" w:cs="Times New Roman"/>
      <w:sz w:val="24"/>
      <w:szCs w:val="24"/>
      <w:lang w:val="en-US" w:eastAsia="zh-CN" w:bidi="ar-SA"/>
    </w:rPr>
  </w:style>
  <w:style w:type="paragraph" w:customStyle="1" w:styleId="196">
    <w:name w:val="列出段落3"/>
    <w:basedOn w:val="1"/>
    <w:autoRedefine/>
    <w:qFormat/>
    <w:uiPriority w:val="99"/>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97">
    <w:name w:val="纯文本2"/>
    <w:basedOn w:val="1"/>
    <w:autoRedefine/>
    <w:qFormat/>
    <w:uiPriority w:val="99"/>
    <w:pPr>
      <w:jc w:val="left"/>
    </w:pPr>
    <w:rPr>
      <w:rFonts w:ascii="宋体" w:hAnsi="宋体" w:cs="Courier New"/>
      <w:kern w:val="1"/>
      <w:sz w:val="24"/>
      <w:szCs w:val="20"/>
      <w:lang w:bidi="hi-IN"/>
    </w:rPr>
  </w:style>
  <w:style w:type="character" w:customStyle="1" w:styleId="198">
    <w:name w:val="表格文字 字符"/>
    <w:link w:val="168"/>
    <w:autoRedefine/>
    <w:qFormat/>
    <w:locked/>
    <w:uiPriority w:val="99"/>
    <w:rPr>
      <w:rFonts w:ascii="Calibri" w:hAnsi="Calibri" w:eastAsia="宋体"/>
      <w:sz w:val="22"/>
    </w:rPr>
  </w:style>
  <w:style w:type="paragraph" w:customStyle="1" w:styleId="199">
    <w:name w:val="List Paragraph2"/>
    <w:basedOn w:val="1"/>
    <w:autoRedefine/>
    <w:qFormat/>
    <w:uiPriority w:val="99"/>
    <w:pPr>
      <w:ind w:firstLine="420" w:firstLineChars="200"/>
    </w:pPr>
  </w:style>
  <w:style w:type="paragraph" w:customStyle="1" w:styleId="200">
    <w:name w:val="trs_editor"/>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201">
    <w:name w:val="修订2"/>
    <w:autoRedefine/>
    <w:hidden/>
    <w:qFormat/>
    <w:uiPriority w:val="99"/>
    <w:rPr>
      <w:rFonts w:ascii="Times New Roman" w:hAnsi="Times New Roman" w:eastAsia="宋体" w:cs="Times New Roman"/>
      <w:kern w:val="2"/>
      <w:sz w:val="21"/>
      <w:szCs w:val="24"/>
      <w:lang w:val="en-US" w:eastAsia="zh-CN" w:bidi="ar-SA"/>
    </w:rPr>
  </w:style>
  <w:style w:type="character" w:customStyle="1" w:styleId="202">
    <w:name w:val="t-tree-icon"/>
    <w:autoRedefine/>
    <w:qFormat/>
    <w:uiPriority w:val="99"/>
  </w:style>
  <w:style w:type="character" w:customStyle="1" w:styleId="203">
    <w:name w:val="t-ajax-wait"/>
    <w:autoRedefine/>
    <w:qFormat/>
    <w:uiPriority w:val="99"/>
  </w:style>
  <w:style w:type="character" w:customStyle="1" w:styleId="204">
    <w:name w:val="t-exception-class-name"/>
    <w:autoRedefine/>
    <w:qFormat/>
    <w:uiPriority w:val="99"/>
    <w:rPr>
      <w:b/>
      <w:color w:val="0000FF"/>
      <w:sz w:val="24"/>
      <w:shd w:val="clear" w:color="auto" w:fill="E1E1E1"/>
    </w:rPr>
  </w:style>
  <w:style w:type="character" w:customStyle="1" w:styleId="205">
    <w:name w:val="t-exception-stack-controls"/>
    <w:autoRedefine/>
    <w:qFormat/>
    <w:uiPriority w:val="99"/>
  </w:style>
  <w:style w:type="character" w:customStyle="1" w:styleId="206">
    <w:name w:val="current"/>
    <w:autoRedefine/>
    <w:qFormat/>
    <w:uiPriority w:val="99"/>
    <w:rPr>
      <w:color w:val="FFFFFF"/>
      <w:sz w:val="27"/>
      <w:u w:val="none"/>
      <w:bdr w:val="single" w:color="C0C0C0" w:sz="4" w:space="0"/>
      <w:shd w:val="clear" w:color="auto" w:fill="809FFF"/>
    </w:rPr>
  </w:style>
  <w:style w:type="character" w:customStyle="1" w:styleId="207">
    <w:name w:val="t-render-object-error"/>
    <w:autoRedefine/>
    <w:qFormat/>
    <w:uiPriority w:val="99"/>
    <w:rPr>
      <w:b/>
      <w:i/>
      <w:color w:val="FF0000"/>
    </w:rPr>
  </w:style>
  <w:style w:type="character" w:customStyle="1" w:styleId="208">
    <w:name w:val="t-tree-expanded"/>
    <w:autoRedefine/>
    <w:qFormat/>
    <w:uiPriority w:val="99"/>
  </w:style>
  <w:style w:type="character" w:customStyle="1" w:styleId="209">
    <w:name w:val="hover13"/>
    <w:autoRedefine/>
    <w:qFormat/>
    <w:uiPriority w:val="99"/>
    <w:rPr>
      <w:color w:val="FFFFFF"/>
      <w:shd w:val="clear" w:color="auto" w:fill="00C1B3"/>
    </w:rPr>
  </w:style>
  <w:style w:type="character" w:customStyle="1" w:styleId="210">
    <w:name w:val="hover14"/>
    <w:autoRedefine/>
    <w:qFormat/>
    <w:uiPriority w:val="99"/>
    <w:rPr>
      <w:sz w:val="14"/>
    </w:rPr>
  </w:style>
  <w:style w:type="character" w:customStyle="1" w:styleId="211">
    <w:name w:val="hover15"/>
    <w:autoRedefine/>
    <w:qFormat/>
    <w:uiPriority w:val="99"/>
    <w:rPr>
      <w:color w:val="FFFFFF"/>
      <w:shd w:val="clear" w:color="auto" w:fill="00C1B3"/>
    </w:rPr>
  </w:style>
  <w:style w:type="paragraph" w:customStyle="1" w:styleId="212">
    <w:name w:val="Revision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213">
    <w:name w:val="Revision2"/>
    <w:autoRedefine/>
    <w:hidden/>
    <w:semiHidden/>
    <w:qFormat/>
    <w:uiPriority w:val="99"/>
    <w:rPr>
      <w:rFonts w:ascii="Times New Roman" w:hAnsi="Times New Roman" w:eastAsia="宋体" w:cs="Times New Roman"/>
      <w:kern w:val="2"/>
      <w:sz w:val="21"/>
      <w:szCs w:val="24"/>
      <w:lang w:val="en-US" w:eastAsia="zh-CN" w:bidi="ar-SA"/>
    </w:rPr>
  </w:style>
  <w:style w:type="table" w:customStyle="1" w:styleId="214">
    <w:name w:val="Table Normal1"/>
    <w:autoRedefine/>
    <w:semiHidden/>
    <w:qFormat/>
    <w:uiPriority w:val="99"/>
    <w:pPr>
      <w:widowControl w:val="0"/>
      <w:autoSpaceDE w:val="0"/>
      <w:autoSpaceDN w:val="0"/>
    </w:pPr>
    <w:rPr>
      <w:sz w:val="22"/>
      <w:lang w:eastAsia="en-US"/>
    </w:rPr>
    <w:tblPr>
      <w:tblCellMar>
        <w:top w:w="0" w:type="dxa"/>
        <w:left w:w="0" w:type="dxa"/>
        <w:bottom w:w="0" w:type="dxa"/>
        <w:right w:w="0" w:type="dxa"/>
      </w:tblCellMar>
    </w:tblPr>
  </w:style>
  <w:style w:type="paragraph" w:customStyle="1" w:styleId="215">
    <w:name w:val="Table Paragraph"/>
    <w:basedOn w:val="1"/>
    <w:autoRedefine/>
    <w:qFormat/>
    <w:uiPriority w:val="99"/>
    <w:pPr>
      <w:autoSpaceDE w:val="0"/>
      <w:autoSpaceDN w:val="0"/>
      <w:jc w:val="left"/>
    </w:pPr>
    <w:rPr>
      <w:rFonts w:ascii="宋体" w:hAnsi="宋体" w:cs="宋体"/>
      <w:kern w:val="0"/>
      <w:sz w:val="22"/>
      <w:szCs w:val="22"/>
      <w:lang w:val="zh-CN"/>
    </w:rPr>
  </w:style>
  <w:style w:type="character" w:customStyle="1" w:styleId="216">
    <w:name w:val="c-icon28"/>
    <w:autoRedefine/>
    <w:qFormat/>
    <w:uiPriority w:val="99"/>
    <w:rPr>
      <w:rFonts w:cs="Times New Roman"/>
    </w:rPr>
  </w:style>
  <w:style w:type="character" w:customStyle="1" w:styleId="217">
    <w:name w:val="hover23"/>
    <w:autoRedefine/>
    <w:qFormat/>
    <w:uiPriority w:val="99"/>
    <w:rPr>
      <w:rFonts w:cs="Times New Roman"/>
    </w:rPr>
  </w:style>
  <w:style w:type="character" w:customStyle="1" w:styleId="218">
    <w:name w:val="hover24"/>
    <w:autoRedefine/>
    <w:qFormat/>
    <w:uiPriority w:val="99"/>
    <w:rPr>
      <w:rFonts w:cs="Times New Roman"/>
      <w:color w:val="315EFB"/>
    </w:rPr>
  </w:style>
  <w:style w:type="character" w:customStyle="1" w:styleId="219">
    <w:name w:val="on"/>
    <w:autoRedefine/>
    <w:qFormat/>
    <w:uiPriority w:val="99"/>
    <w:rPr>
      <w:rFonts w:cs="Times New Roman"/>
    </w:rPr>
  </w:style>
  <w:style w:type="character" w:customStyle="1" w:styleId="220">
    <w:name w:val="font01"/>
    <w:autoRedefine/>
    <w:qFormat/>
    <w:uiPriority w:val="0"/>
    <w:rPr>
      <w:rFonts w:ascii="宋体" w:hAnsi="宋体" w:eastAsia="宋体" w:cs="Times New Roman"/>
      <w:color w:val="000000"/>
      <w:sz w:val="22"/>
      <w:szCs w:val="22"/>
      <w:u w:val="none"/>
    </w:rPr>
  </w:style>
  <w:style w:type="paragraph" w:customStyle="1" w:styleId="221">
    <w:name w:val="列出段落4"/>
    <w:basedOn w:val="1"/>
    <w:autoRedefine/>
    <w:qFormat/>
    <w:uiPriority w:val="34"/>
    <w:pPr>
      <w:ind w:firstLine="420" w:firstLineChars="200"/>
    </w:pPr>
  </w:style>
  <w:style w:type="character" w:customStyle="1" w:styleId="222">
    <w:name w:val="NormalCharacter"/>
    <w:autoRedefine/>
    <w:qFormat/>
    <w:uiPriority w:val="0"/>
  </w:style>
  <w:style w:type="character" w:customStyle="1" w:styleId="223">
    <w:name w:val="font41"/>
    <w:basedOn w:val="50"/>
    <w:autoRedefine/>
    <w:qFormat/>
    <w:uiPriority w:val="0"/>
    <w:rPr>
      <w:rFonts w:hint="eastAsia" w:ascii="宋体" w:hAnsi="宋体" w:eastAsia="宋体" w:cs="宋体"/>
      <w:color w:val="000000"/>
      <w:sz w:val="22"/>
      <w:szCs w:val="22"/>
      <w:u w:val="none"/>
    </w:rPr>
  </w:style>
  <w:style w:type="character" w:customStyle="1" w:styleId="224">
    <w:name w:val="font51"/>
    <w:basedOn w:val="50"/>
    <w:autoRedefine/>
    <w:qFormat/>
    <w:uiPriority w:val="0"/>
    <w:rPr>
      <w:rFonts w:ascii="Arial" w:hAnsi="Arial" w:cs="Arial"/>
      <w:color w:val="000000"/>
      <w:sz w:val="22"/>
      <w:szCs w:val="22"/>
      <w:u w:val="none"/>
    </w:rPr>
  </w:style>
  <w:style w:type="character" w:customStyle="1" w:styleId="225">
    <w:name w:val="font61"/>
    <w:basedOn w:val="50"/>
    <w:autoRedefine/>
    <w:qFormat/>
    <w:uiPriority w:val="0"/>
    <w:rPr>
      <w:rFonts w:hint="eastAsia" w:ascii="宋体" w:hAnsi="宋体" w:eastAsia="宋体" w:cs="宋体"/>
      <w:color w:val="000000"/>
      <w:sz w:val="22"/>
      <w:szCs w:val="22"/>
      <w:u w:val="none"/>
    </w:rPr>
  </w:style>
  <w:style w:type="character" w:customStyle="1" w:styleId="226">
    <w:name w:val="font71"/>
    <w:basedOn w:val="50"/>
    <w:autoRedefine/>
    <w:qFormat/>
    <w:uiPriority w:val="0"/>
    <w:rPr>
      <w:rFonts w:hint="eastAsia" w:ascii="宋体" w:hAnsi="宋体" w:eastAsia="宋体" w:cs="宋体"/>
      <w:color w:val="000000"/>
      <w:sz w:val="22"/>
      <w:szCs w:val="22"/>
      <w:u w:val="none"/>
    </w:rPr>
  </w:style>
  <w:style w:type="paragraph" w:styleId="227">
    <w:name w:val="List Paragraph"/>
    <w:basedOn w:val="1"/>
    <w:autoRedefine/>
    <w:qFormat/>
    <w:uiPriority w:val="34"/>
    <w:pPr>
      <w:ind w:firstLine="420" w:firstLineChars="200"/>
    </w:pPr>
  </w:style>
  <w:style w:type="character" w:customStyle="1" w:styleId="228">
    <w:name w:val="label"/>
    <w:basedOn w:val="50"/>
    <w:autoRedefine/>
    <w:qFormat/>
    <w:uiPriority w:val="0"/>
    <w:rPr>
      <w:color w:val="999999"/>
    </w:rPr>
  </w:style>
  <w:style w:type="character" w:customStyle="1" w:styleId="229">
    <w:name w:val="layui-laypage-curr"/>
    <w:basedOn w:val="50"/>
    <w:autoRedefine/>
    <w:qFormat/>
    <w:uiPriority w:val="0"/>
  </w:style>
  <w:style w:type="character" w:customStyle="1" w:styleId="230">
    <w:name w:val="hover11"/>
    <w:basedOn w:val="50"/>
    <w:autoRedefine/>
    <w:qFormat/>
    <w:uiPriority w:val="0"/>
  </w:style>
  <w:style w:type="character" w:customStyle="1" w:styleId="231">
    <w:name w:val="批注文字 字符1"/>
    <w:basedOn w:val="50"/>
    <w:link w:val="17"/>
    <w:autoRedefine/>
    <w:qFormat/>
    <w:uiPriority w:val="0"/>
    <w:rPr>
      <w:rFonts w:hint="default" w:ascii="Calibri" w:hAnsi="Calibri" w:eastAsia="宋体" w:cs="Times New Roman"/>
      <w:kern w:val="2"/>
      <w:sz w:val="21"/>
      <w:szCs w:val="24"/>
    </w:rPr>
  </w:style>
  <w:style w:type="paragraph" w:customStyle="1" w:styleId="232">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33">
    <w:name w:val="未处理的提及1"/>
    <w:basedOn w:val="50"/>
    <w:autoRedefine/>
    <w:semiHidden/>
    <w:unhideWhenUsed/>
    <w:qFormat/>
    <w:uiPriority w:val="99"/>
    <w:rPr>
      <w:color w:val="605E5C"/>
      <w:shd w:val="clear" w:color="auto" w:fill="E1DFDD"/>
    </w:rPr>
  </w:style>
  <w:style w:type="character" w:customStyle="1" w:styleId="234">
    <w:name w:val="正文缩进 字符"/>
    <w:link w:val="13"/>
    <w:autoRedefine/>
    <w:qFormat/>
    <w:uiPriority w:val="0"/>
    <w:rPr>
      <w:b/>
      <w:kern w:val="2"/>
      <w:sz w:val="24"/>
    </w:rPr>
  </w:style>
  <w:style w:type="paragraph" w:customStyle="1" w:styleId="235">
    <w:name w:val="一级条标题"/>
    <w:basedOn w:val="236"/>
    <w:next w:val="237"/>
    <w:autoRedefine/>
    <w:qFormat/>
    <w:uiPriority w:val="0"/>
    <w:pPr>
      <w:tabs>
        <w:tab w:val="left" w:pos="810"/>
        <w:tab w:val="left" w:pos="907"/>
        <w:tab w:val="left" w:pos="1265"/>
      </w:tabs>
      <w:spacing w:before="0" w:after="0"/>
      <w:ind w:left="907" w:hanging="907"/>
      <w:outlineLvl w:val="2"/>
    </w:pPr>
    <w:rPr>
      <w:rFonts w:ascii="Times New Roman" w:hAnsi="宋体" w:eastAsia="宋体"/>
      <w:kern w:val="0"/>
      <w:sz w:val="20"/>
      <w:szCs w:val="20"/>
    </w:rPr>
  </w:style>
  <w:style w:type="paragraph" w:customStyle="1" w:styleId="236">
    <w:name w:val="章标题"/>
    <w:next w:val="1"/>
    <w:autoRedefine/>
    <w:qFormat/>
    <w:uiPriority w:val="0"/>
    <w:pPr>
      <w:tabs>
        <w:tab w:val="left" w:pos="810"/>
        <w:tab w:val="left" w:pos="1265"/>
      </w:tabs>
      <w:spacing w:before="50" w:after="50"/>
      <w:ind w:left="810" w:hanging="810"/>
      <w:jc w:val="both"/>
      <w:outlineLvl w:val="1"/>
    </w:pPr>
    <w:rPr>
      <w:rFonts w:ascii="黑体" w:hAnsi="Times New Roman" w:eastAsia="黑体" w:cs="Times New Roman"/>
      <w:kern w:val="2"/>
      <w:sz w:val="21"/>
      <w:szCs w:val="22"/>
      <w:lang w:val="en-US" w:eastAsia="zh-CN" w:bidi="ar-SA"/>
    </w:rPr>
  </w:style>
  <w:style w:type="paragraph" w:customStyle="1" w:styleId="237">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38">
    <w:name w:val="脚注文本 字符"/>
    <w:basedOn w:val="50"/>
    <w:link w:val="36"/>
    <w:autoRedefine/>
    <w:qFormat/>
    <w:uiPriority w:val="0"/>
    <w:rPr>
      <w:rFonts w:ascii="宋体" w:eastAsia="Times New Roman"/>
      <w:snapToGrid w:val="0"/>
      <w:kern w:val="21"/>
      <w:sz w:val="18"/>
      <w:szCs w:val="18"/>
    </w:rPr>
  </w:style>
  <w:style w:type="character" w:customStyle="1" w:styleId="239">
    <w:name w:val="正文文本首行缩进 2 字符"/>
    <w:basedOn w:val="80"/>
    <w:link w:val="47"/>
    <w:autoRedefine/>
    <w:qFormat/>
    <w:uiPriority w:val="0"/>
    <w:rPr>
      <w:rFonts w:cs="Times New Roman"/>
      <w:kern w:val="2"/>
      <w:sz w:val="21"/>
      <w:szCs w:val="24"/>
    </w:rPr>
  </w:style>
  <w:style w:type="paragraph" w:customStyle="1" w:styleId="240">
    <w:name w:val="修订4"/>
    <w:autoRedefine/>
    <w:hidden/>
    <w:unhideWhenUsed/>
    <w:qFormat/>
    <w:uiPriority w:val="99"/>
    <w:rPr>
      <w:rFonts w:ascii="Times New Roman" w:hAnsi="Times New Roman" w:eastAsia="宋体" w:cs="Times New Roman"/>
      <w:kern w:val="2"/>
      <w:sz w:val="21"/>
      <w:szCs w:val="24"/>
      <w:lang w:val="en-US" w:eastAsia="zh-CN" w:bidi="ar-SA"/>
    </w:rPr>
  </w:style>
  <w:style w:type="table" w:customStyle="1" w:styleId="241">
    <w:name w:val="Table Normal"/>
    <w:autoRedefine/>
    <w:unhideWhenUsed/>
    <w:qFormat/>
    <w:uiPriority w:val="0"/>
    <w:tblPr>
      <w:tblCellMar>
        <w:top w:w="0" w:type="dxa"/>
        <w:left w:w="0" w:type="dxa"/>
        <w:bottom w:w="0" w:type="dxa"/>
        <w:right w:w="0" w:type="dxa"/>
      </w:tblCellMar>
    </w:tblPr>
  </w:style>
  <w:style w:type="paragraph" w:customStyle="1" w:styleId="242">
    <w:name w:val="纯文本1"/>
    <w:basedOn w:val="1"/>
    <w:autoRedefine/>
    <w:qFormat/>
    <w:uiPriority w:val="0"/>
    <w:pPr>
      <w:widowControl/>
      <w:adjustRightInd w:val="0"/>
      <w:jc w:val="left"/>
      <w:textAlignment w:val="baseline"/>
    </w:pPr>
    <w:rPr>
      <w:rFonts w:ascii="宋体" w:hAnsi="Courier New"/>
      <w:kern w:val="0"/>
      <w:szCs w:val="20"/>
    </w:rPr>
  </w:style>
  <w:style w:type="paragraph" w:customStyle="1" w:styleId="243">
    <w:name w:val="正文首行缩进1"/>
    <w:basedOn w:val="244"/>
    <w:autoRedefine/>
    <w:qFormat/>
    <w:uiPriority w:val="0"/>
    <w:pPr>
      <w:spacing w:line="360" w:lineRule="auto"/>
      <w:ind w:firstLine="420"/>
    </w:pPr>
    <w:rPr>
      <w:rFonts w:ascii="Times New Roman"/>
      <w:szCs w:val="21"/>
    </w:rPr>
  </w:style>
  <w:style w:type="paragraph" w:customStyle="1" w:styleId="244">
    <w:name w:val="正文文本1"/>
    <w:basedOn w:val="1"/>
    <w:next w:val="1"/>
    <w:autoRedefine/>
    <w:qFormat/>
    <w:uiPriority w:val="0"/>
    <w:rPr>
      <w:rFonts w:ascii="宋体"/>
      <w:sz w:val="28"/>
    </w:rPr>
  </w:style>
  <w:style w:type="paragraph" w:customStyle="1" w:styleId="245">
    <w:name w:val="修订5"/>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246">
    <w:name w:val="普通(网站) 字符"/>
    <w:link w:val="42"/>
    <w:autoRedefine/>
    <w:qFormat/>
    <w:locked/>
    <w:uiPriority w:val="99"/>
    <w:rPr>
      <w:rFonts w:ascii="宋体" w:hAnsi="宋体" w:cs="宋体"/>
      <w:sz w:val="24"/>
      <w:szCs w:val="24"/>
    </w:rPr>
  </w:style>
  <w:style w:type="paragraph" w:customStyle="1" w:styleId="247">
    <w:name w:val="标题 41"/>
    <w:basedOn w:val="1"/>
    <w:next w:val="1"/>
    <w:autoRedefine/>
    <w:qFormat/>
    <w:uiPriority w:val="0"/>
    <w:pPr>
      <w:keepNext/>
      <w:keepLines/>
      <w:spacing w:line="360" w:lineRule="auto"/>
      <w:outlineLvl w:val="3"/>
    </w:pPr>
    <w:rPr>
      <w:rFonts w:ascii="Arial" w:hAnsi="Arial"/>
      <w:b/>
      <w:bCs/>
      <w:sz w:val="24"/>
      <w:szCs w:val="28"/>
    </w:rPr>
  </w:style>
  <w:style w:type="paragraph" w:customStyle="1" w:styleId="248">
    <w:name w:val="索引 41"/>
    <w:basedOn w:val="1"/>
    <w:next w:val="1"/>
    <w:autoRedefine/>
    <w:unhideWhenUsed/>
    <w:qFormat/>
    <w:uiPriority w:val="99"/>
    <w:pPr>
      <w:ind w:left="600"/>
    </w:pPr>
    <w:rPr>
      <w:rFonts w:ascii="Verdana" w:hAnsi="Verdana"/>
      <w:szCs w:val="20"/>
    </w:rPr>
  </w:style>
  <w:style w:type="table" w:customStyle="1" w:styleId="249">
    <w:name w:val="网格型1"/>
    <w:basedOn w:val="48"/>
    <w:autoRedefine/>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0">
    <w:name w:val="章节标题"/>
    <w:next w:val="1"/>
    <w:autoRedefine/>
    <w:qFormat/>
    <w:uiPriority w:val="0"/>
    <w:pPr>
      <w:widowControl w:val="0"/>
      <w:spacing w:before="240" w:after="240" w:line="360" w:lineRule="auto"/>
      <w:jc w:val="center"/>
      <w:outlineLvl w:val="0"/>
    </w:pPr>
    <w:rPr>
      <w:rFonts w:ascii="Times New Roman" w:hAnsi="Times New Roman" w:eastAsia="黑体" w:cs="Times New Roman"/>
      <w:kern w:val="44"/>
      <w:sz w:val="30"/>
      <w:szCs w:val="36"/>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江苏省设备成套有限公司</Company>
  <Pages>41</Pages>
  <Words>19413</Words>
  <Characters>20623</Characters>
  <Lines>932</Lines>
  <Paragraphs>857</Paragraphs>
  <TotalTime>3</TotalTime>
  <ScaleCrop>false</ScaleCrop>
  <LinksUpToDate>false</LinksUpToDate>
  <CharactersWithSpaces>22000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2024-09-29T07:06:00Z</dcterms:created>
  <dc:creator>Lenovo User</dc:creator>
  <cp:lastModifiedBy>何悦</cp:lastModifiedBy>
  <cp:lastPrinted>2025-01-14T02:17:00Z</cp:lastPrinted>
  <dcterms:modified xsi:type="dcterms:W3CDTF">2025-11-17T04:56:58Z</dcterms:modified>
  <dc:title>公开招标文件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771AA80F11E84AEFA5309D2CF973E8DD_13</vt:lpwstr>
  </property>
  <property fmtid="{D5CDD505-2E9C-101B-9397-08002B2CF9AE}" pid="4" name="KSOTemplateDocerSaveRecord">
    <vt:lpwstr>eyJoZGlkIjoiYTdlN2U2MzI2Mjg0YzdiMGMzN2MyMzI0YmE1NzZjZTIiLCJ1c2VySWQiOiIxNzUwNTU1MTY0In0=</vt:lpwstr>
  </property>
</Properties>
</file>