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0DF5">
      <w:pPr>
        <w:pStyle w:val="4"/>
        <w:numPr>
          <w:ilvl w:val="0"/>
          <w:numId w:val="0"/>
        </w:numPr>
        <w:spacing w:before="0" w:after="0"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南京邮电大学通达学院图书馆2026年9月1日-2028年8月31日</w:t>
      </w:r>
    </w:p>
    <w:p w14:paraId="1E3743CB">
      <w:pPr>
        <w:pStyle w:val="4"/>
        <w:numPr>
          <w:ilvl w:val="0"/>
          <w:numId w:val="0"/>
        </w:numPr>
        <w:spacing w:before="0" w:after="0" w:line="360" w:lineRule="auto"/>
        <w:jc w:val="center"/>
        <w:rPr>
          <w:rFonts w:hint="eastAsia" w:ascii="宋体" w:hAnsi="宋体" w:eastAsia="宋体" w:cs="宋体"/>
          <w:sz w:val="30"/>
          <w:szCs w:val="30"/>
          <w:lang w:val="en-US" w:eastAsia="zh-CN"/>
        </w:rPr>
      </w:pPr>
      <w:r>
        <w:rPr>
          <w:rFonts w:hint="eastAsia" w:ascii="宋体" w:hAnsi="宋体" w:eastAsia="宋体" w:cs="宋体"/>
          <w:sz w:val="28"/>
          <w:szCs w:val="28"/>
          <w:lang w:val="en-US" w:eastAsia="zh-CN"/>
        </w:rPr>
        <w:t>中文纸质期刊采购项目需求</w:t>
      </w:r>
    </w:p>
    <w:p w14:paraId="61F4A47F">
      <w:pPr>
        <w:pStyle w:val="5"/>
        <w:keepNext w:val="0"/>
        <w:keepLines w:val="0"/>
        <w:pageBreakBefore w:val="0"/>
        <w:widowControl w:val="0"/>
        <w:kinsoku/>
        <w:wordWrap/>
        <w:overflowPunct/>
        <w:topLinePunct w:val="0"/>
        <w:autoSpaceDE/>
        <w:autoSpaceDN/>
        <w:bidi w:val="0"/>
        <w:adjustRightInd/>
        <w:snapToGrid/>
        <w:spacing w:before="95" w:beforeLines="30" w:after="95" w:afterLines="30" w:line="420" w:lineRule="exact"/>
        <w:ind w:left="0" w:leftChars="0" w:firstLine="482" w:firstLineChars="200"/>
        <w:jc w:val="left"/>
        <w:textAlignment w:val="auto"/>
        <w:outlineLvl w:val="1"/>
        <w:rPr>
          <w:rFonts w:hint="eastAsia" w:ascii="楷体" w:hAnsi="楷体" w:eastAsia="楷体" w:cs="楷体"/>
          <w:b/>
          <w:bCs/>
          <w:sz w:val="24"/>
          <w:szCs w:val="24"/>
        </w:rPr>
      </w:pPr>
      <w:bookmarkStart w:id="0" w:name="_Toc20946"/>
      <w:r>
        <w:rPr>
          <w:rFonts w:hint="eastAsia" w:ascii="楷体" w:hAnsi="楷体" w:eastAsia="楷体" w:cs="楷体"/>
          <w:b/>
          <w:bCs/>
          <w:sz w:val="24"/>
          <w:szCs w:val="24"/>
        </w:rPr>
        <w:t>一、</w:t>
      </w:r>
      <w:r>
        <w:rPr>
          <w:rFonts w:hint="eastAsia" w:ascii="楷体" w:hAnsi="楷体" w:eastAsia="楷体" w:cs="楷体"/>
          <w:b/>
          <w:bCs/>
          <w:sz w:val="24"/>
          <w:szCs w:val="24"/>
          <w:lang w:val="en-US" w:eastAsia="zh-CN"/>
        </w:rPr>
        <w:t>项目</w:t>
      </w:r>
      <w:r>
        <w:rPr>
          <w:rFonts w:hint="eastAsia" w:ascii="楷体" w:hAnsi="楷体" w:eastAsia="楷体" w:cs="楷体"/>
          <w:b/>
          <w:bCs/>
          <w:sz w:val="24"/>
          <w:szCs w:val="24"/>
        </w:rPr>
        <w:t>概况</w:t>
      </w:r>
      <w:bookmarkEnd w:id="0"/>
    </w:p>
    <w:p w14:paraId="22202425">
      <w:pPr>
        <w:pStyle w:val="5"/>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本项目为南京邮电大学通达学院图书馆202</w:t>
      </w:r>
      <w:r>
        <w:rPr>
          <w:rFonts w:hint="eastAsia" w:ascii="仿宋" w:hAnsi="仿宋" w:eastAsia="仿宋" w:cs="仿宋"/>
          <w:sz w:val="24"/>
          <w:lang w:val="en-US" w:eastAsia="zh-CN"/>
        </w:rPr>
        <w:t>6</w:t>
      </w:r>
      <w:r>
        <w:rPr>
          <w:rFonts w:hint="eastAsia" w:ascii="仿宋" w:hAnsi="仿宋" w:eastAsia="仿宋" w:cs="仿宋"/>
          <w:sz w:val="24"/>
        </w:rPr>
        <w:t>年9月1日-202</w:t>
      </w:r>
      <w:r>
        <w:rPr>
          <w:rFonts w:hint="eastAsia" w:ascii="仿宋" w:hAnsi="仿宋" w:eastAsia="仿宋" w:cs="仿宋"/>
          <w:sz w:val="24"/>
          <w:lang w:val="en-US" w:eastAsia="zh-CN"/>
        </w:rPr>
        <w:t>8</w:t>
      </w:r>
      <w:r>
        <w:rPr>
          <w:rFonts w:hint="eastAsia" w:ascii="仿宋" w:hAnsi="仿宋" w:eastAsia="仿宋" w:cs="仿宋"/>
          <w:sz w:val="24"/>
        </w:rPr>
        <w:t>年8月31</w:t>
      </w:r>
      <w:r>
        <w:rPr>
          <w:rFonts w:hint="eastAsia" w:ascii="仿宋" w:hAnsi="仿宋" w:eastAsia="仿宋" w:cs="仿宋"/>
          <w:kern w:val="0"/>
          <w:sz w:val="24"/>
        </w:rPr>
        <w:t>日</w:t>
      </w:r>
      <w:r>
        <w:rPr>
          <w:rFonts w:hint="eastAsia" w:ascii="仿宋" w:hAnsi="仿宋" w:eastAsia="仿宋" w:cs="仿宋"/>
          <w:sz w:val="24"/>
        </w:rPr>
        <w:t>中文期刊订购、配送、补缺和换刊以及部分手工加工等售后服务。</w:t>
      </w:r>
    </w:p>
    <w:p w14:paraId="048118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本项目总预算约</w:t>
      </w:r>
      <w:r>
        <w:rPr>
          <w:rFonts w:hint="eastAsia" w:ascii="仿宋" w:hAnsi="仿宋" w:eastAsia="仿宋" w:cs="仿宋"/>
          <w:sz w:val="24"/>
          <w:highlight w:val="none"/>
          <w:lang w:val="en-US" w:eastAsia="zh-CN"/>
        </w:rPr>
        <w:t>5</w:t>
      </w:r>
      <w:r>
        <w:rPr>
          <w:rFonts w:hint="eastAsia" w:ascii="仿宋" w:hAnsi="仿宋" w:eastAsia="仿宋" w:cs="仿宋"/>
          <w:sz w:val="24"/>
        </w:rPr>
        <w:t>万元/年（按实际发生的金额结算）</w:t>
      </w:r>
      <w:r>
        <w:rPr>
          <w:rFonts w:hint="eastAsia" w:ascii="仿宋" w:hAnsi="仿宋" w:eastAsia="仿宋"/>
          <w:sz w:val="24"/>
          <w:szCs w:val="24"/>
        </w:rPr>
        <w:t>，合同</w:t>
      </w:r>
      <w:r>
        <w:rPr>
          <w:rFonts w:hint="eastAsia" w:ascii="仿宋" w:hAnsi="仿宋" w:eastAsia="仿宋"/>
          <w:sz w:val="24"/>
          <w:szCs w:val="24"/>
          <w:highlight w:val="none"/>
          <w:lang w:eastAsia="zh-CN"/>
        </w:rPr>
        <w:t>两</w:t>
      </w:r>
      <w:r>
        <w:rPr>
          <w:rFonts w:hint="eastAsia" w:ascii="仿宋" w:hAnsi="仿宋" w:eastAsia="仿宋"/>
          <w:sz w:val="24"/>
          <w:szCs w:val="24"/>
        </w:rPr>
        <w:t>年一签</w:t>
      </w:r>
      <w:r>
        <w:rPr>
          <w:rFonts w:hint="eastAsia" w:ascii="仿宋" w:hAnsi="仿宋" w:eastAsia="仿宋" w:cs="仿宋"/>
          <w:sz w:val="24"/>
        </w:rPr>
        <w:t>。</w:t>
      </w:r>
    </w:p>
    <w:p w14:paraId="1C221CDD">
      <w:pPr>
        <w:pStyle w:val="5"/>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本项目为南京邮电大学图书馆通达学院中文期刊供货资格招标，即只选定符合供货资质的投标方，不限定中标方的合同金额。招标方在授予中标方合同时有权对购刊经费予以分解、增加或减少。</w:t>
      </w:r>
    </w:p>
    <w:p w14:paraId="63FF9788">
      <w:pPr>
        <w:pStyle w:val="5"/>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中标单位应按照招标文件和合同的规定履行义务，保质保量完成中标项目。中标单位不得向他人转让中标项目，也不得将中标项目分解后分别向他人转让。</w:t>
      </w:r>
    </w:p>
    <w:p w14:paraId="342B73CC">
      <w:pPr>
        <w:pStyle w:val="5"/>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5.本次采购采用询价采购方式，对期刊供货商的评审以报价折扣为准。</w:t>
      </w:r>
    </w:p>
    <w:p w14:paraId="45E9AFED">
      <w:pPr>
        <w:pStyle w:val="5"/>
        <w:keepNext w:val="0"/>
        <w:keepLines w:val="0"/>
        <w:pageBreakBefore w:val="0"/>
        <w:widowControl w:val="0"/>
        <w:kinsoku/>
        <w:wordWrap/>
        <w:overflowPunct/>
        <w:topLinePunct w:val="0"/>
        <w:autoSpaceDE/>
        <w:autoSpaceDN/>
        <w:bidi w:val="0"/>
        <w:adjustRightInd/>
        <w:snapToGrid/>
        <w:spacing w:before="95" w:beforeLines="30" w:after="95" w:afterLines="30" w:line="420" w:lineRule="exact"/>
        <w:ind w:left="0" w:leftChars="0" w:firstLine="482" w:firstLineChars="200"/>
        <w:jc w:val="left"/>
        <w:textAlignment w:val="auto"/>
        <w:outlineLvl w:val="1"/>
        <w:rPr>
          <w:rFonts w:hint="eastAsia" w:ascii="楷体" w:hAnsi="楷体" w:eastAsia="楷体" w:cs="楷体"/>
          <w:b/>
          <w:bCs/>
          <w:sz w:val="24"/>
          <w:szCs w:val="24"/>
        </w:rPr>
      </w:pPr>
      <w:bookmarkStart w:id="1" w:name="_Toc17247"/>
      <w:r>
        <w:rPr>
          <w:rFonts w:hint="eastAsia" w:ascii="楷体" w:hAnsi="楷体" w:eastAsia="楷体" w:cs="楷体"/>
          <w:b/>
          <w:bCs/>
          <w:sz w:val="24"/>
          <w:szCs w:val="24"/>
        </w:rPr>
        <w:t>二、技术需求</w:t>
      </w:r>
      <w:bookmarkEnd w:id="1"/>
    </w:p>
    <w:p w14:paraId="27705F25">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投标单位应在中标以后每年提供纸本和电子两种形式的期刊目录，内容应包括邮发期刊、非邮发期刊以及自办发行的期刊，种类不少与6000种。同时能满足不在期刊目录上但图书馆要求订购的需求。</w:t>
      </w:r>
    </w:p>
    <w:p w14:paraId="37D94450">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投标单位应具有电子订单管理能力，能够接收和处理期刊采访工作人员的电子订购清单，内容应包括每种期刊的刊名、邮发代号或、频率、年价等，</w:t>
      </w:r>
    </w:p>
    <w:p w14:paraId="1EDCCB59">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对于图书馆提交的中文期刊订单，投标单位应保证不低于99%的订到率，且在出版发行之日起20天内将期刊送交到图书馆指定地点，到刊率应不低于99%。</w:t>
      </w:r>
    </w:p>
    <w:p w14:paraId="3E704C49">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所订中文期刊如出现停止出版、合并、拆分、载体变化等情况时，投标单位应能通过email或书面形式及时通知图书馆；对未能及时到刊的期刊，在出版发行30天后60天内，供应商向图书馆给予说明。</w:t>
      </w:r>
    </w:p>
    <w:p w14:paraId="6FD02E03">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en-US" w:eastAsia="zh-CN"/>
        </w:rPr>
        <w:t>.</w:t>
      </w:r>
      <w:r>
        <w:rPr>
          <w:rFonts w:hint="eastAsia" w:ascii="仿宋" w:hAnsi="仿宋" w:eastAsia="仿宋" w:cs="仿宋"/>
          <w:sz w:val="24"/>
        </w:rPr>
        <w:t>对于图书馆提交的中文期刊订单，投标单位应100%提供标准的编目CNMARC数据（数据要求参见《中文期刊机读目录编目规则》、《CALIS联机合作编目手册》）。</w:t>
      </w:r>
    </w:p>
    <w:p w14:paraId="06169470">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val="en-US" w:eastAsia="zh-CN"/>
        </w:rPr>
        <w:t>.</w:t>
      </w:r>
      <w:r>
        <w:rPr>
          <w:rFonts w:hint="eastAsia" w:ascii="仿宋" w:hAnsi="仿宋" w:eastAsia="仿宋" w:cs="仿宋"/>
          <w:sz w:val="24"/>
        </w:rPr>
        <w:t>对于因供应商运作中丢失的中文期刊，供应商应设法补全期刊，图书馆不接受退刊款；对于停刊或发行中价格变动的期刊应及时向期刊采访人员通报，每学期结算一次。</w:t>
      </w:r>
    </w:p>
    <w:p w14:paraId="473660DC">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val="en-US" w:eastAsia="zh-CN"/>
        </w:rPr>
        <w:t>.</w:t>
      </w:r>
      <w:r>
        <w:rPr>
          <w:rFonts w:hint="eastAsia" w:ascii="仿宋" w:hAnsi="仿宋" w:eastAsia="仿宋" w:cs="仿宋"/>
          <w:sz w:val="24"/>
        </w:rPr>
        <w:t>图书馆可能对正式订购的中文期刊作适当调整，对调整中的中文期刊品种，投标单位应能及时提供有关专题期刊目录，并配备相应的期刊完整MARC。</w:t>
      </w:r>
    </w:p>
    <w:p w14:paraId="56277734">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w:t>
      </w:r>
      <w:r>
        <w:rPr>
          <w:rFonts w:hint="eastAsia" w:ascii="仿宋" w:hAnsi="仿宋" w:eastAsia="仿宋" w:cs="仿宋"/>
          <w:sz w:val="24"/>
        </w:rPr>
        <w:t>投标单位应每周至少1-2次向图书馆送货，同时提供发货清单一式三份；清单内容须保证清晰、明了、有序，便于验收、查对，具体应有下列数据项：期刊代号、期刊名、送刊数、刊期、价格，清单应注明送刊年月日和批号，末尾应统计出总种数、总册数、总金额，总包数。同时以电子邮件方式每周提供电子版发货清单（EXCEL文件），以便验收核查。</w:t>
      </w:r>
    </w:p>
    <w:p w14:paraId="47FB140D">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US" w:eastAsia="zh-CN"/>
        </w:rPr>
        <w:t>.</w:t>
      </w:r>
      <w:r>
        <w:rPr>
          <w:rFonts w:hint="eastAsia" w:ascii="仿宋" w:hAnsi="仿宋" w:eastAsia="仿宋" w:cs="仿宋"/>
          <w:sz w:val="24"/>
        </w:rPr>
        <w:t>投标单位必须保证提供正版期刊，严格保证期刊质量，如一经发现是盗版、盗印期刊，无论加工与否，投标单位均应保证无条件接受退刊，并承担相应的后果。如到馆期刊有严重破损、污损情况时，投标单位应能提供换刊服务；</w:t>
      </w:r>
    </w:p>
    <w:p w14:paraId="524856B7">
      <w:pPr>
        <w:keepNext w:val="0"/>
        <w:keepLines w:val="0"/>
        <w:pageBreakBefore w:val="0"/>
        <w:kinsoku/>
        <w:wordWrap/>
        <w:overflowPunct/>
        <w:topLinePunct w:val="0"/>
        <w:autoSpaceDE/>
        <w:autoSpaceDN/>
        <w:bidi w:val="0"/>
        <w:spacing w:line="420" w:lineRule="exact"/>
        <w:textAlignment w:val="auto"/>
        <w:rPr>
          <w:rFonts w:ascii="仿宋" w:hAnsi="仿宋" w:eastAsia="仿宋" w:cs="仿宋"/>
          <w:sz w:val="24"/>
        </w:rPr>
      </w:pPr>
      <w:r>
        <w:rPr>
          <w:rFonts w:hint="eastAsia" w:ascii="仿宋" w:hAnsi="仿宋" w:eastAsia="仿宋" w:cs="仿宋"/>
          <w:sz w:val="24"/>
        </w:rPr>
        <w:t xml:space="preserve">    10</w:t>
      </w:r>
      <w:r>
        <w:rPr>
          <w:rFonts w:hint="eastAsia" w:ascii="仿宋" w:hAnsi="仿宋" w:eastAsia="仿宋" w:cs="仿宋"/>
          <w:sz w:val="24"/>
          <w:lang w:val="en-US" w:eastAsia="zh-CN"/>
        </w:rPr>
        <w:t>.</w:t>
      </w:r>
      <w:r>
        <w:rPr>
          <w:rFonts w:hint="eastAsia" w:ascii="仿宋" w:hAnsi="仿宋" w:eastAsia="仿宋" w:cs="仿宋"/>
          <w:sz w:val="24"/>
        </w:rPr>
        <w:t>投标单位应能及时处理图书馆的查缺请求，对于未能补缺的期刊应提供复制服务，并退还复制期刊与中文期刊的款项差额；</w:t>
      </w:r>
    </w:p>
    <w:p w14:paraId="6DF44429">
      <w:pPr>
        <w:keepNext w:val="0"/>
        <w:keepLines w:val="0"/>
        <w:pageBreakBefore w:val="0"/>
        <w:kinsoku/>
        <w:wordWrap/>
        <w:overflowPunct/>
        <w:topLinePunct w:val="0"/>
        <w:autoSpaceDE/>
        <w:autoSpaceDN/>
        <w:bidi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w:t>
      </w:r>
      <w:r>
        <w:rPr>
          <w:rFonts w:hint="eastAsia" w:ascii="仿宋" w:hAnsi="仿宋" w:eastAsia="仿宋" w:cs="仿宋"/>
          <w:sz w:val="24"/>
        </w:rPr>
        <w:t>投标单位应根据南京邮电大学通达学院图书馆的要求提供期刊加工服务，所有加工服务均为免费，若发现加工后的期刊非本馆订购, 责任由中标单位承担。具体加工要求为：</w:t>
      </w:r>
    </w:p>
    <w:p w14:paraId="5008F0B6">
      <w:pPr>
        <w:keepNext w:val="0"/>
        <w:keepLines w:val="0"/>
        <w:pageBreakBefore w:val="0"/>
        <w:kinsoku/>
        <w:wordWrap/>
        <w:overflowPunct/>
        <w:topLinePunct w:val="0"/>
        <w:autoSpaceDE/>
        <w:autoSpaceDN/>
        <w:bidi w:val="0"/>
        <w:spacing w:line="420" w:lineRule="exact"/>
        <w:ind w:firstLine="360" w:firstLineChars="150"/>
        <w:textAlignment w:val="auto"/>
        <w:rPr>
          <w:rFonts w:ascii="仿宋" w:hAnsi="仿宋" w:eastAsia="仿宋" w:cs="仿宋"/>
          <w:sz w:val="24"/>
        </w:rPr>
      </w:pPr>
      <w:r>
        <w:rPr>
          <w:rFonts w:hint="eastAsia" w:ascii="仿宋" w:hAnsi="仿宋" w:eastAsia="仿宋" w:cs="仿宋"/>
          <w:sz w:val="24"/>
        </w:rPr>
        <w:t>（1）所用磁条要求：要求使用高质量新安全磁针；</w:t>
      </w:r>
    </w:p>
    <w:p w14:paraId="546B9D31">
      <w:pPr>
        <w:keepNext w:val="0"/>
        <w:keepLines w:val="0"/>
        <w:pageBreakBefore w:val="0"/>
        <w:kinsoku/>
        <w:wordWrap/>
        <w:overflowPunct/>
        <w:topLinePunct w:val="0"/>
        <w:autoSpaceDE/>
        <w:autoSpaceDN/>
        <w:bidi w:val="0"/>
        <w:spacing w:line="420" w:lineRule="exact"/>
        <w:ind w:firstLine="360" w:firstLineChars="150"/>
        <w:textAlignment w:val="auto"/>
        <w:rPr>
          <w:rFonts w:ascii="仿宋" w:hAnsi="仿宋" w:eastAsia="仿宋" w:cs="仿宋"/>
          <w:sz w:val="24"/>
        </w:rPr>
      </w:pPr>
      <w:r>
        <w:rPr>
          <w:rFonts w:hint="eastAsia" w:ascii="仿宋" w:hAnsi="仿宋" w:eastAsia="仿宋" w:cs="仿宋"/>
          <w:sz w:val="24"/>
        </w:rPr>
        <w:t>（2）磁条粘贴要求：页码大于300页，贴磁条2根，小于300页，贴磁条1根，磁条粘贴没有固定的页码要求，但是要求往书脊隐蔽深处贴；</w:t>
      </w:r>
    </w:p>
    <w:p w14:paraId="257DAB1F">
      <w:pPr>
        <w:keepNext w:val="0"/>
        <w:keepLines w:val="0"/>
        <w:pageBreakBefore w:val="0"/>
        <w:kinsoku/>
        <w:wordWrap/>
        <w:overflowPunct/>
        <w:topLinePunct w:val="0"/>
        <w:autoSpaceDE/>
        <w:autoSpaceDN/>
        <w:bidi w:val="0"/>
        <w:spacing w:line="420" w:lineRule="exact"/>
        <w:ind w:firstLine="360" w:firstLineChars="150"/>
        <w:textAlignment w:val="auto"/>
        <w:rPr>
          <w:rFonts w:ascii="仿宋" w:hAnsi="仿宋" w:eastAsia="仿宋" w:cs="仿宋"/>
          <w:b/>
          <w:bCs/>
          <w:sz w:val="24"/>
        </w:rPr>
      </w:pPr>
      <w:r>
        <w:rPr>
          <w:rFonts w:hint="eastAsia" w:ascii="仿宋" w:hAnsi="仿宋" w:eastAsia="仿宋" w:cs="仿宋"/>
          <w:sz w:val="24"/>
        </w:rPr>
        <w:t>（3）南京邮电大学通达学院图书馆以后提出的其它加工要求。</w:t>
      </w:r>
      <w:bookmarkStart w:id="2" w:name="_Toc28382"/>
    </w:p>
    <w:p w14:paraId="65193E5E">
      <w:pPr>
        <w:pStyle w:val="5"/>
        <w:keepNext w:val="0"/>
        <w:keepLines w:val="0"/>
        <w:pageBreakBefore w:val="0"/>
        <w:widowControl w:val="0"/>
        <w:kinsoku/>
        <w:wordWrap/>
        <w:overflowPunct/>
        <w:topLinePunct w:val="0"/>
        <w:autoSpaceDE/>
        <w:autoSpaceDN/>
        <w:bidi w:val="0"/>
        <w:adjustRightInd/>
        <w:snapToGrid/>
        <w:spacing w:before="95" w:beforeLines="30" w:after="95" w:afterLines="30" w:line="420" w:lineRule="exact"/>
        <w:ind w:left="0" w:leftChars="0" w:firstLine="482" w:firstLineChars="200"/>
        <w:jc w:val="left"/>
        <w:textAlignment w:val="auto"/>
        <w:outlineLvl w:val="1"/>
        <w:rPr>
          <w:rFonts w:hint="eastAsia" w:ascii="楷体" w:hAnsi="楷体" w:eastAsia="楷体" w:cs="楷体"/>
          <w:b/>
          <w:bCs/>
          <w:sz w:val="24"/>
          <w:szCs w:val="24"/>
        </w:rPr>
      </w:pPr>
      <w:bookmarkStart w:id="3" w:name="_Toc27930"/>
      <w:r>
        <w:rPr>
          <w:rFonts w:hint="eastAsia" w:ascii="楷体" w:hAnsi="楷体" w:eastAsia="楷体" w:cs="楷体"/>
          <w:b/>
          <w:bCs/>
          <w:sz w:val="24"/>
          <w:szCs w:val="24"/>
        </w:rPr>
        <w:t>三、商务条款</w:t>
      </w:r>
      <w:bookmarkEnd w:id="3"/>
    </w:p>
    <w:p w14:paraId="19CDAB1F">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本项目所采购货物，中标方必须承诺免费运送至南邮通达学院(扬州市邗江区润扬南路33号)的指定地点，并按要求摆放到位。</w:t>
      </w:r>
    </w:p>
    <w:p w14:paraId="0FB9F0F6">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付款方式：</w:t>
      </w:r>
    </w:p>
    <w:p w14:paraId="4264C97E">
      <w:pPr>
        <w:keepNext w:val="0"/>
        <w:keepLines w:val="0"/>
        <w:pageBreakBefore w:val="0"/>
        <w:kinsoku/>
        <w:wordWrap/>
        <w:overflowPunct/>
        <w:topLinePunct w:val="0"/>
        <w:autoSpaceDE/>
        <w:autoSpaceDN/>
        <w:bidi w:val="0"/>
        <w:spacing w:line="420" w:lineRule="exact"/>
        <w:ind w:firstLine="360" w:firstLineChars="150"/>
        <w:textAlignment w:val="auto"/>
        <w:rPr>
          <w:rFonts w:hint="eastAsia" w:ascii="仿宋" w:hAnsi="仿宋" w:eastAsia="仿宋" w:cs="仿宋"/>
          <w:sz w:val="24"/>
          <w:lang w:val="en-US" w:eastAsia="zh-CN"/>
        </w:rPr>
      </w:pPr>
      <w:bookmarkStart w:id="4" w:name="_Toc5173"/>
      <w:r>
        <w:rPr>
          <w:rFonts w:hint="eastAsia" w:ascii="仿宋" w:hAnsi="仿宋" w:eastAsia="仿宋" w:cs="仿宋"/>
          <w:sz w:val="24"/>
          <w:lang w:val="en-US" w:eastAsia="zh-CN"/>
        </w:rPr>
        <w:t xml:space="preserve">期刊预订完成后，中标供应商须按承诺折扣率开具税务部门认可的合法有效正式发票，南京邮电大学通达学院图书馆收到发票并核验无误后，一个月内完成款项支付。本项目实行提前预付征订款项模式，若出现停刊、休刊、未订到刊等无法正常履约情形，无论中标供应商下一采购年度是否继续合作，均须全力配合甲方，于当期供刊年度结束后6个月内完成款项退补及差额结算；遇特殊情况需调整的，由双方协商议定，中标供应商须积极配合，确保款项结算流程规范顺畅。  </w:t>
      </w:r>
    </w:p>
    <w:bookmarkEnd w:id="2"/>
    <w:bookmarkEnd w:id="4"/>
    <w:p w14:paraId="2A528522">
      <w:pPr>
        <w:keepNext w:val="0"/>
        <w:keepLines w:val="0"/>
        <w:pageBreakBefore w:val="0"/>
        <w:kinsoku/>
        <w:wordWrap/>
        <w:overflowPunct/>
        <w:topLinePunct w:val="0"/>
        <w:autoSpaceDE/>
        <w:autoSpaceDN/>
        <w:bidi w:val="0"/>
        <w:adjustRightInd/>
        <w:spacing w:line="420" w:lineRule="exact"/>
        <w:textAlignment w:val="auto"/>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japaneseCounting"/>
      <w:pStyle w:val="10"/>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42062CC4"/>
    <w:multiLevelType w:val="multilevel"/>
    <w:tmpl w:val="42062CC4"/>
    <w:lvl w:ilvl="0" w:tentative="0">
      <w:start w:val="1"/>
      <w:numFmt w:val="decimal"/>
      <w:pStyle w:val="3"/>
      <w:suff w:val="nothing"/>
      <w:lvlText w:val="第 %1 部分 "/>
      <w:lvlJc w:val="left"/>
      <w:pPr>
        <w:ind w:left="0" w:firstLine="0"/>
      </w:pPr>
      <w:rPr>
        <w:rFonts w:hint="eastAsia" w:ascii="黑体" w:hAnsi="宋体" w:eastAsia="黑体" w:cs="Times New Roman"/>
        <w:b/>
        <w:i w:val="0"/>
        <w:iCs w:val="0"/>
        <w:caps w:val="0"/>
        <w:smallCaps w:val="0"/>
        <w:strike w:val="0"/>
        <w:dstrike w:val="0"/>
        <w:vanish w:val="0"/>
        <w:spacing w:val="0"/>
        <w:position w:val="0"/>
        <w:u w:val="none"/>
        <w:vertAlign w:val="baseline"/>
      </w:rPr>
    </w:lvl>
    <w:lvl w:ilvl="1" w:tentative="0">
      <w:start w:val="1"/>
      <w:numFmt w:val="decimal"/>
      <w:pStyle w:val="4"/>
      <w:isLgl/>
      <w:suff w:val="nothing"/>
      <w:lvlText w:val="%1.%2 "/>
      <w:lvlJc w:val="left"/>
      <w:pPr>
        <w:ind w:left="0" w:firstLine="0"/>
      </w:pPr>
      <w:rPr>
        <w:rFonts w:hint="eastAsia" w:cs="Times New Roman"/>
      </w:rPr>
    </w:lvl>
    <w:lvl w:ilvl="2" w:tentative="0">
      <w:start w:val="1"/>
      <w:numFmt w:val="none"/>
      <w:isLgl/>
      <w:suff w:val="nothing"/>
      <w:lvlText w:val=""/>
      <w:lvlJc w:val="left"/>
      <w:pPr>
        <w:ind w:left="0" w:firstLine="0"/>
      </w:pPr>
      <w:rPr>
        <w:rFonts w:hint="eastAsia" w:ascii="Arial Unicode MS" w:hAnsi="Arial Unicode MS" w:eastAsia="Arial Unicode MS" w:cs="Arial Unicode MS"/>
        <w:sz w:val="24"/>
        <w:szCs w:val="24"/>
      </w:rPr>
    </w:lvl>
    <w:lvl w:ilvl="3" w:tentative="0">
      <w:start w:val="1"/>
      <w:numFmt w:val="none"/>
      <w:isLgl/>
      <w:suff w:val="nothing"/>
      <w:lvlText w:val=""/>
      <w:lvlJc w:val="left"/>
      <w:pPr>
        <w:ind w:left="0" w:firstLine="0"/>
      </w:pPr>
      <w:rPr>
        <w:rFonts w:hint="eastAsia" w:cs="Times New Roman"/>
      </w:rPr>
    </w:lvl>
    <w:lvl w:ilvl="4" w:tentative="0">
      <w:start w:val="1"/>
      <w:numFmt w:val="decimal"/>
      <w:isLgl/>
      <w:suff w:val="nothing"/>
      <w:lvlText w:val="%1.%2.%3.%4.%5 "/>
      <w:lvlJc w:val="left"/>
      <w:pPr>
        <w:ind w:left="0" w:firstLine="0"/>
      </w:pPr>
      <w:rPr>
        <w:rFonts w:hint="eastAsia" w:cs="Times New Roman"/>
        <w:sz w:val="28"/>
        <w:szCs w:val="28"/>
      </w:rPr>
    </w:lvl>
    <w:lvl w:ilvl="5" w:tentative="0">
      <w:start w:val="1"/>
      <w:numFmt w:val="none"/>
      <w:suff w:val="nothing"/>
      <w:lvlText w:val=""/>
      <w:lvlJc w:val="left"/>
      <w:pPr>
        <w:ind w:left="0" w:firstLine="0"/>
      </w:pPr>
      <w:rPr>
        <w:rFonts w:hint="eastAsia" w:cs="Times New Roman"/>
      </w:rPr>
    </w:lvl>
    <w:lvl w:ilvl="6" w:tentative="0">
      <w:start w:val="1"/>
      <w:numFmt w:val="none"/>
      <w:suff w:val="nothing"/>
      <w:lvlText w:val=""/>
      <w:lvlJc w:val="left"/>
      <w:pPr>
        <w:ind w:left="0" w:firstLine="0"/>
      </w:pPr>
      <w:rPr>
        <w:rFonts w:hint="eastAsia" w:cs="Times New Roman"/>
      </w:rPr>
    </w:lvl>
    <w:lvl w:ilvl="7" w:tentative="0">
      <w:start w:val="1"/>
      <w:numFmt w:val="none"/>
      <w:suff w:val="nothing"/>
      <w:lvlText w:val=""/>
      <w:lvlJc w:val="left"/>
      <w:pPr>
        <w:ind w:left="0" w:firstLine="0"/>
      </w:pPr>
      <w:rPr>
        <w:rFonts w:hint="eastAsia" w:cs="Times New Roman"/>
      </w:rPr>
    </w:lvl>
    <w:lvl w:ilvl="8" w:tentative="0">
      <w:start w:val="1"/>
      <w:numFmt w:val="none"/>
      <w:suff w:val="nothing"/>
      <w:lvlText w:val=""/>
      <w:lvlJc w:val="left"/>
      <w:pPr>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D32A0"/>
    <w:rsid w:val="1EE234C0"/>
    <w:rsid w:val="2BDE61D2"/>
    <w:rsid w:val="2C2B5992"/>
    <w:rsid w:val="2C723060"/>
    <w:rsid w:val="3324214E"/>
    <w:rsid w:val="41302765"/>
    <w:rsid w:val="44DA01DB"/>
    <w:rsid w:val="45D870E2"/>
    <w:rsid w:val="49B8460D"/>
    <w:rsid w:val="5B700036"/>
    <w:rsid w:val="6AA27FFF"/>
    <w:rsid w:val="6E11520B"/>
    <w:rsid w:val="6FAF2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line="360" w:lineRule="auto"/>
      <w:ind w:firstLine="200" w:firstLineChars="200"/>
      <w:jc w:val="center"/>
      <w:outlineLvl w:val="0"/>
    </w:pPr>
    <w:rPr>
      <w:rFonts w:ascii="楷体_GB2312" w:eastAsia="楷体_GB2312"/>
      <w:kern w:val="0"/>
      <w:sz w:val="28"/>
      <w:szCs w:val="28"/>
    </w:rPr>
  </w:style>
  <w:style w:type="paragraph" w:styleId="4">
    <w:name w:val="heading 2"/>
    <w:basedOn w:val="1"/>
    <w:next w:val="1"/>
    <w:qFormat/>
    <w:uiPriority w:val="0"/>
    <w:pPr>
      <w:keepNext/>
      <w:keepLines/>
      <w:numPr>
        <w:ilvl w:val="1"/>
        <w:numId w:val="1"/>
      </w:numPr>
      <w:spacing w:before="260" w:after="260" w:line="415" w:lineRule="auto"/>
      <w:ind w:firstLine="200" w:firstLineChars="200"/>
      <w:jc w:val="center"/>
      <w:outlineLvl w:val="1"/>
    </w:pPr>
    <w:rPr>
      <w:rFonts w:ascii="Arial" w:hAnsi="Arial" w:eastAsia="幼圆"/>
      <w:b/>
      <w:bCs/>
      <w:sz w:val="44"/>
      <w:szCs w:val="44"/>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0"/>
    <w:pPr>
      <w:spacing w:after="120"/>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rPr>
  </w:style>
  <w:style w:type="paragraph" w:customStyle="1" w:styleId="10">
    <w:name w:val="二级目录"/>
    <w:next w:val="1"/>
    <w:qFormat/>
    <w:uiPriority w:val="0"/>
    <w:pPr>
      <w:numPr>
        <w:ilvl w:val="0"/>
        <w:numId w:val="2"/>
      </w:numPr>
      <w:outlineLvl w:val="1"/>
    </w:pPr>
    <w:rPr>
      <w:rFonts w:asciiTheme="minorHAnsi" w:hAnsiTheme="minorHAnsi" w:eastAsiaTheme="minorEastAsia" w:cstheme="minorBidi"/>
      <w:b/>
      <w:kern w:val="2"/>
      <w:sz w:val="30"/>
      <w:szCs w:val="28"/>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1618</Words>
  <Characters>1694</Characters>
  <Lines>0</Lines>
  <Paragraphs>0</Paragraphs>
  <TotalTime>4</TotalTime>
  <ScaleCrop>false</ScaleCrop>
  <LinksUpToDate>false</LinksUpToDate>
  <CharactersWithSpaces>1702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2026-05-20T00:55:00Z</dcterms:created>
  <dc:creator>Administrator</dc:creator>
  <cp:lastModifiedBy>huangyp</cp:lastModifiedBy>
  <cp:lastPrinted>2026-05-21T08:14:08Z</cp:lastPrinted>
  <dcterms:modified xsi:type="dcterms:W3CDTF">2026-05-21T08:16:12Z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eyJoZGlkIjoiNzMxMWU5NGZkMDhiNTFkNjcyYzg1ZjgwZmVkOWQ3MzciLCJ1c2VySWQiOiIzMDU3NDM0MzkifQ==</vt:lpwstr>
  </property>
  <property fmtid="{D5CDD505-2E9C-101B-9397-08002B2CF9AE}" pid="4" name="ICV">
    <vt:lpwstr>A8A25C8B6F8948A2A945460C418F3E45_13</vt:lpwstr>
  </property>
</Properties>
</file>