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5123D">
      <w:pPr>
        <w:pStyle w:val="49"/>
        <w:spacing w:before="0" w:after="0"/>
        <w:ind w:firstLine="0"/>
        <w:rPr>
          <w:rFonts w:ascii="宋体" w:hAnsi="宋体" w:cs="宋体"/>
          <w:highlight w:val="none"/>
        </w:rPr>
      </w:pPr>
    </w:p>
    <w:p w14:paraId="605FBA60">
      <w:pPr>
        <w:pStyle w:val="49"/>
        <w:spacing w:before="0" w:after="0"/>
        <w:ind w:firstLine="0"/>
        <w:rPr>
          <w:rFonts w:ascii="宋体" w:hAnsi="宋体" w:cs="宋体"/>
          <w:highlight w:val="none"/>
        </w:rPr>
      </w:pPr>
    </w:p>
    <w:p w14:paraId="38DB3D0B">
      <w:pPr>
        <w:pStyle w:val="49"/>
        <w:spacing w:before="0" w:after="0"/>
        <w:ind w:firstLine="0"/>
        <w:rPr>
          <w:rFonts w:ascii="宋体" w:hAnsi="宋体" w:cs="宋体"/>
          <w:highlight w:val="none"/>
        </w:rPr>
      </w:pPr>
    </w:p>
    <w:p w14:paraId="016EA437">
      <w:pPr>
        <w:pStyle w:val="49"/>
        <w:spacing w:before="0" w:after="0"/>
        <w:ind w:firstLine="0"/>
        <w:rPr>
          <w:rFonts w:ascii="宋体" w:hAnsi="宋体" w:cs="宋体"/>
          <w:highlight w:val="none"/>
        </w:rPr>
      </w:pPr>
    </w:p>
    <w:p w14:paraId="452FD786">
      <w:pPr>
        <w:pStyle w:val="49"/>
        <w:spacing w:before="0" w:after="0"/>
        <w:ind w:firstLine="0"/>
        <w:rPr>
          <w:rFonts w:ascii="宋体" w:hAnsi="宋体" w:cs="宋体"/>
          <w:highlight w:val="none"/>
        </w:rPr>
      </w:pPr>
    </w:p>
    <w:p w14:paraId="7AE60B98">
      <w:pPr>
        <w:pStyle w:val="49"/>
        <w:spacing w:before="0" w:after="0"/>
        <w:ind w:firstLine="0"/>
        <w:rPr>
          <w:rFonts w:ascii="宋体" w:hAnsi="宋体" w:cs="宋体"/>
          <w:highlight w:val="none"/>
        </w:rPr>
      </w:pPr>
    </w:p>
    <w:p w14:paraId="58D03536">
      <w:pPr>
        <w:pStyle w:val="49"/>
        <w:ind w:left="-199" w:leftChars="-95" w:right="-218" w:rightChars="-104" w:firstLine="0"/>
        <w:jc w:val="center"/>
        <w:rPr>
          <w:rFonts w:ascii="黑体" w:hAnsi="黑体" w:eastAsia="黑体" w:cs="黑体"/>
          <w:sz w:val="40"/>
          <w:szCs w:val="36"/>
          <w:highlight w:val="none"/>
        </w:rPr>
      </w:pPr>
      <w:r>
        <w:rPr>
          <w:rFonts w:hint="eastAsia" w:ascii="黑体" w:hAnsi="黑体" w:eastAsia="黑体" w:cs="黑体"/>
          <w:sz w:val="40"/>
          <w:szCs w:val="36"/>
          <w:highlight w:val="none"/>
        </w:rPr>
        <w:t>南京邮电大学通达学院</w:t>
      </w:r>
    </w:p>
    <w:p w14:paraId="1AFC2E28">
      <w:pPr>
        <w:pStyle w:val="49"/>
        <w:ind w:left="-199" w:leftChars="-95" w:right="-218" w:rightChars="-104" w:firstLine="0"/>
        <w:jc w:val="center"/>
        <w:rPr>
          <w:rFonts w:hint="default" w:ascii="黑体" w:hAnsi="黑体" w:eastAsia="黑体" w:cs="黑体"/>
          <w:sz w:val="40"/>
          <w:szCs w:val="36"/>
          <w:highlight w:val="none"/>
          <w:lang w:val="en-US" w:eastAsia="zh-CN"/>
        </w:rPr>
      </w:pPr>
      <w:r>
        <w:rPr>
          <w:rFonts w:hint="eastAsia" w:ascii="黑体" w:hAnsi="黑体" w:eastAsia="黑体" w:cs="黑体"/>
          <w:sz w:val="40"/>
          <w:szCs w:val="36"/>
          <w:highlight w:val="none"/>
          <w:lang w:eastAsia="zh-CN"/>
        </w:rPr>
        <w:t>2025年学生公寓组合床采购</w:t>
      </w:r>
      <w:r>
        <w:rPr>
          <w:rFonts w:hint="eastAsia" w:ascii="黑体" w:hAnsi="黑体" w:eastAsia="黑体" w:cs="黑体"/>
          <w:sz w:val="40"/>
          <w:szCs w:val="36"/>
          <w:highlight w:val="none"/>
        </w:rPr>
        <w:t>项目</w:t>
      </w:r>
      <w:r>
        <w:rPr>
          <w:rFonts w:hint="eastAsia" w:ascii="黑体" w:hAnsi="黑体" w:eastAsia="黑体" w:cs="黑体"/>
          <w:sz w:val="40"/>
          <w:szCs w:val="36"/>
          <w:highlight w:val="none"/>
          <w:lang w:eastAsia="zh-CN"/>
        </w:rPr>
        <w:t>（</w:t>
      </w:r>
      <w:r>
        <w:rPr>
          <w:rFonts w:hint="eastAsia" w:ascii="黑体" w:hAnsi="黑体" w:eastAsia="黑体" w:cs="黑体"/>
          <w:sz w:val="40"/>
          <w:szCs w:val="36"/>
          <w:highlight w:val="none"/>
          <w:lang w:val="en-US" w:eastAsia="zh-CN"/>
        </w:rPr>
        <w:t>二次）</w:t>
      </w:r>
    </w:p>
    <w:p w14:paraId="1BA679DC">
      <w:pPr>
        <w:pStyle w:val="49"/>
        <w:ind w:firstLine="0"/>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rPr>
        <w:t>项目编号：</w:t>
      </w:r>
      <w:r>
        <w:rPr>
          <w:rFonts w:hint="eastAsia" w:ascii="黑体" w:hAnsi="黑体" w:eastAsia="黑体" w:cs="黑体"/>
          <w:sz w:val="36"/>
          <w:szCs w:val="36"/>
          <w:highlight w:val="none"/>
          <w:lang w:eastAsia="zh-CN"/>
        </w:rPr>
        <w:t>TDCG2025025</w:t>
      </w:r>
    </w:p>
    <w:p w14:paraId="1E557ED2">
      <w:pPr>
        <w:pStyle w:val="49"/>
        <w:ind w:firstLine="0"/>
        <w:jc w:val="center"/>
        <w:rPr>
          <w:rFonts w:ascii="黑体" w:hAnsi="黑体" w:eastAsia="黑体" w:cs="黑体"/>
          <w:sz w:val="36"/>
          <w:szCs w:val="36"/>
          <w:highlight w:val="none"/>
        </w:rPr>
      </w:pPr>
    </w:p>
    <w:p w14:paraId="6662B27B">
      <w:pPr>
        <w:pStyle w:val="49"/>
        <w:ind w:firstLine="0"/>
        <w:jc w:val="center"/>
        <w:rPr>
          <w:rFonts w:ascii="黑体" w:hAnsi="黑体" w:eastAsia="黑体" w:cs="黑体"/>
          <w:sz w:val="36"/>
          <w:szCs w:val="36"/>
          <w:highlight w:val="none"/>
        </w:rPr>
      </w:pPr>
    </w:p>
    <w:p w14:paraId="0C2F9F8B">
      <w:pPr>
        <w:pStyle w:val="49"/>
        <w:ind w:firstLine="0"/>
        <w:jc w:val="center"/>
        <w:rPr>
          <w:rFonts w:ascii="黑体" w:hAnsi="黑体" w:eastAsia="黑体" w:cs="黑体"/>
          <w:bCs/>
          <w:sz w:val="52"/>
          <w:highlight w:val="none"/>
        </w:rPr>
      </w:pPr>
      <w:r>
        <w:rPr>
          <w:rFonts w:hint="eastAsia" w:ascii="黑体" w:hAnsi="黑体" w:eastAsia="黑体" w:cs="黑体"/>
          <w:bCs/>
          <w:sz w:val="52"/>
          <w:highlight w:val="none"/>
          <w:lang w:val="en-US" w:eastAsia="zh-CN"/>
        </w:rPr>
        <w:t>采 购</w:t>
      </w:r>
      <w:r>
        <w:rPr>
          <w:rFonts w:hint="eastAsia" w:ascii="黑体" w:hAnsi="黑体" w:eastAsia="黑体" w:cs="黑体"/>
          <w:bCs/>
          <w:sz w:val="52"/>
          <w:highlight w:val="none"/>
        </w:rPr>
        <w:t xml:space="preserve"> 文 件</w:t>
      </w:r>
    </w:p>
    <w:p w14:paraId="718BC12C">
      <w:pPr>
        <w:pStyle w:val="49"/>
        <w:ind w:firstLine="0"/>
        <w:jc w:val="center"/>
        <w:rPr>
          <w:rFonts w:ascii="黑体" w:hAnsi="黑体" w:eastAsia="黑体" w:cs="黑体"/>
          <w:b/>
          <w:bCs/>
          <w:sz w:val="32"/>
          <w:highlight w:val="none"/>
        </w:rPr>
      </w:pPr>
    </w:p>
    <w:p w14:paraId="7E6BBEE5">
      <w:pPr>
        <w:pStyle w:val="49"/>
        <w:spacing w:before="0" w:after="0"/>
        <w:ind w:firstLine="0"/>
        <w:rPr>
          <w:rFonts w:ascii="黑体" w:hAnsi="黑体" w:eastAsia="黑体" w:cs="黑体"/>
          <w:highlight w:val="none"/>
        </w:rPr>
      </w:pPr>
    </w:p>
    <w:p w14:paraId="38FFF00E">
      <w:pPr>
        <w:pStyle w:val="49"/>
        <w:spacing w:before="0" w:after="0"/>
        <w:ind w:firstLine="0"/>
        <w:rPr>
          <w:rFonts w:ascii="黑体" w:hAnsi="黑体" w:eastAsia="黑体" w:cs="黑体"/>
          <w:highlight w:val="none"/>
        </w:rPr>
      </w:pPr>
    </w:p>
    <w:p w14:paraId="4FEDC204">
      <w:pPr>
        <w:pStyle w:val="49"/>
        <w:spacing w:before="0" w:after="0"/>
        <w:ind w:firstLine="0"/>
        <w:rPr>
          <w:rFonts w:ascii="黑体" w:hAnsi="黑体" w:eastAsia="黑体" w:cs="黑体"/>
          <w:highlight w:val="none"/>
        </w:rPr>
      </w:pPr>
    </w:p>
    <w:p w14:paraId="5EE80CD8">
      <w:pPr>
        <w:pStyle w:val="49"/>
        <w:spacing w:before="0" w:after="0"/>
        <w:ind w:firstLine="0"/>
        <w:rPr>
          <w:rFonts w:ascii="黑体" w:hAnsi="黑体" w:eastAsia="黑体" w:cs="黑体"/>
          <w:highlight w:val="none"/>
        </w:rPr>
      </w:pPr>
    </w:p>
    <w:p w14:paraId="73AA9F83">
      <w:pPr>
        <w:pStyle w:val="49"/>
        <w:spacing w:before="0" w:after="0"/>
        <w:ind w:firstLine="0"/>
        <w:rPr>
          <w:rFonts w:ascii="黑体" w:hAnsi="黑体" w:eastAsia="黑体" w:cs="黑体"/>
          <w:highlight w:val="none"/>
        </w:rPr>
      </w:pPr>
    </w:p>
    <w:p w14:paraId="39190617">
      <w:pPr>
        <w:pStyle w:val="49"/>
        <w:spacing w:before="0" w:after="0"/>
        <w:ind w:firstLine="0"/>
        <w:rPr>
          <w:rFonts w:ascii="黑体" w:hAnsi="黑体" w:eastAsia="黑体" w:cs="黑体"/>
          <w:highlight w:val="none"/>
        </w:rPr>
      </w:pPr>
    </w:p>
    <w:p w14:paraId="3966AC60">
      <w:pPr>
        <w:pStyle w:val="49"/>
        <w:spacing w:before="0" w:after="0"/>
        <w:ind w:firstLine="0"/>
        <w:rPr>
          <w:rFonts w:ascii="黑体" w:hAnsi="黑体" w:eastAsia="黑体" w:cs="黑体"/>
          <w:highlight w:val="none"/>
        </w:rPr>
      </w:pPr>
    </w:p>
    <w:p w14:paraId="5A815F03">
      <w:pPr>
        <w:pStyle w:val="49"/>
        <w:spacing w:before="0" w:after="0"/>
        <w:ind w:firstLine="0"/>
        <w:jc w:val="center"/>
        <w:rPr>
          <w:rFonts w:ascii="黑体" w:hAnsi="黑体" w:eastAsia="黑体" w:cs="黑体"/>
          <w:sz w:val="30"/>
          <w:szCs w:val="30"/>
          <w:highlight w:val="none"/>
        </w:rPr>
      </w:pPr>
      <w:r>
        <w:rPr>
          <w:rFonts w:hint="eastAsia" w:ascii="黑体" w:hAnsi="黑体" w:eastAsia="黑体" w:cs="黑体"/>
          <w:sz w:val="30"/>
          <w:szCs w:val="30"/>
          <w:highlight w:val="none"/>
        </w:rPr>
        <w:t>招标人：南京邮电大学通达学院</w:t>
      </w:r>
    </w:p>
    <w:p w14:paraId="18C7DDE0">
      <w:pPr>
        <w:pStyle w:val="49"/>
        <w:spacing w:before="0" w:after="0"/>
        <w:ind w:firstLine="0"/>
        <w:jc w:val="center"/>
        <w:rPr>
          <w:rFonts w:ascii="黑体" w:hAnsi="黑体" w:eastAsia="黑体" w:cs="黑体"/>
          <w:sz w:val="30"/>
          <w:szCs w:val="30"/>
          <w:highlight w:val="none"/>
        </w:rPr>
      </w:pPr>
      <w:r>
        <w:rPr>
          <w:rFonts w:hint="eastAsia" w:ascii="黑体" w:hAnsi="黑体" w:eastAsia="黑体" w:cs="黑体"/>
          <w:sz w:val="30"/>
          <w:szCs w:val="30"/>
          <w:highlight w:val="none"/>
        </w:rPr>
        <w:t>招标代理机构：中通服咨询设计研究院有限公司</w:t>
      </w:r>
    </w:p>
    <w:p w14:paraId="273B0C64">
      <w:pPr>
        <w:spacing w:line="360" w:lineRule="auto"/>
        <w:jc w:val="center"/>
        <w:rPr>
          <w:rFonts w:ascii="黑体" w:hAnsi="黑体" w:eastAsia="黑体" w:cs="黑体"/>
          <w:sz w:val="28"/>
          <w:szCs w:val="28"/>
          <w:highlight w:val="none"/>
          <w:u w:color="000000"/>
        </w:rPr>
      </w:pPr>
      <w:r>
        <w:rPr>
          <w:rFonts w:hint="eastAsia" w:ascii="黑体" w:hAnsi="黑体" w:eastAsia="黑体" w:cs="黑体"/>
          <w:sz w:val="30"/>
          <w:szCs w:val="30"/>
          <w:highlight w:val="none"/>
          <w:lang w:eastAsia="zh-CN"/>
        </w:rPr>
        <w:t>2025</w:t>
      </w:r>
      <w:r>
        <w:rPr>
          <w:rFonts w:hint="eastAsia" w:ascii="黑体" w:hAnsi="黑体" w:eastAsia="黑体" w:cs="黑体"/>
          <w:sz w:val="30"/>
          <w:szCs w:val="30"/>
          <w:highlight w:val="none"/>
        </w:rPr>
        <w:t>年</w:t>
      </w:r>
      <w:r>
        <w:rPr>
          <w:rFonts w:hint="eastAsia" w:ascii="黑体" w:hAnsi="黑体" w:eastAsia="黑体" w:cs="黑体"/>
          <w:sz w:val="30"/>
          <w:szCs w:val="30"/>
          <w:highlight w:val="none"/>
          <w:lang w:val="en-US" w:eastAsia="zh-CN"/>
        </w:rPr>
        <w:t>7月</w:t>
      </w:r>
    </w:p>
    <w:p w14:paraId="4DF45619">
      <w:pPr>
        <w:rPr>
          <w:rFonts w:ascii="黑体" w:hAnsi="黑体" w:eastAsia="黑体" w:cs="黑体"/>
          <w:highlight w:val="none"/>
        </w:rPr>
      </w:pPr>
    </w:p>
    <w:p w14:paraId="03E712A0">
      <w:pPr>
        <w:widowControl/>
        <w:jc w:val="left"/>
        <w:rPr>
          <w:rFonts w:ascii="黑体" w:hAnsi="黑体" w:eastAsia="黑体" w:cs="黑体"/>
          <w:highlight w:val="none"/>
        </w:rPr>
        <w:sectPr>
          <w:pgSz w:w="11906" w:h="16838"/>
          <w:pgMar w:top="1418" w:right="1385" w:bottom="1418" w:left="1701" w:header="851" w:footer="992" w:gutter="0"/>
          <w:cols w:space="425" w:num="1"/>
          <w:docGrid w:type="lines" w:linePitch="312" w:charSpace="0"/>
        </w:sectPr>
      </w:pPr>
    </w:p>
    <w:p w14:paraId="45FCE9E0">
      <w:pPr>
        <w:widowControl/>
        <w:spacing w:line="360" w:lineRule="auto"/>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sdt>
      <w:sdtPr>
        <w:rPr>
          <w:rFonts w:hint="eastAsia" w:ascii="黑体" w:hAnsi="黑体" w:cs="黑体"/>
          <w:sz w:val="32"/>
          <w:szCs w:val="32"/>
          <w:highlight w:val="none"/>
          <w:lang w:val="zh-CN"/>
        </w:rPr>
        <w:id w:val="-1199246136"/>
        <w:docPartObj>
          <w:docPartGallery w:val="Table of Contents"/>
          <w:docPartUnique/>
        </w:docPartObj>
      </w:sdtPr>
      <w:sdtEndPr>
        <w:rPr>
          <w:rFonts w:hint="eastAsia" w:ascii="宋体" w:hAnsi="宋体" w:eastAsia="宋体" w:cs="宋体"/>
          <w:b/>
          <w:bCs/>
          <w:sz w:val="24"/>
          <w:szCs w:val="22"/>
          <w:highlight w:val="none"/>
          <w:lang w:val="zh-CN"/>
        </w:rPr>
      </w:sdtEndPr>
      <w:sdtContent>
        <w:p w14:paraId="5E6283A6">
          <w:pPr>
            <w:pStyle w:val="20"/>
            <w:rPr>
              <w:rFonts w:ascii="黑体" w:hAnsi="黑体" w:cs="黑体"/>
              <w:highlight w:val="none"/>
            </w:rPr>
          </w:pPr>
          <w:r>
            <w:rPr>
              <w:rFonts w:hint="eastAsia" w:ascii="黑体" w:hAnsi="黑体" w:cs="黑体"/>
              <w:highlight w:val="none"/>
            </w:rPr>
            <w:fldChar w:fldCharType="begin"/>
          </w:r>
          <w:r>
            <w:rPr>
              <w:rFonts w:hint="eastAsia" w:ascii="黑体" w:hAnsi="黑体" w:cs="黑体"/>
              <w:highlight w:val="none"/>
            </w:rPr>
            <w:instrText xml:space="preserve"> TOC \o "1-3" \h \z \u </w:instrText>
          </w:r>
          <w:r>
            <w:rPr>
              <w:rFonts w:hint="eastAsia" w:ascii="黑体" w:hAnsi="黑体" w:cs="黑体"/>
              <w:highlight w:val="none"/>
            </w:rPr>
            <w:fldChar w:fldCharType="separate"/>
          </w:r>
        </w:p>
        <w:p w14:paraId="0585A6E0">
          <w:pPr>
            <w:pStyle w:val="20"/>
            <w:tabs>
              <w:tab w:val="right" w:leader="dot" w:pos="8787"/>
              <w:tab w:val="clear" w:pos="8777"/>
            </w:tabs>
            <w:rPr>
              <w:highlight w:val="none"/>
            </w:rPr>
          </w:pPr>
          <w:r>
            <w:rPr>
              <w:highlight w:val="none"/>
            </w:rPr>
            <w:fldChar w:fldCharType="begin"/>
          </w:r>
          <w:r>
            <w:rPr>
              <w:highlight w:val="none"/>
            </w:rPr>
            <w:instrText xml:space="preserve"> HYPERLINK \l "_Toc31277" </w:instrText>
          </w:r>
          <w:r>
            <w:rPr>
              <w:highlight w:val="none"/>
            </w:rPr>
            <w:fldChar w:fldCharType="separate"/>
          </w:r>
          <w:r>
            <w:rPr>
              <w:rFonts w:hint="eastAsia" w:ascii="宋体" w:hAnsi="宋体" w:eastAsia="宋体" w:cs="宋体"/>
              <w:kern w:val="44"/>
              <w:szCs w:val="36"/>
              <w:highlight w:val="none"/>
              <w:lang w:val="zh-TW" w:eastAsia="zh-TW"/>
            </w:rPr>
            <w:t xml:space="preserve">第一章  </w:t>
          </w:r>
          <w:r>
            <w:rPr>
              <w:rFonts w:hint="eastAsia" w:ascii="宋体" w:hAnsi="宋体" w:eastAsia="宋体" w:cs="宋体"/>
              <w:kern w:val="44"/>
              <w:szCs w:val="36"/>
              <w:highlight w:val="none"/>
              <w:lang w:val="en-US" w:eastAsia="zh-CN"/>
            </w:rPr>
            <w:t>采购</w:t>
          </w:r>
          <w:r>
            <w:rPr>
              <w:rFonts w:hint="eastAsia" w:ascii="宋体" w:hAnsi="宋体" w:eastAsia="宋体" w:cs="宋体"/>
              <w:kern w:val="44"/>
              <w:szCs w:val="36"/>
              <w:highlight w:val="none"/>
              <w:lang w:val="zh-TW" w:eastAsia="zh-TW"/>
            </w:rPr>
            <w:t>公告</w:t>
          </w:r>
          <w:r>
            <w:rPr>
              <w:highlight w:val="none"/>
            </w:rPr>
            <w:tab/>
          </w:r>
          <w:r>
            <w:rPr>
              <w:highlight w:val="none"/>
            </w:rPr>
            <w:fldChar w:fldCharType="begin"/>
          </w:r>
          <w:r>
            <w:rPr>
              <w:highlight w:val="none"/>
            </w:rPr>
            <w:instrText xml:space="preserve"> PAGEREF _Toc31277 \h </w:instrText>
          </w:r>
          <w:r>
            <w:rPr>
              <w:highlight w:val="none"/>
            </w:rPr>
            <w:fldChar w:fldCharType="separate"/>
          </w:r>
          <w:r>
            <w:rPr>
              <w:highlight w:val="none"/>
            </w:rPr>
            <w:t>1</w:t>
          </w:r>
          <w:r>
            <w:rPr>
              <w:highlight w:val="none"/>
            </w:rPr>
            <w:fldChar w:fldCharType="end"/>
          </w:r>
          <w:r>
            <w:rPr>
              <w:highlight w:val="none"/>
            </w:rPr>
            <w:fldChar w:fldCharType="end"/>
          </w:r>
        </w:p>
        <w:p w14:paraId="1C4D7A24">
          <w:pPr>
            <w:pStyle w:val="20"/>
            <w:tabs>
              <w:tab w:val="right" w:leader="dot" w:pos="8787"/>
              <w:tab w:val="clear" w:pos="8777"/>
            </w:tabs>
            <w:rPr>
              <w:highlight w:val="none"/>
            </w:rPr>
          </w:pPr>
          <w:r>
            <w:rPr>
              <w:highlight w:val="none"/>
            </w:rPr>
            <w:fldChar w:fldCharType="begin"/>
          </w:r>
          <w:r>
            <w:rPr>
              <w:highlight w:val="none"/>
            </w:rPr>
            <w:instrText xml:space="preserve"> HYPERLINK \l "_Toc30510" </w:instrText>
          </w:r>
          <w:r>
            <w:rPr>
              <w:highlight w:val="none"/>
            </w:rPr>
            <w:fldChar w:fldCharType="separate"/>
          </w:r>
          <w:r>
            <w:rPr>
              <w:rFonts w:hint="eastAsia" w:ascii="宋体" w:hAnsi="宋体" w:eastAsia="宋体" w:cs="宋体"/>
              <w:kern w:val="44"/>
              <w:szCs w:val="36"/>
              <w:highlight w:val="none"/>
              <w:lang w:val="zh-TW" w:eastAsia="zh-TW"/>
            </w:rPr>
            <w:t xml:space="preserve">第二章  </w:t>
          </w:r>
          <w:r>
            <w:rPr>
              <w:rFonts w:hint="eastAsia" w:ascii="宋体" w:hAnsi="宋体" w:eastAsia="宋体" w:cs="宋体"/>
              <w:kern w:val="44"/>
              <w:szCs w:val="36"/>
              <w:highlight w:val="none"/>
              <w:lang w:val="zh-TW"/>
            </w:rPr>
            <w:t>投标人</w:t>
          </w:r>
          <w:r>
            <w:rPr>
              <w:rFonts w:hint="eastAsia" w:ascii="宋体" w:hAnsi="宋体" w:eastAsia="宋体" w:cs="宋体"/>
              <w:kern w:val="44"/>
              <w:szCs w:val="36"/>
              <w:highlight w:val="none"/>
              <w:lang w:val="zh-TW" w:eastAsia="zh-TW"/>
            </w:rPr>
            <w:t>须知</w:t>
          </w:r>
          <w:r>
            <w:rPr>
              <w:highlight w:val="none"/>
            </w:rPr>
            <w:tab/>
          </w:r>
          <w:r>
            <w:rPr>
              <w:highlight w:val="none"/>
            </w:rPr>
            <w:fldChar w:fldCharType="begin"/>
          </w:r>
          <w:r>
            <w:rPr>
              <w:highlight w:val="none"/>
            </w:rPr>
            <w:instrText xml:space="preserve"> PAGEREF _Toc30510 \h </w:instrText>
          </w:r>
          <w:r>
            <w:rPr>
              <w:highlight w:val="none"/>
            </w:rPr>
            <w:fldChar w:fldCharType="separate"/>
          </w:r>
          <w:r>
            <w:rPr>
              <w:highlight w:val="none"/>
            </w:rPr>
            <w:t>4</w:t>
          </w:r>
          <w:r>
            <w:rPr>
              <w:highlight w:val="none"/>
            </w:rPr>
            <w:fldChar w:fldCharType="end"/>
          </w:r>
          <w:r>
            <w:rPr>
              <w:highlight w:val="none"/>
            </w:rPr>
            <w:fldChar w:fldCharType="end"/>
          </w:r>
        </w:p>
        <w:p w14:paraId="74EE2F97">
          <w:pPr>
            <w:pStyle w:val="20"/>
            <w:tabs>
              <w:tab w:val="right" w:leader="dot" w:pos="8787"/>
              <w:tab w:val="clear" w:pos="8777"/>
            </w:tabs>
            <w:rPr>
              <w:highlight w:val="none"/>
            </w:rPr>
          </w:pPr>
          <w:r>
            <w:rPr>
              <w:highlight w:val="none"/>
            </w:rPr>
            <w:fldChar w:fldCharType="begin"/>
          </w:r>
          <w:r>
            <w:rPr>
              <w:highlight w:val="none"/>
            </w:rPr>
            <w:instrText xml:space="preserve"> HYPERLINK \l "_Toc10510" </w:instrText>
          </w:r>
          <w:r>
            <w:rPr>
              <w:highlight w:val="none"/>
            </w:rPr>
            <w:fldChar w:fldCharType="separate"/>
          </w:r>
          <w:r>
            <w:rPr>
              <w:rFonts w:hint="eastAsia" w:ascii="宋体" w:hAnsi="宋体" w:eastAsia="宋体" w:cs="宋体"/>
              <w:kern w:val="44"/>
              <w:szCs w:val="36"/>
              <w:highlight w:val="none"/>
              <w:lang w:val="zh-TW" w:eastAsia="zh-TW"/>
            </w:rPr>
            <w:t>第</w:t>
          </w:r>
          <w:r>
            <w:rPr>
              <w:rFonts w:hint="eastAsia" w:ascii="宋体" w:hAnsi="宋体" w:eastAsia="宋体" w:cs="宋体"/>
              <w:kern w:val="44"/>
              <w:szCs w:val="36"/>
              <w:highlight w:val="none"/>
              <w:lang w:val="zh-TW"/>
            </w:rPr>
            <w:t>三</w:t>
          </w:r>
          <w:r>
            <w:rPr>
              <w:rFonts w:hint="eastAsia" w:ascii="宋体" w:hAnsi="宋体" w:eastAsia="宋体" w:cs="宋体"/>
              <w:kern w:val="44"/>
              <w:szCs w:val="36"/>
              <w:highlight w:val="none"/>
              <w:lang w:val="zh-TW" w:eastAsia="zh-TW"/>
            </w:rPr>
            <w:t>章  合同条款及格式</w:t>
          </w:r>
          <w:r>
            <w:rPr>
              <w:highlight w:val="none"/>
            </w:rPr>
            <w:tab/>
          </w:r>
          <w:r>
            <w:rPr>
              <w:highlight w:val="none"/>
            </w:rPr>
            <w:fldChar w:fldCharType="begin"/>
          </w:r>
          <w:r>
            <w:rPr>
              <w:highlight w:val="none"/>
            </w:rPr>
            <w:instrText xml:space="preserve"> PAGEREF _Toc10510 \h </w:instrText>
          </w:r>
          <w:r>
            <w:rPr>
              <w:highlight w:val="none"/>
            </w:rPr>
            <w:fldChar w:fldCharType="separate"/>
          </w:r>
          <w:r>
            <w:rPr>
              <w:highlight w:val="none"/>
            </w:rPr>
            <w:t>14</w:t>
          </w:r>
          <w:r>
            <w:rPr>
              <w:highlight w:val="none"/>
            </w:rPr>
            <w:fldChar w:fldCharType="end"/>
          </w:r>
          <w:r>
            <w:rPr>
              <w:highlight w:val="none"/>
            </w:rPr>
            <w:fldChar w:fldCharType="end"/>
          </w:r>
        </w:p>
        <w:p w14:paraId="716A72C9">
          <w:pPr>
            <w:pStyle w:val="20"/>
            <w:tabs>
              <w:tab w:val="right" w:leader="dot" w:pos="8787"/>
              <w:tab w:val="clear" w:pos="8777"/>
            </w:tabs>
            <w:rPr>
              <w:highlight w:val="none"/>
            </w:rPr>
          </w:pPr>
          <w:r>
            <w:rPr>
              <w:highlight w:val="none"/>
            </w:rPr>
            <w:fldChar w:fldCharType="begin"/>
          </w:r>
          <w:r>
            <w:rPr>
              <w:highlight w:val="none"/>
            </w:rPr>
            <w:instrText xml:space="preserve"> HYPERLINK \l "_Toc16438" </w:instrText>
          </w:r>
          <w:r>
            <w:rPr>
              <w:highlight w:val="none"/>
            </w:rPr>
            <w:fldChar w:fldCharType="separate"/>
          </w:r>
          <w:r>
            <w:rPr>
              <w:rFonts w:hint="eastAsia" w:ascii="宋体" w:hAnsi="宋体" w:eastAsia="宋体" w:cs="宋体"/>
              <w:kern w:val="44"/>
              <w:szCs w:val="36"/>
              <w:highlight w:val="none"/>
              <w:lang w:val="zh-TW" w:eastAsia="zh-TW"/>
            </w:rPr>
            <w:t>第</w:t>
          </w:r>
          <w:r>
            <w:rPr>
              <w:rFonts w:hint="eastAsia" w:ascii="宋体" w:hAnsi="宋体" w:eastAsia="宋体" w:cs="宋体"/>
              <w:kern w:val="44"/>
              <w:szCs w:val="36"/>
              <w:highlight w:val="none"/>
              <w:lang w:val="zh-TW"/>
            </w:rPr>
            <w:t>四</w:t>
          </w:r>
          <w:r>
            <w:rPr>
              <w:rFonts w:hint="eastAsia" w:ascii="宋体" w:hAnsi="宋体" w:eastAsia="宋体" w:cs="宋体"/>
              <w:kern w:val="44"/>
              <w:szCs w:val="36"/>
              <w:highlight w:val="none"/>
              <w:lang w:val="zh-TW" w:eastAsia="zh-TW"/>
            </w:rPr>
            <w:t xml:space="preserve">章  </w:t>
          </w:r>
          <w:r>
            <w:rPr>
              <w:rFonts w:hint="eastAsia" w:ascii="宋体" w:hAnsi="宋体" w:eastAsia="宋体" w:cs="宋体"/>
              <w:kern w:val="44"/>
              <w:szCs w:val="36"/>
              <w:highlight w:val="none"/>
              <w:lang w:val="zh-TW"/>
            </w:rPr>
            <w:t>项目需求</w:t>
          </w:r>
          <w:r>
            <w:rPr>
              <w:highlight w:val="none"/>
            </w:rPr>
            <w:tab/>
          </w:r>
          <w:r>
            <w:rPr>
              <w:highlight w:val="none"/>
            </w:rPr>
            <w:fldChar w:fldCharType="begin"/>
          </w:r>
          <w:r>
            <w:rPr>
              <w:highlight w:val="none"/>
            </w:rPr>
            <w:instrText xml:space="preserve"> PAGEREF _Toc16438 \h </w:instrText>
          </w:r>
          <w:r>
            <w:rPr>
              <w:highlight w:val="none"/>
            </w:rPr>
            <w:fldChar w:fldCharType="separate"/>
          </w:r>
          <w:r>
            <w:rPr>
              <w:highlight w:val="none"/>
            </w:rPr>
            <w:t>14</w:t>
          </w:r>
          <w:r>
            <w:rPr>
              <w:highlight w:val="none"/>
            </w:rPr>
            <w:fldChar w:fldCharType="end"/>
          </w:r>
          <w:r>
            <w:rPr>
              <w:highlight w:val="none"/>
            </w:rPr>
            <w:fldChar w:fldCharType="end"/>
          </w:r>
        </w:p>
        <w:p w14:paraId="4841086C">
          <w:pPr>
            <w:pStyle w:val="20"/>
            <w:tabs>
              <w:tab w:val="right" w:leader="dot" w:pos="8787"/>
              <w:tab w:val="clear" w:pos="8777"/>
            </w:tabs>
            <w:rPr>
              <w:highlight w:val="none"/>
            </w:rPr>
          </w:pPr>
          <w:r>
            <w:rPr>
              <w:highlight w:val="none"/>
            </w:rPr>
            <w:fldChar w:fldCharType="begin"/>
          </w:r>
          <w:r>
            <w:rPr>
              <w:highlight w:val="none"/>
            </w:rPr>
            <w:instrText xml:space="preserve"> HYPERLINK \l "_Toc15896" </w:instrText>
          </w:r>
          <w:r>
            <w:rPr>
              <w:highlight w:val="none"/>
            </w:rPr>
            <w:fldChar w:fldCharType="separate"/>
          </w:r>
          <w:r>
            <w:rPr>
              <w:rFonts w:hint="eastAsia" w:ascii="宋体" w:hAnsi="宋体" w:eastAsia="宋体" w:cs="宋体"/>
              <w:kern w:val="44"/>
              <w:szCs w:val="36"/>
              <w:highlight w:val="none"/>
              <w:lang w:val="zh-TW" w:eastAsia="zh-TW"/>
            </w:rPr>
            <w:t>第</w:t>
          </w:r>
          <w:r>
            <w:rPr>
              <w:rFonts w:hint="eastAsia" w:ascii="宋体" w:hAnsi="宋体" w:eastAsia="宋体" w:cs="宋体"/>
              <w:kern w:val="44"/>
              <w:szCs w:val="36"/>
              <w:highlight w:val="none"/>
              <w:lang w:val="zh-TW"/>
            </w:rPr>
            <w:t>五</w:t>
          </w:r>
          <w:r>
            <w:rPr>
              <w:rFonts w:hint="eastAsia" w:ascii="宋体" w:hAnsi="宋体" w:eastAsia="宋体" w:cs="宋体"/>
              <w:kern w:val="44"/>
              <w:szCs w:val="36"/>
              <w:highlight w:val="none"/>
              <w:lang w:val="zh-TW" w:eastAsia="zh-TW"/>
            </w:rPr>
            <w:t>章  评标方法与评标标准</w:t>
          </w:r>
          <w:r>
            <w:rPr>
              <w:highlight w:val="none"/>
            </w:rPr>
            <w:tab/>
          </w:r>
          <w:r>
            <w:rPr>
              <w:highlight w:val="none"/>
            </w:rPr>
            <w:fldChar w:fldCharType="begin"/>
          </w:r>
          <w:r>
            <w:rPr>
              <w:highlight w:val="none"/>
            </w:rPr>
            <w:instrText xml:space="preserve"> PAGEREF _Toc15896 \h </w:instrText>
          </w:r>
          <w:r>
            <w:rPr>
              <w:highlight w:val="none"/>
            </w:rPr>
            <w:fldChar w:fldCharType="separate"/>
          </w:r>
          <w:r>
            <w:rPr>
              <w:highlight w:val="none"/>
            </w:rPr>
            <w:t>18</w:t>
          </w:r>
          <w:r>
            <w:rPr>
              <w:highlight w:val="none"/>
            </w:rPr>
            <w:fldChar w:fldCharType="end"/>
          </w:r>
          <w:r>
            <w:rPr>
              <w:highlight w:val="none"/>
            </w:rPr>
            <w:fldChar w:fldCharType="end"/>
          </w:r>
        </w:p>
        <w:p w14:paraId="477AA3BD">
          <w:pPr>
            <w:pStyle w:val="20"/>
            <w:tabs>
              <w:tab w:val="right" w:leader="dot" w:pos="8787"/>
              <w:tab w:val="clear" w:pos="8777"/>
            </w:tabs>
            <w:rPr>
              <w:highlight w:val="none"/>
            </w:rPr>
          </w:pPr>
          <w:r>
            <w:rPr>
              <w:highlight w:val="none"/>
            </w:rPr>
            <w:fldChar w:fldCharType="begin"/>
          </w:r>
          <w:r>
            <w:rPr>
              <w:highlight w:val="none"/>
            </w:rPr>
            <w:instrText xml:space="preserve"> HYPERLINK \l "_Toc5120" </w:instrText>
          </w:r>
          <w:r>
            <w:rPr>
              <w:highlight w:val="none"/>
            </w:rPr>
            <w:fldChar w:fldCharType="separate"/>
          </w:r>
          <w:r>
            <w:rPr>
              <w:rFonts w:hint="eastAsia" w:ascii="宋体" w:hAnsi="宋体" w:eastAsia="宋体" w:cs="宋体"/>
              <w:kern w:val="44"/>
              <w:szCs w:val="36"/>
              <w:highlight w:val="none"/>
              <w:lang w:val="zh-TW" w:eastAsia="zh-TW"/>
            </w:rPr>
            <w:t>第</w:t>
          </w:r>
          <w:r>
            <w:rPr>
              <w:rFonts w:hint="eastAsia" w:ascii="宋体" w:hAnsi="宋体" w:eastAsia="宋体" w:cs="宋体"/>
              <w:kern w:val="44"/>
              <w:szCs w:val="36"/>
              <w:highlight w:val="none"/>
              <w:lang w:val="zh-TW"/>
            </w:rPr>
            <w:t>六</w:t>
          </w:r>
          <w:r>
            <w:rPr>
              <w:rFonts w:hint="eastAsia" w:ascii="宋体" w:hAnsi="宋体" w:eastAsia="宋体" w:cs="宋体"/>
              <w:kern w:val="44"/>
              <w:szCs w:val="36"/>
              <w:highlight w:val="none"/>
              <w:lang w:val="zh-TW" w:eastAsia="zh-TW"/>
            </w:rPr>
            <w:t>章  投标文件格式</w:t>
          </w:r>
          <w:r>
            <w:rPr>
              <w:highlight w:val="none"/>
            </w:rPr>
            <w:tab/>
          </w:r>
          <w:r>
            <w:rPr>
              <w:highlight w:val="none"/>
            </w:rPr>
            <w:fldChar w:fldCharType="begin"/>
          </w:r>
          <w:r>
            <w:rPr>
              <w:highlight w:val="none"/>
            </w:rPr>
            <w:instrText xml:space="preserve"> PAGEREF _Toc5120 \h </w:instrText>
          </w:r>
          <w:r>
            <w:rPr>
              <w:highlight w:val="none"/>
            </w:rPr>
            <w:fldChar w:fldCharType="separate"/>
          </w:r>
          <w:r>
            <w:rPr>
              <w:highlight w:val="none"/>
            </w:rPr>
            <w:t>24</w:t>
          </w:r>
          <w:r>
            <w:rPr>
              <w:highlight w:val="none"/>
            </w:rPr>
            <w:fldChar w:fldCharType="end"/>
          </w:r>
          <w:r>
            <w:rPr>
              <w:highlight w:val="none"/>
            </w:rPr>
            <w:fldChar w:fldCharType="end"/>
          </w:r>
        </w:p>
        <w:p w14:paraId="2B7B8D48">
          <w:pPr>
            <w:pStyle w:val="20"/>
            <w:rPr>
              <w:rFonts w:ascii="宋体" w:hAnsi="宋体" w:eastAsia="宋体" w:cs="宋体"/>
              <w:highlight w:val="none"/>
            </w:rPr>
          </w:pPr>
          <w:r>
            <w:rPr>
              <w:rFonts w:hint="eastAsia" w:ascii="黑体" w:hAnsi="黑体" w:cs="黑体"/>
              <w:highlight w:val="none"/>
            </w:rPr>
            <w:fldChar w:fldCharType="end"/>
          </w:r>
        </w:p>
      </w:sdtContent>
    </w:sdt>
    <w:p w14:paraId="2B3F09FE">
      <w:pPr>
        <w:widowControl/>
        <w:jc w:val="left"/>
        <w:rPr>
          <w:rFonts w:ascii="宋体" w:hAnsi="宋体" w:eastAsia="宋体" w:cs="宋体"/>
          <w:highlight w:val="none"/>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14:paraId="3F0F2B16">
      <w:pPr>
        <w:keepNext/>
        <w:keepLines/>
        <w:spacing w:before="312" w:beforeLines="100" w:after="312" w:afterLines="100" w:line="360" w:lineRule="auto"/>
        <w:jc w:val="center"/>
        <w:outlineLvl w:val="0"/>
        <w:rPr>
          <w:rFonts w:ascii="宋体" w:hAnsi="宋体" w:eastAsia="宋体" w:cs="宋体"/>
          <w:kern w:val="44"/>
          <w:sz w:val="36"/>
          <w:szCs w:val="36"/>
          <w:highlight w:val="none"/>
          <w:u w:color="000000"/>
          <w:lang w:val="zh-TW" w:eastAsia="zh-TW"/>
        </w:rPr>
      </w:pPr>
      <w:bookmarkStart w:id="0" w:name="_Toc"/>
      <w:bookmarkStart w:id="1" w:name="_Toc448069940"/>
      <w:bookmarkStart w:id="2" w:name="_Toc415494523"/>
      <w:bookmarkStart w:id="3" w:name="_Toc31277"/>
      <w:r>
        <w:rPr>
          <w:rFonts w:hint="eastAsia" w:ascii="宋体" w:hAnsi="宋体" w:eastAsia="宋体" w:cs="宋体"/>
          <w:kern w:val="44"/>
          <w:sz w:val="36"/>
          <w:szCs w:val="36"/>
          <w:highlight w:val="none"/>
          <w:u w:color="000000"/>
          <w:lang w:val="zh-TW" w:eastAsia="zh-TW"/>
        </w:rPr>
        <w:t xml:space="preserve">第一章  </w:t>
      </w:r>
      <w:r>
        <w:rPr>
          <w:rFonts w:hint="eastAsia" w:ascii="宋体" w:hAnsi="宋体" w:eastAsia="宋体" w:cs="宋体"/>
          <w:kern w:val="44"/>
          <w:sz w:val="36"/>
          <w:szCs w:val="36"/>
          <w:highlight w:val="none"/>
          <w:u w:color="000000"/>
          <w:lang w:val="en-US" w:eastAsia="zh-CN"/>
        </w:rPr>
        <w:t>采购</w:t>
      </w:r>
      <w:r>
        <w:rPr>
          <w:rFonts w:hint="eastAsia" w:ascii="宋体" w:hAnsi="宋体" w:eastAsia="宋体" w:cs="宋体"/>
          <w:kern w:val="44"/>
          <w:sz w:val="36"/>
          <w:szCs w:val="36"/>
          <w:highlight w:val="none"/>
          <w:u w:color="000000"/>
          <w:lang w:val="zh-TW" w:eastAsia="zh-TW"/>
        </w:rPr>
        <w:t>公告</w:t>
      </w:r>
      <w:bookmarkEnd w:id="0"/>
      <w:bookmarkEnd w:id="1"/>
      <w:bookmarkEnd w:id="2"/>
      <w:bookmarkEnd w:id="3"/>
    </w:p>
    <w:p w14:paraId="05C6EC3B">
      <w:pPr>
        <w:spacing w:line="360" w:lineRule="auto"/>
        <w:ind w:firstLine="482" w:firstLineChars="200"/>
        <w:rPr>
          <w:rFonts w:ascii="宋体" w:hAnsi="宋体" w:eastAsia="宋体" w:cs="宋体"/>
          <w:b/>
          <w:sz w:val="24"/>
          <w:szCs w:val="24"/>
          <w:highlight w:val="none"/>
        </w:rPr>
      </w:pPr>
      <w:bookmarkStart w:id="4" w:name="_Toc415494524"/>
      <w:bookmarkStart w:id="5" w:name="_Toc1"/>
      <w:bookmarkStart w:id="6" w:name="_Toc448069941"/>
      <w:r>
        <w:rPr>
          <w:rFonts w:hint="eastAsia" w:ascii="宋体" w:hAnsi="宋体" w:eastAsia="宋体" w:cs="宋体"/>
          <w:b/>
          <w:sz w:val="24"/>
          <w:szCs w:val="24"/>
          <w:highlight w:val="none"/>
          <w:lang w:eastAsia="zh-CN"/>
        </w:rPr>
        <w:t>南京邮电大学通达学院2025年学生公寓组合床采购</w:t>
      </w:r>
      <w:r>
        <w:rPr>
          <w:rFonts w:hint="eastAsia" w:ascii="宋体" w:hAnsi="宋体" w:eastAsia="宋体" w:cs="宋体"/>
          <w:b/>
          <w:sz w:val="24"/>
          <w:szCs w:val="24"/>
          <w:highlight w:val="none"/>
        </w:rPr>
        <w:t>项目</w:t>
      </w:r>
      <w:r>
        <w:rPr>
          <w:rFonts w:hint="eastAsia" w:ascii="宋体" w:hAnsi="宋体" w:eastAsia="宋体" w:cs="宋体"/>
          <w:sz w:val="24"/>
          <w:szCs w:val="24"/>
          <w:highlight w:val="none"/>
        </w:rPr>
        <w:t>的潜在投标人应在</w:t>
      </w:r>
      <w:r>
        <w:rPr>
          <w:rFonts w:hint="eastAsia" w:ascii="宋体" w:hAnsi="宋体" w:eastAsia="宋体" w:cs="宋体"/>
          <w:b/>
          <w:sz w:val="24"/>
          <w:szCs w:val="24"/>
          <w:highlight w:val="none"/>
        </w:rPr>
        <w:t>中通服咨询设计研究院有限公司</w:t>
      </w:r>
      <w:r>
        <w:rPr>
          <w:rFonts w:hint="eastAsia" w:ascii="宋体" w:hAnsi="宋体" w:eastAsia="宋体" w:cs="宋体"/>
          <w:sz w:val="24"/>
          <w:szCs w:val="24"/>
          <w:highlight w:val="none"/>
        </w:rPr>
        <w:t>获取招标文件，并于</w:t>
      </w:r>
      <w:r>
        <w:rPr>
          <w:rFonts w:hint="eastAsia" w:ascii="宋体" w:hAnsi="宋体" w:eastAsia="宋体" w:cs="宋体"/>
          <w:b/>
          <w:sz w:val="24"/>
          <w:szCs w:val="24"/>
          <w:highlight w:val="none"/>
          <w:lang w:eastAsia="zh-CN"/>
        </w:rPr>
        <w:t>2025</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7月29</w:t>
      </w:r>
      <w:r>
        <w:rPr>
          <w:rFonts w:hint="eastAsia" w:ascii="宋体" w:hAnsi="宋体" w:eastAsia="宋体" w:cs="宋体"/>
          <w:b/>
          <w:sz w:val="24"/>
          <w:szCs w:val="24"/>
          <w:highlight w:val="none"/>
        </w:rPr>
        <w:t>日</w:t>
      </w:r>
      <w:r>
        <w:rPr>
          <w:rFonts w:hint="eastAsia" w:ascii="宋体" w:hAnsi="宋体" w:eastAsia="宋体" w:cs="宋体"/>
          <w:b/>
          <w:sz w:val="24"/>
          <w:szCs w:val="24"/>
          <w:highlight w:val="none"/>
          <w:lang w:val="en-US" w:eastAsia="zh-CN"/>
        </w:rPr>
        <w:t>09</w:t>
      </w:r>
      <w:r>
        <w:rPr>
          <w:rFonts w:hint="eastAsia" w:ascii="宋体" w:hAnsi="宋体" w:eastAsia="宋体" w:cs="宋体"/>
          <w:b/>
          <w:sz w:val="24"/>
          <w:szCs w:val="24"/>
          <w:highlight w:val="none"/>
        </w:rPr>
        <w:t>时30分</w:t>
      </w:r>
      <w:r>
        <w:rPr>
          <w:rFonts w:hint="eastAsia" w:ascii="宋体" w:hAnsi="宋体" w:eastAsia="宋体" w:cs="宋体"/>
          <w:sz w:val="24"/>
          <w:szCs w:val="24"/>
          <w:highlight w:val="none"/>
        </w:rPr>
        <w:t>（北京时间）前递交投标文件。</w:t>
      </w:r>
    </w:p>
    <w:p w14:paraId="1566A39D">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14:paraId="3071AC9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1.1项目编号：</w:t>
      </w:r>
      <w:r>
        <w:rPr>
          <w:rFonts w:hint="eastAsia" w:ascii="宋体" w:hAnsi="宋体" w:eastAsia="宋体" w:cs="宋体"/>
          <w:sz w:val="24"/>
          <w:szCs w:val="24"/>
          <w:highlight w:val="none"/>
          <w:lang w:eastAsia="zh-CN"/>
        </w:rPr>
        <w:t>TDCG2025025</w:t>
      </w:r>
    </w:p>
    <w:p w14:paraId="0CC7321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1.2项目名称：</w:t>
      </w:r>
      <w:r>
        <w:rPr>
          <w:rFonts w:hint="eastAsia" w:ascii="宋体" w:hAnsi="宋体" w:eastAsia="宋体" w:cs="宋体"/>
          <w:sz w:val="24"/>
          <w:szCs w:val="24"/>
          <w:highlight w:val="none"/>
          <w:lang w:eastAsia="zh-CN"/>
        </w:rPr>
        <w:t>南京邮电大学通达学院2025年学生公寓组合床采购</w:t>
      </w:r>
      <w:r>
        <w:rPr>
          <w:rFonts w:hint="eastAsia" w:ascii="宋体" w:hAnsi="宋体" w:eastAsia="宋体" w:cs="宋体"/>
          <w:sz w:val="24"/>
          <w:szCs w:val="24"/>
          <w:highlight w:val="none"/>
        </w:rPr>
        <w:t>项目</w:t>
      </w:r>
    </w:p>
    <w:p w14:paraId="66BAB20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1.3采购内容：</w:t>
      </w:r>
      <w:r>
        <w:rPr>
          <w:rFonts w:hint="eastAsia" w:ascii="宋体" w:hAnsi="宋体" w:eastAsia="宋体" w:cs="宋体"/>
          <w:sz w:val="24"/>
          <w:szCs w:val="24"/>
          <w:highlight w:val="none"/>
          <w:lang w:val="en-US" w:eastAsia="zh-CN"/>
        </w:rPr>
        <w:t>宿舍家具的采购、安装以及调试，详见“第四章 项目需求”</w:t>
      </w:r>
    </w:p>
    <w:p w14:paraId="31AE8E6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1.4预算及最高限价：</w:t>
      </w:r>
      <w:r>
        <w:rPr>
          <w:rFonts w:hint="eastAsia" w:ascii="宋体" w:hAnsi="宋体" w:eastAsia="宋体" w:cs="宋体"/>
          <w:sz w:val="24"/>
          <w:szCs w:val="24"/>
          <w:highlight w:val="none"/>
          <w:lang w:val="en-US" w:eastAsia="zh-CN"/>
        </w:rPr>
        <w:t>47万元</w:t>
      </w:r>
    </w:p>
    <w:p w14:paraId="1F3203C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val="en-US" w:eastAsia="zh-CN"/>
        </w:rPr>
        <w:t>交货期：接到招标人通知后30日内运至指定地点、完成安装并通过验收</w:t>
      </w:r>
    </w:p>
    <w:p w14:paraId="471E010E">
      <w:pPr>
        <w:spacing w:line="360" w:lineRule="auto"/>
        <w:ind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1.6交货地点：招标人指定地点。</w:t>
      </w:r>
    </w:p>
    <w:p w14:paraId="1BD98F5C">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二、申请人的资格要求：</w:t>
      </w:r>
    </w:p>
    <w:p w14:paraId="0B0C35D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148406D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（1）供应商必须是经国家有关部门批准，具有独立承担民事责任能力的独立法人或其他组织；</w:t>
      </w:r>
    </w:p>
    <w:p w14:paraId="3E4D681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供应商须具有良好的商业信誉和健全的财务会计制度（提供经审计的2023年度或最新一年度的财务报告，或银行出具的资信证明，或财政部门认可的专业担保机构出具的投标担保函；法人或者其他组织成立未满一年的可以不提供）；</w:t>
      </w:r>
    </w:p>
    <w:p w14:paraId="6AA90BE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（3）供应商需提供依法缴纳税收和社会保障资金的相关材料；</w:t>
      </w:r>
    </w:p>
    <w:p w14:paraId="1AB980C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（4）供应商具有履行合同所必需的设备和专业技术能力的书面声明；</w:t>
      </w:r>
    </w:p>
    <w:p w14:paraId="655D688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（5）供应商在经营活动中没有违法违规记录，近三年内没有被司法部门或行业主管部门处罚，提供书面声明；</w:t>
      </w:r>
    </w:p>
    <w:p w14:paraId="1DD62B4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（6）供应商须提供在“信用中国”（www.creditchina.gov.cn）或“诚信江苏”（www.jscredit.gov.cn）或中国政府采购网（www.ccgp.gov.cn）查询的、自本招标公告发布之日至投标截止前的信用记录的截图（截图须加盖公章）；</w:t>
      </w:r>
    </w:p>
    <w:p w14:paraId="198C18F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2.落实政府采购政策需满足的资格要求：无</w:t>
      </w:r>
    </w:p>
    <w:p w14:paraId="65F8627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3.本项目的特定资格要求：</w:t>
      </w:r>
      <w:r>
        <w:rPr>
          <w:rFonts w:hint="eastAsia" w:ascii="宋体" w:hAnsi="宋体" w:eastAsia="宋体" w:cs="宋体"/>
          <w:sz w:val="24"/>
          <w:szCs w:val="24"/>
          <w:highlight w:val="none"/>
          <w:lang w:val="en-US" w:eastAsia="zh-CN"/>
        </w:rPr>
        <w:t>无</w:t>
      </w:r>
    </w:p>
    <w:p w14:paraId="7CEC720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4.本项目拒绝下述投标人参加投标：</w:t>
      </w:r>
    </w:p>
    <w:p w14:paraId="43148FA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4.1投标人单位负责人为同一人或者存在直接控股、管理关系的不同投标人，不得参加同一合同项下的政府采购活动。</w:t>
      </w:r>
    </w:p>
    <w:p w14:paraId="393AD82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4.2凡为采购项目提供整体设计、规范编制或者项目管理、监理、检测等服务的投标人，不得再参加本项目的采购活动。</w:t>
      </w:r>
    </w:p>
    <w:p w14:paraId="7D61B82B">
      <w:pPr>
        <w:spacing w:line="360" w:lineRule="auto"/>
        <w:ind w:firstLine="480" w:firstLineChars="200"/>
        <w:rPr>
          <w:rFonts w:ascii="Calibri" w:hAnsi="Calibri" w:eastAsia="宋体" w:cs="Times New Roman"/>
          <w:szCs w:val="22"/>
          <w:highlight w:val="none"/>
        </w:rPr>
      </w:pPr>
      <w:r>
        <w:rPr>
          <w:rFonts w:hint="eastAsia" w:ascii="宋体" w:hAnsi="宋体" w:eastAsia="宋体" w:cs="宋体"/>
          <w:sz w:val="24"/>
          <w:szCs w:val="24"/>
          <w:highlight w:val="none"/>
        </w:rPr>
        <w:t>4.3投标人被“信用中国”网站（www.creditchina.gov.cn）、“中国政府采购网”(www.ccgp.gov.cn)列入失信被执行人、重大税收违法案件当事人名单、政府采购严重违法失信行为记录名单。</w:t>
      </w:r>
    </w:p>
    <w:p w14:paraId="2F096007">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三、获取招标文件</w:t>
      </w:r>
    </w:p>
    <w:p w14:paraId="164937A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7月18</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7月24</w:t>
      </w:r>
      <w:r>
        <w:rPr>
          <w:rFonts w:hint="eastAsia" w:ascii="宋体" w:hAnsi="宋体" w:eastAsia="宋体" w:cs="宋体"/>
          <w:sz w:val="24"/>
          <w:szCs w:val="24"/>
          <w:highlight w:val="none"/>
        </w:rPr>
        <w:t>日</w:t>
      </w:r>
    </w:p>
    <w:p w14:paraId="0B123DC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方式：</w:t>
      </w:r>
    </w:p>
    <w:p w14:paraId="3AA87D9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报名需将下述资料盖章扫描件（1份）发邮件至</w:t>
      </w:r>
      <w:r>
        <w:rPr>
          <w:rFonts w:hint="eastAsia" w:ascii="宋体" w:hAnsi="宋体" w:eastAsia="宋体" w:cs="宋体"/>
          <w:sz w:val="24"/>
          <w:szCs w:val="24"/>
          <w:highlight w:val="none"/>
          <w:lang w:eastAsia="zh-CN"/>
        </w:rPr>
        <w:t>zhuxiaoqi_xm@cicdi.cn</w:t>
      </w:r>
      <w:r>
        <w:rPr>
          <w:rFonts w:hint="eastAsia" w:ascii="宋体" w:hAnsi="宋体" w:eastAsia="宋体" w:cs="宋体"/>
          <w:sz w:val="24"/>
          <w:szCs w:val="24"/>
          <w:highlight w:val="none"/>
        </w:rPr>
        <w:t>，进行线上报名：</w:t>
      </w:r>
    </w:p>
    <w:p w14:paraId="68A3DAC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（1）营业执照副本；</w:t>
      </w:r>
    </w:p>
    <w:p w14:paraId="70F307C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（2）法人授权委托书和被授权人身份证；</w:t>
      </w:r>
    </w:p>
    <w:p w14:paraId="1341672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（3）标书费付款凭证。</w:t>
      </w:r>
    </w:p>
    <w:p w14:paraId="3CF7DF0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售价：300元人民币</w:t>
      </w:r>
    </w:p>
    <w:p w14:paraId="5E546A7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汇款账号信息如下：</w:t>
      </w:r>
    </w:p>
    <w:p w14:paraId="6AFC8D1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收款单位：中通服咨询设计研究院有限公司</w:t>
      </w:r>
    </w:p>
    <w:p w14:paraId="70AB556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开户银行：招商银行股份有限公司南京城北支行</w:t>
      </w:r>
    </w:p>
    <w:p w14:paraId="02CD8B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    号：12590209571000100002008</w:t>
      </w:r>
    </w:p>
    <w:p w14:paraId="21ED35B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转帐事由：项目名称（可简写）+ 标书费</w:t>
      </w:r>
    </w:p>
    <w:p w14:paraId="50D4308B">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四、提交投标文件截止时间、开标时间和地点</w:t>
      </w:r>
    </w:p>
    <w:p w14:paraId="771415D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提交投标文件截止时间及开标时间：</w:t>
      </w:r>
      <w:r>
        <w:rPr>
          <w:rFonts w:hint="eastAsia" w:ascii="宋体" w:hAnsi="宋体" w:eastAsia="宋体" w:cs="宋体"/>
          <w:sz w:val="24"/>
          <w:szCs w:val="24"/>
          <w:highlight w:val="none"/>
          <w:lang w:eastAsia="zh-CN"/>
        </w:rPr>
        <w:t>2025年7月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时30分（北京时间）</w:t>
      </w:r>
    </w:p>
    <w:p w14:paraId="308384E8">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提交投标文件及开标地点：江苏省扬州市邗江区江阳中路万象汇利大厦6楼会议室</w:t>
      </w:r>
      <w:r>
        <w:rPr>
          <w:rFonts w:hint="eastAsia" w:ascii="宋体" w:hAnsi="宋体" w:eastAsia="宋体" w:cs="宋体"/>
          <w:sz w:val="24"/>
          <w:szCs w:val="24"/>
          <w:highlight w:val="none"/>
          <w:lang w:eastAsia="zh-CN"/>
        </w:rPr>
        <w:t>。</w:t>
      </w:r>
    </w:p>
    <w:p w14:paraId="1F0E69C6">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五、公告期限</w:t>
      </w:r>
    </w:p>
    <w:p w14:paraId="1551104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3ABD4F7E">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14:paraId="27E648C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拒绝下述供应商参加本次采购活动：</w:t>
      </w:r>
    </w:p>
    <w:p w14:paraId="4C2152F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投标人</w:t>
      </w:r>
      <w:r>
        <w:rPr>
          <w:rFonts w:ascii="宋体" w:hAnsi="宋体" w:eastAsia="宋体" w:cs="宋体"/>
          <w:sz w:val="24"/>
          <w:szCs w:val="24"/>
          <w:highlight w:val="none"/>
        </w:rPr>
        <w:t>单位负责人为同一人或者存在直接控股、管理关系的不同</w:t>
      </w:r>
      <w:r>
        <w:rPr>
          <w:rFonts w:hint="eastAsia" w:ascii="宋体" w:hAnsi="宋体" w:eastAsia="宋体" w:cs="宋体"/>
          <w:sz w:val="24"/>
          <w:szCs w:val="24"/>
          <w:highlight w:val="none"/>
        </w:rPr>
        <w:t>投标人</w:t>
      </w:r>
      <w:r>
        <w:rPr>
          <w:rFonts w:ascii="宋体" w:hAnsi="宋体" w:eastAsia="宋体" w:cs="宋体"/>
          <w:sz w:val="24"/>
          <w:szCs w:val="24"/>
          <w:highlight w:val="none"/>
        </w:rPr>
        <w:t>，不得参加同一合同项下的政府采购活动。</w:t>
      </w:r>
    </w:p>
    <w:p w14:paraId="4E5A445B">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.2凡为采购项目提供整体设计、规范编制或者项目管理、监理、检测等服务的</w:t>
      </w:r>
      <w:r>
        <w:rPr>
          <w:rFonts w:hint="eastAsia" w:ascii="宋体" w:hAnsi="宋体" w:eastAsia="宋体" w:cs="宋体"/>
          <w:sz w:val="24"/>
          <w:szCs w:val="24"/>
          <w:highlight w:val="none"/>
        </w:rPr>
        <w:t>投标人</w:t>
      </w:r>
      <w:r>
        <w:rPr>
          <w:rFonts w:ascii="宋体" w:hAnsi="宋体" w:eastAsia="宋体" w:cs="宋体"/>
          <w:sz w:val="24"/>
          <w:szCs w:val="24"/>
          <w:highlight w:val="none"/>
        </w:rPr>
        <w:t>，不得再参加该项目的其他采购活动。</w:t>
      </w:r>
    </w:p>
    <w:p w14:paraId="57211E4C">
      <w:pPr>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七、对本次招标提出询问，请按以下方式联系。</w:t>
      </w:r>
    </w:p>
    <w:p w14:paraId="4FE686E5">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1.招标人信息</w:t>
      </w:r>
    </w:p>
    <w:p w14:paraId="190BA6B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名 称：南京邮电大学通达学院</w:t>
      </w:r>
    </w:p>
    <w:p w14:paraId="0075498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 址：扬州市邗江区润扬南路33号</w:t>
      </w:r>
    </w:p>
    <w:p w14:paraId="06813A66">
      <w:pPr>
        <w:widowControl/>
        <w:tabs>
          <w:tab w:val="right" w:leader="dot" w:pos="8777"/>
        </w:tabs>
        <w:spacing w:line="360" w:lineRule="auto"/>
        <w:jc w:val="left"/>
        <w:rPr>
          <w:rFonts w:ascii="Times New Roman" w:hAnsi="Times New Roman" w:eastAsia="黑体" w:cs="Times New Roman"/>
          <w:kern w:val="0"/>
          <w:sz w:val="24"/>
          <w:szCs w:val="22"/>
          <w:highlight w:val="none"/>
          <w:lang w:val="en-US" w:eastAsia="zh-CN" w:bidi="ar-SA"/>
        </w:rPr>
      </w:pPr>
      <w:r>
        <w:rPr>
          <w:rFonts w:hint="eastAsia" w:ascii="宋体" w:hAnsi="宋体" w:eastAsia="宋体" w:cs="宋体"/>
          <w:kern w:val="0"/>
          <w:sz w:val="24"/>
          <w:szCs w:val="24"/>
          <w:highlight w:val="none"/>
          <w:lang w:val="en-US" w:eastAsia="zh-CN" w:bidi="ar-SA"/>
        </w:rPr>
        <w:t xml:space="preserve">    联系人：季老师</w:t>
      </w:r>
    </w:p>
    <w:p w14:paraId="68A5795D">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59DEAF0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名 称：中通服咨询设计研究院有限公司</w:t>
      </w:r>
    </w:p>
    <w:p w14:paraId="0B16E84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　址：南京市建邺区楠溪江东街58号</w:t>
      </w:r>
    </w:p>
    <w:p w14:paraId="3C2C0D0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朱晓琦</w:t>
      </w:r>
      <w:r>
        <w:rPr>
          <w:rFonts w:hint="eastAsia" w:ascii="宋体" w:hAnsi="宋体" w:eastAsia="宋体" w:cs="宋体"/>
          <w:sz w:val="24"/>
          <w:szCs w:val="24"/>
          <w:highlight w:val="none"/>
        </w:rPr>
        <w:t>（报名）、郑春雅、胡洋、徐敏</w:t>
      </w:r>
    </w:p>
    <w:p w14:paraId="6500892F">
      <w:pPr>
        <w:ind w:firstLine="480" w:firstLineChars="200"/>
        <w:rPr>
          <w:rFonts w:ascii="Calibri" w:hAnsi="Calibri" w:eastAsia="宋体" w:cs="Times New Roman"/>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13216757132</w:t>
      </w:r>
    </w:p>
    <w:p w14:paraId="04610098">
      <w:pPr>
        <w:spacing w:line="360" w:lineRule="auto"/>
        <w:ind w:firstLine="720" w:firstLineChars="200"/>
        <w:rPr>
          <w:rFonts w:ascii="宋体" w:hAnsi="宋体" w:eastAsia="宋体" w:cs="宋体"/>
          <w:kern w:val="44"/>
          <w:sz w:val="36"/>
          <w:szCs w:val="36"/>
          <w:highlight w:val="none"/>
          <w:u w:color="000000"/>
          <w:lang w:val="zh-TW" w:eastAsia="zh-TW"/>
        </w:rPr>
      </w:pPr>
      <w:r>
        <w:rPr>
          <w:rFonts w:hint="eastAsia" w:ascii="宋体" w:hAnsi="宋体" w:eastAsia="宋体" w:cs="宋体"/>
          <w:kern w:val="44"/>
          <w:sz w:val="36"/>
          <w:szCs w:val="36"/>
          <w:highlight w:val="none"/>
          <w:u w:color="000000"/>
          <w:lang w:val="zh-TW" w:eastAsia="zh-TW"/>
        </w:rPr>
        <w:br w:type="page"/>
      </w:r>
    </w:p>
    <w:p w14:paraId="2C19E3B9">
      <w:pPr>
        <w:keepNext/>
        <w:keepLines/>
        <w:spacing w:before="312" w:beforeLines="100" w:after="312" w:afterLines="100" w:line="360" w:lineRule="auto"/>
        <w:jc w:val="center"/>
        <w:outlineLvl w:val="0"/>
        <w:rPr>
          <w:rFonts w:ascii="宋体" w:hAnsi="宋体" w:eastAsia="宋体" w:cs="宋体"/>
          <w:kern w:val="44"/>
          <w:sz w:val="36"/>
          <w:szCs w:val="36"/>
          <w:highlight w:val="none"/>
          <w:u w:color="000000"/>
          <w:lang w:val="zh-TW" w:eastAsia="zh-TW"/>
        </w:rPr>
      </w:pPr>
      <w:bookmarkStart w:id="7" w:name="_Toc30510"/>
      <w:r>
        <w:rPr>
          <w:rFonts w:hint="eastAsia" w:ascii="宋体" w:hAnsi="宋体" w:eastAsia="宋体" w:cs="宋体"/>
          <w:kern w:val="44"/>
          <w:sz w:val="36"/>
          <w:szCs w:val="36"/>
          <w:highlight w:val="none"/>
          <w:u w:color="000000"/>
          <w:lang w:val="zh-TW" w:eastAsia="zh-TW"/>
        </w:rPr>
        <w:t xml:space="preserve">第二章  </w:t>
      </w:r>
      <w:r>
        <w:rPr>
          <w:rFonts w:hint="eastAsia" w:ascii="宋体" w:hAnsi="宋体" w:eastAsia="宋体" w:cs="宋体"/>
          <w:kern w:val="44"/>
          <w:sz w:val="36"/>
          <w:szCs w:val="36"/>
          <w:highlight w:val="none"/>
          <w:u w:color="000000"/>
          <w:lang w:val="zh-TW"/>
        </w:rPr>
        <w:t>投标人</w:t>
      </w:r>
      <w:r>
        <w:rPr>
          <w:rFonts w:hint="eastAsia" w:ascii="宋体" w:hAnsi="宋体" w:eastAsia="宋体" w:cs="宋体"/>
          <w:kern w:val="44"/>
          <w:sz w:val="36"/>
          <w:szCs w:val="36"/>
          <w:highlight w:val="none"/>
          <w:u w:color="000000"/>
          <w:lang w:val="zh-TW" w:eastAsia="zh-TW"/>
        </w:rPr>
        <w:t>须知</w:t>
      </w:r>
      <w:bookmarkEnd w:id="4"/>
      <w:bookmarkEnd w:id="5"/>
      <w:bookmarkEnd w:id="6"/>
      <w:bookmarkEnd w:id="7"/>
    </w:p>
    <w:p w14:paraId="3A23EBB3">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一、总则</w:t>
      </w:r>
    </w:p>
    <w:p w14:paraId="60FFBF2E">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l、采购方式</w:t>
      </w:r>
    </w:p>
    <w:p w14:paraId="078A02AD">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1.1本次采购采用公开招标方式，本招标文件仅适用于招标公告中所述项目。</w:t>
      </w:r>
    </w:p>
    <w:p w14:paraId="4B4BE516">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2、合格的投标人</w:t>
      </w:r>
    </w:p>
    <w:p w14:paraId="2600D30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2.1满足招标公告中投标人资质要求的规定。</w:t>
      </w:r>
    </w:p>
    <w:p w14:paraId="4A1D161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 满足本文件实质性条款的规定。</w:t>
      </w:r>
    </w:p>
    <w:p w14:paraId="68DB63F9">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3、适用法律</w:t>
      </w:r>
    </w:p>
    <w:p w14:paraId="0D43F7E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3.1本次采购及由本次采购产生的合同受中华人民共和国有关法律法规制约和保护。</w:t>
      </w:r>
    </w:p>
    <w:p w14:paraId="252FC123">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4、投标费用</w:t>
      </w:r>
    </w:p>
    <w:p w14:paraId="3678F601">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4.1投标人应自行承担所有参与投标有关费用，无论投标过程中的做法和结果如何，招标人在任何情况下均无义务和责任承担这些费用。</w:t>
      </w:r>
    </w:p>
    <w:p w14:paraId="6F65995A">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的65%收取，最低收费金额为1000元。</w:t>
      </w:r>
    </w:p>
    <w:p w14:paraId="2D52B1C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4.3本项目的专家论证费、专家评审费暂按4500元向中标人收取。具体按实际发生结算。</w:t>
      </w:r>
    </w:p>
    <w:p w14:paraId="50484593">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5、招标文件的约束力</w:t>
      </w:r>
    </w:p>
    <w:p w14:paraId="34E942AA">
      <w:pPr>
        <w:snapToGrid w:val="0"/>
        <w:spacing w:line="360" w:lineRule="auto"/>
        <w:ind w:firstLine="480" w:firstLineChars="200"/>
        <w:rPr>
          <w:rFonts w:ascii="宋体" w:hAnsi="宋体" w:eastAsia="宋体" w:cs="宋体"/>
          <w:highlight w:val="none"/>
        </w:rPr>
      </w:pPr>
      <w:r>
        <w:rPr>
          <w:rFonts w:hint="eastAsia" w:ascii="宋体" w:hAnsi="宋体" w:eastAsia="宋体" w:cs="宋体"/>
          <w:sz w:val="24"/>
          <w:szCs w:val="24"/>
          <w:highlight w:val="none"/>
        </w:rPr>
        <w:t>5.1投标人一旦下载了本招标文件并参与投标，即被认为接受了本招标文件中的所有条件和规定。</w:t>
      </w:r>
    </w:p>
    <w:p w14:paraId="373CD0EA">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二、招标文件</w:t>
      </w:r>
    </w:p>
    <w:p w14:paraId="6B7EEC2A">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6、招标文件的构成</w:t>
      </w:r>
    </w:p>
    <w:p w14:paraId="450B273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6.1招标文件由以下部分组成：</w:t>
      </w:r>
    </w:p>
    <w:p w14:paraId="63FA1672">
      <w:pPr>
        <w:snapToGrid w:val="0"/>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（1）招标公告</w:t>
      </w:r>
    </w:p>
    <w:p w14:paraId="3390E39D">
      <w:pPr>
        <w:snapToGrid w:val="0"/>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（2）投标人须知</w:t>
      </w:r>
    </w:p>
    <w:p w14:paraId="2ABB8E52">
      <w:pPr>
        <w:snapToGrid w:val="0"/>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（3）合同条款及格式</w:t>
      </w:r>
    </w:p>
    <w:p w14:paraId="4DE37320">
      <w:pPr>
        <w:snapToGrid w:val="0"/>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（4）项目需求</w:t>
      </w:r>
    </w:p>
    <w:p w14:paraId="4B53FD01">
      <w:pPr>
        <w:snapToGrid w:val="0"/>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（5）评标方法与评标标准</w:t>
      </w:r>
    </w:p>
    <w:p w14:paraId="23A67142">
      <w:pPr>
        <w:snapToGrid w:val="0"/>
        <w:spacing w:line="360" w:lineRule="auto"/>
        <w:ind w:firstLine="360" w:firstLineChars="150"/>
        <w:rPr>
          <w:rFonts w:ascii="宋体" w:hAnsi="宋体" w:eastAsia="宋体" w:cs="宋体"/>
          <w:sz w:val="24"/>
          <w:szCs w:val="24"/>
          <w:highlight w:val="none"/>
        </w:rPr>
      </w:pPr>
      <w:r>
        <w:rPr>
          <w:rFonts w:hint="eastAsia" w:ascii="宋体" w:hAnsi="宋体" w:eastAsia="宋体" w:cs="宋体"/>
          <w:sz w:val="24"/>
          <w:szCs w:val="24"/>
          <w:highlight w:val="none"/>
        </w:rPr>
        <w:t>（6）投标文件格式</w:t>
      </w:r>
    </w:p>
    <w:p w14:paraId="2F95D5FA">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请仔细检查招标文件是否齐全，如有缺漏请立即与招标代理机构联系解决。</w:t>
      </w:r>
    </w:p>
    <w:p w14:paraId="30E2BF1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00CF7B1">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7、招标文件的澄清</w:t>
      </w:r>
    </w:p>
    <w:p w14:paraId="668DA9A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任何要求对招标文件进行澄清的投标人，均应在投标截止期前十日前以书面形式通知招标人。</w:t>
      </w:r>
    </w:p>
    <w:p w14:paraId="201CCE81">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8、招标文件的修改</w:t>
      </w:r>
    </w:p>
    <w:p w14:paraId="1EE3BDB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8.l在投标截止日期前，无论何种原因，招标人均可主动或在解答投标人提出的澄清问题时对招标文件进行修改。</w:t>
      </w:r>
    </w:p>
    <w:p w14:paraId="2C23E4F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8.2招标文件的修改将在“南京邮电大学采购招标管理办公室网站及南京邮电大学通达学院采购招标信息网”网站上公布，并对所有投标人具有约束力。</w:t>
      </w:r>
    </w:p>
    <w:p w14:paraId="008FBAC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8.3为使投标人编写标书有充分时间对标书文件的修改部分进行分析、研究，招标人有权推迟投标截止日期和开标日期，并将此变更书面通知所有购买招标文件的投标人。</w:t>
      </w:r>
    </w:p>
    <w:p w14:paraId="386111EC">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三、投标文件的编制</w:t>
      </w:r>
    </w:p>
    <w:p w14:paraId="618B76EC">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9、投标语言及度量衡单位</w:t>
      </w:r>
    </w:p>
    <w:p w14:paraId="230219E1">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9.1投标人提供的投标文件以及投标人与招标人就有关投标的所有来往通知、函件和文件均使用</w:t>
      </w:r>
      <w:r>
        <w:rPr>
          <w:rFonts w:hint="eastAsia" w:ascii="宋体" w:hAnsi="宋体" w:eastAsia="宋体" w:cs="宋体"/>
          <w:b/>
          <w:sz w:val="24"/>
          <w:szCs w:val="24"/>
          <w:highlight w:val="none"/>
        </w:rPr>
        <w:t>简体中文</w:t>
      </w:r>
      <w:r>
        <w:rPr>
          <w:rFonts w:hint="eastAsia" w:ascii="宋体" w:hAnsi="宋体" w:eastAsia="宋体" w:cs="宋体"/>
          <w:sz w:val="24"/>
          <w:szCs w:val="24"/>
          <w:highlight w:val="none"/>
        </w:rPr>
        <w:t>。</w:t>
      </w:r>
    </w:p>
    <w:p w14:paraId="6E946FA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9.2除技术性能另有规定外，投标文件所使用的度量衡单位，均采用国家法定计量单位。</w:t>
      </w:r>
    </w:p>
    <w:p w14:paraId="1F2E9EAA">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10、投标文件的构成</w:t>
      </w:r>
    </w:p>
    <w:p w14:paraId="2CE4565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投标人编写的投标文件应包括下列部分：</w:t>
      </w:r>
    </w:p>
    <w:p w14:paraId="30C9598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10.1投标文件目录；</w:t>
      </w:r>
    </w:p>
    <w:p w14:paraId="045158D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10.2投标函：须含投标人的开户名称、开户银行、账号、电话、传真、E-mail等联系方式；</w:t>
      </w:r>
    </w:p>
    <w:p w14:paraId="3178241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10.3投标人资格证明材料；</w:t>
      </w:r>
    </w:p>
    <w:p w14:paraId="5DC752FF">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（1）法人或者其他组织的营业执照等证明文件（复印件）；</w:t>
      </w:r>
    </w:p>
    <w:p w14:paraId="45143B6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（2）相关资质证明材料（复印件）；</w:t>
      </w:r>
    </w:p>
    <w:p w14:paraId="570D615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（3）法人授权委托书（复印件）；</w:t>
      </w:r>
    </w:p>
    <w:p w14:paraId="605A13F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（4）法定代表人的身份证复印件；</w:t>
      </w:r>
    </w:p>
    <w:p w14:paraId="7D917A92">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（5）授权代表的身份证复印件（开标现场查验原件）；</w:t>
      </w:r>
    </w:p>
    <w:p w14:paraId="3A2FDD6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（6）具有项目必须的技术条件或经营能力的书面声明；</w:t>
      </w:r>
    </w:p>
    <w:p w14:paraId="53342BE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（7）无违法违规记录声明；</w:t>
      </w:r>
    </w:p>
    <w:p w14:paraId="35E52A9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（8）招标文件中的其他资格性要求（详见招标公告第二条投标人资格要求）。</w:t>
      </w:r>
    </w:p>
    <w:p w14:paraId="164443D8">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上述文件均应加盖公章。</w:t>
      </w:r>
    </w:p>
    <w:p w14:paraId="37A6E422">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10.4开标一览表：</w:t>
      </w:r>
    </w:p>
    <w:p w14:paraId="2F66100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（1）投标人应按照招标文件中提供的格式完整、正确地填写开标一览表。</w:t>
      </w:r>
    </w:p>
    <w:p w14:paraId="705D571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投标人应采用分项报价最终汇总的方式进行，按照招标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14:paraId="5BBAE27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（3）报价采取总承包方式，包括所投产品、安装调试、服务、运输、税金及其它有关的为完成本项目发生的所有费用，招标文件中另有规定的除外。国产设备以人民币报价。</w:t>
      </w:r>
    </w:p>
    <w:p w14:paraId="0790F46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14:paraId="5B21F8E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（5）报价必须充分考虑所有可能影响到报价的价格因素，一旦投标结束最终成交，总价将包定，合同期内不予调整。如发生漏、缺、少项，都将被认为是中标人的报价让利行为。</w:t>
      </w:r>
    </w:p>
    <w:p w14:paraId="361B854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14:paraId="0BF43482">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10.6投标人按照投标文件中商务条款提供交货安装、工期保证等方案以及产品售后服务和质量承诺，并附《商务条款响应及偏离表》；</w:t>
      </w:r>
    </w:p>
    <w:p w14:paraId="3D522D98">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10.7投标人的业绩情况；</w:t>
      </w:r>
    </w:p>
    <w:p w14:paraId="10D05B8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10.8投标人认为有必要提供的文件材料；</w:t>
      </w:r>
    </w:p>
    <w:p w14:paraId="3B6B6F7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10.9投标人应将投标文件按上述顺序分别装订成册。</w:t>
      </w:r>
    </w:p>
    <w:p w14:paraId="23B7A749">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11、其它费用处理</w:t>
      </w:r>
    </w:p>
    <w:p w14:paraId="30ABE83A">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招标文件未列明，而投标单位认为必需的费用也需列入报价。</w:t>
      </w:r>
    </w:p>
    <w:p w14:paraId="62E5FE45">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12、投标保证金</w:t>
      </w:r>
    </w:p>
    <w:p w14:paraId="16BFD4BF">
      <w:pPr>
        <w:snapToGrid w:val="0"/>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本次招标不收取投标保证金。</w:t>
      </w:r>
    </w:p>
    <w:p w14:paraId="4823E82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12.1在开标时，对于未按要求提交投标保证金的投标无效。</w:t>
      </w:r>
    </w:p>
    <w:p w14:paraId="10B2419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12.2投标保证金是为了保护招标人免遭因投标人的不良行为而蒙受的损失，招标人在因投标人的行为遭受损失时，可根据第12.4条的规定没收投标人的投标保证金。</w:t>
      </w:r>
    </w:p>
    <w:p w14:paraId="7F06539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12.3未中标的投标人的投标保证金，将在中标通知书发出之日起5个工作日内退还，但不计利息。</w:t>
      </w:r>
    </w:p>
    <w:p w14:paraId="7C5C25E8">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12.4下列任何情况发生时，投标保证金将被没收：</w:t>
      </w:r>
    </w:p>
    <w:p w14:paraId="07F8340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(1)投标人在投标有效期内撤回其投标；</w:t>
      </w:r>
    </w:p>
    <w:p w14:paraId="04C52201">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(2)投标人提供的有关资料、资格证明文件被确认是不真实的；</w:t>
      </w:r>
    </w:p>
    <w:p w14:paraId="1E9AFF8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(3)投标人之间被证实有串通（统一哄抬价格）、欺诈行为；</w:t>
      </w:r>
    </w:p>
    <w:p w14:paraId="5614EE8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(4)投标人被证明有妨碍其他人公平竞争、损害招标人或者其他投标人合法权益的；</w:t>
      </w:r>
    </w:p>
    <w:p w14:paraId="46591F6C">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(5)中标人在规定期限内未能按本规定签订合同；</w:t>
      </w:r>
    </w:p>
    <w:p w14:paraId="5DE906C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(6)中标人在规定期限内不同意交纳履约保证金。</w:t>
      </w:r>
    </w:p>
    <w:p w14:paraId="3D34E817">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13、投标有效期</w:t>
      </w:r>
    </w:p>
    <w:p w14:paraId="3AEA8C3A">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投标有效期为招标人规定的开标之日后九十（90）天内有效。如果招标人在有效期之内，可向投标人提出延长投标有效期的要求。要求与答复均应采用书面形式。</w:t>
      </w:r>
      <w:r>
        <w:rPr>
          <w:rFonts w:hint="eastAsia" w:ascii="宋体" w:hAnsi="宋体" w:eastAsia="宋体" w:cs="宋体"/>
          <w:bCs/>
          <w:snapToGrid w:val="0"/>
          <w:kern w:val="21"/>
          <w:sz w:val="24"/>
          <w:szCs w:val="24"/>
          <w:highlight w:val="none"/>
        </w:rPr>
        <w:t>投标人可以拒绝招标人的这一要求而放弃投标，</w:t>
      </w:r>
      <w:r>
        <w:rPr>
          <w:rFonts w:hint="eastAsia" w:ascii="宋体" w:hAnsi="宋体" w:eastAsia="宋体" w:cs="宋体"/>
          <w:snapToGrid w:val="0"/>
          <w:kern w:val="21"/>
          <w:sz w:val="24"/>
          <w:szCs w:val="24"/>
          <w:highlight w:val="none"/>
        </w:rPr>
        <w:t>招标人在接到投标人书面答复后，将在原投标有效期满后五日内</w:t>
      </w:r>
      <w:r>
        <w:rPr>
          <w:rFonts w:hint="eastAsia" w:ascii="宋体" w:hAnsi="宋体" w:eastAsia="宋体" w:cs="宋体"/>
          <w:bCs/>
          <w:snapToGrid w:val="0"/>
          <w:kern w:val="21"/>
          <w:sz w:val="24"/>
          <w:szCs w:val="24"/>
          <w:highlight w:val="none"/>
        </w:rPr>
        <w:t>无息退还其投标保证金</w:t>
      </w:r>
      <w:r>
        <w:rPr>
          <w:rFonts w:hint="eastAsia" w:ascii="宋体" w:hAnsi="宋体" w:eastAsia="宋体" w:cs="宋体"/>
          <w:snapToGrid w:val="0"/>
          <w:kern w:val="21"/>
          <w:sz w:val="24"/>
          <w:szCs w:val="24"/>
          <w:highlight w:val="none"/>
        </w:rPr>
        <w:t>。</w:t>
      </w:r>
      <w:r>
        <w:rPr>
          <w:rFonts w:hint="eastAsia" w:ascii="宋体" w:hAnsi="宋体" w:eastAsia="宋体" w:cs="宋体"/>
          <w:bCs/>
          <w:snapToGrid w:val="0"/>
          <w:kern w:val="21"/>
          <w:sz w:val="24"/>
          <w:szCs w:val="24"/>
          <w:highlight w:val="none"/>
        </w:rPr>
        <w:t>同意延</w:t>
      </w:r>
      <w:r>
        <w:rPr>
          <w:rFonts w:hint="eastAsia" w:ascii="宋体" w:hAnsi="宋体" w:eastAsia="宋体" w:cs="宋体"/>
          <w:sz w:val="24"/>
          <w:szCs w:val="24"/>
          <w:highlight w:val="none"/>
        </w:rPr>
        <w:t>长投标有效期的投标人既不能要求也不允许修改其投标文件。第12条有关投标保证金的没收和退还的规定在延长期内继续有效，同时受投标有效期约束的所有权利与义务均延长至新的有效期。</w:t>
      </w:r>
    </w:p>
    <w:p w14:paraId="68C42616">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14、投标文件份数和签署</w:t>
      </w:r>
    </w:p>
    <w:p w14:paraId="4315AB5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l投标文件一式五份(正本一份，副本四份)。一旦正本和副本不符，以正本为准。另外提供投标文件电子版一份（PDF格式，可将完成盖章和签字的纸质版投标文件进行彩色扫描，拷贝到U盘中，跟投标文件一起密封提交）。</w:t>
      </w:r>
    </w:p>
    <w:p w14:paraId="4A9A0E8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14.2投标文件中法定代表人或其授权代表签字。授权代表须将法人代表人以书面形式出具法人代表授权书（原件）附在投标文件中。</w:t>
      </w:r>
    </w:p>
    <w:p w14:paraId="55C106BF">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14.3除投标人对错处做必要修改时，投标文件不得行间插字、涂改或增删。如有修改错漏处，必须由投标文件签署人签字并加盖公章。</w:t>
      </w:r>
    </w:p>
    <w:p w14:paraId="76E5ED52">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四、投标文件的递交</w:t>
      </w:r>
    </w:p>
    <w:p w14:paraId="44C08A3C">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15、投标文件的密封和标记</w:t>
      </w:r>
    </w:p>
    <w:p w14:paraId="545DEF0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15.1</w:t>
      </w:r>
      <w:r>
        <w:rPr>
          <w:rFonts w:hint="eastAsia" w:ascii="宋体" w:hAnsi="宋体" w:eastAsia="宋体" w:cs="宋体"/>
          <w:b/>
          <w:sz w:val="24"/>
          <w:szCs w:val="24"/>
          <w:highlight w:val="none"/>
        </w:rPr>
        <w:t>投标人应将投标文件密封，封口处要贴封签并加盖投标单位公章。</w:t>
      </w:r>
      <w:r>
        <w:rPr>
          <w:rFonts w:hint="eastAsia" w:ascii="宋体" w:hAnsi="宋体" w:eastAsia="宋体" w:cs="宋体"/>
          <w:sz w:val="24"/>
          <w:szCs w:val="24"/>
          <w:highlight w:val="none"/>
        </w:rPr>
        <w:t>不论投标人中标与否，投标文件均不退回。</w:t>
      </w:r>
    </w:p>
    <w:p w14:paraId="41D8EAB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15.2文件袋上应注明投标项目名称、正、副本、投标单位、授权代表姓名及联系方式。如因标注不清而产生的后果由投标人自负。</w:t>
      </w:r>
    </w:p>
    <w:p w14:paraId="25700DD2">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15.3</w:t>
      </w:r>
      <w:r>
        <w:rPr>
          <w:rFonts w:hint="eastAsia" w:ascii="宋体" w:hAnsi="宋体" w:eastAsia="宋体" w:cs="宋体"/>
          <w:bCs/>
          <w:sz w:val="24"/>
          <w:szCs w:val="24"/>
          <w:highlight w:val="none"/>
        </w:rPr>
        <w:t>未按要求密封和加写标记，招标人对误投或过早启封概不负责。对由此造成提前开封的投标文件，招标人将予以拒绝，作无效投标处理。</w:t>
      </w:r>
    </w:p>
    <w:p w14:paraId="77116A51">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16、投标截止日期</w:t>
      </w:r>
    </w:p>
    <w:p w14:paraId="2F29FB9F">
      <w:pPr>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16.1</w:t>
      </w:r>
      <w:r>
        <w:rPr>
          <w:rFonts w:hint="eastAsia" w:ascii="宋体" w:hAnsi="宋体" w:eastAsia="宋体" w:cs="宋体"/>
          <w:bCs/>
          <w:sz w:val="24"/>
          <w:szCs w:val="24"/>
          <w:highlight w:val="none"/>
        </w:rPr>
        <w:t xml:space="preserve"> 招标人收到投标文件的时间不得迟于招标公告中规定的截止时间。</w:t>
      </w:r>
    </w:p>
    <w:p w14:paraId="7A29FD50">
      <w:pPr>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16.2</w:t>
      </w:r>
      <w:r>
        <w:rPr>
          <w:rFonts w:hint="eastAsia" w:ascii="宋体" w:hAnsi="宋体" w:eastAsia="宋体" w:cs="宋体"/>
          <w:bCs/>
          <w:sz w:val="24"/>
          <w:szCs w:val="24"/>
          <w:highlight w:val="none"/>
        </w:rPr>
        <w:t xml:space="preserve"> 招标人可以按照规定，通过修改招标文件有权酌情延长投标截止日期，在此情况下，投标人的所有权利和义务以及投标人受制的截止日期均应以延长后新的截止日期为准。</w:t>
      </w:r>
    </w:p>
    <w:p w14:paraId="00A078ED">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17、迟交的投标文件</w:t>
      </w:r>
    </w:p>
    <w:p w14:paraId="3CCD1CF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迟交的投标文件将被拒收并原封退回。</w:t>
      </w:r>
    </w:p>
    <w:p w14:paraId="24931B19">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18、投标文件的修改和撤回</w:t>
      </w:r>
    </w:p>
    <w:p w14:paraId="24EB82D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18.1投标人在递交投标书后，在规定的投标截止日期前可以修改或撤回其投标文件。修改文件必须在投标截止时间前送达。</w:t>
      </w:r>
    </w:p>
    <w:p w14:paraId="046F754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18.2投标截止日期后不可对其投标文件作任何修改或撤回，否则其投标保证金将被没收。</w:t>
      </w:r>
    </w:p>
    <w:p w14:paraId="0343B7E4">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五、开标与评标</w:t>
      </w:r>
    </w:p>
    <w:p w14:paraId="0CA9111E">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19、开标</w:t>
      </w:r>
    </w:p>
    <w:p w14:paraId="72291BDC">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19.l招标人将在招标文件中规定的时间和地址组织公开开标。投标人法人代表或授权代表须携本人身份证原件参加，如有必要可以让投标人有一定时间的陈述，或接收评标工作组成员的提问后退场。</w:t>
      </w:r>
    </w:p>
    <w:p w14:paraId="7D277ECA">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19.2开标时请投标人授权代表查验投标文件密封情况，确认无误后，招标人当众拆封宣读每份投标文件中“开标一览表”的各项内容，未列入开标一览表的内容一律不在开标时宣读。开标时未宣读的投标报价信息，不得在评标时采用。招标人将指定专人负责开标记录并存档备查，各投标人需仔细核对开标记录相关内容并签字确认。</w:t>
      </w:r>
    </w:p>
    <w:p w14:paraId="710C90FB">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20、评标过程的保密与公正</w:t>
      </w:r>
    </w:p>
    <w:p w14:paraId="2A9D1A0F">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20.l公开开标后，直至通知投标人中标为止，凡是与审查、澄清、评价和比较投标的有关资料，均不得向投标人或与评标无关的人员透露。</w:t>
      </w:r>
    </w:p>
    <w:p w14:paraId="19D325F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20.2投标人试图影响评标或授予合同方面的任何尝试，可能导致该投标人的标被废弃。</w:t>
      </w:r>
    </w:p>
    <w:p w14:paraId="16A18263">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21、投标的澄清</w:t>
      </w:r>
    </w:p>
    <w:p w14:paraId="4DD2837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21.1评标期间，为有助于对投标文件的审查、评价和比较，评标工作组有权要求投标人对其投标文件进行澄清，但并非对每个投标人都作澄清要求。</w:t>
      </w:r>
    </w:p>
    <w:p w14:paraId="4FCB96D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21.2接到澄清要求的投标人应派人按要求做出澄清，书面澄清的内容须由投标人法定代表人或授权代表签署，并作为投标文件的补充部分，但投标的价格和实质性的内容不得做任何更改。</w:t>
      </w:r>
    </w:p>
    <w:p w14:paraId="2E63191F">
      <w:pPr>
        <w:snapToGrid w:val="0"/>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21.3接到澄清要求的投标人如未按规定做出澄清，其风险由投标人自行承担。</w:t>
      </w:r>
    </w:p>
    <w:p w14:paraId="36423FD5">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22、对投标文件的初审</w:t>
      </w:r>
    </w:p>
    <w:p w14:paraId="503F7D3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22.1投标文件初审分为资格性检查和符合性检查。</w:t>
      </w:r>
    </w:p>
    <w:p w14:paraId="1C7C5C7A">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资格性检查：依据法律法规和招标文件的规定，由招标人对投标文件中的资格证明文件进行审查。资格审查的结论，招标人以书面形式向评标工作组进行反馈。</w:t>
      </w:r>
    </w:p>
    <w:p w14:paraId="7D5DED9C">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符合性检查：依据招标文件的规定，由评标工作组从投标文件的有效性、完整性和对招标文件的响应程度进行审查，以确定是否对招标文件的实质性要求作出响应。</w:t>
      </w:r>
    </w:p>
    <w:p w14:paraId="77FF4EB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22.2在详细评标之前，评标工作组将首先审查每份投标文件是否实质性响应了招标文件的要求。实质性响应的投标应该是与招标文件要求的全部条款、条件和规格相符，没有重大偏离或保留的投标。</w:t>
      </w:r>
    </w:p>
    <w:p w14:paraId="7039373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10971F5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22.3如果投标文件实质上没有响应招标文件的要求，评标工作组将予以拒绝，投标人不得通过修改或撤销不合要求的偏离或保留而使其投标成为实质性响应的投标。</w:t>
      </w:r>
    </w:p>
    <w:p w14:paraId="576779D1">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22.4评标工作组将对确定为实质性响应的投标进行进一步审核，看其是否有计算上或累加上的算术错误，修正错误的原则如下：</w:t>
      </w:r>
    </w:p>
    <w:p w14:paraId="0C0FAD5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（1）如果用数字表示的金额和用文字表示的金额不一致时，应以文字表示的金额为准进行修正；</w:t>
      </w:r>
    </w:p>
    <w:p w14:paraId="4EE4645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（2）当单价与数量的乘积和总价不一致时，以单价为准进行修正。只有在评标工作组认为单价有明显的小数点错误时，才能以标出的总价为准，并修改单价。</w:t>
      </w:r>
    </w:p>
    <w:p w14:paraId="713A408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22.5评标工作组将按上述修正错误的方法调整投标文件中的投标报价，调整后的价格应对投标人具有约束力。如果投标人不接受修正后的价格，则其投标将被拒绝，其投标保证金不予退还。</w:t>
      </w:r>
    </w:p>
    <w:p w14:paraId="4178E85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22.6评标工作组将允许修正投标文件中不构成重大偏离的、微小的、非正规的、不一致的或不规则的地方，但这些修改不能影响任何投标人相应的名次排列。</w:t>
      </w:r>
    </w:p>
    <w:p w14:paraId="3CA8F99D">
      <w:pPr>
        <w:shd w:val="clear" w:color="auto" w:fill="FFFFFF"/>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23、无效投标条款和废标条款</w:t>
      </w:r>
    </w:p>
    <w:p w14:paraId="3FB3A12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23.1无效投标条款：</w:t>
      </w:r>
    </w:p>
    <w:p w14:paraId="38135B4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（1）未按要求交纳投标保证金的；</w:t>
      </w:r>
    </w:p>
    <w:p w14:paraId="6FDE0E4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（2）未按照招标文件规定要求密封、签署、盖章的；</w:t>
      </w:r>
    </w:p>
    <w:p w14:paraId="0DA99D1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（3）投标人在报价时采用选择性报价的；</w:t>
      </w:r>
    </w:p>
    <w:p w14:paraId="187842C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（4）投标人不具备招标文件中规定资格要求的；</w:t>
      </w:r>
    </w:p>
    <w:p w14:paraId="5892C10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（5）投标人的报价超过了采购预算或最高限价的；</w:t>
      </w:r>
    </w:p>
    <w:p w14:paraId="18A0B5AF">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（6）未通过符合性检查的；</w:t>
      </w:r>
    </w:p>
    <w:p w14:paraId="55C846CF">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（7）不符合招标文件中规定的其他实质性要求和条件的；</w:t>
      </w:r>
    </w:p>
    <w:p w14:paraId="2278742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（8）投标文件含有招标人不能接受的附加条件的；</w:t>
      </w:r>
    </w:p>
    <w:p w14:paraId="2AB6E9C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7A7539E2">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bCs/>
          <w:sz w:val="24"/>
          <w:szCs w:val="24"/>
          <w:highlight w:val="none"/>
        </w:rPr>
        <w:t>其他法律、法规及本招标文件规定的属无效投标的情形。</w:t>
      </w:r>
    </w:p>
    <w:p w14:paraId="7F195851">
      <w:pPr>
        <w:snapToGrid w:val="0"/>
        <w:spacing w:line="360" w:lineRule="auto"/>
        <w:ind w:left="479" w:leftChars="228"/>
        <w:rPr>
          <w:rFonts w:ascii="宋体" w:hAnsi="宋体" w:eastAsia="宋体" w:cs="宋体"/>
          <w:bCs/>
          <w:sz w:val="24"/>
          <w:szCs w:val="24"/>
          <w:highlight w:val="none"/>
        </w:rPr>
      </w:pPr>
      <w:r>
        <w:rPr>
          <w:rFonts w:hint="eastAsia" w:ascii="宋体" w:hAnsi="宋体" w:eastAsia="宋体" w:cs="宋体"/>
          <w:sz w:val="24"/>
          <w:szCs w:val="24"/>
          <w:highlight w:val="none"/>
        </w:rPr>
        <w:t>23.2</w:t>
      </w:r>
      <w:r>
        <w:rPr>
          <w:rFonts w:hint="eastAsia" w:ascii="宋体" w:hAnsi="宋体" w:eastAsia="宋体" w:cs="宋体"/>
          <w:bCs/>
          <w:sz w:val="24"/>
          <w:szCs w:val="24"/>
          <w:highlight w:val="none"/>
        </w:rPr>
        <w:t>废标条款：</w:t>
      </w:r>
    </w:p>
    <w:p w14:paraId="0ACDA65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（1）符合专业条件的供应商或者对招标文件作实质响应的投标人不足三家的；</w:t>
      </w:r>
    </w:p>
    <w:p w14:paraId="0805E6A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14:paraId="5EBB645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（3）因重大变故，采购任务取消的；</w:t>
      </w:r>
    </w:p>
    <w:p w14:paraId="0076341C">
      <w:pPr>
        <w:snapToGrid w:val="0"/>
        <w:spacing w:line="360" w:lineRule="auto"/>
        <w:ind w:left="479" w:leftChars="228"/>
        <w:rPr>
          <w:rFonts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sz w:val="24"/>
          <w:szCs w:val="24"/>
          <w:highlight w:val="none"/>
        </w:rPr>
        <w:t>评标工作组</w:t>
      </w:r>
      <w:r>
        <w:rPr>
          <w:rFonts w:hint="eastAsia" w:ascii="宋体" w:hAnsi="宋体" w:eastAsia="宋体" w:cs="宋体"/>
          <w:bCs/>
          <w:sz w:val="24"/>
          <w:szCs w:val="24"/>
          <w:highlight w:val="none"/>
        </w:rPr>
        <w:t>会认定招标文件存在歧义、重大缺陷导致评审工作无法进行。</w:t>
      </w:r>
    </w:p>
    <w:p w14:paraId="034098CE">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六、定标</w:t>
      </w:r>
    </w:p>
    <w:p w14:paraId="4245D4D6">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24、确定中标单位</w:t>
      </w:r>
    </w:p>
    <w:p w14:paraId="418DDD5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24.1评标工作组首先对所有合格投标人按评标办法进行打分，根据综合得分，由高到低排列，向招标人推荐中标候选人。</w:t>
      </w:r>
      <w:r>
        <w:rPr>
          <w:rFonts w:hint="eastAsia" w:ascii="宋体" w:hAnsi="宋体" w:eastAsia="宋体" w:cs="宋体"/>
          <w:bCs/>
          <w:snapToGrid w:val="0"/>
          <w:kern w:val="21"/>
          <w:sz w:val="24"/>
          <w:szCs w:val="24"/>
          <w:highlight w:val="none"/>
        </w:rPr>
        <w:t>招标人应根据</w:t>
      </w:r>
      <w:r>
        <w:rPr>
          <w:rFonts w:hint="eastAsia" w:ascii="宋体" w:hAnsi="宋体" w:eastAsia="宋体" w:cs="宋体"/>
          <w:sz w:val="24"/>
          <w:szCs w:val="24"/>
          <w:highlight w:val="none"/>
        </w:rPr>
        <w:t>评标工作组</w:t>
      </w:r>
      <w:r>
        <w:rPr>
          <w:rFonts w:hint="eastAsia" w:ascii="宋体" w:hAnsi="宋体" w:eastAsia="宋体" w:cs="宋体"/>
          <w:bCs/>
          <w:snapToGrid w:val="0"/>
          <w:kern w:val="21"/>
          <w:sz w:val="24"/>
          <w:szCs w:val="24"/>
          <w:highlight w:val="none"/>
        </w:rPr>
        <w:t>推荐的中标候选人确定中标人</w:t>
      </w:r>
      <w:r>
        <w:rPr>
          <w:rFonts w:hint="eastAsia" w:ascii="宋体" w:hAnsi="宋体" w:eastAsia="宋体" w:cs="宋体"/>
          <w:sz w:val="24"/>
          <w:szCs w:val="24"/>
          <w:highlight w:val="none"/>
        </w:rPr>
        <w:t>。</w:t>
      </w:r>
    </w:p>
    <w:p w14:paraId="5D68914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24.2中标人名单将在</w:t>
      </w:r>
      <w:r>
        <w:rPr>
          <w:rFonts w:hint="eastAsia" w:ascii="宋体" w:hAnsi="宋体" w:eastAsia="宋体" w:cs="宋体"/>
          <w:sz w:val="24"/>
          <w:szCs w:val="24"/>
          <w:highlight w:val="none"/>
          <w:lang w:val="en-US" w:eastAsia="zh-CN"/>
        </w:rPr>
        <w:t>学校官网</w:t>
      </w:r>
      <w:r>
        <w:rPr>
          <w:rFonts w:hint="eastAsia" w:ascii="宋体" w:hAnsi="宋体" w:eastAsia="宋体" w:cs="宋体"/>
          <w:sz w:val="24"/>
          <w:szCs w:val="24"/>
          <w:highlight w:val="none"/>
        </w:rPr>
        <w:t>上进行公示。</w:t>
      </w:r>
    </w:p>
    <w:p w14:paraId="19BFC18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24.3若有充分证据证明，中标人出现下列情况之一的，一经查实，将被取消中标资格：</w:t>
      </w:r>
    </w:p>
    <w:p w14:paraId="53AFF2A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（1）提供虚假材料谋取中标的；</w:t>
      </w:r>
    </w:p>
    <w:p w14:paraId="79DFE82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（2）与评审专家、招标人或者其他供应商恶意串通的；</w:t>
      </w:r>
    </w:p>
    <w:p w14:paraId="73E201D8">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（3）向评审专家、招标人行贿或者提供其它不正当利益的；</w:t>
      </w:r>
    </w:p>
    <w:p w14:paraId="39598D6B">
      <w:pPr>
        <w:snapToGrid w:val="0"/>
        <w:spacing w:line="360" w:lineRule="auto"/>
        <w:ind w:left="480"/>
        <w:rPr>
          <w:rFonts w:ascii="宋体" w:hAnsi="宋体" w:eastAsia="宋体" w:cs="宋体"/>
          <w:sz w:val="24"/>
          <w:szCs w:val="24"/>
          <w:highlight w:val="none"/>
        </w:rPr>
      </w:pPr>
      <w:r>
        <w:rPr>
          <w:rFonts w:hint="eastAsia" w:ascii="宋体" w:hAnsi="宋体" w:eastAsia="宋体" w:cs="宋体"/>
          <w:sz w:val="24"/>
          <w:szCs w:val="24"/>
          <w:highlight w:val="none"/>
        </w:rPr>
        <w:t>（4）恶意竞争，投标总报价明显低于其自身合理成本且又无法提供证明的；</w:t>
      </w:r>
    </w:p>
    <w:p w14:paraId="0081678C">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（5）不满足本招标文件规定的实质性要求，但在评标过程中又未被评标工作组发现的；</w:t>
      </w:r>
    </w:p>
    <w:p w14:paraId="1E1DD05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（6）不符合法律、法规的规定的其它情形。</w:t>
      </w:r>
    </w:p>
    <w:p w14:paraId="5FAB12C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24.4有下列情形之一的，视为投标人串通投标，投标无效：</w:t>
      </w:r>
    </w:p>
    <w:p w14:paraId="303E04AF">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（1）不同投标人的投标文件由同一单位或者个人编制。</w:t>
      </w:r>
    </w:p>
    <w:p w14:paraId="13E61A0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（2）不同投标人委托同一单位或者个人办理投标事宜。</w:t>
      </w:r>
    </w:p>
    <w:p w14:paraId="568B198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（3）不同投标人的投标文件载明的项目管理成员或者联系人员为同一人。</w:t>
      </w:r>
    </w:p>
    <w:p w14:paraId="54D0F4D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（4）不同投标人的投标文件异常一致或者投标报价呈规律性差异。</w:t>
      </w:r>
    </w:p>
    <w:p w14:paraId="507FC7B5">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（5）不同投标人的投标文件相互混装。</w:t>
      </w:r>
    </w:p>
    <w:p w14:paraId="01BDCF0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（6）不同投标人的投标保证金从同一单位或者个人的账户转出。</w:t>
      </w:r>
    </w:p>
    <w:p w14:paraId="03079B0B">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25、质疑处理</w:t>
      </w:r>
    </w:p>
    <w:p w14:paraId="2E8D9D5E">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25.1参加投标供应商认为招标文件、采购过程和采购结果使自己的权益受到损害的，可以在知道或应知其权益受到损害之日起7个工作日内，以书面形式向招标人提出质疑。</w:t>
      </w:r>
    </w:p>
    <w:p w14:paraId="469F4704">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（1）对可以质疑的招标文件提出质疑的，为收到招标文件之日或者招标文件公告期限届满之日；</w:t>
      </w:r>
    </w:p>
    <w:p w14:paraId="6B0458B6">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（2）对采购过程提出质疑的，为各采购程序环节结束之日；</w:t>
      </w:r>
    </w:p>
    <w:p w14:paraId="1A60D09B">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（3）对中标或者成交结果提出质疑的，为中标或者成交结果公告期限届满之日。</w:t>
      </w:r>
    </w:p>
    <w:p w14:paraId="171A6663">
      <w:pPr>
        <w:snapToGrid w:val="0"/>
        <w:spacing w:line="360" w:lineRule="auto"/>
        <w:ind w:firstLine="472" w:firstLineChars="197"/>
        <w:rPr>
          <w:rFonts w:ascii="宋体" w:hAnsi="宋体" w:eastAsia="宋体" w:cs="宋体"/>
          <w:sz w:val="24"/>
          <w:szCs w:val="24"/>
          <w:highlight w:val="none"/>
        </w:rPr>
      </w:pPr>
      <w:r>
        <w:rPr>
          <w:rFonts w:hint="eastAsia" w:ascii="宋体" w:hAnsi="宋体" w:eastAsia="宋体" w:cs="宋体"/>
          <w:sz w:val="24"/>
          <w:szCs w:val="24"/>
          <w:highlight w:val="none"/>
        </w:rPr>
        <w:t>25.2质疑必须以参加投标供应商法人代表或授权代表（投标文件中所确定的）送达的方式提交，未按上述要求提交的质疑函（含传真、电子邮件等）招标人有权不予受理。</w:t>
      </w:r>
    </w:p>
    <w:p w14:paraId="50F62BC0">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25.3未参加投标的供应商或在投标活动中本身权益未受到损害或从投标活动中受益的供应商所提出的质疑也不予受理。</w:t>
      </w:r>
    </w:p>
    <w:p w14:paraId="661EE8A1">
      <w:pPr>
        <w:snapToGrid w:val="0"/>
        <w:spacing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25.4投标人提出书面质疑必须有理、有据，不得恶意质疑或提交虚假质疑。否则，招标人将不予受理。</w:t>
      </w:r>
    </w:p>
    <w:p w14:paraId="0E21DF41">
      <w:pPr>
        <w:snapToGrid w:val="0"/>
        <w:spacing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25.5招标人将在收到投标供应商的书面质疑后在规定时间内作出答复，但答复的内容不得涉及商业秘密。</w:t>
      </w:r>
    </w:p>
    <w:p w14:paraId="2E9DFB6F">
      <w:pPr>
        <w:snapToGrid w:val="0"/>
        <w:spacing w:line="360" w:lineRule="auto"/>
        <w:ind w:firstLine="470" w:firstLineChars="195"/>
        <w:rPr>
          <w:rFonts w:ascii="宋体" w:hAnsi="宋体" w:eastAsia="宋体" w:cs="宋体"/>
          <w:sz w:val="24"/>
          <w:szCs w:val="24"/>
          <w:highlight w:val="none"/>
        </w:rPr>
      </w:pPr>
      <w:r>
        <w:rPr>
          <w:rFonts w:hint="eastAsia" w:ascii="宋体" w:hAnsi="宋体" w:eastAsia="宋体" w:cs="宋体"/>
          <w:b/>
          <w:sz w:val="24"/>
          <w:szCs w:val="24"/>
          <w:highlight w:val="none"/>
        </w:rPr>
        <w:t>26、中标通知书</w:t>
      </w:r>
    </w:p>
    <w:p w14:paraId="4E810F28">
      <w:pPr>
        <w:snapToGrid w:val="0"/>
        <w:spacing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26.l中标结果质疑期满后，招标人将向中标供应商发出中标通知书。</w:t>
      </w:r>
    </w:p>
    <w:p w14:paraId="26A2CDA5">
      <w:pPr>
        <w:snapToGrid w:val="0"/>
        <w:spacing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26.2中标人收到中标通知书后，须立即以书面形式回复招标人，确认中标通知书已收到。若无书面回复，则公告后视同中标人已经知悉并同意接受。</w:t>
      </w:r>
    </w:p>
    <w:p w14:paraId="60868719">
      <w:pPr>
        <w:snapToGrid w:val="0"/>
        <w:spacing w:line="360" w:lineRule="auto"/>
        <w:ind w:firstLine="468" w:firstLineChars="195"/>
        <w:rPr>
          <w:rFonts w:ascii="宋体" w:hAnsi="宋体" w:eastAsia="宋体" w:cs="宋体"/>
          <w:sz w:val="24"/>
          <w:szCs w:val="24"/>
          <w:highlight w:val="none"/>
        </w:rPr>
      </w:pPr>
      <w:r>
        <w:rPr>
          <w:rFonts w:hint="eastAsia" w:ascii="宋体" w:hAnsi="宋体" w:eastAsia="宋体" w:cs="宋体"/>
          <w:sz w:val="24"/>
          <w:szCs w:val="24"/>
          <w:highlight w:val="none"/>
        </w:rPr>
        <w:t>26.3中标通知书将是合同的一个组成部分。对招标人和中标供应商均具有法律效力。中标通知书发出后，招标人改变中标结果的，或者中标供应商放弃中标项目的，应当依法承担法律责任。</w:t>
      </w:r>
    </w:p>
    <w:p w14:paraId="2D68247A">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七、授予合同</w:t>
      </w:r>
    </w:p>
    <w:p w14:paraId="76E830A9">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27、签订合同</w:t>
      </w:r>
    </w:p>
    <w:p w14:paraId="6B4AD60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27.1中标人在</w:t>
      </w:r>
      <w:r>
        <w:rPr>
          <w:rFonts w:hint="eastAsia" w:ascii="宋体" w:hAnsi="宋体" w:eastAsia="宋体" w:cs="宋体"/>
          <w:snapToGrid w:val="0"/>
          <w:kern w:val="21"/>
          <w:sz w:val="24"/>
          <w:szCs w:val="24"/>
          <w:highlight w:val="none"/>
        </w:rPr>
        <w:t>中标通知书发出之日</w:t>
      </w:r>
      <w:r>
        <w:rPr>
          <w:rFonts w:hint="eastAsia" w:ascii="宋体" w:hAnsi="宋体" w:eastAsia="宋体" w:cs="宋体"/>
          <w:sz w:val="24"/>
          <w:szCs w:val="24"/>
          <w:highlight w:val="none"/>
        </w:rPr>
        <w:t>起30日内派代表前来与招标人具体商谈签订合同，若因中标人延误签订合同并由此给招标人造成损失的，中标人应承担赔偿责任。</w:t>
      </w:r>
    </w:p>
    <w:p w14:paraId="288A070D">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27.2招标文件、中标人的投标文件及澄清文件等，均为签订合同的依据。</w:t>
      </w:r>
    </w:p>
    <w:p w14:paraId="7BF82E4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27.3签订合同后，</w:t>
      </w:r>
      <w:r>
        <w:rPr>
          <w:rFonts w:hint="eastAsia" w:ascii="宋体" w:hAnsi="宋体" w:eastAsia="宋体" w:cs="宋体"/>
          <w:b/>
          <w:sz w:val="24"/>
          <w:szCs w:val="24"/>
          <w:highlight w:val="none"/>
        </w:rPr>
        <w:t>中标人不得将相关服务进行全部或部分转包。</w:t>
      </w:r>
      <w:r>
        <w:rPr>
          <w:rFonts w:hint="eastAsia" w:ascii="宋体" w:hAnsi="宋体" w:eastAsia="宋体" w:cs="宋体"/>
          <w:sz w:val="24"/>
          <w:szCs w:val="24"/>
          <w:highlight w:val="none"/>
        </w:rPr>
        <w:t>未经招标人同意，中标人也不得采用分包的形式履行合同，否则招标人有权终止合同，中标人的履约保证金将不予退还。转包或分包造成招标人损失的，中标人应承担相应赔偿责任。</w:t>
      </w:r>
    </w:p>
    <w:p w14:paraId="347C227A">
      <w:pPr>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28、服务的追加和减少</w:t>
      </w:r>
    </w:p>
    <w:p w14:paraId="275F8D7C">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28.1采购合同履行中，需追加与合同标的相同的服务的，在不改变价格水平、合同及其它条款的前提下，招标人可以与中标人协商签订补充合同，追加量不得超过合同总额的10%。</w:t>
      </w:r>
    </w:p>
    <w:p w14:paraId="384F0FC1">
      <w:pPr>
        <w:spacing w:line="360" w:lineRule="exact"/>
        <w:ind w:firstLine="480" w:firstLineChars="200"/>
        <w:rPr>
          <w:rFonts w:ascii="宋体" w:hAnsi="宋体" w:eastAsia="宋体" w:cs="宋体"/>
          <w:highlight w:val="none"/>
        </w:rPr>
      </w:pPr>
      <w:r>
        <w:rPr>
          <w:rFonts w:hint="eastAsia" w:ascii="宋体" w:hAnsi="宋体" w:eastAsia="宋体" w:cs="宋体"/>
          <w:sz w:val="24"/>
          <w:szCs w:val="24"/>
          <w:highlight w:val="none"/>
        </w:rPr>
        <w:t>28.2采购结束后，招标人若由于各种客观原因，必须对采购项目所牵涉的服务进行适当的减少时，在双方协商一致的前提下，可以按照中标时价格水平做相应的调减，并据此签订补充合同。</w:t>
      </w:r>
    </w:p>
    <w:p w14:paraId="7D44EEE3">
      <w:pPr>
        <w:snapToGrid w:val="0"/>
        <w:spacing w:line="360" w:lineRule="auto"/>
        <w:ind w:firstLine="482" w:firstLineChars="200"/>
        <w:rPr>
          <w:rFonts w:hint="eastAsia" w:ascii="宋体" w:hAnsi="宋体" w:eastAsia="宋体" w:cs="宋体"/>
          <w:b/>
          <w:sz w:val="24"/>
          <w:szCs w:val="24"/>
          <w:highlight w:val="none"/>
          <w:lang w:val="zh-TW" w:eastAsia="zh-TW"/>
        </w:rPr>
      </w:pPr>
      <w:bookmarkStart w:id="8" w:name="_Toc10510"/>
    </w:p>
    <w:p w14:paraId="0F4299EF">
      <w:pPr>
        <w:numPr>
          <w:ilvl w:val="0"/>
          <w:numId w:val="1"/>
        </w:numPr>
        <w:snapToGrid w:val="0"/>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w:t>
      </w:r>
    </w:p>
    <w:p w14:paraId="0C0FA8B9">
      <w:pPr>
        <w:pStyle w:val="2"/>
        <w:numPr>
          <w:numId w:val="0"/>
        </w:numPr>
        <w:ind w:firstLine="480" w:firstLineChars="20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29.1</w:t>
      </w:r>
      <w:r>
        <w:rPr>
          <w:rFonts w:hint="eastAsia" w:ascii="宋体" w:hAnsi="宋体" w:eastAsia="宋体" w:cs="宋体"/>
          <w:color w:val="auto"/>
          <w:kern w:val="2"/>
          <w:sz w:val="24"/>
          <w:szCs w:val="24"/>
          <w:highlight w:val="none"/>
          <w:lang w:val="zh-TW" w:eastAsia="zh-CN" w:bidi="ar-SA"/>
        </w:rPr>
        <w:t>除采购招标任务职消情形外，招标项目首次招标废标后招标工作小组应重新招标。第二次及以上重新招标的，投标截止时间后参加投标的供应商不足三家或者通过资格审查或符合性审查的响应供应商不足三家的，除采购任务取消情形外，自动转为竞争性谈判或单一来源采购方式。</w:t>
      </w:r>
    </w:p>
    <w:p w14:paraId="233C28C2">
      <w:pPr>
        <w:rPr>
          <w:rFonts w:hint="eastAsia" w:ascii="宋体" w:hAnsi="宋体" w:eastAsia="宋体" w:cs="宋体"/>
          <w:kern w:val="44"/>
          <w:sz w:val="36"/>
          <w:szCs w:val="36"/>
          <w:highlight w:val="none"/>
          <w:u w:color="000000"/>
          <w:lang w:val="zh-TW" w:eastAsia="zh-TW"/>
        </w:rPr>
      </w:pPr>
      <w:r>
        <w:rPr>
          <w:rFonts w:hint="eastAsia" w:ascii="宋体" w:hAnsi="宋体" w:eastAsia="宋体" w:cs="宋体"/>
          <w:kern w:val="44"/>
          <w:sz w:val="36"/>
          <w:szCs w:val="36"/>
          <w:highlight w:val="none"/>
          <w:u w:color="000000"/>
          <w:lang w:val="zh-TW" w:eastAsia="zh-TW"/>
        </w:rPr>
        <w:br w:type="page"/>
      </w:r>
    </w:p>
    <w:p w14:paraId="0D8D0A8F">
      <w:pPr>
        <w:keepNext/>
        <w:keepLines/>
        <w:spacing w:before="312" w:beforeLines="100" w:after="312" w:afterLines="100" w:line="360" w:lineRule="auto"/>
        <w:jc w:val="center"/>
        <w:outlineLvl w:val="0"/>
        <w:rPr>
          <w:rFonts w:ascii="宋体" w:hAnsi="宋体" w:eastAsia="宋体" w:cs="宋体"/>
          <w:kern w:val="44"/>
          <w:sz w:val="36"/>
          <w:szCs w:val="36"/>
          <w:highlight w:val="none"/>
          <w:u w:color="000000"/>
          <w:lang w:val="zh-TW" w:eastAsia="zh-TW"/>
        </w:rPr>
      </w:pPr>
      <w:r>
        <w:rPr>
          <w:rFonts w:hint="eastAsia" w:ascii="宋体" w:hAnsi="宋体" w:eastAsia="宋体" w:cs="宋体"/>
          <w:kern w:val="44"/>
          <w:sz w:val="36"/>
          <w:szCs w:val="36"/>
          <w:highlight w:val="none"/>
          <w:u w:color="000000"/>
          <w:lang w:val="zh-TW" w:eastAsia="zh-TW"/>
        </w:rPr>
        <w:t>第</w:t>
      </w:r>
      <w:r>
        <w:rPr>
          <w:rFonts w:hint="eastAsia" w:ascii="宋体" w:hAnsi="宋体" w:eastAsia="宋体" w:cs="宋体"/>
          <w:kern w:val="44"/>
          <w:sz w:val="36"/>
          <w:szCs w:val="36"/>
          <w:highlight w:val="none"/>
          <w:u w:color="000000"/>
          <w:lang w:val="zh-TW"/>
        </w:rPr>
        <w:t>三</w:t>
      </w:r>
      <w:r>
        <w:rPr>
          <w:rFonts w:hint="eastAsia" w:ascii="宋体" w:hAnsi="宋体" w:eastAsia="宋体" w:cs="宋体"/>
          <w:kern w:val="44"/>
          <w:sz w:val="36"/>
          <w:szCs w:val="36"/>
          <w:highlight w:val="none"/>
          <w:u w:color="000000"/>
          <w:lang w:val="zh-TW" w:eastAsia="zh-TW"/>
        </w:rPr>
        <w:t>章  合同条款及格式</w:t>
      </w:r>
      <w:bookmarkEnd w:id="8"/>
    </w:p>
    <w:p w14:paraId="47794B37">
      <w:pPr>
        <w:spacing w:before="40" w:after="40" w:line="360" w:lineRule="auto"/>
        <w:ind w:firstLine="468" w:firstLineChars="195"/>
        <w:rPr>
          <w:rFonts w:hint="eastAsia" w:ascii="宋体" w:hAnsi="宋体" w:eastAsia="宋体" w:cs="宋体"/>
          <w:sz w:val="24"/>
          <w:szCs w:val="24"/>
          <w:highlight w:val="none"/>
        </w:rPr>
      </w:pPr>
      <w:bookmarkStart w:id="9" w:name="_Toc20823315"/>
      <w:bookmarkStart w:id="10" w:name="_Toc513029243"/>
      <w:bookmarkStart w:id="11" w:name="_Toc16938559"/>
      <w:r>
        <w:rPr>
          <w:rFonts w:hint="eastAsia" w:ascii="宋体" w:hAnsi="宋体" w:eastAsia="宋体" w:cs="宋体"/>
          <w:sz w:val="24"/>
          <w:szCs w:val="24"/>
          <w:highlight w:val="none"/>
        </w:rPr>
        <w:t>以下为中标后签定本项目合同的通用条款，中标人不得提出实质性的修改，关于专用条款将由项目使用单位与中标人结合本项目具体情况协商后签订。</w:t>
      </w:r>
      <w:bookmarkEnd w:id="9"/>
      <w:bookmarkEnd w:id="10"/>
      <w:bookmarkEnd w:id="11"/>
      <w:bookmarkStart w:id="12" w:name="_Toc16438"/>
    </w:p>
    <w:p w14:paraId="1FF13A94">
      <w:pPr>
        <w:pStyle w:val="14"/>
        <w:snapToGrid w:val="0"/>
        <w:spacing w:before="120" w:after="120" w:line="360" w:lineRule="auto"/>
        <w:ind w:firstLine="301" w:firstLineChars="100"/>
        <w:jc w:val="center"/>
        <w:rPr>
          <w:rFonts w:hint="eastAsia" w:hAnsi="宋体" w:cs="宋体"/>
          <w:b/>
          <w:sz w:val="30"/>
          <w:szCs w:val="30"/>
          <w:highlight w:val="none"/>
          <w:lang w:eastAsia="zh-CN"/>
        </w:rPr>
      </w:pPr>
      <w:r>
        <w:rPr>
          <w:rFonts w:hint="eastAsia" w:ascii="宋体" w:hAnsi="宋体" w:eastAsia="宋体" w:cs="宋体"/>
          <w:b/>
          <w:sz w:val="30"/>
          <w:szCs w:val="30"/>
          <w:highlight w:val="none"/>
          <w:lang w:val="zh-CN"/>
        </w:rPr>
        <w:t xml:space="preserve"> 南京邮电大学通达学院</w:t>
      </w:r>
      <w:r>
        <w:rPr>
          <w:rFonts w:hint="eastAsia" w:hAnsi="宋体" w:cs="宋体"/>
          <w:b/>
          <w:sz w:val="30"/>
          <w:szCs w:val="30"/>
          <w:highlight w:val="none"/>
          <w:lang w:eastAsia="zh-CN"/>
        </w:rPr>
        <w:t>2025年学生公寓组合床</w:t>
      </w:r>
    </w:p>
    <w:p w14:paraId="365DCC04">
      <w:pPr>
        <w:pStyle w:val="14"/>
        <w:snapToGrid w:val="0"/>
        <w:spacing w:before="120" w:after="120" w:line="360" w:lineRule="auto"/>
        <w:ind w:firstLine="301" w:firstLineChars="100"/>
        <w:jc w:val="center"/>
        <w:rPr>
          <w:rFonts w:ascii="宋体" w:hAnsi="宋体" w:eastAsia="宋体" w:cs="宋体"/>
          <w:b/>
          <w:sz w:val="30"/>
          <w:szCs w:val="30"/>
          <w:highlight w:val="none"/>
        </w:rPr>
      </w:pPr>
      <w:r>
        <w:rPr>
          <w:rFonts w:hint="eastAsia" w:hAnsi="宋体" w:cs="宋体"/>
          <w:b/>
          <w:sz w:val="30"/>
          <w:szCs w:val="30"/>
          <w:highlight w:val="none"/>
          <w:lang w:eastAsia="zh-CN"/>
        </w:rPr>
        <w:t>采购</w:t>
      </w:r>
      <w:r>
        <w:rPr>
          <w:rFonts w:hint="eastAsia" w:ascii="宋体" w:hAnsi="宋体" w:eastAsia="宋体" w:cs="宋体"/>
          <w:b/>
          <w:sz w:val="30"/>
          <w:szCs w:val="30"/>
          <w:highlight w:val="none"/>
        </w:rPr>
        <w:t>项目合同</w:t>
      </w:r>
    </w:p>
    <w:p w14:paraId="0CC637B9">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甲方：南京邮电大学通达学院                  项目编号：TDCG2025025号 </w:t>
      </w:r>
    </w:p>
    <w:p w14:paraId="01471A84">
      <w:pPr>
        <w:tabs>
          <w:tab w:val="left" w:pos="1005"/>
        </w:tabs>
        <w:adjustRightInd w:val="0"/>
        <w:snapToGrid w:val="0"/>
        <w:spacing w:line="276" w:lineRule="auto"/>
        <w:ind w:firstLine="240" w:firstLineChars="100"/>
        <w:rPr>
          <w:rFonts w:ascii="宋体" w:hAnsi="宋体"/>
          <w:sz w:val="24"/>
          <w:szCs w:val="24"/>
          <w:highlight w:val="none"/>
        </w:rPr>
      </w:pPr>
      <w:r>
        <w:rPr>
          <w:rFonts w:hint="eastAsia" w:hAnsi="宋体" w:cs="宋体"/>
          <w:bCs/>
          <w:sz w:val="24"/>
          <w:szCs w:val="24"/>
          <w:highlight w:val="none"/>
        </w:rPr>
        <w:t>乙方：</w:t>
      </w:r>
      <w:r>
        <w:rPr>
          <w:rFonts w:ascii="宋体" w:hAnsi="宋体"/>
          <w:sz w:val="24"/>
          <w:szCs w:val="24"/>
          <w:highlight w:val="none"/>
          <w:u w:val="single"/>
        </w:rPr>
        <w:t xml:space="preserve">                    </w:t>
      </w:r>
    </w:p>
    <w:p w14:paraId="6668382C">
      <w:pPr>
        <w:widowControl/>
        <w:snapToGrid w:val="0"/>
        <w:spacing w:before="19" w:line="360" w:lineRule="auto"/>
        <w:rPr>
          <w:rFonts w:ascii="仿宋_GB2312"/>
          <w:sz w:val="24"/>
          <w:highlight w:val="none"/>
        </w:rPr>
      </w:pPr>
      <w:r>
        <w:rPr>
          <w:rFonts w:hint="eastAsia" w:ascii="仿宋_GB2312"/>
          <w:sz w:val="24"/>
          <w:highlight w:val="none"/>
        </w:rPr>
        <w:t xml:space="preserve"> 甲乙双方根据</w:t>
      </w:r>
      <w:r>
        <w:rPr>
          <w:rFonts w:hint="eastAsia" w:hAnsi="宋体"/>
          <w:sz w:val="24"/>
          <w:highlight w:val="none"/>
          <w:u w:val="single"/>
        </w:rPr>
        <w:t xml:space="preserve">                </w:t>
      </w:r>
      <w:r>
        <w:rPr>
          <w:sz w:val="24"/>
          <w:highlight w:val="none"/>
          <w:u w:val="single"/>
        </w:rPr>
        <w:t xml:space="preserve">  </w:t>
      </w:r>
      <w:r>
        <w:rPr>
          <w:rFonts w:hint="eastAsia" w:hAnsi="宋体"/>
          <w:sz w:val="24"/>
          <w:highlight w:val="none"/>
        </w:rPr>
        <w:t>项目</w:t>
      </w:r>
      <w:r>
        <w:rPr>
          <w:rFonts w:hint="eastAsia" w:ascii="仿宋_GB2312"/>
          <w:sz w:val="24"/>
          <w:highlight w:val="none"/>
        </w:rPr>
        <w:t>招标（谈判、询价）采购结果,依据《中华人民共和国民法典》合同编及相关法律规定，达成如下货物购销合同:</w:t>
      </w:r>
    </w:p>
    <w:p w14:paraId="179A1596">
      <w:pPr>
        <w:widowControl/>
        <w:snapToGrid w:val="0"/>
        <w:spacing w:before="19" w:line="360" w:lineRule="auto"/>
        <w:rPr>
          <w:rFonts w:ascii="仿宋_GB2312"/>
          <w:sz w:val="24"/>
          <w:highlight w:val="none"/>
        </w:rPr>
      </w:pPr>
      <w:r>
        <w:rPr>
          <w:rFonts w:hint="eastAsia" w:ascii="仿宋_GB2312"/>
          <w:sz w:val="24"/>
          <w:highlight w:val="none"/>
        </w:rPr>
        <w:t>一、货物及其数量、金额：</w:t>
      </w:r>
    </w:p>
    <w:tbl>
      <w:tblPr>
        <w:tblStyle w:val="27"/>
        <w:tblW w:w="9720" w:type="dxa"/>
        <w:tblInd w:w="-43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4320"/>
        <w:gridCol w:w="1080"/>
        <w:gridCol w:w="1080"/>
        <w:gridCol w:w="1260"/>
      </w:tblGrid>
      <w:tr w14:paraId="2C0248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20" w:type="dxa"/>
            <w:tcBorders>
              <w:top w:val="single" w:color="auto" w:sz="18" w:space="0"/>
              <w:bottom w:val="single" w:color="auto" w:sz="18" w:space="0"/>
            </w:tcBorders>
            <w:shd w:val="pct10" w:color="auto" w:fill="FFFFFF"/>
            <w:vAlign w:val="center"/>
          </w:tcPr>
          <w:p w14:paraId="1AC1BEF1">
            <w:pPr>
              <w:snapToGrid w:val="0"/>
              <w:spacing w:line="360" w:lineRule="auto"/>
              <w:jc w:val="center"/>
              <w:rPr>
                <w:rFonts w:ascii="Arial" w:hAnsi="Arial" w:eastAsia="楷体_GB2312"/>
                <w:b/>
                <w:kern w:val="0"/>
                <w:sz w:val="24"/>
                <w:highlight w:val="none"/>
              </w:rPr>
            </w:pPr>
            <w:r>
              <w:rPr>
                <w:rFonts w:hint="eastAsia" w:ascii="Arial" w:hAnsi="Arial" w:eastAsia="楷体_GB2312"/>
                <w:b/>
                <w:kern w:val="0"/>
                <w:sz w:val="24"/>
                <w:highlight w:val="none"/>
              </w:rPr>
              <w:t>编号</w:t>
            </w:r>
          </w:p>
        </w:tc>
        <w:tc>
          <w:tcPr>
            <w:tcW w:w="1260" w:type="dxa"/>
            <w:tcBorders>
              <w:top w:val="single" w:color="auto" w:sz="18" w:space="0"/>
              <w:bottom w:val="single" w:color="auto" w:sz="18" w:space="0"/>
            </w:tcBorders>
            <w:shd w:val="pct10" w:color="auto" w:fill="FFFFFF"/>
            <w:vAlign w:val="center"/>
          </w:tcPr>
          <w:p w14:paraId="53D97907">
            <w:pPr>
              <w:snapToGrid w:val="0"/>
              <w:spacing w:line="360" w:lineRule="auto"/>
              <w:jc w:val="center"/>
              <w:rPr>
                <w:rFonts w:ascii="Arial" w:hAnsi="Arial" w:eastAsia="楷体_GB2312"/>
                <w:b/>
                <w:kern w:val="0"/>
                <w:sz w:val="24"/>
                <w:highlight w:val="none"/>
              </w:rPr>
            </w:pPr>
            <w:r>
              <w:rPr>
                <w:rFonts w:hint="eastAsia" w:ascii="Arial" w:hAnsi="Arial" w:eastAsia="楷体_GB2312"/>
                <w:b/>
                <w:kern w:val="0"/>
                <w:sz w:val="24"/>
                <w:highlight w:val="none"/>
              </w:rPr>
              <w:t>货物名称</w:t>
            </w:r>
          </w:p>
        </w:tc>
        <w:tc>
          <w:tcPr>
            <w:tcW w:w="4320" w:type="dxa"/>
            <w:tcBorders>
              <w:top w:val="single" w:color="auto" w:sz="18" w:space="0"/>
              <w:bottom w:val="single" w:color="auto" w:sz="18" w:space="0"/>
            </w:tcBorders>
            <w:shd w:val="pct10" w:color="auto" w:fill="FFFFFF"/>
            <w:vAlign w:val="center"/>
          </w:tcPr>
          <w:p w14:paraId="2CAD62AB">
            <w:pPr>
              <w:snapToGrid w:val="0"/>
              <w:spacing w:line="360" w:lineRule="auto"/>
              <w:jc w:val="center"/>
              <w:rPr>
                <w:rFonts w:ascii="Arial" w:hAnsi="Arial" w:eastAsia="楷体_GB2312"/>
                <w:b/>
                <w:kern w:val="0"/>
                <w:sz w:val="24"/>
                <w:highlight w:val="none"/>
              </w:rPr>
            </w:pPr>
            <w:r>
              <w:rPr>
                <w:rFonts w:hint="eastAsia" w:ascii="Arial" w:hAnsi="Arial" w:eastAsia="楷体_GB2312"/>
                <w:b/>
                <w:kern w:val="0"/>
                <w:sz w:val="24"/>
                <w:highlight w:val="none"/>
              </w:rPr>
              <w:t>规</w:t>
            </w:r>
            <w:r>
              <w:rPr>
                <w:rFonts w:ascii="Arial" w:hAnsi="Arial" w:eastAsia="楷体_GB2312"/>
                <w:b/>
                <w:kern w:val="0"/>
                <w:sz w:val="24"/>
                <w:highlight w:val="none"/>
              </w:rPr>
              <w:t xml:space="preserve"> </w:t>
            </w:r>
            <w:r>
              <w:rPr>
                <w:rFonts w:hint="eastAsia" w:ascii="Arial" w:hAnsi="Arial" w:eastAsia="楷体_GB2312"/>
                <w:b/>
                <w:kern w:val="0"/>
                <w:sz w:val="24"/>
                <w:highlight w:val="none"/>
              </w:rPr>
              <w:t>格</w:t>
            </w:r>
            <w:r>
              <w:rPr>
                <w:rFonts w:ascii="Arial" w:hAnsi="Arial" w:eastAsia="楷体_GB2312"/>
                <w:b/>
                <w:kern w:val="0"/>
                <w:sz w:val="24"/>
                <w:highlight w:val="none"/>
              </w:rPr>
              <w:t xml:space="preserve"> </w:t>
            </w:r>
            <w:r>
              <w:rPr>
                <w:rFonts w:hint="eastAsia" w:ascii="Arial" w:hAnsi="Arial" w:eastAsia="楷体_GB2312"/>
                <w:b/>
                <w:kern w:val="0"/>
                <w:sz w:val="24"/>
                <w:highlight w:val="none"/>
              </w:rPr>
              <w:t>型</w:t>
            </w:r>
            <w:r>
              <w:rPr>
                <w:rFonts w:ascii="Arial" w:hAnsi="Arial" w:eastAsia="楷体_GB2312"/>
                <w:b/>
                <w:kern w:val="0"/>
                <w:sz w:val="24"/>
                <w:highlight w:val="none"/>
              </w:rPr>
              <w:t xml:space="preserve"> </w:t>
            </w:r>
            <w:r>
              <w:rPr>
                <w:rFonts w:hint="eastAsia" w:ascii="Arial" w:hAnsi="Arial" w:eastAsia="楷体_GB2312"/>
                <w:b/>
                <w:kern w:val="0"/>
                <w:sz w:val="24"/>
                <w:highlight w:val="none"/>
              </w:rPr>
              <w:t>号（品牌）</w:t>
            </w:r>
          </w:p>
        </w:tc>
        <w:tc>
          <w:tcPr>
            <w:tcW w:w="1080" w:type="dxa"/>
            <w:tcBorders>
              <w:top w:val="single" w:color="auto" w:sz="18" w:space="0"/>
              <w:bottom w:val="single" w:color="auto" w:sz="18" w:space="0"/>
            </w:tcBorders>
            <w:shd w:val="pct10" w:color="auto" w:fill="FFFFFF"/>
            <w:vAlign w:val="center"/>
          </w:tcPr>
          <w:p w14:paraId="4CF1B5E6">
            <w:pPr>
              <w:snapToGrid w:val="0"/>
              <w:spacing w:line="360" w:lineRule="auto"/>
              <w:jc w:val="center"/>
              <w:rPr>
                <w:rFonts w:ascii="Arial" w:hAnsi="Arial" w:eastAsia="楷体_GB2312"/>
                <w:b/>
                <w:kern w:val="0"/>
                <w:sz w:val="24"/>
                <w:highlight w:val="none"/>
              </w:rPr>
            </w:pPr>
            <w:r>
              <w:rPr>
                <w:rFonts w:hint="eastAsia" w:ascii="Arial" w:hAnsi="Arial" w:eastAsia="楷体_GB2312"/>
                <w:b/>
                <w:kern w:val="0"/>
                <w:sz w:val="24"/>
                <w:highlight w:val="none"/>
              </w:rPr>
              <w:t>数量</w:t>
            </w:r>
          </w:p>
        </w:tc>
        <w:tc>
          <w:tcPr>
            <w:tcW w:w="1080" w:type="dxa"/>
            <w:tcBorders>
              <w:top w:val="single" w:color="auto" w:sz="18" w:space="0"/>
              <w:bottom w:val="single" w:color="auto" w:sz="18" w:space="0"/>
              <w:right w:val="single" w:color="auto" w:sz="4" w:space="0"/>
            </w:tcBorders>
            <w:shd w:val="pct10" w:color="auto" w:fill="FFFFFF"/>
            <w:vAlign w:val="center"/>
          </w:tcPr>
          <w:p w14:paraId="0EBDD07D">
            <w:pPr>
              <w:snapToGrid w:val="0"/>
              <w:spacing w:line="360" w:lineRule="auto"/>
              <w:jc w:val="center"/>
              <w:rPr>
                <w:rFonts w:ascii="Arial" w:hAnsi="Arial" w:eastAsia="楷体_GB2312"/>
                <w:b/>
                <w:kern w:val="0"/>
                <w:sz w:val="24"/>
                <w:highlight w:val="none"/>
              </w:rPr>
            </w:pPr>
            <w:r>
              <w:rPr>
                <w:rFonts w:hint="eastAsia" w:ascii="Arial" w:hAnsi="Arial" w:eastAsia="楷体_GB2312"/>
                <w:b/>
                <w:kern w:val="0"/>
                <w:sz w:val="24"/>
                <w:highlight w:val="none"/>
              </w:rPr>
              <w:t>单价（元）</w:t>
            </w:r>
          </w:p>
        </w:tc>
        <w:tc>
          <w:tcPr>
            <w:tcW w:w="1260" w:type="dxa"/>
            <w:tcBorders>
              <w:top w:val="single" w:color="auto" w:sz="18" w:space="0"/>
              <w:bottom w:val="single" w:color="auto" w:sz="18" w:space="0"/>
              <w:right w:val="single" w:color="auto" w:sz="4" w:space="0"/>
            </w:tcBorders>
            <w:shd w:val="pct10" w:color="auto" w:fill="FFFFFF"/>
            <w:vAlign w:val="center"/>
          </w:tcPr>
          <w:p w14:paraId="1350D793">
            <w:pPr>
              <w:widowControl/>
              <w:spacing w:line="360" w:lineRule="auto"/>
              <w:jc w:val="left"/>
              <w:rPr>
                <w:rFonts w:ascii="Arial" w:hAnsi="Arial" w:eastAsia="楷体_GB2312"/>
                <w:b/>
                <w:kern w:val="0"/>
                <w:sz w:val="24"/>
                <w:highlight w:val="none"/>
              </w:rPr>
            </w:pPr>
            <w:r>
              <w:rPr>
                <w:rFonts w:hint="eastAsia" w:ascii="Arial" w:hAnsi="Arial" w:eastAsia="楷体_GB2312"/>
                <w:b/>
                <w:kern w:val="0"/>
                <w:sz w:val="24"/>
                <w:highlight w:val="none"/>
              </w:rPr>
              <w:t>总价（元）</w:t>
            </w:r>
          </w:p>
        </w:tc>
      </w:tr>
      <w:tr w14:paraId="7A07E4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720" w:type="dxa"/>
            <w:tcBorders>
              <w:top w:val="nil"/>
              <w:bottom w:val="single" w:color="auto" w:sz="4" w:space="0"/>
            </w:tcBorders>
            <w:vAlign w:val="center"/>
          </w:tcPr>
          <w:p w14:paraId="72FA87DE">
            <w:pPr>
              <w:snapToGrid w:val="0"/>
              <w:spacing w:line="360" w:lineRule="auto"/>
              <w:rPr>
                <w:rFonts w:ascii="Arial" w:hAnsi="Arial"/>
                <w:b/>
                <w:kern w:val="0"/>
                <w:sz w:val="24"/>
                <w:highlight w:val="none"/>
              </w:rPr>
            </w:pPr>
            <w:r>
              <w:rPr>
                <w:rFonts w:hint="eastAsia" w:ascii="Arial" w:hAnsi="Arial"/>
                <w:b/>
                <w:kern w:val="0"/>
                <w:sz w:val="24"/>
                <w:highlight w:val="none"/>
              </w:rPr>
              <w:t>1</w:t>
            </w:r>
          </w:p>
        </w:tc>
        <w:tc>
          <w:tcPr>
            <w:tcW w:w="1260" w:type="dxa"/>
            <w:tcBorders>
              <w:top w:val="nil"/>
              <w:bottom w:val="single" w:color="auto" w:sz="4" w:space="0"/>
            </w:tcBorders>
            <w:vAlign w:val="center"/>
          </w:tcPr>
          <w:p w14:paraId="0202FEB5">
            <w:pPr>
              <w:snapToGrid w:val="0"/>
              <w:spacing w:line="360" w:lineRule="auto"/>
              <w:jc w:val="center"/>
              <w:rPr>
                <w:highlight w:val="none"/>
              </w:rPr>
            </w:pPr>
          </w:p>
        </w:tc>
        <w:tc>
          <w:tcPr>
            <w:tcW w:w="4320" w:type="dxa"/>
            <w:tcBorders>
              <w:top w:val="nil"/>
              <w:bottom w:val="single" w:color="auto" w:sz="4" w:space="0"/>
            </w:tcBorders>
            <w:vAlign w:val="center"/>
          </w:tcPr>
          <w:p w14:paraId="177D4F05">
            <w:pPr>
              <w:spacing w:line="360" w:lineRule="auto"/>
              <w:rPr>
                <w:rFonts w:ascii="宋体" w:hAnsi="宋体" w:cs="宋体"/>
                <w:color w:val="000000"/>
                <w:highlight w:val="none"/>
              </w:rPr>
            </w:pPr>
          </w:p>
        </w:tc>
        <w:tc>
          <w:tcPr>
            <w:tcW w:w="1080" w:type="dxa"/>
            <w:tcBorders>
              <w:top w:val="nil"/>
              <w:bottom w:val="single" w:color="auto" w:sz="4" w:space="0"/>
            </w:tcBorders>
            <w:vAlign w:val="center"/>
          </w:tcPr>
          <w:p w14:paraId="32D3E091">
            <w:pPr>
              <w:snapToGrid w:val="0"/>
              <w:spacing w:line="360" w:lineRule="auto"/>
              <w:ind w:firstLine="118" w:firstLineChars="49"/>
              <w:rPr>
                <w:rFonts w:ascii="宋体" w:hAnsi="宋体"/>
                <w:b/>
                <w:kern w:val="0"/>
                <w:sz w:val="24"/>
                <w:highlight w:val="none"/>
              </w:rPr>
            </w:pPr>
          </w:p>
        </w:tc>
        <w:tc>
          <w:tcPr>
            <w:tcW w:w="1080" w:type="dxa"/>
            <w:tcBorders>
              <w:top w:val="nil"/>
              <w:bottom w:val="single" w:color="auto" w:sz="4" w:space="0"/>
              <w:right w:val="single" w:color="auto" w:sz="4" w:space="0"/>
            </w:tcBorders>
            <w:vAlign w:val="center"/>
          </w:tcPr>
          <w:p w14:paraId="2CC6E6EA">
            <w:pPr>
              <w:spacing w:line="360" w:lineRule="auto"/>
              <w:jc w:val="center"/>
              <w:rPr>
                <w:b/>
                <w:highlight w:val="none"/>
              </w:rPr>
            </w:pPr>
          </w:p>
        </w:tc>
        <w:tc>
          <w:tcPr>
            <w:tcW w:w="1260" w:type="dxa"/>
            <w:tcBorders>
              <w:top w:val="nil"/>
              <w:bottom w:val="single" w:color="auto" w:sz="4" w:space="0"/>
              <w:right w:val="single" w:color="auto" w:sz="4" w:space="0"/>
            </w:tcBorders>
            <w:vAlign w:val="center"/>
          </w:tcPr>
          <w:p w14:paraId="055B3E26">
            <w:pPr>
              <w:spacing w:line="360" w:lineRule="auto"/>
              <w:rPr>
                <w:highlight w:val="none"/>
              </w:rPr>
            </w:pPr>
          </w:p>
        </w:tc>
      </w:tr>
      <w:tr w14:paraId="460F38C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0" w:type="dxa"/>
            <w:tcBorders>
              <w:top w:val="single" w:color="auto" w:sz="4" w:space="0"/>
              <w:bottom w:val="single" w:color="auto" w:sz="4" w:space="0"/>
            </w:tcBorders>
            <w:vAlign w:val="center"/>
          </w:tcPr>
          <w:p w14:paraId="10E1F810">
            <w:pPr>
              <w:snapToGrid w:val="0"/>
              <w:spacing w:line="360" w:lineRule="auto"/>
              <w:rPr>
                <w:rFonts w:ascii="Arial" w:hAnsi="Arial"/>
                <w:b/>
                <w:kern w:val="0"/>
                <w:sz w:val="24"/>
                <w:highlight w:val="none"/>
              </w:rPr>
            </w:pPr>
            <w:r>
              <w:rPr>
                <w:rFonts w:hint="eastAsia" w:ascii="Arial" w:hAnsi="Arial"/>
                <w:b/>
                <w:kern w:val="0"/>
                <w:sz w:val="24"/>
                <w:highlight w:val="none"/>
              </w:rPr>
              <w:t>2</w:t>
            </w:r>
          </w:p>
        </w:tc>
        <w:tc>
          <w:tcPr>
            <w:tcW w:w="1260" w:type="dxa"/>
            <w:tcBorders>
              <w:top w:val="single" w:color="auto" w:sz="4" w:space="0"/>
              <w:bottom w:val="single" w:color="auto" w:sz="4" w:space="0"/>
            </w:tcBorders>
            <w:vAlign w:val="center"/>
          </w:tcPr>
          <w:p w14:paraId="38E2B581">
            <w:pPr>
              <w:snapToGrid w:val="0"/>
              <w:spacing w:line="360" w:lineRule="auto"/>
              <w:jc w:val="center"/>
              <w:rPr>
                <w:highlight w:val="none"/>
              </w:rPr>
            </w:pPr>
          </w:p>
        </w:tc>
        <w:tc>
          <w:tcPr>
            <w:tcW w:w="4320" w:type="dxa"/>
            <w:tcBorders>
              <w:top w:val="single" w:color="auto" w:sz="4" w:space="0"/>
              <w:bottom w:val="single" w:color="auto" w:sz="4" w:space="0"/>
            </w:tcBorders>
            <w:vAlign w:val="center"/>
          </w:tcPr>
          <w:p w14:paraId="2AC7C983">
            <w:pPr>
              <w:spacing w:line="360" w:lineRule="auto"/>
              <w:rPr>
                <w:b/>
                <w:sz w:val="18"/>
                <w:szCs w:val="18"/>
                <w:highlight w:val="none"/>
              </w:rPr>
            </w:pPr>
          </w:p>
        </w:tc>
        <w:tc>
          <w:tcPr>
            <w:tcW w:w="1080" w:type="dxa"/>
            <w:tcBorders>
              <w:top w:val="single" w:color="auto" w:sz="4" w:space="0"/>
              <w:bottom w:val="single" w:color="auto" w:sz="4" w:space="0"/>
            </w:tcBorders>
            <w:vAlign w:val="center"/>
          </w:tcPr>
          <w:p w14:paraId="2BAEC110">
            <w:pPr>
              <w:snapToGrid w:val="0"/>
              <w:spacing w:line="360" w:lineRule="auto"/>
              <w:ind w:firstLine="118" w:firstLineChars="49"/>
              <w:rPr>
                <w:rFonts w:ascii="宋体" w:hAnsi="宋体"/>
                <w:b/>
                <w:kern w:val="0"/>
                <w:sz w:val="24"/>
                <w:highlight w:val="none"/>
              </w:rPr>
            </w:pPr>
          </w:p>
        </w:tc>
        <w:tc>
          <w:tcPr>
            <w:tcW w:w="1080" w:type="dxa"/>
            <w:tcBorders>
              <w:top w:val="single" w:color="auto" w:sz="4" w:space="0"/>
              <w:bottom w:val="single" w:color="auto" w:sz="4" w:space="0"/>
              <w:right w:val="single" w:color="auto" w:sz="4" w:space="0"/>
            </w:tcBorders>
            <w:vAlign w:val="center"/>
          </w:tcPr>
          <w:p w14:paraId="085D0042">
            <w:pPr>
              <w:snapToGrid w:val="0"/>
              <w:spacing w:line="360" w:lineRule="auto"/>
              <w:ind w:firstLine="118" w:firstLineChars="49"/>
              <w:rPr>
                <w:rFonts w:ascii="宋体" w:hAnsi="宋体"/>
                <w:b/>
                <w:kern w:val="0"/>
                <w:sz w:val="24"/>
                <w:highlight w:val="none"/>
              </w:rPr>
            </w:pPr>
          </w:p>
        </w:tc>
        <w:tc>
          <w:tcPr>
            <w:tcW w:w="1260" w:type="dxa"/>
            <w:tcBorders>
              <w:top w:val="single" w:color="auto" w:sz="4" w:space="0"/>
              <w:bottom w:val="single" w:color="auto" w:sz="4" w:space="0"/>
              <w:right w:val="single" w:color="auto" w:sz="4" w:space="0"/>
            </w:tcBorders>
            <w:vAlign w:val="center"/>
          </w:tcPr>
          <w:p w14:paraId="778C5122">
            <w:pPr>
              <w:spacing w:line="360" w:lineRule="auto"/>
              <w:rPr>
                <w:highlight w:val="none"/>
              </w:rPr>
            </w:pPr>
          </w:p>
        </w:tc>
      </w:tr>
      <w:tr w14:paraId="33B18B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0" w:type="dxa"/>
            <w:tcBorders>
              <w:top w:val="single" w:color="auto" w:sz="4" w:space="0"/>
              <w:bottom w:val="single" w:color="auto" w:sz="4" w:space="0"/>
            </w:tcBorders>
            <w:vAlign w:val="center"/>
          </w:tcPr>
          <w:p w14:paraId="2F6EAF5A">
            <w:pPr>
              <w:snapToGrid w:val="0"/>
              <w:spacing w:line="360" w:lineRule="auto"/>
              <w:rPr>
                <w:rFonts w:ascii="Arial" w:hAnsi="Arial"/>
                <w:b/>
                <w:kern w:val="0"/>
                <w:sz w:val="24"/>
                <w:highlight w:val="none"/>
              </w:rPr>
            </w:pPr>
            <w:r>
              <w:rPr>
                <w:rFonts w:hint="eastAsia" w:ascii="Arial" w:hAnsi="Arial"/>
                <w:b/>
                <w:kern w:val="0"/>
                <w:sz w:val="24"/>
                <w:highlight w:val="none"/>
              </w:rPr>
              <w:t>3</w:t>
            </w:r>
          </w:p>
        </w:tc>
        <w:tc>
          <w:tcPr>
            <w:tcW w:w="1260" w:type="dxa"/>
            <w:tcBorders>
              <w:top w:val="single" w:color="auto" w:sz="4" w:space="0"/>
              <w:bottom w:val="single" w:color="auto" w:sz="4" w:space="0"/>
            </w:tcBorders>
            <w:vAlign w:val="center"/>
          </w:tcPr>
          <w:p w14:paraId="6A41BFB7">
            <w:pPr>
              <w:snapToGrid w:val="0"/>
              <w:spacing w:line="360" w:lineRule="auto"/>
              <w:jc w:val="center"/>
              <w:rPr>
                <w:highlight w:val="none"/>
              </w:rPr>
            </w:pPr>
          </w:p>
        </w:tc>
        <w:tc>
          <w:tcPr>
            <w:tcW w:w="4320" w:type="dxa"/>
            <w:tcBorders>
              <w:top w:val="single" w:color="auto" w:sz="4" w:space="0"/>
              <w:bottom w:val="single" w:color="auto" w:sz="4" w:space="0"/>
            </w:tcBorders>
            <w:vAlign w:val="center"/>
          </w:tcPr>
          <w:p w14:paraId="1252E460">
            <w:pPr>
              <w:spacing w:line="360" w:lineRule="auto"/>
              <w:rPr>
                <w:b/>
                <w:sz w:val="18"/>
                <w:szCs w:val="18"/>
                <w:highlight w:val="none"/>
              </w:rPr>
            </w:pPr>
          </w:p>
        </w:tc>
        <w:tc>
          <w:tcPr>
            <w:tcW w:w="1080" w:type="dxa"/>
            <w:tcBorders>
              <w:top w:val="single" w:color="auto" w:sz="4" w:space="0"/>
              <w:bottom w:val="single" w:color="auto" w:sz="4" w:space="0"/>
            </w:tcBorders>
            <w:vAlign w:val="center"/>
          </w:tcPr>
          <w:p w14:paraId="0CFC98D3">
            <w:pPr>
              <w:snapToGrid w:val="0"/>
              <w:spacing w:line="360" w:lineRule="auto"/>
              <w:ind w:firstLine="118" w:firstLineChars="49"/>
              <w:rPr>
                <w:rFonts w:ascii="宋体" w:hAnsi="宋体"/>
                <w:b/>
                <w:kern w:val="0"/>
                <w:sz w:val="24"/>
                <w:highlight w:val="none"/>
              </w:rPr>
            </w:pPr>
          </w:p>
        </w:tc>
        <w:tc>
          <w:tcPr>
            <w:tcW w:w="1080" w:type="dxa"/>
            <w:tcBorders>
              <w:top w:val="single" w:color="auto" w:sz="4" w:space="0"/>
              <w:bottom w:val="single" w:color="auto" w:sz="4" w:space="0"/>
              <w:right w:val="single" w:color="auto" w:sz="4" w:space="0"/>
            </w:tcBorders>
            <w:vAlign w:val="center"/>
          </w:tcPr>
          <w:p w14:paraId="39F338AF">
            <w:pPr>
              <w:snapToGrid w:val="0"/>
              <w:spacing w:line="360" w:lineRule="auto"/>
              <w:ind w:firstLine="118" w:firstLineChars="49"/>
              <w:rPr>
                <w:rFonts w:ascii="宋体" w:hAnsi="宋体"/>
                <w:b/>
                <w:kern w:val="0"/>
                <w:sz w:val="24"/>
                <w:highlight w:val="none"/>
              </w:rPr>
            </w:pPr>
          </w:p>
        </w:tc>
        <w:tc>
          <w:tcPr>
            <w:tcW w:w="1260" w:type="dxa"/>
            <w:tcBorders>
              <w:top w:val="single" w:color="auto" w:sz="4" w:space="0"/>
              <w:bottom w:val="single" w:color="auto" w:sz="4" w:space="0"/>
              <w:right w:val="single" w:color="auto" w:sz="4" w:space="0"/>
            </w:tcBorders>
            <w:vAlign w:val="center"/>
          </w:tcPr>
          <w:p w14:paraId="729EC21E">
            <w:pPr>
              <w:spacing w:line="360" w:lineRule="auto"/>
              <w:rPr>
                <w:highlight w:val="none"/>
              </w:rPr>
            </w:pPr>
          </w:p>
        </w:tc>
      </w:tr>
      <w:tr w14:paraId="7C4DAE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720" w:type="dxa"/>
            <w:gridSpan w:val="6"/>
            <w:tcBorders>
              <w:top w:val="single" w:color="auto" w:sz="4" w:space="0"/>
              <w:bottom w:val="single" w:color="auto" w:sz="4" w:space="0"/>
              <w:right w:val="single" w:color="auto" w:sz="4" w:space="0"/>
            </w:tcBorders>
            <w:vAlign w:val="center"/>
          </w:tcPr>
          <w:p w14:paraId="5172A9B1">
            <w:pPr>
              <w:spacing w:line="360" w:lineRule="auto"/>
              <w:rPr>
                <w:highlight w:val="none"/>
              </w:rPr>
            </w:pPr>
            <w:r>
              <w:rPr>
                <w:rFonts w:hint="eastAsia"/>
                <w:b/>
                <w:sz w:val="18"/>
                <w:szCs w:val="18"/>
                <w:highlight w:val="none"/>
              </w:rPr>
              <w:t xml:space="preserve">总价（人民币大写）：                                     </w:t>
            </w:r>
            <w:r>
              <w:rPr>
                <w:rFonts w:hint="eastAsia"/>
                <w:highlight w:val="none"/>
              </w:rPr>
              <w:t>合计（小写）：        元</w:t>
            </w:r>
          </w:p>
          <w:p w14:paraId="33DD6B00">
            <w:pPr>
              <w:spacing w:line="360" w:lineRule="auto"/>
              <w:rPr>
                <w:highlight w:val="none"/>
              </w:rPr>
            </w:pPr>
            <w:r>
              <w:rPr>
                <w:rFonts w:hint="eastAsia" w:ascii="宋体" w:hAnsi="宋体"/>
                <w:sz w:val="18"/>
                <w:highlight w:val="none"/>
              </w:rPr>
              <w:t>本合同总价款是货物设计、制造、包装、仓储、运输、安装及验收合格之前以及保修期内备品备件发生的所有含税费用。本合同总价款还包含乙方应当提供的伴随服务/售后服务费用。</w:t>
            </w:r>
          </w:p>
        </w:tc>
      </w:tr>
    </w:tbl>
    <w:p w14:paraId="08B601F3">
      <w:pPr>
        <w:widowControl/>
        <w:snapToGrid w:val="0"/>
        <w:spacing w:before="19" w:line="360" w:lineRule="auto"/>
        <w:rPr>
          <w:rFonts w:ascii="仿宋_GB2312"/>
          <w:sz w:val="24"/>
          <w:highlight w:val="none"/>
        </w:rPr>
      </w:pPr>
      <w:r>
        <w:rPr>
          <w:rFonts w:hint="eastAsia" w:ascii="仿宋_GB2312"/>
          <w:sz w:val="24"/>
          <w:highlight w:val="none"/>
        </w:rPr>
        <w:t>二、交货时间：</w:t>
      </w:r>
      <w:r>
        <w:rPr>
          <w:rFonts w:hint="eastAsia" w:ascii="仿宋_GB2312"/>
          <w:sz w:val="24"/>
          <w:highlight w:val="none"/>
          <w:u w:val="single"/>
        </w:rPr>
        <w:t xml:space="preserve"> 在甲方指定时间供货。</w:t>
      </w:r>
    </w:p>
    <w:p w14:paraId="6D43FC7C">
      <w:pPr>
        <w:widowControl/>
        <w:snapToGrid w:val="0"/>
        <w:spacing w:before="19" w:line="360" w:lineRule="auto"/>
        <w:rPr>
          <w:rFonts w:ascii="仿宋_GB2312"/>
          <w:sz w:val="24"/>
          <w:highlight w:val="none"/>
          <w:u w:val="none"/>
        </w:rPr>
      </w:pPr>
      <w:r>
        <w:rPr>
          <w:rFonts w:hint="eastAsia" w:ascii="仿宋_GB2312"/>
          <w:sz w:val="24"/>
          <w:highlight w:val="none"/>
        </w:rPr>
        <w:t>三、交货地点：由乙方负责运输至</w:t>
      </w:r>
      <w:r>
        <w:rPr>
          <w:rFonts w:hint="eastAsia" w:ascii="仿宋_GB2312"/>
          <w:sz w:val="24"/>
          <w:highlight w:val="none"/>
          <w:u w:val="single"/>
        </w:rPr>
        <w:t>甲方指定地点。</w:t>
      </w:r>
      <w:r>
        <w:rPr>
          <w:rFonts w:hint="eastAsia" w:ascii="仿宋_GB2312"/>
          <w:sz w:val="24"/>
          <w:highlight w:val="none"/>
          <w:u w:val="none"/>
        </w:rPr>
        <w:t>货物运输至甲方校区前的灭失风险由乙方承担。</w:t>
      </w:r>
    </w:p>
    <w:p w14:paraId="60493DD2">
      <w:pPr>
        <w:widowControl/>
        <w:snapToGrid w:val="0"/>
        <w:spacing w:before="19" w:line="360" w:lineRule="auto"/>
        <w:rPr>
          <w:rFonts w:hint="eastAsia" w:ascii="宋体"/>
          <w:sz w:val="24"/>
          <w:highlight w:val="none"/>
        </w:rPr>
      </w:pPr>
      <w:r>
        <w:rPr>
          <w:rFonts w:hint="eastAsia" w:ascii="宋体"/>
          <w:sz w:val="24"/>
          <w:highlight w:val="none"/>
        </w:rPr>
        <w:t>四、</w:t>
      </w:r>
      <w:r>
        <w:rPr>
          <w:rFonts w:hint="eastAsia" w:ascii="宋体"/>
          <w:sz w:val="24"/>
          <w:highlight w:val="none"/>
          <w:lang w:val="en-US" w:eastAsia="zh-CN"/>
        </w:rPr>
        <w:t>履约保证金</w:t>
      </w:r>
      <w:r>
        <w:rPr>
          <w:rFonts w:hint="eastAsia" w:ascii="宋体"/>
          <w:sz w:val="24"/>
          <w:highlight w:val="none"/>
        </w:rPr>
        <w:t>：</w:t>
      </w:r>
    </w:p>
    <w:p w14:paraId="61E716D5">
      <w:pPr>
        <w:widowControl/>
        <w:snapToGrid w:val="0"/>
        <w:spacing w:before="19" w:line="360" w:lineRule="auto"/>
        <w:ind w:firstLine="480" w:firstLineChars="200"/>
        <w:rPr>
          <w:rFonts w:hint="eastAsia" w:ascii="宋体"/>
          <w:sz w:val="24"/>
          <w:highlight w:val="none"/>
          <w:lang w:val="en-US" w:eastAsia="zh-CN"/>
        </w:rPr>
      </w:pPr>
      <w:r>
        <w:rPr>
          <w:rFonts w:hint="eastAsia" w:ascii="宋体"/>
          <w:sz w:val="24"/>
          <w:highlight w:val="none"/>
          <w:lang w:val="en-US" w:eastAsia="zh-CN"/>
        </w:rPr>
        <w:t>1.乙方在收到中标通知书后，向甲方缴纳贰万元作为履约保证金，允许中标人自主选择支票、汇票、本票、保函等非现金形式缴纳或提交。</w:t>
      </w:r>
    </w:p>
    <w:p w14:paraId="0CC99934">
      <w:pPr>
        <w:widowControl/>
        <w:snapToGrid w:val="0"/>
        <w:spacing w:before="19" w:line="360" w:lineRule="auto"/>
        <w:ind w:firstLine="480" w:firstLineChars="200"/>
        <w:rPr>
          <w:rFonts w:hint="eastAsia" w:ascii="宋体"/>
          <w:sz w:val="24"/>
          <w:highlight w:val="none"/>
          <w:lang w:val="en-US" w:eastAsia="zh-CN"/>
        </w:rPr>
      </w:pPr>
      <w:r>
        <w:rPr>
          <w:rFonts w:hint="eastAsia" w:ascii="宋体"/>
          <w:sz w:val="24"/>
          <w:highlight w:val="none"/>
          <w:lang w:val="en-US" w:eastAsia="zh-CN"/>
        </w:rPr>
        <w:t>2.履约保证金的退还：乙方凭甲方签署的验收报告，至甲方处办理履约保证金退还手续，乙方递交材料后10日内甲方无息退还履约保证金，甲方逾期未退还履约保证金，应当按照银行同期借款利息偿还。</w:t>
      </w:r>
    </w:p>
    <w:p w14:paraId="5608489A">
      <w:pPr>
        <w:widowControl/>
        <w:snapToGrid w:val="0"/>
        <w:spacing w:before="19" w:line="360" w:lineRule="auto"/>
        <w:ind w:firstLine="480" w:firstLineChars="200"/>
        <w:rPr>
          <w:rFonts w:hint="eastAsia" w:ascii="宋体"/>
          <w:sz w:val="24"/>
          <w:highlight w:val="none"/>
          <w:lang w:val="en-US" w:eastAsia="zh-CN"/>
        </w:rPr>
      </w:pPr>
      <w:r>
        <w:rPr>
          <w:rFonts w:hint="eastAsia" w:ascii="宋体"/>
          <w:sz w:val="24"/>
          <w:highlight w:val="none"/>
          <w:lang w:val="en-US" w:eastAsia="zh-CN"/>
        </w:rPr>
        <w:t>3.如乙方未能履行合同规定的义务，甲方有权从履约保证金中取得补偿。</w:t>
      </w:r>
    </w:p>
    <w:p w14:paraId="08F0098D">
      <w:pPr>
        <w:widowControl/>
        <w:snapToGrid w:val="0"/>
        <w:spacing w:before="19" w:line="360" w:lineRule="auto"/>
        <w:ind w:firstLine="480" w:firstLineChars="200"/>
        <w:rPr>
          <w:rFonts w:hint="eastAsia" w:ascii="宋体"/>
          <w:sz w:val="24"/>
          <w:highlight w:val="none"/>
          <w:lang w:val="en-US" w:eastAsia="zh-CN"/>
        </w:rPr>
      </w:pPr>
      <w:r>
        <w:rPr>
          <w:rFonts w:hint="eastAsia" w:ascii="宋体"/>
          <w:sz w:val="24"/>
          <w:highlight w:val="none"/>
          <w:lang w:val="en-US" w:eastAsia="zh-CN"/>
        </w:rPr>
        <w:t>4.履约保证金不予退换的情形：（a）签订合同后，乙方不得将货物及其他服务进行转包，未经甲方同意，乙方也不得采用分包的形式履行合同，否则甲方有权终止合同，乙方的履约保证金将不予退还。转包或分包造成采购人损失的，乙方应承担赔偿责任；(b)如乙方不能按时完成货物及服务内容，给甲方造成损失的，履约保证金将不予退还。</w:t>
      </w:r>
    </w:p>
    <w:p w14:paraId="74796269">
      <w:pPr>
        <w:widowControl/>
        <w:snapToGrid w:val="0"/>
        <w:spacing w:before="19" w:line="360" w:lineRule="auto"/>
        <w:rPr>
          <w:rFonts w:hint="eastAsia" w:ascii="仿宋_GB2312"/>
          <w:sz w:val="24"/>
          <w:highlight w:val="none"/>
          <w:lang w:val="en-US" w:eastAsia="zh-CN"/>
        </w:rPr>
      </w:pPr>
      <w:r>
        <w:rPr>
          <w:rFonts w:hint="eastAsia" w:ascii="仿宋_GB2312"/>
          <w:sz w:val="24"/>
          <w:highlight w:val="none"/>
          <w:lang w:val="en-US" w:eastAsia="zh-CN"/>
        </w:rPr>
        <w:t>五、付款方式：</w:t>
      </w:r>
    </w:p>
    <w:p w14:paraId="0FCAD319">
      <w:pPr>
        <w:pStyle w:val="2"/>
        <w:spacing w:line="360" w:lineRule="auto"/>
        <w:rPr>
          <w:rFonts w:hint="default" w:ascii="宋体" w:hAnsiTheme="minorHAnsi" w:eastAsiaTheme="minorEastAsia" w:cstheme="minorBidi"/>
          <w:color w:val="auto"/>
          <w:kern w:val="2"/>
          <w:sz w:val="24"/>
          <w:szCs w:val="22"/>
          <w:highlight w:val="none"/>
          <w:lang w:val="en-US" w:eastAsia="zh-CN" w:bidi="ar-SA"/>
        </w:rPr>
      </w:pPr>
      <w:r>
        <w:rPr>
          <w:rFonts w:hint="default" w:ascii="宋体" w:hAnsiTheme="minorHAnsi" w:eastAsiaTheme="minorEastAsia" w:cstheme="minorBidi"/>
          <w:color w:val="auto"/>
          <w:kern w:val="2"/>
          <w:sz w:val="24"/>
          <w:szCs w:val="22"/>
          <w:highlight w:val="none"/>
          <w:lang w:val="en-US" w:eastAsia="zh-CN" w:bidi="ar-SA"/>
        </w:rPr>
        <w:t>本采购项目无预付款，安装调试结束，经甲乙双方共同验收，合格后，付至合同总额的95%；两年后无质量问题，余款无息结清。甲方付款前乙方需提供合法、有效、等额的发票，否则，甲方有权拒付相应款项。</w:t>
      </w:r>
    </w:p>
    <w:p w14:paraId="054F5898">
      <w:pPr>
        <w:widowControl/>
        <w:snapToGrid w:val="0"/>
        <w:spacing w:before="19" w:line="360" w:lineRule="auto"/>
        <w:rPr>
          <w:rFonts w:ascii="仿宋_GB2312"/>
          <w:sz w:val="24"/>
          <w:highlight w:val="none"/>
        </w:rPr>
      </w:pPr>
      <w:r>
        <w:rPr>
          <w:rFonts w:hint="eastAsia" w:ascii="仿宋_GB2312"/>
          <w:sz w:val="24"/>
          <w:highlight w:val="none"/>
          <w:lang w:val="en-US" w:eastAsia="zh-CN"/>
        </w:rPr>
        <w:t>六</w:t>
      </w:r>
      <w:r>
        <w:rPr>
          <w:rFonts w:hint="eastAsia" w:ascii="仿宋_GB2312"/>
          <w:sz w:val="24"/>
          <w:highlight w:val="none"/>
        </w:rPr>
        <w:t>、质保期：</w:t>
      </w:r>
      <w:r>
        <w:rPr>
          <w:rFonts w:hint="eastAsia" w:ascii="宋体"/>
          <w:sz w:val="24"/>
          <w:highlight w:val="none"/>
        </w:rPr>
        <w:t>_______</w:t>
      </w:r>
      <w:r>
        <w:rPr>
          <w:rFonts w:hint="eastAsia" w:ascii="仿宋_GB2312"/>
          <w:sz w:val="24"/>
          <w:highlight w:val="none"/>
        </w:rPr>
        <w:t>(</w:t>
      </w:r>
      <w:r>
        <w:rPr>
          <w:rFonts w:hint="eastAsia" w:hAnsi="宋体"/>
          <w:sz w:val="24"/>
          <w:highlight w:val="none"/>
        </w:rPr>
        <w:t>自验收合格之日起计。</w:t>
      </w:r>
      <w:r>
        <w:rPr>
          <w:rFonts w:hint="eastAsia" w:ascii="仿宋_GB2312"/>
          <w:sz w:val="24"/>
          <w:highlight w:val="none"/>
        </w:rPr>
        <w:t>所有货物保修服务方式均为乙方派员到货物使用现场维修，由此产生的一切费用均由乙方承担。)</w:t>
      </w:r>
    </w:p>
    <w:p w14:paraId="0AF3A128">
      <w:pPr>
        <w:widowControl/>
        <w:snapToGrid w:val="0"/>
        <w:spacing w:before="19" w:line="360" w:lineRule="auto"/>
        <w:rPr>
          <w:rFonts w:ascii="仿宋_GB2312"/>
          <w:sz w:val="24"/>
          <w:highlight w:val="none"/>
        </w:rPr>
      </w:pPr>
      <w:r>
        <w:rPr>
          <w:rFonts w:hint="eastAsia" w:ascii="宋体"/>
          <w:sz w:val="24"/>
          <w:highlight w:val="none"/>
          <w:lang w:val="en-US" w:eastAsia="zh-CN"/>
        </w:rPr>
        <w:t>七</w:t>
      </w:r>
      <w:r>
        <w:rPr>
          <w:rFonts w:hint="eastAsia" w:ascii="宋体"/>
          <w:sz w:val="24"/>
          <w:highlight w:val="none"/>
        </w:rPr>
        <w:t>、质量要求、技术标准、乙方对质量负责的条件和期限：</w:t>
      </w:r>
    </w:p>
    <w:p w14:paraId="4DDA74C9">
      <w:pPr>
        <w:widowControl/>
        <w:snapToGrid w:val="0"/>
        <w:spacing w:before="19" w:line="360" w:lineRule="auto"/>
        <w:ind w:left="555"/>
        <w:rPr>
          <w:rFonts w:ascii="仿宋_GB2312"/>
          <w:sz w:val="24"/>
          <w:highlight w:val="none"/>
        </w:rPr>
      </w:pPr>
      <w:r>
        <w:rPr>
          <w:rFonts w:hint="eastAsia" w:ascii="仿宋_GB2312"/>
          <w:sz w:val="24"/>
          <w:highlight w:val="none"/>
        </w:rPr>
        <w:t>1、乙方所提供的货物，若技术性能无特殊说明，则按生产企业或国家有关部门最新颁布的标准及规范为准。</w:t>
      </w:r>
    </w:p>
    <w:p w14:paraId="3D017951">
      <w:pPr>
        <w:widowControl/>
        <w:snapToGrid w:val="0"/>
        <w:spacing w:before="19" w:line="360" w:lineRule="auto"/>
        <w:ind w:firstLine="600" w:firstLineChars="250"/>
        <w:rPr>
          <w:rFonts w:ascii="仿宋_GB2312"/>
          <w:sz w:val="24"/>
          <w:highlight w:val="none"/>
        </w:rPr>
      </w:pPr>
      <w:r>
        <w:rPr>
          <w:rFonts w:hint="eastAsia" w:ascii="仿宋_GB2312"/>
          <w:sz w:val="24"/>
          <w:highlight w:val="none"/>
        </w:rPr>
        <w:t>2、乙方应保证货物是全新、未使用过的原装合格正品，并完全符合生产企业或国家规定的质量、规格和性能的要求。货物验收后，在质量保证期内，乙方应对由于设计、工艺或材料的缺陷所发生的任何不足或故障负责，所需费用由乙方承担。</w:t>
      </w:r>
    </w:p>
    <w:p w14:paraId="739F94CF">
      <w:pPr>
        <w:widowControl/>
        <w:snapToGrid w:val="0"/>
        <w:spacing w:before="19" w:line="360" w:lineRule="auto"/>
        <w:rPr>
          <w:rFonts w:ascii="仿宋_GB2312"/>
          <w:sz w:val="24"/>
          <w:highlight w:val="none"/>
        </w:rPr>
      </w:pPr>
      <w:r>
        <w:rPr>
          <w:rFonts w:hint="eastAsia" w:ascii="仿宋_GB2312"/>
          <w:sz w:val="24"/>
          <w:highlight w:val="none"/>
          <w:lang w:val="en-US" w:eastAsia="zh-CN"/>
        </w:rPr>
        <w:t>八</w:t>
      </w:r>
      <w:r>
        <w:rPr>
          <w:rFonts w:hint="eastAsia" w:ascii="仿宋_GB2312"/>
          <w:sz w:val="24"/>
          <w:highlight w:val="none"/>
        </w:rPr>
        <w:t>、验收标准：甲方应当在到货且安装调试完成后</w:t>
      </w:r>
      <w:r>
        <w:rPr>
          <w:rFonts w:hint="eastAsia" w:ascii="宋体"/>
          <w:sz w:val="24"/>
          <w:highlight w:val="none"/>
        </w:rPr>
        <w:t>___10___日</w:t>
      </w:r>
      <w:r>
        <w:rPr>
          <w:rFonts w:hint="eastAsia" w:ascii="仿宋_GB2312"/>
          <w:sz w:val="24"/>
          <w:highlight w:val="none"/>
        </w:rPr>
        <w:t>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14:paraId="747D75A0">
      <w:pPr>
        <w:widowControl/>
        <w:snapToGrid w:val="0"/>
        <w:spacing w:before="19" w:line="360" w:lineRule="auto"/>
        <w:rPr>
          <w:rFonts w:ascii="仿宋_GB2312"/>
          <w:sz w:val="24"/>
          <w:highlight w:val="none"/>
        </w:rPr>
      </w:pPr>
      <w:r>
        <w:rPr>
          <w:rFonts w:hint="eastAsia" w:ascii="仿宋_GB2312"/>
          <w:sz w:val="24"/>
          <w:highlight w:val="none"/>
          <w:lang w:val="en-US" w:eastAsia="zh-CN"/>
        </w:rPr>
        <w:t>九</w:t>
      </w:r>
      <w:r>
        <w:rPr>
          <w:rFonts w:hint="eastAsia" w:ascii="仿宋_GB2312"/>
          <w:sz w:val="24"/>
          <w:highlight w:val="none"/>
        </w:rPr>
        <w:t>、 工程部分（两万元以上）需按南京邮电大学审计相关规定执行。</w:t>
      </w:r>
    </w:p>
    <w:p w14:paraId="400F7A99">
      <w:pPr>
        <w:widowControl/>
        <w:snapToGrid w:val="0"/>
        <w:spacing w:before="19" w:line="360" w:lineRule="auto"/>
        <w:rPr>
          <w:rFonts w:ascii="仿宋_GB2312"/>
          <w:sz w:val="24"/>
          <w:highlight w:val="none"/>
        </w:rPr>
      </w:pPr>
      <w:r>
        <w:rPr>
          <w:rFonts w:hint="eastAsia" w:ascii="仿宋_GB2312"/>
          <w:sz w:val="24"/>
          <w:highlight w:val="none"/>
          <w:lang w:val="en-US" w:eastAsia="zh-CN"/>
        </w:rPr>
        <w:t>十</w:t>
      </w:r>
      <w:r>
        <w:rPr>
          <w:rFonts w:hint="eastAsia" w:ascii="仿宋_GB2312"/>
          <w:sz w:val="24"/>
          <w:highlight w:val="none"/>
        </w:rPr>
        <w:t>、招投标文件为本合同的附件，与本合同具有同等法律效力（本条款适用于招投标项目）。甲乙双方商定的其他必要文件，附件与本合同不相符合之处，以本合同内容为准。上述文件内容互为补充。</w:t>
      </w:r>
    </w:p>
    <w:p w14:paraId="740EDD9F">
      <w:pPr>
        <w:widowControl/>
        <w:snapToGrid w:val="0"/>
        <w:spacing w:before="19" w:line="360" w:lineRule="auto"/>
        <w:rPr>
          <w:rFonts w:ascii="仿宋_GB2312"/>
          <w:sz w:val="24"/>
          <w:highlight w:val="none"/>
        </w:rPr>
      </w:pPr>
      <w:r>
        <w:rPr>
          <w:rFonts w:hint="eastAsia" w:ascii="仿宋_GB2312"/>
          <w:sz w:val="24"/>
          <w:highlight w:val="none"/>
        </w:rPr>
        <w:t>十</w:t>
      </w:r>
      <w:r>
        <w:rPr>
          <w:rFonts w:hint="eastAsia" w:ascii="仿宋_GB2312"/>
          <w:sz w:val="24"/>
          <w:highlight w:val="none"/>
          <w:lang w:val="en-US" w:eastAsia="zh-CN"/>
        </w:rPr>
        <w:t>一</w:t>
      </w:r>
      <w:r>
        <w:rPr>
          <w:rFonts w:hint="eastAsia" w:ascii="仿宋_GB2312"/>
          <w:sz w:val="24"/>
          <w:highlight w:val="none"/>
        </w:rPr>
        <w:t>、违约责任</w:t>
      </w:r>
    </w:p>
    <w:p w14:paraId="45BB5AB9">
      <w:pPr>
        <w:widowControl/>
        <w:snapToGrid w:val="0"/>
        <w:spacing w:before="19" w:line="360" w:lineRule="auto"/>
        <w:rPr>
          <w:rFonts w:ascii="仿宋_GB2312"/>
          <w:sz w:val="24"/>
          <w:highlight w:val="none"/>
        </w:rPr>
      </w:pPr>
      <w:r>
        <w:rPr>
          <w:rFonts w:hint="eastAsia" w:ascii="仿宋_GB2312"/>
          <w:sz w:val="24"/>
          <w:highlight w:val="none"/>
        </w:rPr>
        <w:t>1、甲方无正当理由拒收货物、拒付货物款的，由甲方向乙方偿付合同总价的5%违约金。如乙方不能交付货物，乙方应向甲方支付合同总价５％的违约金。</w:t>
      </w:r>
    </w:p>
    <w:p w14:paraId="34BEA0F2">
      <w:pPr>
        <w:spacing w:before="19" w:line="360" w:lineRule="auto"/>
        <w:rPr>
          <w:rFonts w:ascii="仿宋_GB2312"/>
          <w:sz w:val="24"/>
          <w:highlight w:val="none"/>
        </w:rPr>
      </w:pPr>
      <w:r>
        <w:rPr>
          <w:rFonts w:hint="eastAsia" w:ascii="仿宋_GB2312"/>
          <w:sz w:val="24"/>
          <w:highlight w:val="none"/>
        </w:rPr>
        <w:t>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w:t>
      </w:r>
      <w:r>
        <w:rPr>
          <w:rFonts w:ascii="仿宋_GB2312"/>
          <w:sz w:val="24"/>
          <w:highlight w:val="none"/>
        </w:rPr>
        <w:t>5%</w:t>
      </w:r>
      <w:r>
        <w:rPr>
          <w:rFonts w:hint="eastAsia" w:ascii="仿宋_GB2312"/>
          <w:sz w:val="24"/>
          <w:highlight w:val="none"/>
        </w:rPr>
        <w:t>的违约金，如造成甲方损失超过违约金的，超出部分由乙方继续承担赔偿责任。</w:t>
      </w:r>
      <w:r>
        <w:rPr>
          <w:rFonts w:ascii="仿宋_GB2312"/>
          <w:sz w:val="24"/>
          <w:highlight w:val="none"/>
        </w:rPr>
        <w:t xml:space="preserve"> </w:t>
      </w:r>
    </w:p>
    <w:p w14:paraId="19B38D41">
      <w:pPr>
        <w:spacing w:before="19" w:line="360" w:lineRule="auto"/>
        <w:rPr>
          <w:rFonts w:ascii="仿宋_GB2312"/>
          <w:sz w:val="24"/>
          <w:highlight w:val="none"/>
        </w:rPr>
      </w:pPr>
      <w:r>
        <w:rPr>
          <w:rFonts w:hint="eastAsia" w:ascii="仿宋_GB2312"/>
          <w:sz w:val="24"/>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2A9A29C">
      <w:pPr>
        <w:widowControl/>
        <w:snapToGrid w:val="0"/>
        <w:spacing w:before="19" w:line="360" w:lineRule="auto"/>
        <w:rPr>
          <w:rFonts w:ascii="仿宋_GB2312"/>
          <w:sz w:val="24"/>
          <w:highlight w:val="none"/>
        </w:rPr>
      </w:pPr>
      <w:r>
        <w:rPr>
          <w:rFonts w:hint="eastAsia" w:ascii="仿宋_GB2312"/>
          <w:sz w:val="24"/>
          <w:highlight w:val="none"/>
        </w:rPr>
        <w:t>4、在乙方承诺的或国家规定的质量保证期内（取两者中最长的期限），</w:t>
      </w:r>
      <w:r>
        <w:rPr>
          <w:rFonts w:ascii="仿宋_GB2312"/>
          <w:sz w:val="24"/>
          <w:highlight w:val="none"/>
        </w:rPr>
        <w:t>如经乙方两次维修</w:t>
      </w:r>
      <w:r>
        <w:rPr>
          <w:rFonts w:hint="eastAsia" w:ascii="仿宋_GB2312"/>
          <w:sz w:val="24"/>
          <w:highlight w:val="none"/>
        </w:rPr>
        <w:t>或更换</w:t>
      </w:r>
      <w:r>
        <w:rPr>
          <w:rFonts w:ascii="仿宋_GB2312"/>
          <w:sz w:val="24"/>
          <w:highlight w:val="none"/>
        </w:rPr>
        <w:t>，货物仍不能达到合同约定</w:t>
      </w:r>
      <w:r>
        <w:rPr>
          <w:rFonts w:hint="eastAsia" w:ascii="仿宋_GB2312"/>
          <w:sz w:val="24"/>
          <w:highlight w:val="none"/>
        </w:rPr>
        <w:t>的</w:t>
      </w:r>
      <w:r>
        <w:rPr>
          <w:rFonts w:ascii="仿宋_GB2312"/>
          <w:sz w:val="24"/>
          <w:highlight w:val="none"/>
        </w:rPr>
        <w:t>质量标准，甲方有权退货，乙方</w:t>
      </w:r>
      <w:r>
        <w:rPr>
          <w:rFonts w:hint="eastAsia" w:ascii="仿宋_GB2312"/>
          <w:sz w:val="24"/>
          <w:highlight w:val="none"/>
        </w:rPr>
        <w:t>应</w:t>
      </w:r>
      <w:r>
        <w:rPr>
          <w:rFonts w:ascii="仿宋_GB2312"/>
          <w:sz w:val="24"/>
          <w:highlight w:val="none"/>
        </w:rPr>
        <w:t>退回全部货款</w:t>
      </w:r>
      <w:r>
        <w:rPr>
          <w:rFonts w:hint="eastAsia" w:ascii="仿宋_GB2312"/>
          <w:sz w:val="24"/>
          <w:highlight w:val="none"/>
        </w:rPr>
        <w:t>。</w:t>
      </w:r>
      <w:r>
        <w:rPr>
          <w:rFonts w:ascii="仿宋_GB2312"/>
          <w:sz w:val="24"/>
          <w:highlight w:val="none"/>
        </w:rPr>
        <w:t>同时，乙方还须赔偿甲方因此遭受的损失。</w:t>
      </w:r>
    </w:p>
    <w:p w14:paraId="2D971C12">
      <w:pPr>
        <w:widowControl/>
        <w:snapToGrid w:val="0"/>
        <w:spacing w:before="19" w:line="360" w:lineRule="auto"/>
        <w:rPr>
          <w:rFonts w:ascii="仿宋_GB2312"/>
          <w:sz w:val="24"/>
          <w:highlight w:val="none"/>
        </w:rPr>
      </w:pPr>
      <w:r>
        <w:rPr>
          <w:rFonts w:hint="eastAsia" w:ascii="仿宋_GB2312"/>
          <w:sz w:val="24"/>
          <w:highlight w:val="none"/>
        </w:rPr>
        <w:t>十</w:t>
      </w:r>
      <w:r>
        <w:rPr>
          <w:rFonts w:hint="eastAsia" w:ascii="仿宋_GB2312"/>
          <w:sz w:val="24"/>
          <w:highlight w:val="none"/>
          <w:lang w:val="en-US" w:eastAsia="zh-CN"/>
        </w:rPr>
        <w:t>二</w:t>
      </w:r>
      <w:r>
        <w:rPr>
          <w:rFonts w:hint="eastAsia" w:ascii="仿宋_GB2312"/>
          <w:sz w:val="24"/>
          <w:highlight w:val="none"/>
        </w:rPr>
        <w:t>、 合同的变更和终止</w:t>
      </w:r>
    </w:p>
    <w:p w14:paraId="69764C55">
      <w:pPr>
        <w:widowControl/>
        <w:snapToGrid w:val="0"/>
        <w:spacing w:before="19" w:line="360" w:lineRule="auto"/>
        <w:rPr>
          <w:rFonts w:ascii="仿宋_GB2312"/>
          <w:sz w:val="24"/>
          <w:highlight w:val="none"/>
        </w:rPr>
      </w:pPr>
      <w:r>
        <w:rPr>
          <w:rFonts w:hint="eastAsia" w:ascii="仿宋_GB2312"/>
          <w:sz w:val="24"/>
          <w:highlight w:val="none"/>
        </w:rPr>
        <w:t>依据《政府采购法》第五十条，本合同一经签订，甲乙双方不得擅自变更、中止或终止合同。</w:t>
      </w:r>
    </w:p>
    <w:p w14:paraId="7681FE75">
      <w:pPr>
        <w:widowControl/>
        <w:snapToGrid w:val="0"/>
        <w:spacing w:before="19" w:line="360" w:lineRule="auto"/>
        <w:rPr>
          <w:rFonts w:ascii="仿宋_GB2312"/>
          <w:sz w:val="24"/>
          <w:highlight w:val="none"/>
        </w:rPr>
      </w:pPr>
      <w:r>
        <w:rPr>
          <w:rFonts w:hint="eastAsia" w:ascii="仿宋_GB2312"/>
          <w:sz w:val="24"/>
          <w:highlight w:val="none"/>
        </w:rPr>
        <w:t>十</w:t>
      </w:r>
      <w:r>
        <w:rPr>
          <w:rFonts w:hint="eastAsia" w:ascii="仿宋_GB2312"/>
          <w:sz w:val="24"/>
          <w:highlight w:val="none"/>
          <w:lang w:val="en-US" w:eastAsia="zh-CN"/>
        </w:rPr>
        <w:t>三</w:t>
      </w:r>
      <w:r>
        <w:rPr>
          <w:rFonts w:hint="eastAsia" w:ascii="仿宋_GB2312"/>
          <w:sz w:val="24"/>
          <w:highlight w:val="none"/>
        </w:rPr>
        <w:t>、合同的转让</w:t>
      </w:r>
    </w:p>
    <w:p w14:paraId="1A067D3A">
      <w:pPr>
        <w:widowControl/>
        <w:snapToGrid w:val="0"/>
        <w:spacing w:before="19" w:line="360" w:lineRule="auto"/>
        <w:rPr>
          <w:rFonts w:ascii="仿宋_GB2312"/>
          <w:sz w:val="24"/>
          <w:highlight w:val="none"/>
        </w:rPr>
      </w:pPr>
      <w:r>
        <w:rPr>
          <w:rFonts w:hint="eastAsia" w:ascii="仿宋_GB2312"/>
          <w:sz w:val="24"/>
          <w:highlight w:val="none"/>
        </w:rPr>
        <w:t>乙方不得擅自部分或全部转让其应履行的合同义务。</w:t>
      </w:r>
    </w:p>
    <w:p w14:paraId="3027E038">
      <w:pPr>
        <w:widowControl/>
        <w:snapToGrid w:val="0"/>
        <w:spacing w:before="19" w:line="360" w:lineRule="auto"/>
        <w:rPr>
          <w:rFonts w:ascii="仿宋_GB2312"/>
          <w:sz w:val="24"/>
          <w:highlight w:val="none"/>
        </w:rPr>
      </w:pPr>
      <w:r>
        <w:rPr>
          <w:rFonts w:hint="eastAsia" w:ascii="仿宋_GB2312"/>
          <w:sz w:val="24"/>
          <w:highlight w:val="none"/>
        </w:rPr>
        <w:t>十</w:t>
      </w:r>
      <w:r>
        <w:rPr>
          <w:rFonts w:hint="eastAsia" w:ascii="仿宋_GB2312"/>
          <w:sz w:val="24"/>
          <w:highlight w:val="none"/>
          <w:lang w:val="en-US" w:eastAsia="zh-CN"/>
        </w:rPr>
        <w:t>四</w:t>
      </w:r>
      <w:r>
        <w:rPr>
          <w:rFonts w:hint="eastAsia" w:ascii="仿宋_GB2312"/>
          <w:sz w:val="24"/>
          <w:highlight w:val="none"/>
        </w:rPr>
        <w:t>、 争议的解决</w:t>
      </w:r>
    </w:p>
    <w:p w14:paraId="1E28587A">
      <w:pPr>
        <w:widowControl/>
        <w:snapToGrid w:val="0"/>
        <w:spacing w:before="19" w:line="360" w:lineRule="auto"/>
        <w:rPr>
          <w:rFonts w:ascii="仿宋_GB2312"/>
          <w:sz w:val="24"/>
          <w:highlight w:val="none"/>
        </w:rPr>
      </w:pPr>
      <w:r>
        <w:rPr>
          <w:rFonts w:hint="eastAsia" w:ascii="仿宋_GB2312"/>
          <w:sz w:val="24"/>
          <w:highlight w:val="none"/>
        </w:rPr>
        <w:t>1、因货物的质量问题发生争议的，应当邀请国家认可的质量检测机构对货物质量进行鉴定。货物符合标准的，鉴定费由甲方承担；货物不符合质量标准的，鉴定费由乙方承担、并更换有问题商品或部件。</w:t>
      </w:r>
    </w:p>
    <w:p w14:paraId="2A15F918">
      <w:pPr>
        <w:widowControl/>
        <w:snapToGrid w:val="0"/>
        <w:spacing w:before="19" w:line="360" w:lineRule="auto"/>
        <w:rPr>
          <w:rFonts w:ascii="仿宋_GB2312"/>
          <w:sz w:val="24"/>
          <w:highlight w:val="none"/>
        </w:rPr>
      </w:pPr>
      <w:r>
        <w:rPr>
          <w:rFonts w:hint="eastAsia" w:ascii="仿宋_GB2312"/>
          <w:sz w:val="24"/>
          <w:highlight w:val="none"/>
        </w:rPr>
        <w:t>2、因履行本合同引起的或与本合同有关的争议，甲、乙双方应首先通过友好协商解决，如果协商不能解决争议，任何一方均可向甲方所在地人民法院起诉解决。</w:t>
      </w:r>
    </w:p>
    <w:p w14:paraId="6E4BC22B">
      <w:pPr>
        <w:widowControl/>
        <w:snapToGrid w:val="0"/>
        <w:spacing w:before="19" w:line="360" w:lineRule="auto"/>
        <w:rPr>
          <w:rFonts w:ascii="仿宋_GB2312"/>
          <w:sz w:val="24"/>
          <w:highlight w:val="none"/>
        </w:rPr>
      </w:pPr>
      <w:r>
        <w:rPr>
          <w:rFonts w:hint="eastAsia" w:ascii="仿宋_GB2312"/>
          <w:sz w:val="24"/>
          <w:highlight w:val="none"/>
        </w:rPr>
        <w:t>十</w:t>
      </w:r>
      <w:r>
        <w:rPr>
          <w:rFonts w:hint="eastAsia" w:ascii="仿宋_GB2312"/>
          <w:sz w:val="24"/>
          <w:highlight w:val="none"/>
          <w:lang w:val="en-US" w:eastAsia="zh-CN"/>
        </w:rPr>
        <w:t>五</w:t>
      </w:r>
      <w:r>
        <w:rPr>
          <w:rFonts w:hint="eastAsia" w:ascii="仿宋_GB2312"/>
          <w:sz w:val="24"/>
          <w:highlight w:val="none"/>
        </w:rPr>
        <w:t>、付款前</w:t>
      </w:r>
      <w:r>
        <w:rPr>
          <w:rFonts w:ascii="仿宋_GB2312"/>
          <w:sz w:val="24"/>
          <w:highlight w:val="none"/>
        </w:rPr>
        <w:t>乙方</w:t>
      </w:r>
      <w:r>
        <w:rPr>
          <w:rFonts w:hint="eastAsia" w:ascii="仿宋_GB2312"/>
          <w:sz w:val="24"/>
          <w:highlight w:val="none"/>
        </w:rPr>
        <w:t>须提供</w:t>
      </w:r>
      <w:r>
        <w:rPr>
          <w:rFonts w:hint="eastAsia" w:ascii="仿宋_GB2312"/>
          <w:sz w:val="24"/>
          <w:highlight w:val="none"/>
          <w:u w:val="single"/>
        </w:rPr>
        <w:t>增值税专用发票</w:t>
      </w:r>
      <w:r>
        <w:rPr>
          <w:rFonts w:hint="eastAsia" w:ascii="仿宋_GB2312"/>
          <w:sz w:val="24"/>
          <w:highlight w:val="none"/>
        </w:rPr>
        <w:t>，总价不变。</w:t>
      </w:r>
    </w:p>
    <w:p w14:paraId="2F310C18">
      <w:pPr>
        <w:widowControl/>
        <w:snapToGrid w:val="0"/>
        <w:spacing w:before="19" w:line="360" w:lineRule="auto"/>
        <w:rPr>
          <w:rFonts w:ascii="仿宋_GB2312"/>
          <w:sz w:val="24"/>
          <w:highlight w:val="none"/>
        </w:rPr>
      </w:pPr>
      <w:r>
        <w:rPr>
          <w:rFonts w:hint="eastAsia" w:ascii="仿宋_GB2312"/>
          <w:sz w:val="24"/>
          <w:highlight w:val="none"/>
        </w:rPr>
        <w:t>十</w:t>
      </w:r>
      <w:r>
        <w:rPr>
          <w:rFonts w:hint="eastAsia" w:ascii="仿宋_GB2312"/>
          <w:sz w:val="24"/>
          <w:highlight w:val="none"/>
          <w:lang w:val="en-US" w:eastAsia="zh-CN"/>
        </w:rPr>
        <w:t>六</w:t>
      </w:r>
      <w:r>
        <w:rPr>
          <w:rFonts w:hint="eastAsia" w:ascii="仿宋_GB2312"/>
          <w:sz w:val="24"/>
          <w:highlight w:val="none"/>
        </w:rPr>
        <w:t>、</w:t>
      </w:r>
      <w:r>
        <w:rPr>
          <w:rFonts w:ascii="仿宋_GB2312"/>
          <w:sz w:val="24"/>
          <w:highlight w:val="none"/>
        </w:rPr>
        <w:t>本合同由甲、乙双方</w:t>
      </w:r>
      <w:r>
        <w:rPr>
          <w:rFonts w:hint="eastAsia" w:ascii="仿宋_GB2312"/>
          <w:sz w:val="24"/>
          <w:highlight w:val="none"/>
        </w:rPr>
        <w:t>共同</w:t>
      </w:r>
      <w:r>
        <w:rPr>
          <w:rFonts w:ascii="仿宋_GB2312"/>
          <w:sz w:val="24"/>
          <w:highlight w:val="none"/>
        </w:rPr>
        <w:t>签订，合同一式</w:t>
      </w:r>
      <w:r>
        <w:rPr>
          <w:rFonts w:hint="eastAsia" w:ascii="仿宋_GB2312"/>
          <w:sz w:val="24"/>
          <w:highlight w:val="none"/>
        </w:rPr>
        <w:t>四</w:t>
      </w:r>
      <w:r>
        <w:rPr>
          <w:rFonts w:ascii="仿宋_GB2312"/>
          <w:sz w:val="24"/>
          <w:highlight w:val="none"/>
        </w:rPr>
        <w:t>份，甲</w:t>
      </w:r>
      <w:r>
        <w:rPr>
          <w:rFonts w:hint="eastAsia" w:ascii="仿宋_GB2312"/>
          <w:sz w:val="24"/>
          <w:highlight w:val="none"/>
        </w:rPr>
        <w:t>方叁</w:t>
      </w:r>
      <w:r>
        <w:rPr>
          <w:rFonts w:ascii="仿宋_GB2312"/>
          <w:sz w:val="24"/>
          <w:highlight w:val="none"/>
        </w:rPr>
        <w:t>份、乙</w:t>
      </w:r>
      <w:r>
        <w:rPr>
          <w:rFonts w:hint="eastAsia" w:ascii="仿宋_GB2312"/>
          <w:sz w:val="24"/>
          <w:highlight w:val="none"/>
        </w:rPr>
        <w:t>方壹</w:t>
      </w:r>
      <w:r>
        <w:rPr>
          <w:rFonts w:ascii="仿宋_GB2312"/>
          <w:sz w:val="24"/>
          <w:highlight w:val="none"/>
        </w:rPr>
        <w:t>份。</w:t>
      </w:r>
      <w:r>
        <w:rPr>
          <w:rFonts w:hint="eastAsia" w:ascii="仿宋_GB2312"/>
          <w:sz w:val="24"/>
          <w:highlight w:val="none"/>
        </w:rPr>
        <w:t>自双方签字、盖章之日起生效。</w:t>
      </w:r>
    </w:p>
    <w:p w14:paraId="2FC403DB">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甲方                                               乙方</w:t>
      </w:r>
    </w:p>
    <w:p w14:paraId="7980FD82">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单位名称：南京邮电大学通达学院                     单位名称：</w:t>
      </w:r>
    </w:p>
    <w:p w14:paraId="25B8169F">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单位地址：                                         单位地址：</w:t>
      </w:r>
    </w:p>
    <w:p w14:paraId="1AE7218B">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法定代表人：                                       法定代表人：</w:t>
      </w:r>
    </w:p>
    <w:p w14:paraId="541CD944">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委托代理人（签字）：                                委托代理人（签字）：</w:t>
      </w:r>
    </w:p>
    <w:p w14:paraId="4099E009">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 xml:space="preserve">联系电话：                                         联系电话：                                            </w:t>
      </w:r>
    </w:p>
    <w:p w14:paraId="04A01DB3">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 xml:space="preserve">开户银行：                                         开户银行： </w:t>
      </w:r>
    </w:p>
    <w:p w14:paraId="0E1A8982">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 xml:space="preserve">户名：                                             户名： </w:t>
      </w:r>
    </w:p>
    <w:p w14:paraId="367A92B0">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 xml:space="preserve">                         </w:t>
      </w:r>
      <w:r>
        <w:rPr>
          <w:rFonts w:ascii="宋体" w:hAnsi="宋体"/>
          <w:sz w:val="18"/>
          <w:highlight w:val="none"/>
        </w:rPr>
        <w:t xml:space="preserve">                          </w:t>
      </w:r>
      <w:r>
        <w:rPr>
          <w:rFonts w:hint="eastAsia" w:ascii="宋体" w:hAnsi="宋体"/>
          <w:sz w:val="18"/>
          <w:highlight w:val="none"/>
        </w:rPr>
        <w:t xml:space="preserve">账号： </w:t>
      </w:r>
    </w:p>
    <w:p w14:paraId="0471AE31">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 xml:space="preserve">                            </w:t>
      </w:r>
      <w:r>
        <w:rPr>
          <w:rFonts w:ascii="宋体" w:hAnsi="宋体"/>
          <w:sz w:val="18"/>
          <w:highlight w:val="none"/>
        </w:rPr>
        <w:t xml:space="preserve">                       </w:t>
      </w:r>
      <w:r>
        <w:rPr>
          <w:rFonts w:hint="eastAsia" w:ascii="宋体" w:hAnsi="宋体"/>
          <w:sz w:val="18"/>
          <w:highlight w:val="none"/>
        </w:rPr>
        <w:t xml:space="preserve">行号：  </w:t>
      </w:r>
    </w:p>
    <w:p w14:paraId="6004CEFD">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地址、电话：                                       项目联系人：</w:t>
      </w:r>
    </w:p>
    <w:p w14:paraId="51F019F8">
      <w:pPr>
        <w:widowControl/>
        <w:snapToGrid w:val="0"/>
        <w:spacing w:before="19" w:line="360" w:lineRule="auto"/>
        <w:ind w:firstLine="360" w:firstLineChars="200"/>
        <w:rPr>
          <w:rFonts w:ascii="宋体" w:hAnsi="宋体"/>
          <w:sz w:val="18"/>
          <w:highlight w:val="none"/>
        </w:rPr>
      </w:pPr>
      <w:r>
        <w:rPr>
          <w:rFonts w:hint="eastAsia" w:ascii="宋体" w:hAnsi="宋体"/>
          <w:sz w:val="18"/>
          <w:highlight w:val="none"/>
        </w:rPr>
        <w:t>签约日期（即合同生效日期）：    年     月     日    联系电话：</w:t>
      </w:r>
    </w:p>
    <w:p w14:paraId="4BCB5B67">
      <w:pPr>
        <w:adjustRightInd w:val="0"/>
        <w:snapToGrid w:val="0"/>
        <w:spacing w:line="440" w:lineRule="exact"/>
        <w:ind w:firstLine="480" w:firstLineChars="200"/>
        <w:rPr>
          <w:rFonts w:hint="eastAsia" w:ascii="宋体" w:hAnsi="宋体" w:eastAsia="宋体" w:cs="Times New Roman"/>
          <w:color w:val="000000"/>
          <w:kern w:val="0"/>
          <w:sz w:val="24"/>
          <w:szCs w:val="24"/>
          <w:highlight w:val="none"/>
        </w:rPr>
      </w:pPr>
    </w:p>
    <w:p w14:paraId="54CFC316">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单位名称：南京邮电大学通达学院                     单位名称：</w:t>
      </w:r>
    </w:p>
    <w:p w14:paraId="49810869">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单位地址：扬州市润扬南路33号                      单位地址：</w:t>
      </w:r>
    </w:p>
    <w:p w14:paraId="036DCA3B">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                                       法定代表人：</w:t>
      </w:r>
    </w:p>
    <w:p w14:paraId="47AAFCAA">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委托代理人（签字）：                                委托代理人（签字）：</w:t>
      </w:r>
    </w:p>
    <w:p w14:paraId="5A54A8B6">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联系电话：                                         联系电话：                                            </w:t>
      </w:r>
    </w:p>
    <w:p w14:paraId="3C782DAA">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开户银行：                                         开户银行： </w:t>
      </w:r>
    </w:p>
    <w:p w14:paraId="6C4B6339">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户名：南京邮电大学通达学院                         户名： </w:t>
      </w:r>
    </w:p>
    <w:p w14:paraId="310ABFE9">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账号：                                             账号： </w:t>
      </w:r>
    </w:p>
    <w:p w14:paraId="5F654B71">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税号：52320000509200179F                           行号：  </w:t>
      </w:r>
    </w:p>
    <w:p w14:paraId="5ABD5804">
      <w:pPr>
        <w:widowControl w:val="0"/>
        <w:snapToGrid w:val="0"/>
        <w:spacing w:before="120" w:after="120" w:line="360" w:lineRule="auto"/>
        <w:ind w:firstLine="240" w:firstLineChars="100"/>
        <w:jc w:val="both"/>
        <w:rPr>
          <w:rFonts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电话：0514-89716081                                项目联系人：</w:t>
      </w:r>
    </w:p>
    <w:p w14:paraId="139D59EC">
      <w:pPr>
        <w:spacing w:before="240" w:line="360" w:lineRule="auto"/>
        <w:rPr>
          <w:rFonts w:ascii="宋体" w:hAnsi="宋体"/>
          <w:color w:val="000000"/>
          <w:sz w:val="24"/>
          <w:szCs w:val="21"/>
          <w:highlight w:val="none"/>
        </w:rPr>
      </w:pPr>
      <w:r>
        <w:rPr>
          <w:rFonts w:hint="eastAsia" w:hAnsi="宋体" w:cs="宋体"/>
          <w:bCs/>
          <w:sz w:val="24"/>
          <w:szCs w:val="24"/>
          <w:highlight w:val="none"/>
        </w:rPr>
        <w:t>签约日期（即合同生效日期）：    年   月    日       联系电话：</w:t>
      </w:r>
      <w:r>
        <w:rPr>
          <w:rFonts w:hint="eastAsia" w:hAnsi="宋体" w:cs="宋体"/>
          <w:sz w:val="24"/>
          <w:szCs w:val="24"/>
          <w:highlight w:val="none"/>
        </w:rPr>
        <w:t xml:space="preserve"> </w:t>
      </w:r>
      <w:r>
        <w:rPr>
          <w:rFonts w:hint="eastAsia" w:hAnsi="宋体" w:cs="宋体"/>
          <w:sz w:val="21"/>
          <w:highlight w:val="none"/>
        </w:rPr>
        <w:t xml:space="preserve"> </w:t>
      </w:r>
    </w:p>
    <w:p w14:paraId="0FA2A0BD">
      <w:pPr>
        <w:widowControl/>
        <w:snapToGrid w:val="0"/>
        <w:spacing w:line="360" w:lineRule="auto"/>
        <w:jc w:val="left"/>
        <w:rPr>
          <w:rFonts w:ascii="宋体" w:hAnsi="宋体" w:cs="宋体"/>
          <w:color w:val="000000"/>
          <w:highlight w:val="none"/>
        </w:rPr>
      </w:pPr>
    </w:p>
    <w:p w14:paraId="689BF96D">
      <w:pPr>
        <w:pStyle w:val="10"/>
        <w:rPr>
          <w:rFonts w:ascii="宋体" w:hAnsi="宋体" w:cs="宋体"/>
          <w:color w:val="000000"/>
          <w:highlight w:val="none"/>
        </w:rPr>
      </w:pPr>
    </w:p>
    <w:p w14:paraId="16C38576">
      <w:pPr>
        <w:pStyle w:val="10"/>
        <w:rPr>
          <w:rFonts w:ascii="宋体" w:hAnsi="宋体" w:cs="宋体"/>
          <w:color w:val="000000"/>
          <w:highlight w:val="none"/>
        </w:rPr>
      </w:pPr>
    </w:p>
    <w:p w14:paraId="044D9492">
      <w:pPr>
        <w:numPr>
          <w:ilvl w:val="0"/>
          <w:numId w:val="0"/>
        </w:numPr>
        <w:jc w:val="both"/>
        <w:rPr>
          <w:highlight w:val="none"/>
        </w:rPr>
      </w:pPr>
    </w:p>
    <w:p w14:paraId="228391B5">
      <w:pPr>
        <w:rPr>
          <w:rFonts w:ascii="宋体" w:hAnsi="宋体" w:eastAsia="宋体" w:cs="宋体"/>
          <w:kern w:val="44"/>
          <w:sz w:val="36"/>
          <w:szCs w:val="36"/>
          <w:highlight w:val="none"/>
          <w:u w:color="000000"/>
          <w:lang w:val="zh-TW" w:eastAsia="zh-TW"/>
        </w:rPr>
      </w:pPr>
      <w:r>
        <w:rPr>
          <w:rFonts w:ascii="宋体" w:hAnsi="宋体" w:eastAsia="宋体" w:cs="宋体"/>
          <w:kern w:val="44"/>
          <w:sz w:val="36"/>
          <w:szCs w:val="36"/>
          <w:highlight w:val="none"/>
          <w:u w:color="000000"/>
          <w:lang w:val="zh-TW" w:eastAsia="zh-TW"/>
        </w:rPr>
        <w:br w:type="page"/>
      </w:r>
    </w:p>
    <w:p w14:paraId="3E0E0910">
      <w:pPr>
        <w:numPr>
          <w:ilvl w:val="0"/>
          <w:numId w:val="2"/>
        </w:numPr>
        <w:spacing w:before="40" w:after="40" w:line="360" w:lineRule="auto"/>
        <w:ind w:firstLine="705" w:firstLineChars="195"/>
        <w:jc w:val="center"/>
        <w:rPr>
          <w:rFonts w:hint="eastAsia" w:ascii="宋体" w:hAnsi="宋体" w:eastAsia="宋体" w:cs="宋体"/>
          <w:b/>
          <w:bCs/>
          <w:kern w:val="44"/>
          <w:sz w:val="36"/>
          <w:szCs w:val="36"/>
          <w:highlight w:val="none"/>
          <w:u w:color="000000"/>
          <w:lang w:val="zh-TW"/>
        </w:rPr>
      </w:pPr>
      <w:r>
        <w:rPr>
          <w:rFonts w:hint="eastAsia" w:ascii="宋体" w:hAnsi="宋体" w:eastAsia="宋体" w:cs="宋体"/>
          <w:b/>
          <w:bCs/>
          <w:kern w:val="44"/>
          <w:sz w:val="36"/>
          <w:szCs w:val="36"/>
          <w:highlight w:val="none"/>
          <w:u w:color="000000"/>
          <w:lang w:val="zh-TW" w:eastAsia="zh-TW"/>
        </w:rPr>
        <w:t xml:space="preserve"> </w:t>
      </w:r>
      <w:r>
        <w:rPr>
          <w:rFonts w:hint="eastAsia" w:ascii="宋体" w:hAnsi="宋体" w:eastAsia="宋体" w:cs="宋体"/>
          <w:b/>
          <w:bCs/>
          <w:kern w:val="44"/>
          <w:sz w:val="36"/>
          <w:szCs w:val="36"/>
          <w:highlight w:val="none"/>
          <w:u w:color="000000"/>
          <w:lang w:val="zh-TW"/>
        </w:rPr>
        <w:t>项目需求</w:t>
      </w:r>
      <w:bookmarkEnd w:id="12"/>
      <w:bookmarkStart w:id="13" w:name="_Toc15896"/>
    </w:p>
    <w:p w14:paraId="5FF5B84E">
      <w:pPr>
        <w:keepNext w:val="0"/>
        <w:keepLines w:val="0"/>
        <w:pageBreakBefore w:val="0"/>
        <w:widowControl w:val="0"/>
        <w:tabs>
          <w:tab w:val="left" w:pos="0"/>
          <w:tab w:val="left" w:pos="600"/>
          <w:tab w:val="left" w:pos="1134"/>
        </w:tabs>
        <w:kinsoku/>
        <w:wordWrap/>
        <w:overflowPunct/>
        <w:topLinePunct w:val="0"/>
        <w:autoSpaceDE/>
        <w:autoSpaceDN/>
        <w:bidi w:val="0"/>
        <w:adjustRightInd w:val="0"/>
        <w:snapToGrid w:val="0"/>
        <w:spacing w:before="157" w:beforeLines="50" w:line="380" w:lineRule="exact"/>
        <w:textAlignment w:val="auto"/>
        <w:rPr>
          <w:rFonts w:hint="eastAsia" w:ascii="宋体" w:hAnsi="宋体" w:eastAsia="宋体" w:cs="宋体"/>
          <w:b w:val="0"/>
          <w:bCs w:val="0"/>
          <w:snapToGrid w:val="0"/>
          <w:sz w:val="24"/>
          <w:highlight w:val="none"/>
          <w:lang w:val="en-US" w:eastAsia="zh-CN"/>
        </w:rPr>
      </w:pPr>
    </w:p>
    <w:p w14:paraId="602D19B7">
      <w:pPr>
        <w:keepNext/>
        <w:keepLines/>
        <w:widowControl w:val="0"/>
        <w:numPr>
          <w:ilvl w:val="0"/>
          <w:numId w:val="3"/>
        </w:numPr>
        <w:spacing w:line="460" w:lineRule="exact"/>
        <w:ind w:left="510" w:hanging="510"/>
        <w:jc w:val="both"/>
        <w:outlineLvl w:val="2"/>
        <w:rPr>
          <w:rFonts w:hint="eastAsia" w:ascii="宋体" w:hAnsi="宋体" w:eastAsia="宋体" w:cs="宋体"/>
          <w:b/>
          <w:bCs/>
          <w:color w:val="000000"/>
          <w:kern w:val="2"/>
          <w:sz w:val="24"/>
          <w:szCs w:val="24"/>
          <w:highlight w:val="none"/>
          <w:lang w:val="zh-CN" w:eastAsia="zh-CN" w:bidi="ar-SA"/>
        </w:rPr>
      </w:pPr>
      <w:bookmarkStart w:id="14" w:name="_Toc170890894"/>
      <w:bookmarkStart w:id="15" w:name="_Toc170890895"/>
      <w:r>
        <w:rPr>
          <w:rFonts w:hint="eastAsia" w:ascii="宋体" w:hAnsi="宋体" w:eastAsia="宋体" w:cs="宋体"/>
          <w:b/>
          <w:bCs/>
          <w:color w:val="000000"/>
          <w:kern w:val="2"/>
          <w:sz w:val="24"/>
          <w:szCs w:val="24"/>
          <w:highlight w:val="none"/>
          <w:lang w:val="zh-CN" w:eastAsia="zh-CN" w:bidi="ar-SA"/>
        </w:rPr>
        <w:t>采购清单：</w:t>
      </w:r>
      <w:bookmarkEnd w:id="14"/>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58"/>
        <w:gridCol w:w="1596"/>
        <w:gridCol w:w="2131"/>
        <w:gridCol w:w="557"/>
        <w:gridCol w:w="657"/>
        <w:gridCol w:w="2518"/>
      </w:tblGrid>
      <w:tr w14:paraId="434F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3" w:type="pct"/>
            <w:vAlign w:val="center"/>
          </w:tcPr>
          <w:p w14:paraId="0836A342">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532" w:type="pct"/>
            <w:vAlign w:val="center"/>
          </w:tcPr>
          <w:p w14:paraId="4A8BB04F">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产品名称</w:t>
            </w:r>
          </w:p>
        </w:tc>
        <w:tc>
          <w:tcPr>
            <w:tcW w:w="886" w:type="pct"/>
            <w:vAlign w:val="center"/>
          </w:tcPr>
          <w:p w14:paraId="10F0753F">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产品形式</w:t>
            </w:r>
          </w:p>
        </w:tc>
        <w:tc>
          <w:tcPr>
            <w:tcW w:w="1183" w:type="pct"/>
            <w:vAlign w:val="center"/>
          </w:tcPr>
          <w:p w14:paraId="1F7C9E16">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规格尺寸</w:t>
            </w:r>
          </w:p>
        </w:tc>
        <w:tc>
          <w:tcPr>
            <w:tcW w:w="309" w:type="pct"/>
            <w:vAlign w:val="center"/>
          </w:tcPr>
          <w:p w14:paraId="17037626">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365" w:type="pct"/>
            <w:vAlign w:val="center"/>
          </w:tcPr>
          <w:p w14:paraId="5115BD50">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398" w:type="pct"/>
            <w:vAlign w:val="center"/>
          </w:tcPr>
          <w:p w14:paraId="51BF6CF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楼栋</w:t>
            </w:r>
          </w:p>
        </w:tc>
      </w:tr>
      <w:tr w14:paraId="542C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323" w:type="pct"/>
            <w:vAlign w:val="center"/>
          </w:tcPr>
          <w:p w14:paraId="473C3FD9">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32" w:type="pct"/>
            <w:vAlign w:val="center"/>
          </w:tcPr>
          <w:p w14:paraId="4987BAC3">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公寓组合床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核心产品）</w:t>
            </w:r>
          </w:p>
        </w:tc>
        <w:tc>
          <w:tcPr>
            <w:tcW w:w="886" w:type="pct"/>
            <w:vAlign w:val="center"/>
          </w:tcPr>
          <w:p w14:paraId="16233B3A">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单体（单人位）</w:t>
            </w:r>
          </w:p>
        </w:tc>
        <w:tc>
          <w:tcPr>
            <w:tcW w:w="1183" w:type="pct"/>
            <w:vAlign w:val="center"/>
          </w:tcPr>
          <w:p w14:paraId="42985E10">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2000*900*2950mm</w:t>
            </w:r>
          </w:p>
        </w:tc>
        <w:tc>
          <w:tcPr>
            <w:tcW w:w="309" w:type="pct"/>
            <w:vAlign w:val="center"/>
          </w:tcPr>
          <w:p w14:paraId="7A4E2FB5">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w:t>
            </w:r>
          </w:p>
        </w:tc>
        <w:tc>
          <w:tcPr>
            <w:tcW w:w="365" w:type="pct"/>
            <w:vAlign w:val="center"/>
          </w:tcPr>
          <w:p w14:paraId="187C8E98">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134</w:t>
            </w:r>
          </w:p>
        </w:tc>
        <w:tc>
          <w:tcPr>
            <w:tcW w:w="1398" w:type="pct"/>
            <w:vAlign w:val="center"/>
          </w:tcPr>
          <w:p w14:paraId="7A8FB5DA">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2号楼98组，3号楼12组，4号楼4组，5号楼2组，6号楼12组，7号楼4组，8号楼4组</w:t>
            </w:r>
          </w:p>
        </w:tc>
      </w:tr>
      <w:tr w14:paraId="2DCC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3" w:type="pct"/>
            <w:vAlign w:val="center"/>
          </w:tcPr>
          <w:p w14:paraId="5283E1C0">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532" w:type="pct"/>
            <w:vAlign w:val="center"/>
          </w:tcPr>
          <w:p w14:paraId="14FCB8A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双层床</w:t>
            </w:r>
          </w:p>
        </w:tc>
        <w:tc>
          <w:tcPr>
            <w:tcW w:w="886" w:type="pct"/>
            <w:vAlign w:val="center"/>
          </w:tcPr>
          <w:p w14:paraId="292E50D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单体（两人位）</w:t>
            </w:r>
          </w:p>
        </w:tc>
        <w:tc>
          <w:tcPr>
            <w:tcW w:w="1183" w:type="pct"/>
            <w:vAlign w:val="center"/>
          </w:tcPr>
          <w:p w14:paraId="44DF02A7">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2000*900*2950mm</w:t>
            </w:r>
          </w:p>
        </w:tc>
        <w:tc>
          <w:tcPr>
            <w:tcW w:w="309" w:type="pct"/>
            <w:vAlign w:val="center"/>
          </w:tcPr>
          <w:p w14:paraId="66BAA0A6">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365" w:type="pct"/>
            <w:vAlign w:val="center"/>
          </w:tcPr>
          <w:p w14:paraId="652D9492">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w:t>
            </w:r>
          </w:p>
        </w:tc>
        <w:tc>
          <w:tcPr>
            <w:tcW w:w="1398" w:type="pct"/>
            <w:vMerge w:val="restart"/>
            <w:vAlign w:val="center"/>
          </w:tcPr>
          <w:p w14:paraId="185F9A6D">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教师公寓3号楼二单元</w:t>
            </w:r>
          </w:p>
        </w:tc>
      </w:tr>
      <w:tr w14:paraId="4AAF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3" w:type="pct"/>
            <w:vAlign w:val="center"/>
          </w:tcPr>
          <w:p w14:paraId="4C39C164">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532" w:type="pct"/>
            <w:vAlign w:val="center"/>
          </w:tcPr>
          <w:p w14:paraId="501B6D24">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自修桌</w:t>
            </w:r>
          </w:p>
        </w:tc>
        <w:tc>
          <w:tcPr>
            <w:tcW w:w="886" w:type="pct"/>
            <w:vAlign w:val="center"/>
          </w:tcPr>
          <w:p w14:paraId="76A673F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两人位</w:t>
            </w:r>
          </w:p>
        </w:tc>
        <w:tc>
          <w:tcPr>
            <w:tcW w:w="1183" w:type="pct"/>
            <w:vAlign w:val="center"/>
          </w:tcPr>
          <w:p w14:paraId="0DD7D86F">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1600*</w:t>
            </w:r>
            <w:r>
              <w:rPr>
                <w:rFonts w:hint="eastAsia" w:ascii="宋体" w:hAnsi="宋体" w:eastAsia="宋体" w:cs="宋体"/>
                <w:sz w:val="21"/>
                <w:szCs w:val="21"/>
                <w:highlight w:val="none"/>
                <w:lang w:val="en-US" w:eastAsia="zh-CN"/>
              </w:rPr>
              <w:t>575</w:t>
            </w:r>
            <w:r>
              <w:rPr>
                <w:rFonts w:hint="eastAsia" w:ascii="宋体" w:hAnsi="宋体" w:eastAsia="宋体" w:cs="宋体"/>
                <w:sz w:val="21"/>
                <w:szCs w:val="21"/>
                <w:highlight w:val="none"/>
              </w:rPr>
              <w:t>*2250mm</w:t>
            </w:r>
          </w:p>
        </w:tc>
        <w:tc>
          <w:tcPr>
            <w:tcW w:w="309" w:type="pct"/>
            <w:vAlign w:val="center"/>
          </w:tcPr>
          <w:p w14:paraId="63A9989D">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365" w:type="pct"/>
            <w:vAlign w:val="center"/>
          </w:tcPr>
          <w:p w14:paraId="24148064">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w:t>
            </w:r>
          </w:p>
        </w:tc>
        <w:tc>
          <w:tcPr>
            <w:tcW w:w="1398" w:type="pct"/>
            <w:vMerge w:val="continue"/>
            <w:vAlign w:val="center"/>
          </w:tcPr>
          <w:p w14:paraId="050CA6EC">
            <w:pPr>
              <w:spacing w:line="240" w:lineRule="atLeast"/>
              <w:jc w:val="center"/>
              <w:rPr>
                <w:rFonts w:hint="eastAsia" w:ascii="宋体" w:hAnsi="宋体" w:eastAsia="宋体" w:cs="宋体"/>
                <w:sz w:val="21"/>
                <w:szCs w:val="21"/>
                <w:highlight w:val="none"/>
              </w:rPr>
            </w:pPr>
          </w:p>
        </w:tc>
      </w:tr>
      <w:tr w14:paraId="63F0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23" w:type="pct"/>
            <w:vAlign w:val="center"/>
          </w:tcPr>
          <w:p w14:paraId="42DB9DCB">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532" w:type="pct"/>
            <w:vAlign w:val="center"/>
          </w:tcPr>
          <w:p w14:paraId="15865C14">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衣柜</w:t>
            </w:r>
          </w:p>
        </w:tc>
        <w:tc>
          <w:tcPr>
            <w:tcW w:w="886" w:type="pct"/>
            <w:vAlign w:val="center"/>
          </w:tcPr>
          <w:p w14:paraId="12232BDF">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两人位</w:t>
            </w:r>
          </w:p>
        </w:tc>
        <w:tc>
          <w:tcPr>
            <w:tcW w:w="1183" w:type="pct"/>
            <w:vAlign w:val="center"/>
          </w:tcPr>
          <w:p w14:paraId="13136CF9">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800*600*2250mm</w:t>
            </w:r>
          </w:p>
        </w:tc>
        <w:tc>
          <w:tcPr>
            <w:tcW w:w="309" w:type="pct"/>
            <w:vAlign w:val="center"/>
          </w:tcPr>
          <w:p w14:paraId="3961102A">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365" w:type="pct"/>
            <w:vAlign w:val="center"/>
          </w:tcPr>
          <w:p w14:paraId="5FE73861">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w:t>
            </w:r>
          </w:p>
        </w:tc>
        <w:tc>
          <w:tcPr>
            <w:tcW w:w="1398" w:type="pct"/>
            <w:vMerge w:val="continue"/>
            <w:vAlign w:val="center"/>
          </w:tcPr>
          <w:p w14:paraId="2010902F">
            <w:pPr>
              <w:spacing w:line="240" w:lineRule="atLeast"/>
              <w:jc w:val="center"/>
              <w:rPr>
                <w:rFonts w:hint="eastAsia" w:ascii="宋体" w:hAnsi="宋体" w:eastAsia="宋体" w:cs="宋体"/>
                <w:sz w:val="21"/>
                <w:szCs w:val="21"/>
                <w:highlight w:val="none"/>
              </w:rPr>
            </w:pPr>
          </w:p>
        </w:tc>
      </w:tr>
      <w:tr w14:paraId="1161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3" w:type="pct"/>
            <w:vAlign w:val="center"/>
          </w:tcPr>
          <w:p w14:paraId="16375529">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32" w:type="pct"/>
            <w:vAlign w:val="center"/>
          </w:tcPr>
          <w:p w14:paraId="2312A0A6">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自修桌</w:t>
            </w:r>
          </w:p>
        </w:tc>
        <w:tc>
          <w:tcPr>
            <w:tcW w:w="886" w:type="pct"/>
            <w:vAlign w:val="center"/>
          </w:tcPr>
          <w:p w14:paraId="31693736">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三人位</w:t>
            </w:r>
          </w:p>
        </w:tc>
        <w:tc>
          <w:tcPr>
            <w:tcW w:w="1183" w:type="pct"/>
            <w:vAlign w:val="center"/>
          </w:tcPr>
          <w:p w14:paraId="37E55FE0">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2400*575*2250mm</w:t>
            </w:r>
          </w:p>
        </w:tc>
        <w:tc>
          <w:tcPr>
            <w:tcW w:w="309" w:type="pct"/>
            <w:vAlign w:val="center"/>
          </w:tcPr>
          <w:p w14:paraId="1B16920A">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张</w:t>
            </w:r>
          </w:p>
        </w:tc>
        <w:tc>
          <w:tcPr>
            <w:tcW w:w="365" w:type="pct"/>
            <w:vAlign w:val="center"/>
          </w:tcPr>
          <w:p w14:paraId="3B511CF8">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98" w:type="pct"/>
            <w:vMerge w:val="restart"/>
            <w:vAlign w:val="center"/>
          </w:tcPr>
          <w:p w14:paraId="16F663D5">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6号楼</w:t>
            </w:r>
          </w:p>
        </w:tc>
      </w:tr>
      <w:tr w14:paraId="4CD6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23" w:type="pct"/>
            <w:vAlign w:val="center"/>
          </w:tcPr>
          <w:p w14:paraId="1F8BC527">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32" w:type="pct"/>
            <w:vAlign w:val="center"/>
          </w:tcPr>
          <w:p w14:paraId="58B7B02B">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衣柜</w:t>
            </w:r>
          </w:p>
        </w:tc>
        <w:tc>
          <w:tcPr>
            <w:tcW w:w="886" w:type="pct"/>
            <w:vAlign w:val="center"/>
          </w:tcPr>
          <w:p w14:paraId="053BDC88">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三人位</w:t>
            </w:r>
          </w:p>
        </w:tc>
        <w:tc>
          <w:tcPr>
            <w:tcW w:w="1183" w:type="pct"/>
            <w:vAlign w:val="center"/>
          </w:tcPr>
          <w:p w14:paraId="1EAC71F6">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1200*600*2250mm</w:t>
            </w:r>
          </w:p>
        </w:tc>
        <w:tc>
          <w:tcPr>
            <w:tcW w:w="309" w:type="pct"/>
            <w:vAlign w:val="center"/>
          </w:tcPr>
          <w:p w14:paraId="35959552">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个</w:t>
            </w:r>
          </w:p>
        </w:tc>
        <w:tc>
          <w:tcPr>
            <w:tcW w:w="365" w:type="pct"/>
            <w:vAlign w:val="center"/>
          </w:tcPr>
          <w:p w14:paraId="24A690E5">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98" w:type="pct"/>
            <w:vMerge w:val="continue"/>
            <w:vAlign w:val="center"/>
          </w:tcPr>
          <w:p w14:paraId="1357C198">
            <w:pPr>
              <w:spacing w:line="240" w:lineRule="atLeast"/>
              <w:jc w:val="center"/>
              <w:rPr>
                <w:rFonts w:hint="eastAsia" w:ascii="宋体" w:hAnsi="宋体" w:eastAsia="宋体" w:cs="宋体"/>
                <w:sz w:val="21"/>
                <w:szCs w:val="21"/>
                <w:highlight w:val="none"/>
              </w:rPr>
            </w:pPr>
          </w:p>
        </w:tc>
      </w:tr>
      <w:tr w14:paraId="73E6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23" w:type="pct"/>
            <w:vAlign w:val="center"/>
          </w:tcPr>
          <w:p w14:paraId="4828583A">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532" w:type="pct"/>
            <w:vAlign w:val="center"/>
          </w:tcPr>
          <w:p w14:paraId="62236C2E">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公寓椅</w:t>
            </w:r>
          </w:p>
        </w:tc>
        <w:tc>
          <w:tcPr>
            <w:tcW w:w="886" w:type="pct"/>
            <w:vAlign w:val="center"/>
          </w:tcPr>
          <w:p w14:paraId="562BD430">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单人位</w:t>
            </w:r>
          </w:p>
        </w:tc>
        <w:tc>
          <w:tcPr>
            <w:tcW w:w="1183" w:type="pct"/>
            <w:vAlign w:val="center"/>
          </w:tcPr>
          <w:p w14:paraId="0B76676E">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410*510*840mm</w:t>
            </w:r>
          </w:p>
        </w:tc>
        <w:tc>
          <w:tcPr>
            <w:tcW w:w="309" w:type="pct"/>
            <w:vAlign w:val="center"/>
          </w:tcPr>
          <w:p w14:paraId="699D0918">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365" w:type="pct"/>
            <w:vAlign w:val="center"/>
          </w:tcPr>
          <w:p w14:paraId="47881514">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286</w:t>
            </w:r>
          </w:p>
        </w:tc>
        <w:tc>
          <w:tcPr>
            <w:tcW w:w="1398" w:type="pct"/>
            <w:vAlign w:val="center"/>
          </w:tcPr>
          <w:p w14:paraId="49D68D8A">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6号楼6张，</w:t>
            </w:r>
            <w:r>
              <w:rPr>
                <w:rFonts w:hint="eastAsia" w:ascii="宋体" w:hAnsi="宋体" w:eastAsia="宋体" w:cs="宋体"/>
                <w:sz w:val="21"/>
                <w:szCs w:val="21"/>
                <w:highlight w:val="none"/>
              </w:rPr>
              <w:t>教师公寓3号楼二单元</w:t>
            </w:r>
            <w:r>
              <w:rPr>
                <w:rFonts w:hint="eastAsia" w:ascii="宋体" w:hAnsi="宋体" w:eastAsia="宋体" w:cs="宋体"/>
                <w:sz w:val="21"/>
                <w:szCs w:val="21"/>
                <w:highlight w:val="none"/>
                <w:lang w:val="en-US" w:eastAsia="zh-CN"/>
              </w:rPr>
              <w:t>144张，剩余136张与公寓组合床配套</w:t>
            </w:r>
          </w:p>
        </w:tc>
      </w:tr>
    </w:tbl>
    <w:p w14:paraId="2928F08C">
      <w:pPr>
        <w:spacing w:line="240" w:lineRule="atLeas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本采购项目包含南京邮电大学通达学院</w:t>
      </w:r>
      <w:r>
        <w:rPr>
          <w:rFonts w:hint="eastAsia" w:ascii="宋体" w:hAnsi="宋体" w:eastAsia="宋体" w:cs="宋体"/>
          <w:color w:val="000000"/>
          <w:sz w:val="24"/>
          <w:szCs w:val="24"/>
          <w:highlight w:val="none"/>
          <w:lang w:val="en-US" w:eastAsia="zh-CN"/>
        </w:rPr>
        <w:t>学生公寓</w:t>
      </w: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val="en-US" w:eastAsia="zh-CN"/>
        </w:rPr>
        <w:t>/4/5</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en-US" w:eastAsia="zh-CN"/>
        </w:rPr>
        <w:t>/7/8号楼，教师公寓3号楼二单元</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宿舍家具的采购、安装以及调试。</w:t>
      </w:r>
    </w:p>
    <w:p w14:paraId="01A55E3E">
      <w:pPr>
        <w:keepNext/>
        <w:keepLines/>
        <w:widowControl w:val="0"/>
        <w:numPr>
          <w:ilvl w:val="0"/>
          <w:numId w:val="3"/>
        </w:numPr>
        <w:spacing w:line="460" w:lineRule="exact"/>
        <w:ind w:left="510" w:hanging="510"/>
        <w:jc w:val="both"/>
        <w:outlineLvl w:val="2"/>
        <w:rPr>
          <w:rFonts w:hint="eastAsia" w:ascii="宋体" w:hAnsi="宋体" w:eastAsia="宋体" w:cs="宋体"/>
          <w:b/>
          <w:bCs/>
          <w:color w:val="000000"/>
          <w:kern w:val="2"/>
          <w:sz w:val="24"/>
          <w:szCs w:val="24"/>
          <w:highlight w:val="none"/>
          <w:lang w:val="zh-CN" w:eastAsia="zh-CN" w:bidi="ar-SA"/>
        </w:rPr>
      </w:pPr>
      <w:r>
        <w:rPr>
          <w:rFonts w:hint="eastAsia" w:ascii="宋体" w:hAnsi="宋体" w:eastAsia="宋体" w:cs="宋体"/>
          <w:b/>
          <w:bCs/>
          <w:color w:val="000000"/>
          <w:kern w:val="2"/>
          <w:sz w:val="24"/>
          <w:szCs w:val="24"/>
          <w:highlight w:val="none"/>
          <w:lang w:val="zh-CN" w:eastAsia="zh-CN" w:bidi="ar-SA"/>
        </w:rPr>
        <w:t>详细技术参数：</w:t>
      </w:r>
      <w:bookmarkEnd w:id="15"/>
    </w:p>
    <w:p w14:paraId="3901C0F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（一）公寓组合床：</w:t>
      </w:r>
    </w:p>
    <w:p w14:paraId="5DE0255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1．高架床部分：</w:t>
      </w:r>
    </w:p>
    <w:p w14:paraId="190A0D28">
      <w:pPr>
        <w:spacing w:line="240" w:lineRule="atLeast"/>
        <w:rPr>
          <w:rFonts w:hint="eastAsia" w:ascii="宋体" w:hAnsi="宋体" w:eastAsia="宋体" w:cs="宋体"/>
          <w:i/>
          <w:iCs/>
          <w:sz w:val="24"/>
          <w:szCs w:val="24"/>
          <w:highlight w:val="none"/>
          <w:u w:val="single"/>
        </w:rPr>
      </w:pPr>
      <w:r>
        <w:rPr>
          <w:rFonts w:hint="eastAsia" w:ascii="宋体" w:hAnsi="宋体" w:eastAsia="宋体" w:cs="宋体"/>
          <w:i/>
          <w:iCs/>
          <w:sz w:val="24"/>
          <w:szCs w:val="24"/>
          <w:highlight w:val="none"/>
          <w:u w:val="single"/>
        </w:rPr>
        <w:t>1.1尺寸要求：单体：2000*900*2950mm；</w:t>
      </w:r>
    </w:p>
    <w:p w14:paraId="2A8163A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1.2▲边立柱：不小于50*50*1.5mm高频焊接黑退钢管，外侧带R20圆弧，安全美观。</w:t>
      </w:r>
    </w:p>
    <w:p w14:paraId="2C990DB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1.3▲前后床梃：不小于30*50*1.5mm高频焊接黑退钢管，其横截面为矩形。</w:t>
      </w:r>
    </w:p>
    <w:p w14:paraId="6470D1B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1.4公寓床连接件：床梃与立柱采用内插连接件固定，使床梃与立柱齐平、整体更加美观。</w:t>
      </w:r>
    </w:p>
    <w:p w14:paraId="65A16622">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1.5▲两连体中立柱：不小于60*40*1.5mm高频焊接黑退钢管，其横截面为矩形。</w:t>
      </w:r>
    </w:p>
    <w:p w14:paraId="48CC8E62">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1.6▲床换：不小于20*30*1.2mm高频焊接黑退钢管；蚊帐杆：φ19*1.2mm圆管。</w:t>
      </w:r>
    </w:p>
    <w:p w14:paraId="325D89C2">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1.7▲前护栏：框架采用25*1.2方管整体焊接于前床厅上表面，高度不低于350mm，下方内嵌HDPE（高密度聚乙烯）材质中空吹塑工艺一次成型制作护栏板，靠近床头除设置可开闭观察口，方便宿管查寝确认学生是否在床上，内侧安装注塑成型储物盒，方便储存手机等小物品，设置可折叠水杯架，并在内侧醒目位置标注永久性床褥上表面最大高度警示线（警示线距护栏顶边距离≥200mm）。</w:t>
      </w:r>
    </w:p>
    <w:p w14:paraId="3DB91C1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1.8后护栏、床头护栏：采用25*1.2mm方管，后护栏高度不低于150mm，内嵌18mm浸渍胶膜纸饰面刨花板；床头护栏高度不低于350mm，下方内嵌18mm浸渍胶膜纸饰面刨花板。</w:t>
      </w:r>
    </w:p>
    <w:p w14:paraId="7ADA3DBF">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1.9▲爬梯：钢管采用40*20*1.2mm椭圆管，爬梯踏步板采用HDPE（高密度聚乙烯）材质中空吹塑工艺一次成型制作。每块踏板底部加钢管支撑，板面设置防滑条纹，确保学生上下床铺时的安全。</w:t>
      </w:r>
    </w:p>
    <w:p w14:paraId="5131A41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1.10床板：材质为杉木（不可用水杉代替）。木板条宽度为50mm、厚度为15mm、板条之间留10mm间隙，床板横衬均匀分布5根，其规格为30*40mm,床板要求正反两面刨光，横衬无明显缺边料（边皮）。床承受的动、静载荷≥300KG。横档为硬杂木，钉眼应冲低，盯头不得高于床板平面，床板含水率、虫眼和节疤数不得超过国家家具用材标准。</w:t>
      </w:r>
    </w:p>
    <w:p w14:paraId="37E5442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2．床下组合柜部分：</w:t>
      </w:r>
    </w:p>
    <w:p w14:paraId="24DA831A">
      <w:pPr>
        <w:spacing w:line="240" w:lineRule="atLeast"/>
        <w:rPr>
          <w:rFonts w:hint="eastAsia" w:ascii="宋体" w:hAnsi="宋体" w:eastAsia="宋体" w:cs="宋体"/>
          <w:sz w:val="24"/>
          <w:szCs w:val="24"/>
          <w:highlight w:val="none"/>
        </w:rPr>
      </w:pPr>
      <w:r>
        <w:rPr>
          <w:rFonts w:hint="eastAsia" w:ascii="宋体" w:hAnsi="宋体" w:eastAsia="宋体" w:cs="宋体"/>
          <w:i/>
          <w:iCs/>
          <w:sz w:val="24"/>
          <w:szCs w:val="24"/>
          <w:highlight w:val="none"/>
          <w:u w:val="single"/>
        </w:rPr>
        <w:t>2.1尺寸要求:1900*810*1730mm,充分利用床架下方区域进行合理化设计。</w:t>
      </w:r>
    </w:p>
    <w:p w14:paraId="59EA27F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2.2▲写字台台面板基材采用25mm浸渍胶膜纸饰面刨花板，尺寸为：1120*810/580*25mm±10mm，PP（聚丙烯）材质注塑封边工艺制作呈“L”型，无任何接缝拼接，永久不脱落，边口圆润，使用舒适。</w:t>
      </w:r>
    </w:p>
    <w:p w14:paraId="63EF269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2.3▲书架层板采用18mm浸渍胶膜纸饰面刨花板，底部加钢管支撑，结构牢固。</w:t>
      </w:r>
    </w:p>
    <w:p w14:paraId="5DA75B1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2.4▲门板、抽屉面板选用18mm浸渍胶膜纸饰面刨花板，PP（聚丙烯）材质注塑封边工艺制作，铝合金暗扣拉手，门板配置铝合金锁盒，挂锁不外露。尺寸为：抽面板400*150*18mm±10mm；小门板400*485*18mm±10mm；衣柜门板500*1680*18mm±10mm。</w:t>
      </w:r>
    </w:p>
    <w:p w14:paraId="4BADD05A">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2.5其余板材除抽底板采用5mm外，均采用18mm浸渍胶膜纸饰面刨花板，外露面采用PVC封边条封边处理，封边采用无醛封边胶。衣柜内安装直径25mm不锈钢挂衣杆。</w:t>
      </w:r>
    </w:p>
    <w:p w14:paraId="0D2FD785">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2.6导轨宽度不低于45mm壁厚不低于1mm三节静音导轨，阻尼铰链。</w:t>
      </w:r>
    </w:p>
    <w:p w14:paraId="603149E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2.7防潮钢架：30*50*1.2mm扁管，接地支撑点安装塑料保护套，所有紧固件加弹簧垫片。三合一连接件等采用优质产品。</w:t>
      </w:r>
    </w:p>
    <w:p w14:paraId="797C791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2.8拉杆箱的储存空间设置在桌面下、小柜与背板之间。</w:t>
      </w:r>
    </w:p>
    <w:p w14:paraId="394C0F49">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2245" cy="3721100"/>
            <wp:effectExtent l="0" t="0" r="5080" b="3175"/>
            <wp:docPr id="2008669168" name="图片 2008669168" descr="1.单人上床下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9168" name="图片 2008669168" descr="1.单人上床下铺"/>
                    <pic:cNvPicPr>
                      <a:picLocks noChangeAspect="1"/>
                    </pic:cNvPicPr>
                  </pic:nvPicPr>
                  <pic:blipFill>
                    <a:blip r:embed="rId8"/>
                    <a:stretch>
                      <a:fillRect/>
                    </a:stretch>
                  </pic:blipFill>
                  <pic:spPr>
                    <a:xfrm>
                      <a:off x="0" y="0"/>
                      <a:ext cx="5262245" cy="3721100"/>
                    </a:xfrm>
                    <a:prstGeom prst="rect">
                      <a:avLst/>
                    </a:prstGeom>
                  </pic:spPr>
                </pic:pic>
              </a:graphicData>
            </a:graphic>
          </wp:inline>
        </w:drawing>
      </w:r>
    </w:p>
    <w:p w14:paraId="43679250">
      <w:pPr>
        <w:spacing w:after="120"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2245" cy="3721100"/>
            <wp:effectExtent l="0" t="0" r="5080" b="3175"/>
            <wp:docPr id="1804409366" name="图片 1804409366" descr="3.双人上床下铺床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09366" name="图片 1804409366" descr="3.双人上床下铺床架"/>
                    <pic:cNvPicPr>
                      <a:picLocks noChangeAspect="1"/>
                    </pic:cNvPicPr>
                  </pic:nvPicPr>
                  <pic:blipFill>
                    <a:blip r:embed="rId9"/>
                    <a:stretch>
                      <a:fillRect/>
                    </a:stretch>
                  </pic:blipFill>
                  <pic:spPr>
                    <a:xfrm>
                      <a:off x="0" y="0"/>
                      <a:ext cx="5262245" cy="3721100"/>
                    </a:xfrm>
                    <a:prstGeom prst="rect">
                      <a:avLst/>
                    </a:prstGeom>
                  </pic:spPr>
                </pic:pic>
              </a:graphicData>
            </a:graphic>
          </wp:inline>
        </w:drawing>
      </w:r>
    </w:p>
    <w:p w14:paraId="039B2E69">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2245" cy="3721100"/>
            <wp:effectExtent l="0" t="0" r="5080" b="3175"/>
            <wp:docPr id="3" name="图片 3" descr="2.写字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写字台"/>
                    <pic:cNvPicPr>
                      <a:picLocks noChangeAspect="1"/>
                    </pic:cNvPicPr>
                  </pic:nvPicPr>
                  <pic:blipFill>
                    <a:blip r:embed="rId10"/>
                    <a:stretch>
                      <a:fillRect/>
                    </a:stretch>
                  </pic:blipFill>
                  <pic:spPr>
                    <a:xfrm>
                      <a:off x="0" y="0"/>
                      <a:ext cx="5262245" cy="3721100"/>
                    </a:xfrm>
                    <a:prstGeom prst="rect">
                      <a:avLst/>
                    </a:prstGeom>
                  </pic:spPr>
                </pic:pic>
              </a:graphicData>
            </a:graphic>
          </wp:inline>
        </w:drawing>
      </w:r>
    </w:p>
    <w:p w14:paraId="3DCC113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（二）双层床：</w:t>
      </w:r>
    </w:p>
    <w:p w14:paraId="633CD280">
      <w:pPr>
        <w:spacing w:line="240" w:lineRule="atLeast"/>
        <w:rPr>
          <w:rFonts w:hint="eastAsia" w:ascii="宋体" w:hAnsi="宋体" w:eastAsia="宋体" w:cs="宋体"/>
          <w:i/>
          <w:iCs/>
          <w:sz w:val="24"/>
          <w:szCs w:val="24"/>
          <w:highlight w:val="none"/>
          <w:u w:val="single"/>
        </w:rPr>
      </w:pPr>
      <w:r>
        <w:rPr>
          <w:rFonts w:hint="eastAsia" w:ascii="宋体" w:hAnsi="宋体" w:eastAsia="宋体" w:cs="宋体"/>
          <w:i/>
          <w:iCs/>
          <w:sz w:val="24"/>
          <w:szCs w:val="24"/>
          <w:highlight w:val="none"/>
          <w:u w:val="single"/>
        </w:rPr>
        <w:t>1.尺寸要求：单体：2000*900*2950mm；两连体：4000*900*2950mm</w:t>
      </w:r>
    </w:p>
    <w:p w14:paraId="6008857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2.▲边立柱：不小于50*50*1.5mm高频焊接黑退钢管，外侧带R20圆弧，安全美观。</w:t>
      </w:r>
    </w:p>
    <w:p w14:paraId="219AABE9">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3.▲前后床梃：不小于30*50*1.5mm高频焊接黑退钢管，其横截面为矩形。</w:t>
      </w:r>
    </w:p>
    <w:p w14:paraId="1E351F6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4.公寓床连接件：床梃与立柱采用内插连接件固定，使床梃与立柱齐平、整体更加美观。</w:t>
      </w:r>
    </w:p>
    <w:p w14:paraId="34A7A600">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5.▲两连体中立柱：不小于60*40*1.5mm高频焊接黑退钢管，其横截面为矩形。</w:t>
      </w:r>
    </w:p>
    <w:p w14:paraId="12C6E46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6.▲床换：不小于20*30*1.2mm高频焊接黑退钢管；蚊帐杆：φ19*1.2mm圆管。</w:t>
      </w:r>
    </w:p>
    <w:p w14:paraId="73E238D6">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7.▲前护栏：框架采用25*1.2方管制作，高度不低于350mm，下方内嵌HDPE（高密度聚乙烯）材质中空吹塑工艺一次成型制作护栏板，内侧安装注塑成型储物盒，方便储存手机等小物品，设置可折叠水杯架，并在内侧醒目位置标注永久性床褥上表面最大高度警示线（警示线距护栏顶边距离≥200mm）。</w:t>
      </w:r>
    </w:p>
    <w:p w14:paraId="4C53B936">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8.后护栏、床头护栏：采用25*1.2mm方管，后护栏高度不低于150mm，内嵌18mm浸渍胶膜纸饰面刨花板；床头护栏高度不低于350mm，下方内嵌18mm浸渍胶膜纸饰面刨花板。</w:t>
      </w:r>
    </w:p>
    <w:p w14:paraId="7439C41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9.▲爬梯：钢管采用40*20*1.2mm椭圆管，爬梯踏步板采用HDPE（高密度聚乙烯）材质中空吹塑工艺一次成型制作。每块踏板底部加钢管支撑，板面设置防滑条纹，确保学生上下床铺时的安全。</w:t>
      </w:r>
    </w:p>
    <w:p w14:paraId="792B3A6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10.床板：材质为杉木（不可用水杉代替）。木板条宽度为50mm、厚度为15mm、板条之间留10mm间隙，床板横衬均匀分布5根，其规格为30*40mm,床板要求正反两面刨光，横衬无明显缺边料（边皮）。床承受的动、静载荷≥300KG。横档为硬杂木，钉眼应冲低，盯头不得高于床板平面，床板含水率、虫眼和节疤数不得超过国家家具用材标准。</w:t>
      </w:r>
    </w:p>
    <w:p w14:paraId="6CEDC48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2245" cy="3721100"/>
            <wp:effectExtent l="0" t="0" r="5080" b="3175"/>
            <wp:docPr id="5" name="图片 5" descr="5.单人上下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单人上下床"/>
                    <pic:cNvPicPr>
                      <a:picLocks noChangeAspect="1"/>
                    </pic:cNvPicPr>
                  </pic:nvPicPr>
                  <pic:blipFill>
                    <a:blip r:embed="rId11"/>
                    <a:stretch>
                      <a:fillRect/>
                    </a:stretch>
                  </pic:blipFill>
                  <pic:spPr>
                    <a:xfrm>
                      <a:off x="0" y="0"/>
                      <a:ext cx="5262245" cy="3721100"/>
                    </a:xfrm>
                    <a:prstGeom prst="rect">
                      <a:avLst/>
                    </a:prstGeom>
                  </pic:spPr>
                </pic:pic>
              </a:graphicData>
            </a:graphic>
          </wp:inline>
        </w:drawing>
      </w:r>
    </w:p>
    <w:p w14:paraId="1C2C909C">
      <w:pPr>
        <w:spacing w:after="120"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2245" cy="3721100"/>
            <wp:effectExtent l="0" t="0" r="5080" b="3175"/>
            <wp:docPr id="6" name="图片 6" descr="4.双人上下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双人上下铺"/>
                    <pic:cNvPicPr>
                      <a:picLocks noChangeAspect="1"/>
                    </pic:cNvPicPr>
                  </pic:nvPicPr>
                  <pic:blipFill>
                    <a:blip r:embed="rId12"/>
                    <a:stretch>
                      <a:fillRect/>
                    </a:stretch>
                  </pic:blipFill>
                  <pic:spPr>
                    <a:xfrm>
                      <a:off x="0" y="0"/>
                      <a:ext cx="5262245" cy="3721100"/>
                    </a:xfrm>
                    <a:prstGeom prst="rect">
                      <a:avLst/>
                    </a:prstGeom>
                  </pic:spPr>
                </pic:pic>
              </a:graphicData>
            </a:graphic>
          </wp:inline>
        </w:drawing>
      </w:r>
    </w:p>
    <w:p w14:paraId="5B71C689">
      <w:pPr>
        <w:spacing w:line="240" w:lineRule="atLeast"/>
        <w:rPr>
          <w:rFonts w:hint="eastAsia" w:ascii="宋体" w:hAnsi="宋体" w:eastAsia="宋体" w:cs="宋体"/>
          <w:sz w:val="24"/>
          <w:szCs w:val="24"/>
          <w:highlight w:val="none"/>
        </w:rPr>
      </w:pPr>
    </w:p>
    <w:p w14:paraId="699B761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（三）自修桌：</w:t>
      </w:r>
    </w:p>
    <w:p w14:paraId="08C77D90">
      <w:pPr>
        <w:spacing w:line="240" w:lineRule="atLeast"/>
        <w:rPr>
          <w:rFonts w:hint="eastAsia" w:ascii="宋体" w:hAnsi="宋体" w:eastAsia="宋体" w:cs="宋体"/>
          <w:sz w:val="24"/>
          <w:szCs w:val="24"/>
          <w:highlight w:val="none"/>
        </w:rPr>
      </w:pPr>
      <w:r>
        <w:rPr>
          <w:rFonts w:hint="eastAsia" w:ascii="宋体" w:hAnsi="宋体" w:eastAsia="宋体" w:cs="宋体"/>
          <w:i/>
          <w:iCs/>
          <w:sz w:val="24"/>
          <w:szCs w:val="24"/>
          <w:highlight w:val="none"/>
          <w:u w:val="single"/>
        </w:rPr>
        <w:t>1.尺寸要求:1600*600*2250mm。</w:t>
      </w:r>
    </w:p>
    <w:p w14:paraId="2380897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2.▲写字台台面板基材采用25mm刨花板，尺寸为：800*600*25mm±10mm，上表面压贴防火板，前口鸭嘴造型，使用舒适，其余三边PVC封边条封边处理，封边采用无醛封边胶。</w:t>
      </w:r>
    </w:p>
    <w:p w14:paraId="6FD37E5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3.▲书架层板采用18mm浸渍胶膜纸饰面刨花板，底部加钢管支撑，结构牢固。</w:t>
      </w:r>
    </w:p>
    <w:p w14:paraId="70C419C0">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4.▲门板、抽屉面板选用18mm浸渍胶膜纸饰面刨花板，PP（聚丙烯）材质注塑封边工艺制作，铝合金暗扣拉手。尺寸为：抽面板800*150*18mm±10mm；门板400*600*18mm±10mm。</w:t>
      </w:r>
    </w:p>
    <w:p w14:paraId="3C48F15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5.其余板材除抽底板采用5mm外，均采用18mm浸渍胶膜纸饰面刨花板，外露面采用PVC封边条封边处理，封边采用无醛封边胶。</w:t>
      </w:r>
    </w:p>
    <w:p w14:paraId="3485C69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6.导轨宽度不低于45mm壁厚不低于1mm三节静音导轨，阻尼铰链。</w:t>
      </w:r>
    </w:p>
    <w:p w14:paraId="2FF888E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7.接地支撑点安装塑料脚钉，三合一连接件等采用优质产品。</w:t>
      </w:r>
    </w:p>
    <w:p w14:paraId="7785B4FD">
      <w:pPr>
        <w:tabs>
          <w:tab w:val="center" w:pos="4393"/>
        </w:tabs>
        <w:spacing w:after="120" w:line="240" w:lineRule="atLeas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drawing>
          <wp:inline distT="0" distB="0" distL="114300" distR="114300">
            <wp:extent cx="5262245" cy="3721100"/>
            <wp:effectExtent l="0" t="0" r="5080" b="3175"/>
            <wp:docPr id="4" name="图片 4" descr="7.写字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写字台"/>
                    <pic:cNvPicPr>
                      <a:picLocks noChangeAspect="1"/>
                    </pic:cNvPicPr>
                  </pic:nvPicPr>
                  <pic:blipFill>
                    <a:blip r:embed="rId13"/>
                    <a:stretch>
                      <a:fillRect/>
                    </a:stretch>
                  </pic:blipFill>
                  <pic:spPr>
                    <a:xfrm>
                      <a:off x="0" y="0"/>
                      <a:ext cx="5262245" cy="3721100"/>
                    </a:xfrm>
                    <a:prstGeom prst="rect">
                      <a:avLst/>
                    </a:prstGeom>
                  </pic:spPr>
                </pic:pic>
              </a:graphicData>
            </a:graphic>
          </wp:inline>
        </w:drawing>
      </w:r>
      <w:r>
        <w:rPr>
          <w:rFonts w:hint="eastAsia" w:ascii="宋体" w:hAnsi="宋体" w:eastAsia="宋体" w:cs="宋体"/>
          <w:sz w:val="24"/>
          <w:szCs w:val="24"/>
          <w:highlight w:val="none"/>
          <w:lang w:eastAsia="zh-CN"/>
        </w:rPr>
        <w:tab/>
      </w:r>
    </w:p>
    <w:p w14:paraId="096F48A9">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（四）衣柜：</w:t>
      </w:r>
    </w:p>
    <w:p w14:paraId="71C1B907">
      <w:pPr>
        <w:numPr>
          <w:ilvl w:val="0"/>
          <w:numId w:val="4"/>
        </w:numPr>
        <w:spacing w:line="240" w:lineRule="atLeast"/>
        <w:rPr>
          <w:rFonts w:hint="eastAsia" w:ascii="宋体" w:hAnsi="宋体" w:eastAsia="宋体" w:cs="宋体"/>
          <w:i/>
          <w:iCs/>
          <w:sz w:val="24"/>
          <w:szCs w:val="24"/>
          <w:highlight w:val="none"/>
          <w:u w:val="single"/>
        </w:rPr>
      </w:pPr>
      <w:r>
        <w:rPr>
          <w:rFonts w:hint="eastAsia" w:ascii="宋体" w:hAnsi="宋体" w:eastAsia="宋体" w:cs="宋体"/>
          <w:i/>
          <w:iCs/>
          <w:sz w:val="24"/>
          <w:szCs w:val="24"/>
          <w:highlight w:val="none"/>
          <w:u w:val="single"/>
        </w:rPr>
        <w:t>尺寸要求：800*600*2250mm。</w:t>
      </w:r>
    </w:p>
    <w:p w14:paraId="130A84B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2.▲门板、抽屉面板选用18mm浸渍胶膜纸饰面刨花板，PP（聚丙烯）材质注塑封边工艺制作，铝合金暗扣拉手，大门板配置铝合金锁盒，挂锁不外露。尺寸为：小门板400*600*18mm±10mm；大门板400*1600*18mm±10mm。</w:t>
      </w:r>
    </w:p>
    <w:p w14:paraId="558C5F77">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3.其余板材均采用18mm浸渍胶膜纸饰面刨花板，外露面采用PVC封边条封边处理，封边采用无醛封边胶。衣柜下部空间设置一块层板，并安装直径25mm不锈钢挂衣杆。</w:t>
      </w:r>
    </w:p>
    <w:p w14:paraId="7CE7506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4.采用阻尼铰链。</w:t>
      </w:r>
    </w:p>
    <w:p w14:paraId="3AC7BE7F">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5.防潮钢架：30*50*1.2mm扁管，接地支撑点安装塑料保护套。三合一连接件等采用优质产品。</w:t>
      </w:r>
    </w:p>
    <w:p w14:paraId="402FF158">
      <w:pPr>
        <w:spacing w:after="120"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2245" cy="3721100"/>
            <wp:effectExtent l="0" t="0" r="5080" b="3175"/>
            <wp:docPr id="7" name="图片 7" descr="6.衣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衣柜"/>
                    <pic:cNvPicPr>
                      <a:picLocks noChangeAspect="1"/>
                    </pic:cNvPicPr>
                  </pic:nvPicPr>
                  <pic:blipFill>
                    <a:blip r:embed="rId14"/>
                    <a:stretch>
                      <a:fillRect/>
                    </a:stretch>
                  </pic:blipFill>
                  <pic:spPr>
                    <a:xfrm>
                      <a:off x="0" y="0"/>
                      <a:ext cx="5262245" cy="3721100"/>
                    </a:xfrm>
                    <a:prstGeom prst="rect">
                      <a:avLst/>
                    </a:prstGeom>
                  </pic:spPr>
                </pic:pic>
              </a:graphicData>
            </a:graphic>
          </wp:inline>
        </w:drawing>
      </w:r>
    </w:p>
    <w:p w14:paraId="6DA260D0">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（五）公寓椅：</w:t>
      </w:r>
    </w:p>
    <w:p w14:paraId="4B9B396F">
      <w:pPr>
        <w:numPr>
          <w:ilvl w:val="0"/>
          <w:numId w:val="0"/>
        </w:numPr>
        <w:spacing w:after="120" w:line="240" w:lineRule="atLeast"/>
        <w:rPr>
          <w:rFonts w:hint="eastAsia" w:ascii="宋体" w:hAnsi="宋体" w:eastAsia="宋体" w:cs="宋体"/>
          <w:i/>
          <w:iCs/>
          <w:sz w:val="24"/>
          <w:szCs w:val="24"/>
          <w:highlight w:val="none"/>
          <w:u w:val="single"/>
        </w:rPr>
      </w:pPr>
      <w:r>
        <w:rPr>
          <w:rFonts w:hint="eastAsia" w:ascii="宋体" w:hAnsi="宋体" w:eastAsia="宋体" w:cs="宋体"/>
          <w:i/>
          <w:iCs/>
          <w:sz w:val="24"/>
          <w:szCs w:val="24"/>
          <w:highlight w:val="none"/>
          <w:u w:val="single"/>
          <w:lang w:val="en-US" w:eastAsia="zh-CN"/>
        </w:rPr>
        <w:t>1.</w:t>
      </w:r>
      <w:r>
        <w:rPr>
          <w:rFonts w:hint="eastAsia" w:ascii="宋体" w:hAnsi="宋体" w:eastAsia="宋体" w:cs="宋体"/>
          <w:i/>
          <w:iCs/>
          <w:sz w:val="24"/>
          <w:szCs w:val="24"/>
          <w:highlight w:val="none"/>
          <w:u w:val="single"/>
        </w:rPr>
        <w:t>尺寸要求：410*510*840mm</w:t>
      </w:r>
    </w:p>
    <w:p w14:paraId="13507EC6">
      <w:pPr>
        <w:numPr>
          <w:ilvl w:val="0"/>
          <w:numId w:val="0"/>
        </w:num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椅架采用15*30*1.2mm椭圆管焊接成型制作，经除油除锈工艺处理后，表面喷塑工艺处理。</w:t>
      </w:r>
    </w:p>
    <w:p w14:paraId="46F9B5D5">
      <w:pPr>
        <w:numPr>
          <w:ilvl w:val="0"/>
          <w:numId w:val="0"/>
        </w:numPr>
        <w:spacing w:after="120"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▲座靠板采用HDPE（高密度聚乙烯）材质中空吹塑工艺一次成型制作，表面光滑平整，人体工程学设计，座靠舒适。</w:t>
      </w:r>
    </w:p>
    <w:p w14:paraId="39DC8CDA">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3996055" cy="3465195"/>
            <wp:effectExtent l="0" t="0" r="4445" b="1905"/>
            <wp:docPr id="8" name="图片 8" descr="8fb77e826dd6d0b53b848b2e29d1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fb77e826dd6d0b53b848b2e29d138e"/>
                    <pic:cNvPicPr>
                      <a:picLocks noChangeAspect="1"/>
                    </pic:cNvPicPr>
                  </pic:nvPicPr>
                  <pic:blipFill>
                    <a:blip r:embed="rId15"/>
                    <a:stretch>
                      <a:fillRect/>
                    </a:stretch>
                  </pic:blipFill>
                  <pic:spPr>
                    <a:xfrm>
                      <a:off x="0" y="0"/>
                      <a:ext cx="3996055" cy="3465195"/>
                    </a:xfrm>
                    <a:prstGeom prst="rect">
                      <a:avLst/>
                    </a:prstGeom>
                  </pic:spPr>
                </pic:pic>
              </a:graphicData>
            </a:graphic>
          </wp:inline>
        </w:drawing>
      </w:r>
    </w:p>
    <w:p w14:paraId="4244559B">
      <w:pPr>
        <w:spacing w:line="24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w:t>
      </w:r>
    </w:p>
    <w:p w14:paraId="04E31CE6">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color w:val="000000"/>
          <w:kern w:val="0"/>
          <w:sz w:val="24"/>
          <w:szCs w:val="24"/>
          <w:highlight w:val="none"/>
          <w:lang w:val="zh-CN"/>
        </w:rPr>
        <w:t>1．</w:t>
      </w:r>
      <w:r>
        <w:rPr>
          <w:rFonts w:hint="eastAsia" w:ascii="宋体" w:hAnsi="宋体" w:eastAsia="宋体" w:cs="宋体"/>
          <w:b/>
          <w:color w:val="000000"/>
          <w:sz w:val="24"/>
          <w:szCs w:val="24"/>
          <w:highlight w:val="none"/>
          <w:lang w:val="zh-CN"/>
        </w:rPr>
        <w:t>板材要求：所有材料应达到环保要求，人造板采用E</w:t>
      </w:r>
      <w:r>
        <w:rPr>
          <w:rFonts w:hint="eastAsia" w:ascii="宋体" w:hAnsi="宋体" w:eastAsia="宋体" w:cs="宋体"/>
          <w:b/>
          <w:color w:val="000000"/>
          <w:sz w:val="24"/>
          <w:szCs w:val="24"/>
          <w:highlight w:val="none"/>
          <w:vertAlign w:val="subscript"/>
        </w:rPr>
        <w:t>0</w:t>
      </w:r>
      <w:r>
        <w:rPr>
          <w:rFonts w:hint="eastAsia" w:ascii="宋体" w:hAnsi="宋体" w:eastAsia="宋体" w:cs="宋体"/>
          <w:b/>
          <w:color w:val="000000"/>
          <w:sz w:val="24"/>
          <w:szCs w:val="24"/>
          <w:highlight w:val="none"/>
          <w:lang w:val="zh-CN"/>
        </w:rPr>
        <w:t>级无污染板材,</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浸渍胶膜纸饰面刨花板参考品牌：“露水河”、“大亚”、“福人”等</w:t>
      </w:r>
      <w:r>
        <w:rPr>
          <w:rFonts w:hint="eastAsia" w:ascii="宋体" w:hAnsi="宋体" w:eastAsia="宋体" w:cs="宋体"/>
          <w:b/>
          <w:color w:val="000000"/>
          <w:sz w:val="24"/>
          <w:szCs w:val="24"/>
          <w:highlight w:val="none"/>
          <w:lang w:val="zh-CN"/>
        </w:rPr>
        <w:t>。</w:t>
      </w:r>
    </w:p>
    <w:p w14:paraId="0D92AFB1">
      <w:pPr>
        <w:widowControl/>
        <w:spacing w:line="360" w:lineRule="auto"/>
        <w:ind w:firstLine="482"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w:t>
      </w:r>
      <w:r>
        <w:rPr>
          <w:rFonts w:hint="eastAsia" w:ascii="宋体" w:hAnsi="宋体" w:eastAsia="宋体" w:cs="宋体"/>
          <w:b/>
          <w:color w:val="000000"/>
          <w:sz w:val="24"/>
          <w:szCs w:val="24"/>
          <w:highlight w:val="none"/>
        </w:rPr>
        <w:t>三节静音导轨、阻尼铰链，参考品牌：“FGV”、“ADAMS”、“海蒂诗”等。</w:t>
      </w:r>
    </w:p>
    <w:p w14:paraId="2CECD7D2">
      <w:pPr>
        <w:widowControl/>
        <w:spacing w:line="360" w:lineRule="auto"/>
        <w:ind w:firstLine="482" w:firstLineChars="2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3．家具颜色：中标单位在中标后提供色板给甲方，按甲方选定的颜色生产。</w:t>
      </w:r>
    </w:p>
    <w:p w14:paraId="3D132EF2">
      <w:pPr>
        <w:widowControl/>
        <w:spacing w:line="360" w:lineRule="auto"/>
        <w:ind w:firstLine="482"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4．图纸和文字描述之间相互补充。</w:t>
      </w:r>
    </w:p>
    <w:p w14:paraId="1421CC0A">
      <w:pPr>
        <w:widowControl/>
        <w:spacing w:line="360" w:lineRule="auto"/>
        <w:ind w:firstLine="482"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5．钢制件需经除油除锈处理，喷塑表面光亮平整，无颗粒渣点，颜色均匀。</w:t>
      </w:r>
    </w:p>
    <w:p w14:paraId="1C037228">
      <w:pPr>
        <w:spacing w:after="120" w:line="360" w:lineRule="auto"/>
        <w:ind w:firstLine="495"/>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6.</w:t>
      </w:r>
      <w:r>
        <w:rPr>
          <w:rFonts w:hint="eastAsia" w:ascii="宋体" w:hAnsi="宋体" w:eastAsia="宋体" w:cs="宋体"/>
          <w:b/>
          <w:color w:val="000000"/>
          <w:sz w:val="24"/>
          <w:szCs w:val="24"/>
          <w:highlight w:val="none"/>
        </w:rPr>
        <w:t xml:space="preserve"> 中标单位在中标后自行复核现场实际尺寸及家具方向。</w:t>
      </w:r>
    </w:p>
    <w:p w14:paraId="6B619F50">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 单人位床挂梯处护栏开口长度≤600mm；两连体床挂梯处护栏开口长度≤800mm，护栏端口与中床屏净距离≤600mm；无爬梯端护栏与立柱间距≤130mm，不满足此项要求的做无效标处理。</w:t>
      </w:r>
    </w:p>
    <w:p w14:paraId="2696F648">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组装后应达到的标准：</w:t>
      </w:r>
    </w:p>
    <w:p w14:paraId="229006A1">
      <w:pPr>
        <w:widowControl/>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①各床位保持水平，在一条直线上；</w:t>
      </w:r>
    </w:p>
    <w:p w14:paraId="575D2D88">
      <w:pPr>
        <w:widowControl/>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②柜门启闭灵活、顺畅、不得有磕碰现象；</w:t>
      </w:r>
    </w:p>
    <w:p w14:paraId="3D76F307">
      <w:pPr>
        <w:widowControl/>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③各零件、组合件表面应光滑、平整、不得有尖角突起；</w:t>
      </w:r>
    </w:p>
    <w:p w14:paraId="16CD821D">
      <w:pPr>
        <w:widowControl/>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④焊接件应牢固，无焊渣、无虚焊、无焊穿、焊痕光滑平整；</w:t>
      </w:r>
    </w:p>
    <w:p w14:paraId="14DBDC4F">
      <w:pPr>
        <w:widowControl/>
        <w:spacing w:line="500" w:lineRule="exact"/>
        <w:ind w:left="1199" w:leftChars="228" w:hanging="720" w:hanging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⑤喷塑涂层不脱落，漆膜无橘皮，无流挂，无返锈，色泽均匀，厚薄适中。</w:t>
      </w:r>
    </w:p>
    <w:p w14:paraId="4A88A609">
      <w:pPr>
        <w:spacing w:line="460" w:lineRule="exact"/>
        <w:ind w:firstLine="482" w:firstLineChars="200"/>
        <w:rPr>
          <w:rFonts w:hint="eastAsia" w:ascii="宋体" w:hAnsi="宋体" w:eastAsia="宋体" w:cs="宋体"/>
          <w:b/>
          <w:color w:val="000000"/>
          <w:sz w:val="24"/>
          <w:szCs w:val="24"/>
          <w:highlight w:val="none"/>
        </w:rPr>
      </w:pPr>
    </w:p>
    <w:p w14:paraId="32D64A09">
      <w:pPr>
        <w:spacing w:line="460" w:lineRule="exact"/>
        <w:ind w:firstLine="482" w:firstLineChars="200"/>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斜体下划线内容的技术指标必须满足，其余指标供应商可参照不降档次响应，招标文件中若涉及家具图片的只作为参考，投标人应在投标文件中注明投标家具中使用的主要原材料品牌、家具尺寸。</w:t>
      </w:r>
      <w:r>
        <w:rPr>
          <w:rFonts w:hint="eastAsia" w:ascii="宋体" w:hAnsi="宋体" w:eastAsia="宋体" w:cs="宋体"/>
          <w:bCs/>
          <w:color w:val="000000"/>
          <w:sz w:val="24"/>
          <w:szCs w:val="24"/>
          <w:highlight w:val="none"/>
        </w:rPr>
        <w:t xml:space="preserve"> </w:t>
      </w:r>
    </w:p>
    <w:p w14:paraId="1A9CF8F9">
      <w:pPr>
        <w:widowControl/>
        <w:spacing w:line="400" w:lineRule="exact"/>
        <w:ind w:firstLine="480" w:firstLineChars="200"/>
        <w:rPr>
          <w:rFonts w:hint="eastAsia" w:ascii="宋体" w:hAnsi="宋体" w:eastAsia="宋体" w:cs="宋体"/>
          <w:sz w:val="24"/>
          <w:highlight w:val="none"/>
        </w:rPr>
      </w:pPr>
    </w:p>
    <w:p w14:paraId="1F2B8559">
      <w:pPr>
        <w:keepNext/>
        <w:keepLines/>
        <w:pageBreakBefore w:val="0"/>
        <w:widowControl w:val="0"/>
        <w:numPr>
          <w:ilvl w:val="0"/>
          <w:numId w:val="3"/>
        </w:numPr>
        <w:kinsoku/>
        <w:wordWrap/>
        <w:overflowPunct/>
        <w:topLinePunct w:val="0"/>
        <w:autoSpaceDE/>
        <w:autoSpaceDN/>
        <w:bidi w:val="0"/>
        <w:spacing w:line="440" w:lineRule="exact"/>
        <w:ind w:left="510" w:hanging="510"/>
        <w:jc w:val="both"/>
        <w:outlineLvl w:val="2"/>
        <w:rPr>
          <w:rFonts w:hint="eastAsia" w:ascii="宋体" w:hAnsi="宋体" w:eastAsia="宋体" w:cs="宋体"/>
          <w:b/>
          <w:bCs/>
          <w:color w:val="000000"/>
          <w:kern w:val="2"/>
          <w:sz w:val="24"/>
          <w:szCs w:val="24"/>
          <w:highlight w:val="none"/>
          <w:lang w:val="zh-CN" w:eastAsia="zh-CN" w:bidi="ar-SA"/>
        </w:rPr>
      </w:pPr>
      <w:bookmarkStart w:id="16" w:name="_Toc170890896"/>
      <w:r>
        <w:rPr>
          <w:rFonts w:hint="eastAsia" w:ascii="宋体" w:hAnsi="宋体" w:eastAsia="宋体" w:cs="宋体"/>
          <w:b/>
          <w:bCs/>
          <w:color w:val="000000"/>
          <w:kern w:val="2"/>
          <w:sz w:val="24"/>
          <w:szCs w:val="24"/>
          <w:highlight w:val="none"/>
          <w:lang w:val="zh-CN" w:eastAsia="zh-CN" w:bidi="ar-SA"/>
        </w:rPr>
        <w:t>商务条款：</w:t>
      </w:r>
      <w:bookmarkEnd w:id="16"/>
    </w:p>
    <w:p w14:paraId="60C2762E">
      <w:pPr>
        <w:pageBreakBefore w:val="0"/>
        <w:kinsoku/>
        <w:wordWrap/>
        <w:overflowPunct/>
        <w:topLinePunct w:val="0"/>
        <w:autoSpaceDE/>
        <w:autoSpaceDN/>
        <w:bidi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（一）质量保证与售后服务</w:t>
      </w:r>
    </w:p>
    <w:p w14:paraId="5A5FE89B">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i/>
          <w:iCs/>
          <w:color w:val="000000"/>
          <w:kern w:val="0"/>
          <w:sz w:val="24"/>
          <w:szCs w:val="24"/>
          <w:highlight w:val="none"/>
          <w:u w:val="single"/>
        </w:rPr>
        <w:t>1、家具的质量保证期为通过验收后不少于5年，终身维护</w:t>
      </w:r>
      <w:r>
        <w:rPr>
          <w:rFonts w:hint="eastAsia" w:ascii="宋体" w:hAnsi="宋体" w:eastAsia="宋体" w:cs="宋体"/>
          <w:color w:val="000000"/>
          <w:kern w:val="0"/>
          <w:sz w:val="24"/>
          <w:szCs w:val="24"/>
          <w:highlight w:val="none"/>
        </w:rPr>
        <w:t>。在此质量保证期内发生的任何故障非人为损坏，中标人均应负责免费修复，无法修复的产品或零部件应免费更换(人为因素或不可抗力因素除外)。</w:t>
      </w:r>
    </w:p>
    <w:p w14:paraId="07F827D1">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2、质保期后中标人应保证对采购人的零件供给（有偿）。</w:t>
      </w:r>
    </w:p>
    <w:p w14:paraId="09DF4723">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售后服务期间，一旦收到采购人的报修电话，中标人应在2小时内派遣有经验的维修工赴现场提供维修服务。维修工赴现场后应及时对损坏部件进行检修，对于一般故障应在24小时内修复；对于重大损坏应在与采购人协商时间内修复。</w:t>
      </w:r>
    </w:p>
    <w:p w14:paraId="19133206">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4、备品、备件供应保障。在质量保证期结束后，中标人仍应以不高于向其他客户的供货价格，向买方提供所需的备品、备件，或向买方提供备品、备件可靠的供货渠道。</w:t>
      </w:r>
    </w:p>
    <w:p w14:paraId="77B7A2EA">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5、投标人针对本项目制定售后服务方案（格式自拟），内容应至少包括：</w:t>
      </w:r>
    </w:p>
    <w:p w14:paraId="78F39FBE">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①本地化售后服务方案。投标人应承诺中标后具备本地化服务能力，投标人根据招标文件要求，提供项目本地化服务解决方案及相关证明材料。</w:t>
      </w:r>
    </w:p>
    <w:p w14:paraId="0A49E70D">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②质保期满后的服务方案。</w:t>
      </w:r>
    </w:p>
    <w:p w14:paraId="6ADD07A9">
      <w:pPr>
        <w:pageBreakBefore w:val="0"/>
        <w:kinsoku/>
        <w:wordWrap/>
        <w:overflowPunct/>
        <w:topLinePunct w:val="0"/>
        <w:autoSpaceDE/>
        <w:autoSpaceDN/>
        <w:bidi w:val="0"/>
        <w:spacing w:line="440" w:lineRule="exact"/>
        <w:ind w:firstLine="482" w:firstLineChars="200"/>
        <w:rPr>
          <w:rFonts w:hint="eastAsia" w:ascii="宋体" w:hAnsi="宋体" w:eastAsia="宋体" w:cs="宋体"/>
          <w:b/>
          <w:bCs/>
          <w:color w:val="000000"/>
          <w:sz w:val="24"/>
          <w:szCs w:val="24"/>
          <w:highlight w:val="none"/>
        </w:rPr>
      </w:pPr>
    </w:p>
    <w:p w14:paraId="670D0ED3">
      <w:pPr>
        <w:pageBreakBefore w:val="0"/>
        <w:kinsoku/>
        <w:wordWrap/>
        <w:overflowPunct/>
        <w:topLinePunct w:val="0"/>
        <w:autoSpaceDE/>
        <w:autoSpaceDN/>
        <w:bidi w:val="0"/>
        <w:spacing w:line="44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（二）项目技术及实施要求</w:t>
      </w:r>
    </w:p>
    <w:p w14:paraId="0BE13D02">
      <w:pPr>
        <w:pageBreakBefore w:val="0"/>
        <w:kinsoku/>
        <w:wordWrap/>
        <w:overflowPunct/>
        <w:topLinePunct w:val="0"/>
        <w:autoSpaceDE/>
        <w:autoSpaceDN/>
        <w:bidi w:val="0"/>
        <w:adjustRightInd w:val="0"/>
        <w:spacing w:before="120" w:after="120"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1.投标单位在确认中标后，应按照采购单位指定的时间、地点，派遣其授权代表与采购单位签署合同。</w:t>
      </w:r>
    </w:p>
    <w:p w14:paraId="09AAFA2E">
      <w:pPr>
        <w:pageBreakBefore w:val="0"/>
        <w:kinsoku/>
        <w:wordWrap/>
        <w:overflowPunct/>
        <w:topLinePunct w:val="0"/>
        <w:autoSpaceDE/>
        <w:autoSpaceDN/>
        <w:bidi w:val="0"/>
        <w:adjustRightInd w:val="0"/>
        <w:spacing w:before="120" w:after="120" w:line="440" w:lineRule="exact"/>
        <w:ind w:firstLine="540"/>
        <w:jc w:val="left"/>
        <w:textAlignment w:val="baseline"/>
        <w:rPr>
          <w:rFonts w:hint="eastAsia" w:ascii="宋体" w:hAnsi="宋体" w:eastAsia="宋体" w:cs="宋体"/>
          <w:i/>
          <w:color w:val="000000"/>
          <w:kern w:val="0"/>
          <w:sz w:val="24"/>
          <w:szCs w:val="24"/>
          <w:highlight w:val="none"/>
          <w:u w:val="single"/>
        </w:rPr>
      </w:pPr>
      <w:r>
        <w:rPr>
          <w:rFonts w:hint="eastAsia" w:ascii="宋体" w:hAnsi="宋体" w:eastAsia="宋体" w:cs="宋体"/>
          <w:i/>
          <w:color w:val="000000"/>
          <w:kern w:val="0"/>
          <w:sz w:val="24"/>
          <w:szCs w:val="24"/>
          <w:highlight w:val="none"/>
          <w:u w:val="single"/>
        </w:rPr>
        <w:t>交货期：接到招标人书面通知后30日内完成安装并通过验收。投标人应充分考虑土建工程进度情况对家具安装造成的影响，不得以工程现场交叉施工为由拖延安装时间。</w:t>
      </w:r>
    </w:p>
    <w:p w14:paraId="2C2329CA">
      <w:pPr>
        <w:pageBreakBefore w:val="0"/>
        <w:kinsoku/>
        <w:wordWrap/>
        <w:overflowPunct/>
        <w:topLinePunct w:val="0"/>
        <w:autoSpaceDE/>
        <w:autoSpaceDN/>
        <w:bidi w:val="0"/>
        <w:adjustRightInd w:val="0"/>
        <w:spacing w:before="120" w:after="120" w:line="440" w:lineRule="exact"/>
        <w:ind w:firstLine="540"/>
        <w:jc w:val="left"/>
        <w:textAlignment w:val="baseline"/>
        <w:rPr>
          <w:rFonts w:hint="eastAsia" w:ascii="宋体" w:hAnsi="宋体" w:eastAsia="宋体" w:cs="宋体"/>
          <w:i/>
          <w:color w:val="000000"/>
          <w:kern w:val="0"/>
          <w:sz w:val="24"/>
          <w:szCs w:val="24"/>
          <w:highlight w:val="none"/>
          <w:u w:val="single"/>
        </w:rPr>
      </w:pPr>
      <w:r>
        <w:rPr>
          <w:rFonts w:hint="eastAsia" w:ascii="宋体" w:hAnsi="宋体" w:eastAsia="宋体" w:cs="宋体"/>
          <w:i/>
          <w:color w:val="000000"/>
          <w:kern w:val="0"/>
          <w:sz w:val="24"/>
          <w:szCs w:val="24"/>
          <w:highlight w:val="none"/>
          <w:u w:val="single"/>
          <w:lang w:val="zh-CN"/>
        </w:rPr>
        <w:t>交货地点：</w:t>
      </w:r>
      <w:bookmarkStart w:id="17" w:name="_Hlk170464540"/>
      <w:r>
        <w:rPr>
          <w:rFonts w:hint="eastAsia" w:ascii="宋体" w:hAnsi="宋体" w:eastAsia="宋体" w:cs="宋体"/>
          <w:i/>
          <w:color w:val="000000"/>
          <w:kern w:val="0"/>
          <w:sz w:val="24"/>
          <w:szCs w:val="24"/>
          <w:highlight w:val="none"/>
          <w:u w:val="single"/>
          <w:lang w:val="zh-CN"/>
        </w:rPr>
        <w:t>南京邮电大学通达学院校内指定地点。</w:t>
      </w:r>
      <w:bookmarkEnd w:id="17"/>
    </w:p>
    <w:p w14:paraId="78011E12">
      <w:pPr>
        <w:pageBreakBefore w:val="0"/>
        <w:kinsoku/>
        <w:wordWrap/>
        <w:overflowPunct/>
        <w:topLinePunct w:val="0"/>
        <w:autoSpaceDE/>
        <w:autoSpaceDN/>
        <w:bidi w:val="0"/>
        <w:spacing w:after="120"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投标人应根据本项目需求及实际，提供项目整体技术方案及实施方案，整体技术方案包括投标产品整体效果图（不少于3个角度）、投标产品详细介绍（包括尺寸图、主要材料品牌、工艺等），实施方案包括生产方案及进度计划、安装调试方案及进度计划、质量管理及安全措施。整体技术方案及实施方案应科学可行，能确保本项目保质如期完成。</w:t>
      </w:r>
    </w:p>
    <w:p w14:paraId="6B3E8381">
      <w:pPr>
        <w:pageBreakBefore w:val="0"/>
        <w:kinsoku/>
        <w:wordWrap/>
        <w:overflowPunct/>
        <w:topLinePunct w:val="0"/>
        <w:autoSpaceDE/>
        <w:autoSpaceDN/>
        <w:bidi w:val="0"/>
        <w:spacing w:line="440" w:lineRule="exact"/>
        <w:ind w:firstLine="482" w:firstLineChars="200"/>
        <w:rPr>
          <w:rFonts w:hint="eastAsia" w:ascii="宋体" w:hAnsi="宋体" w:eastAsia="宋体" w:cs="宋体"/>
          <w:b/>
          <w:bCs/>
          <w:color w:val="000000"/>
          <w:sz w:val="24"/>
          <w:szCs w:val="24"/>
          <w:highlight w:val="none"/>
        </w:rPr>
      </w:pPr>
    </w:p>
    <w:p w14:paraId="0C7F88C2">
      <w:pPr>
        <w:pageBreakBefore w:val="0"/>
        <w:kinsoku/>
        <w:wordWrap/>
        <w:overflowPunct/>
        <w:topLinePunct w:val="0"/>
        <w:autoSpaceDE/>
        <w:autoSpaceDN/>
        <w:bidi w:val="0"/>
        <w:spacing w:line="44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（三）采购项目需求描述</w:t>
      </w:r>
    </w:p>
    <w:p w14:paraId="49CF94E0">
      <w:pPr>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提供所投货物必须是厂商原装的、全新的，型号、性能及指标符合或优于国家及招标文件提出的有关技术、质量、安全标准、要求。</w:t>
      </w:r>
    </w:p>
    <w:p w14:paraId="43DDB60F">
      <w:pPr>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供应商投标时所提供的配件等如在实际供货时已经废型（不列入该厂家当时的产品系统），如果未能按原价提供更高配置的配件，则按违约处理。</w:t>
      </w:r>
    </w:p>
    <w:p w14:paraId="4459F24C">
      <w:pPr>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供应商在实际供货时，若被发现提供的货物未能达到招标文件和投标文件中的有关要求，将按有关约定进行赔偿。</w:t>
      </w:r>
    </w:p>
    <w:p w14:paraId="023689DC">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标的规格、材质、五金件、制作要求和质量标准（见采购文件）。</w:t>
      </w:r>
    </w:p>
    <w:p w14:paraId="3C106C1C">
      <w:pPr>
        <w:pageBreakBefore w:val="0"/>
        <w:kinsoku/>
        <w:wordWrap/>
        <w:overflowPunct/>
        <w:topLinePunct w:val="0"/>
        <w:autoSpaceDE/>
        <w:autoSpaceDN/>
        <w:bidi w:val="0"/>
        <w:adjustRightInd w:val="0"/>
        <w:spacing w:line="440" w:lineRule="exact"/>
        <w:ind w:firstLine="54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供应商在货物生产过程中，采购人可随时到供应商工厂现场进行检查、验货，如发现供应商没有自己的生产设备跟场地，采购人可终止此项目的合同，由此产生的后果由供应商自己承担。</w:t>
      </w:r>
    </w:p>
    <w:p w14:paraId="7747704E">
      <w:pPr>
        <w:pageBreakBefore w:val="0"/>
        <w:kinsoku/>
        <w:wordWrap/>
        <w:overflowPunct/>
        <w:topLinePunct w:val="0"/>
        <w:autoSpaceDE/>
        <w:autoSpaceDN/>
        <w:bidi w:val="0"/>
        <w:spacing w:line="440" w:lineRule="exact"/>
        <w:ind w:firstLine="480"/>
        <w:rPr>
          <w:rFonts w:hint="eastAsia" w:ascii="宋体" w:hAnsi="宋体" w:eastAsia="宋体" w:cs="宋体"/>
          <w:b/>
          <w:bCs/>
          <w:color w:val="000000"/>
          <w:sz w:val="24"/>
          <w:szCs w:val="24"/>
          <w:highlight w:val="none"/>
        </w:rPr>
      </w:pPr>
    </w:p>
    <w:p w14:paraId="499B9EF2">
      <w:pPr>
        <w:pageBreakBefore w:val="0"/>
        <w:kinsoku/>
        <w:wordWrap/>
        <w:overflowPunct/>
        <w:topLinePunct w:val="0"/>
        <w:autoSpaceDE/>
        <w:autoSpaceDN/>
        <w:bidi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（四） </w:t>
      </w:r>
      <w:r>
        <w:rPr>
          <w:rFonts w:hint="eastAsia" w:ascii="宋体" w:hAnsi="宋体" w:eastAsia="宋体" w:cs="宋体"/>
          <w:b/>
          <w:bCs/>
          <w:color w:val="000000"/>
          <w:sz w:val="24"/>
          <w:szCs w:val="24"/>
          <w:highlight w:val="none"/>
          <w:lang w:val="zh-CN"/>
        </w:rPr>
        <w:t>商务条款</w:t>
      </w:r>
      <w:r>
        <w:rPr>
          <w:rFonts w:hint="eastAsia" w:ascii="宋体" w:hAnsi="宋体" w:eastAsia="宋体" w:cs="宋体"/>
          <w:b/>
          <w:bCs/>
          <w:color w:val="000000"/>
          <w:sz w:val="24"/>
          <w:szCs w:val="24"/>
          <w:highlight w:val="none"/>
        </w:rPr>
        <w:t>其他约定</w:t>
      </w:r>
    </w:p>
    <w:p w14:paraId="26F7E341">
      <w:pPr>
        <w:pageBreakBefore w:val="0"/>
        <w:kinsoku/>
        <w:wordWrap/>
        <w:overflowPunct/>
        <w:topLinePunct w:val="0"/>
        <w:autoSpaceDE/>
        <w:autoSpaceDN/>
        <w:bidi w:val="0"/>
        <w:adjustRightInd w:val="0"/>
        <w:spacing w:line="440" w:lineRule="exact"/>
        <w:ind w:firstLine="361" w:firstLineChars="150"/>
        <w:jc w:val="left"/>
        <w:textAlignment w:val="baseline"/>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1． 货款支付</w:t>
      </w:r>
    </w:p>
    <w:p w14:paraId="5C29BB72">
      <w:pPr>
        <w:pageBreakBefore w:val="0"/>
        <w:kinsoku/>
        <w:wordWrap/>
        <w:overflowPunct/>
        <w:topLinePunct w:val="0"/>
        <w:autoSpaceDE/>
        <w:autoSpaceDN/>
        <w:bidi w:val="0"/>
        <w:adjustRightInd w:val="0"/>
        <w:snapToGrid w:val="0"/>
        <w:spacing w:line="440" w:lineRule="exact"/>
        <w:ind w:firstLine="720" w:firstLineChars="3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付款方式：</w:t>
      </w:r>
      <w:r>
        <w:rPr>
          <w:rFonts w:hint="eastAsia" w:ascii="宋体" w:hAnsi="宋体" w:eastAsia="宋体" w:cs="宋体"/>
          <w:sz w:val="24"/>
          <w:szCs w:val="24"/>
          <w:highlight w:val="none"/>
        </w:rPr>
        <w:t>本采购项目无预付款，安装调试结束，经甲乙双方共同验收，合格后，付至合同总额的95%；两年后无质量问题，余款无息结清。甲方付款前乙方需提供合法、有效、等额的发票，否则，甲方有权拒付相应款项。</w:t>
      </w:r>
    </w:p>
    <w:p w14:paraId="405433E5">
      <w:pPr>
        <w:pageBreakBefore w:val="0"/>
        <w:kinsoku/>
        <w:wordWrap/>
        <w:overflowPunct/>
        <w:topLinePunct w:val="0"/>
        <w:autoSpaceDE/>
        <w:autoSpaceDN/>
        <w:bidi w:val="0"/>
        <w:adjustRightInd w:val="0"/>
        <w:spacing w:line="440" w:lineRule="exact"/>
        <w:ind w:firstLine="241" w:firstLineChars="100"/>
        <w:jc w:val="left"/>
        <w:textAlignment w:val="baseline"/>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rPr>
        <w:t>2</w:t>
      </w:r>
      <w:r>
        <w:rPr>
          <w:rFonts w:hint="eastAsia" w:ascii="宋体" w:hAnsi="宋体" w:eastAsia="宋体" w:cs="宋体"/>
          <w:b/>
          <w:bCs/>
          <w:color w:val="000000"/>
          <w:kern w:val="0"/>
          <w:sz w:val="24"/>
          <w:szCs w:val="24"/>
          <w:highlight w:val="none"/>
          <w:lang w:val="zh-CN"/>
        </w:rPr>
        <w:t>. 投标货币：</w:t>
      </w:r>
    </w:p>
    <w:p w14:paraId="191849DA">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投标文件中的货物单价和总价采用人民币报价。</w:t>
      </w:r>
    </w:p>
    <w:p w14:paraId="226C6EE7">
      <w:pPr>
        <w:pStyle w:val="2"/>
        <w:ind w:left="0" w:leftChars="0" w:firstLine="241" w:firstLineChars="100"/>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3.履约保函</w:t>
      </w:r>
    </w:p>
    <w:p w14:paraId="48B5B176">
      <w:pPr>
        <w:pStyle w:val="2"/>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3.1乙方在收到中标通知书后，向甲方缴纳贰万元作为履约保证金，允许中标人自主选择支票、汇票、本票、保函等非现金形式缴纳或提交。</w:t>
      </w:r>
    </w:p>
    <w:p w14:paraId="3E3585F0">
      <w:pPr>
        <w:pStyle w:val="2"/>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3.2履约保证金的退还：乙方凭甲方签署的验收报告，至甲方处办理履约保证金退还手续，乙方递交材料后10日内甲方无息退还履约保证金，甲方逾期未退还履约保证金，应当按照银行同期借款利息偿还。</w:t>
      </w:r>
    </w:p>
    <w:p w14:paraId="340CA5AB">
      <w:pPr>
        <w:pStyle w:val="2"/>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3.3如乙方未能履行合同规定的义务，甲方有权从履约保证金中取得补偿。</w:t>
      </w:r>
    </w:p>
    <w:p w14:paraId="7A3A8AD1">
      <w:pPr>
        <w:pStyle w:val="2"/>
        <w:rPr>
          <w:rFonts w:hint="default" w:eastAsia="宋体"/>
          <w:highlight w:val="none"/>
          <w:lang w:val="en-US" w:eastAsia="zh-CN"/>
        </w:rPr>
      </w:pPr>
      <w:r>
        <w:rPr>
          <w:rFonts w:hint="eastAsia" w:ascii="宋体" w:hAnsi="宋体" w:eastAsia="宋体" w:cs="宋体"/>
          <w:color w:val="000000"/>
          <w:kern w:val="0"/>
          <w:sz w:val="24"/>
          <w:szCs w:val="24"/>
          <w:highlight w:val="none"/>
          <w:lang w:val="en-US" w:eastAsia="zh-CN"/>
        </w:rPr>
        <w:t>3.4履约保证金不予退换的情形：（a）签订合同后，乙方不得将货物及其他服务进行转包，未经甲方同意，乙方也不得采用分包的形式履行合同，否则甲方有权终止合同，乙方的履约保证金将不予退还。转包或分包造成采购人损失的，乙方应承担赔偿责任；(b)如乙方不能按时完成货物及服务内容，给甲方造成损失的，履约保证金将不予退还。</w:t>
      </w:r>
    </w:p>
    <w:p w14:paraId="55F050DA">
      <w:pPr>
        <w:pageBreakBefore w:val="0"/>
        <w:kinsoku/>
        <w:wordWrap/>
        <w:overflowPunct/>
        <w:topLinePunct w:val="0"/>
        <w:autoSpaceDE/>
        <w:autoSpaceDN/>
        <w:bidi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（五）采购项目产品验收要求</w:t>
      </w:r>
    </w:p>
    <w:p w14:paraId="5BCDA588">
      <w:pPr>
        <w:pageBreakBefore w:val="0"/>
        <w:kinsoku/>
        <w:wordWrap/>
        <w:overflowPunct/>
        <w:topLinePunct w:val="0"/>
        <w:autoSpaceDE/>
        <w:autoSpaceDN/>
        <w:bidi w:val="0"/>
        <w:adjustRightInd w:val="0"/>
        <w:spacing w:before="120" w:after="120"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(一)合同签定后，甲方将在进场安装前十天组织相关人员到厂家现场查验：查验材料是否为所送样品品牌，质量是否达标(进货发票、抽检合格证明等)。</w:t>
      </w:r>
    </w:p>
    <w:p w14:paraId="72D4FDFF">
      <w:pPr>
        <w:pageBreakBefore w:val="0"/>
        <w:kinsoku/>
        <w:wordWrap/>
        <w:overflowPunct/>
        <w:topLinePunct w:val="0"/>
        <w:autoSpaceDE/>
        <w:autoSpaceDN/>
        <w:bidi w:val="0"/>
        <w:adjustRightInd w:val="0"/>
        <w:spacing w:before="120" w:after="120"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二)货到安装完毕后，乙方需提供整套家具的检验报告，如质量达不到要求，情况不严重将由乙方整改，甲方将相应扣除合同价款的5%－10%作为违约金。如果情况严重，甲方将责成乙方全部更换，直到达到质量标准为止。由此造成的全部损失将由乙方承担。</w:t>
      </w:r>
    </w:p>
    <w:p w14:paraId="2683B4FF">
      <w:pPr>
        <w:pageBreakBefore w:val="0"/>
        <w:kinsoku/>
        <w:wordWrap/>
        <w:overflowPunct/>
        <w:topLinePunct w:val="0"/>
        <w:autoSpaceDE/>
        <w:autoSpaceDN/>
        <w:bidi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（六）其他要求</w:t>
      </w:r>
    </w:p>
    <w:p w14:paraId="3BF90EE8">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sz w:val="24"/>
          <w:szCs w:val="24"/>
          <w:highlight w:val="none"/>
        </w:rPr>
        <w:t>1、投</w:t>
      </w:r>
      <w:r>
        <w:rPr>
          <w:rFonts w:hint="eastAsia" w:ascii="宋体" w:hAnsi="宋体" w:eastAsia="宋体" w:cs="宋体"/>
          <w:color w:val="000000"/>
          <w:kern w:val="0"/>
          <w:sz w:val="24"/>
          <w:szCs w:val="24"/>
          <w:highlight w:val="none"/>
          <w:lang w:val="zh-CN"/>
        </w:rPr>
        <w:t>标单位需要在投标文件中提供所投产品详细参数和相关要求的检测证明材料（产品资料及彩页说明等）。</w:t>
      </w:r>
    </w:p>
    <w:p w14:paraId="6649A5B9">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投标单位所投产品需确保符合招标技术要求，安装交付过程中需提供相关产品的检测报告文档，同时需无条件配合甲方开展第三方测试。如所投设备不符合要求，甲方有权要求投标单位免费更换符合招标需求的产品。所产生的测试费用由投标单位负责。甲方保留对投标单位的相关责任的追溯权利。</w:t>
      </w:r>
    </w:p>
    <w:p w14:paraId="579466FD">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zh-CN"/>
        </w:rPr>
        <w:t>、所投产品在供货后需根据甲方要求提供制造商供货证明及制造商质保函。</w:t>
      </w:r>
    </w:p>
    <w:p w14:paraId="3C9E0481">
      <w:pPr>
        <w:pageBreakBefore w:val="0"/>
        <w:kinsoku/>
        <w:wordWrap/>
        <w:overflowPunct/>
        <w:topLinePunct w:val="0"/>
        <w:autoSpaceDE/>
        <w:autoSpaceDN/>
        <w:bidi w:val="0"/>
        <w:spacing w:line="440" w:lineRule="exact"/>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（七）供应商履约能力要求</w:t>
      </w:r>
    </w:p>
    <w:p w14:paraId="397BD3E5">
      <w:pPr>
        <w:pageBreakBefore w:val="0"/>
        <w:kinsoku/>
        <w:wordWrap/>
        <w:overflowPunct/>
        <w:topLinePunct w:val="0"/>
        <w:autoSpaceDE/>
        <w:autoSpaceDN/>
        <w:bidi w:val="0"/>
        <w:spacing w:line="44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投标人具有完成本项目所需的生产设备，</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val="zh-CN"/>
        </w:rPr>
        <w:t>木制：全自动数控开料锯、全自动直线封边机、六面钻、数控加工中心、中央吸尘系统；</w:t>
      </w:r>
      <w:r>
        <w:rPr>
          <w:rFonts w:hint="eastAsia" w:ascii="宋体" w:hAnsi="宋体" w:eastAsia="宋体" w:cs="宋体"/>
          <w:sz w:val="24"/>
          <w:szCs w:val="24"/>
          <w:highlight w:val="none"/>
        </w:rPr>
        <w:t>以及</w:t>
      </w:r>
      <w:r>
        <w:rPr>
          <w:rFonts w:hint="eastAsia" w:ascii="宋体" w:hAnsi="宋体" w:eastAsia="宋体" w:cs="宋体"/>
          <w:sz w:val="24"/>
          <w:szCs w:val="24"/>
          <w:highlight w:val="none"/>
          <w:lang w:val="zh-CN"/>
        </w:rPr>
        <w:t>钢制：全自动切管机、多孔钻、弯管机、焊接机器人、光纤激光切割机。</w:t>
      </w:r>
    </w:p>
    <w:p w14:paraId="625D9E51">
      <w:pPr>
        <w:pageBreakBefore w:val="0"/>
        <w:kinsoku/>
        <w:wordWrap/>
        <w:overflowPunct/>
        <w:topLinePunct w:val="0"/>
        <w:autoSpaceDE/>
        <w:autoSpaceDN/>
        <w:bidi w:val="0"/>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投标人所投产品需具有有效期内的中国环境标志产品认证证书，证书须满足以下要求：</w:t>
      </w:r>
      <w:r>
        <w:rPr>
          <w:rFonts w:hint="eastAsia" w:ascii="宋体" w:hAnsi="宋体" w:eastAsia="宋体" w:cs="宋体"/>
          <w:sz w:val="24"/>
          <w:szCs w:val="24"/>
          <w:highlight w:val="none"/>
        </w:rPr>
        <w:t>内容包含金属家具、人造板类家具、其他家具（钢塑床类）、其他家具（钢塑椅凳类）。</w:t>
      </w:r>
    </w:p>
    <w:p w14:paraId="70FBCD3B">
      <w:pPr>
        <w:pageBreakBefore w:val="0"/>
        <w:widowControl/>
        <w:kinsoku/>
        <w:wordWrap/>
        <w:overflowPunct/>
        <w:topLinePunct w:val="0"/>
        <w:autoSpaceDE/>
        <w:autoSpaceDN/>
        <w:bidi w:val="0"/>
        <w:spacing w:before="100" w:beforeAutospacing="1" w:after="100" w:afterAutospacing="1" w:line="44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▲3、投标人提供自202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年1月1日以来（以合同签订时间为准）销售、供货及安装与本项目类似的成功案例。</w:t>
      </w:r>
    </w:p>
    <w:p w14:paraId="1C46ADB9">
      <w:pPr>
        <w:pageBreakBefore w:val="0"/>
        <w:kinsoku/>
        <w:wordWrap/>
        <w:overflowPunct/>
        <w:topLinePunct w:val="0"/>
        <w:autoSpaceDE/>
        <w:autoSpaceDN/>
        <w:bidi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（八）投标样品</w:t>
      </w:r>
    </w:p>
    <w:p w14:paraId="1CE7F2FF">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投标供应商</w:t>
      </w:r>
      <w:r>
        <w:rPr>
          <w:rFonts w:hint="eastAsia" w:ascii="宋体" w:hAnsi="宋体" w:eastAsia="宋体" w:cs="宋体"/>
          <w:color w:val="000000"/>
          <w:kern w:val="0"/>
          <w:sz w:val="24"/>
          <w:szCs w:val="24"/>
          <w:highlight w:val="none"/>
        </w:rPr>
        <w:t>提供</w:t>
      </w:r>
      <w:r>
        <w:rPr>
          <w:rFonts w:hint="eastAsia" w:ascii="宋体" w:hAnsi="宋体" w:eastAsia="宋体" w:cs="宋体"/>
          <w:color w:val="000000"/>
          <w:kern w:val="0"/>
          <w:sz w:val="24"/>
          <w:szCs w:val="24"/>
          <w:highlight w:val="none"/>
          <w:lang w:val="zh-CN"/>
        </w:rPr>
        <w:t xml:space="preserve">以下样品及视频展示： </w:t>
      </w:r>
    </w:p>
    <w:p w14:paraId="16E9F431">
      <w:pPr>
        <w:pageBreakBefore w:val="0"/>
        <w:kinsoku/>
        <w:wordWrap/>
        <w:overflowPunct/>
        <w:topLinePunct w:val="0"/>
        <w:autoSpaceDE/>
        <w:autoSpaceDN/>
        <w:bidi w:val="0"/>
        <w:adjustRightInd w:val="0"/>
        <w:spacing w:line="440" w:lineRule="exact"/>
        <w:ind w:firstLine="482" w:firstLineChars="200"/>
        <w:jc w:val="left"/>
        <w:textAlignment w:val="baseline"/>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1、材料样品一套：现场递交。</w:t>
      </w:r>
    </w:p>
    <w:p w14:paraId="6B1DF63D">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边立柱和床</w:t>
      </w:r>
      <w:r>
        <w:rPr>
          <w:rFonts w:hint="eastAsia" w:ascii="宋体" w:hAnsi="宋体" w:eastAsia="宋体" w:cs="宋体"/>
          <w:sz w:val="24"/>
          <w:szCs w:val="24"/>
          <w:highlight w:val="none"/>
        </w:rPr>
        <w:t>梃</w:t>
      </w:r>
      <w:r>
        <w:rPr>
          <w:rFonts w:hint="eastAsia" w:ascii="宋体" w:hAnsi="宋体" w:eastAsia="宋体" w:cs="宋体"/>
          <w:kern w:val="0"/>
          <w:sz w:val="24"/>
          <w:szCs w:val="24"/>
          <w:highlight w:val="none"/>
        </w:rPr>
        <w:t>组合小样一套</w:t>
      </w:r>
      <w:r>
        <w:rPr>
          <w:rFonts w:hint="eastAsia" w:ascii="宋体" w:hAnsi="宋体" w:eastAsia="宋体" w:cs="宋体"/>
          <w:kern w:val="0"/>
          <w:sz w:val="24"/>
          <w:szCs w:val="24"/>
          <w:highlight w:val="none"/>
          <w:lang w:val="zh-CN"/>
        </w:rPr>
        <w:t>、前护栏一个、</w:t>
      </w:r>
      <w:r>
        <w:rPr>
          <w:rFonts w:hint="eastAsia" w:ascii="宋体" w:hAnsi="宋体" w:eastAsia="宋体" w:cs="宋体"/>
          <w:kern w:val="0"/>
          <w:sz w:val="24"/>
          <w:szCs w:val="24"/>
          <w:highlight w:val="none"/>
        </w:rPr>
        <w:t>18mm厚</w:t>
      </w:r>
      <w:r>
        <w:rPr>
          <w:rFonts w:hint="eastAsia" w:ascii="宋体" w:hAnsi="宋体" w:eastAsia="宋体" w:cs="宋体"/>
          <w:kern w:val="0"/>
          <w:sz w:val="24"/>
          <w:szCs w:val="24"/>
          <w:highlight w:val="none"/>
          <w:lang w:val="zh-CN"/>
        </w:rPr>
        <w:t>浸渍胶膜纸饰面刨花板一块、1120*810/580*25mm（长宽允许±</w:t>
      </w:r>
      <w:r>
        <w:rPr>
          <w:rFonts w:hint="eastAsia" w:ascii="宋体" w:hAnsi="宋体" w:eastAsia="宋体" w:cs="宋体"/>
          <w:kern w:val="0"/>
          <w:sz w:val="24"/>
          <w:szCs w:val="24"/>
          <w:highlight w:val="none"/>
        </w:rPr>
        <w:t>10</w:t>
      </w:r>
      <w:r>
        <w:rPr>
          <w:rFonts w:hint="eastAsia" w:ascii="宋体" w:hAnsi="宋体" w:eastAsia="宋体" w:cs="宋体"/>
          <w:kern w:val="0"/>
          <w:sz w:val="24"/>
          <w:szCs w:val="24"/>
          <w:highlight w:val="none"/>
          <w:lang w:val="zh-CN"/>
        </w:rPr>
        <w:t>mm）“</w:t>
      </w:r>
      <w:r>
        <w:rPr>
          <w:rFonts w:hint="eastAsia" w:ascii="宋体" w:hAnsi="宋体" w:eastAsia="宋体" w:cs="宋体"/>
          <w:kern w:val="0"/>
          <w:sz w:val="24"/>
          <w:szCs w:val="24"/>
          <w:highlight w:val="none"/>
        </w:rPr>
        <w:t>L</w:t>
      </w:r>
      <w:r>
        <w:rPr>
          <w:rFonts w:hint="eastAsia" w:ascii="宋体" w:hAnsi="宋体" w:eastAsia="宋体" w:cs="宋体"/>
          <w:kern w:val="0"/>
          <w:sz w:val="24"/>
          <w:szCs w:val="24"/>
          <w:highlight w:val="none"/>
          <w:lang w:val="zh-CN"/>
        </w:rPr>
        <w:t>”型注塑封边桌面板一块、</w:t>
      </w:r>
      <w:r>
        <w:rPr>
          <w:rFonts w:hint="eastAsia" w:ascii="宋体" w:hAnsi="宋体" w:eastAsia="宋体" w:cs="宋体"/>
          <w:kern w:val="0"/>
          <w:sz w:val="24"/>
          <w:szCs w:val="24"/>
          <w:highlight w:val="none"/>
        </w:rPr>
        <w:t>400*485*18mm和400*1600*18mm</w:t>
      </w:r>
      <w:r>
        <w:rPr>
          <w:rFonts w:hint="eastAsia" w:ascii="宋体" w:hAnsi="宋体" w:eastAsia="宋体" w:cs="宋体"/>
          <w:kern w:val="0"/>
          <w:sz w:val="24"/>
          <w:szCs w:val="24"/>
          <w:highlight w:val="none"/>
          <w:lang w:val="zh-CN"/>
        </w:rPr>
        <w:t>注塑封边门板（长宽允许±</w:t>
      </w:r>
      <w:r>
        <w:rPr>
          <w:rFonts w:hint="eastAsia" w:ascii="宋体" w:hAnsi="宋体" w:eastAsia="宋体" w:cs="宋体"/>
          <w:kern w:val="0"/>
          <w:sz w:val="24"/>
          <w:szCs w:val="24"/>
          <w:highlight w:val="none"/>
        </w:rPr>
        <w:t>10</w:t>
      </w:r>
      <w:r>
        <w:rPr>
          <w:rFonts w:hint="eastAsia" w:ascii="宋体" w:hAnsi="宋体" w:eastAsia="宋体" w:cs="宋体"/>
          <w:kern w:val="0"/>
          <w:sz w:val="24"/>
          <w:szCs w:val="24"/>
          <w:highlight w:val="none"/>
          <w:lang w:val="zh-CN"/>
        </w:rPr>
        <w:t>mm，装铝合金暗扣拉手）各一块、</w:t>
      </w:r>
      <w:r>
        <w:rPr>
          <w:rFonts w:hint="eastAsia" w:ascii="宋体" w:hAnsi="宋体" w:eastAsia="宋体" w:cs="宋体"/>
          <w:kern w:val="0"/>
          <w:sz w:val="24"/>
          <w:szCs w:val="24"/>
          <w:highlight w:val="none"/>
        </w:rPr>
        <w:t>铝合金暗锁盒一个、</w:t>
      </w:r>
      <w:r>
        <w:rPr>
          <w:rFonts w:hint="eastAsia" w:ascii="宋体" w:hAnsi="宋体" w:eastAsia="宋体" w:cs="宋体"/>
          <w:kern w:val="0"/>
          <w:sz w:val="24"/>
          <w:szCs w:val="24"/>
          <w:highlight w:val="none"/>
          <w:lang w:val="zh-CN"/>
        </w:rPr>
        <w:t>导轨和铰链各一</w:t>
      </w:r>
      <w:r>
        <w:rPr>
          <w:rFonts w:hint="eastAsia" w:ascii="宋体" w:hAnsi="宋体" w:eastAsia="宋体" w:cs="宋体"/>
          <w:kern w:val="0"/>
          <w:sz w:val="24"/>
          <w:szCs w:val="24"/>
          <w:highlight w:val="none"/>
        </w:rPr>
        <w:t>个</w:t>
      </w:r>
      <w:r>
        <w:rPr>
          <w:rFonts w:hint="eastAsia" w:ascii="宋体" w:hAnsi="宋体" w:eastAsia="宋体" w:cs="宋体"/>
          <w:kern w:val="0"/>
          <w:sz w:val="24"/>
          <w:szCs w:val="24"/>
          <w:highlight w:val="none"/>
          <w:lang w:val="zh-CN"/>
        </w:rPr>
        <w:t>。（备注：钢质小样长度不小于</w:t>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zh-CN"/>
        </w:rPr>
        <w:t>00mm，板材小样长宽不小于</w:t>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zh-CN"/>
        </w:rPr>
        <w:t>00mm。）</w:t>
      </w:r>
      <w:r>
        <w:rPr>
          <w:rFonts w:hint="eastAsia" w:ascii="宋体" w:hAnsi="宋体" w:eastAsia="宋体" w:cs="宋体"/>
          <w:color w:val="000000"/>
          <w:kern w:val="0"/>
          <w:sz w:val="24"/>
          <w:szCs w:val="24"/>
          <w:highlight w:val="none"/>
          <w:lang w:val="zh-CN"/>
        </w:rPr>
        <w:t>。</w:t>
      </w:r>
    </w:p>
    <w:p w14:paraId="609C1B09">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样品要求：</w:t>
      </w:r>
    </w:p>
    <w:p w14:paraId="4B23701B">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①立柱、横梁金属部分表面喷塑涂层厚薄均匀、无流挂、无褶皱。</w:t>
      </w:r>
    </w:p>
    <w:p w14:paraId="1F148278">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②前护栏材质整体美观，结构稳定，色彩搭配合理，色泽一致。</w:t>
      </w:r>
    </w:p>
    <w:p w14:paraId="2B579325">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③注塑封边一次成型桌面和门板表面平整无色差、无异味，贴面、注塑封边、包边不应出现脱胶、鼓泡或开裂现象。</w:t>
      </w:r>
    </w:p>
    <w:p w14:paraId="50D7AA4D">
      <w:pPr>
        <w:pageBreakBefore w:val="0"/>
        <w:kinsoku/>
        <w:wordWrap/>
        <w:overflowPunct/>
        <w:topLinePunct w:val="0"/>
        <w:autoSpaceDE/>
        <w:autoSpaceDN/>
        <w:bidi w:val="0"/>
        <w:adjustRightInd w:val="0"/>
        <w:spacing w:line="44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④铝合金暗锁盒、导轨、铰链等应开合灵便，安全稳定，经久耐用。</w:t>
      </w:r>
    </w:p>
    <w:p w14:paraId="7AE188A0">
      <w:pPr>
        <w:pageBreakBefore w:val="0"/>
        <w:kinsoku/>
        <w:wordWrap/>
        <w:overflowPunct/>
        <w:topLinePunct w:val="0"/>
        <w:autoSpaceDE/>
        <w:autoSpaceDN/>
        <w:bidi w:val="0"/>
        <w:spacing w:line="440" w:lineRule="exact"/>
        <w:ind w:firstLine="482" w:firstLineChars="200"/>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2、视频展示要求：</w:t>
      </w:r>
    </w:p>
    <w:p w14:paraId="3ACB21EC">
      <w:pPr>
        <w:pageBreakBefore w:val="0"/>
        <w:kinsoku/>
        <w:wordWrap/>
        <w:overflowPunct/>
        <w:topLinePunct w:val="0"/>
        <w:autoSpaceDE/>
        <w:autoSpaceDN/>
        <w:bidi w:val="0"/>
        <w:adjustRightInd w:val="0"/>
        <w:spacing w:line="440" w:lineRule="exact"/>
        <w:ind w:firstLine="482" w:firstLineChars="200"/>
        <w:jc w:val="left"/>
        <w:textAlignment w:val="baseline"/>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视频录制格式采用MP4、AVI、MOV、AVCHD格式之一；可一个视频或多个视频展示，视频总时长控制3分钟以内；视频须为不间断视频（非连续图片形成的视频）；视频内容需包含</w:t>
      </w:r>
      <w:r>
        <w:rPr>
          <w:rFonts w:hint="eastAsia" w:ascii="宋体" w:hAnsi="宋体" w:eastAsia="宋体" w:cs="宋体"/>
          <w:b/>
          <w:bCs/>
          <w:kern w:val="0"/>
          <w:sz w:val="24"/>
          <w:szCs w:val="24"/>
          <w:highlight w:val="none"/>
          <w:lang w:val="en-US" w:eastAsia="zh-CN"/>
        </w:rPr>
        <w:t>完整</w:t>
      </w:r>
      <w:r>
        <w:rPr>
          <w:rFonts w:hint="eastAsia" w:ascii="宋体" w:hAnsi="宋体" w:eastAsia="宋体" w:cs="宋体"/>
          <w:b/>
          <w:bCs/>
          <w:kern w:val="0"/>
          <w:sz w:val="24"/>
          <w:szCs w:val="24"/>
          <w:highlight w:val="none"/>
        </w:rPr>
        <w:t>样品照片、视频讲解及安装动画演示，体现外观造型、空间利用率、结构安全性等。由于清晰度不够或拍摄角度问题，导致评标委员会无法准确认定的，视为不满足。</w:t>
      </w:r>
    </w:p>
    <w:p w14:paraId="171C6388">
      <w:pPr>
        <w:pageBreakBefore w:val="0"/>
        <w:kinsoku/>
        <w:wordWrap/>
        <w:overflowPunct/>
        <w:topLinePunct w:val="0"/>
        <w:autoSpaceDE/>
        <w:autoSpaceDN/>
        <w:bidi w:val="0"/>
        <w:adjustRightInd w:val="0"/>
        <w:spacing w:line="440" w:lineRule="exact"/>
        <w:ind w:firstLine="482" w:firstLineChars="200"/>
        <w:jc w:val="left"/>
        <w:textAlignment w:val="baseline"/>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视频资料作为投标文件的一部分，须随投标文件一同密封递交。</w:t>
      </w:r>
    </w:p>
    <w:p w14:paraId="43322DF1">
      <w:pPr>
        <w:pageBreakBefore w:val="0"/>
        <w:widowControl/>
        <w:kinsoku/>
        <w:wordWrap/>
        <w:overflowPunct/>
        <w:topLinePunct w:val="0"/>
        <w:autoSpaceDE/>
        <w:autoSpaceDN/>
        <w:bidi w:val="0"/>
        <w:spacing w:line="440" w:lineRule="exact"/>
        <w:ind w:left="720"/>
        <w:contextualSpacing/>
        <w:jc w:val="left"/>
        <w:rPr>
          <w:rFonts w:hint="eastAsia" w:ascii="宋体" w:hAnsi="宋体" w:eastAsia="宋体" w:cs="宋体"/>
          <w:kern w:val="0"/>
          <w:sz w:val="24"/>
          <w:szCs w:val="24"/>
          <w:highlight w:val="none"/>
          <w:lang w:val="en-US" w:eastAsia="zh-CN" w:bidi="ar-SA"/>
        </w:rPr>
      </w:pPr>
    </w:p>
    <w:p w14:paraId="456BAE05">
      <w:pPr>
        <w:pageBreakBefore w:val="0"/>
        <w:kinsoku/>
        <w:wordWrap/>
        <w:overflowPunct/>
        <w:topLinePunct w:val="0"/>
        <w:autoSpaceDE/>
        <w:autoSpaceDN/>
        <w:bidi w:val="0"/>
        <w:adjustRightInd w:val="0"/>
        <w:spacing w:line="440" w:lineRule="exact"/>
        <w:ind w:firstLine="482" w:firstLineChars="200"/>
        <w:jc w:val="left"/>
        <w:textAlignment w:val="baseline"/>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样品的规格、材质、制作等须符合招标文件的要求，详见</w:t>
      </w:r>
      <w:ins w:id="0" w:author="季海燕" w:date="2025-07-02T14:04:39Z">
        <w:r>
          <w:rPr>
            <w:rFonts w:hint="eastAsia" w:ascii="宋体" w:hAnsi="宋体" w:eastAsia="宋体" w:cs="宋体"/>
            <w:b/>
            <w:bCs/>
            <w:kern w:val="0"/>
            <w:sz w:val="24"/>
            <w:szCs w:val="24"/>
            <w:highlight w:val="none"/>
            <w:lang w:val="en-US" w:eastAsia="zh-CN"/>
          </w:rPr>
          <w:t>技术参数要求</w:t>
        </w:r>
      </w:ins>
      <w:r>
        <w:rPr>
          <w:rFonts w:hint="eastAsia" w:ascii="宋体" w:hAnsi="宋体" w:eastAsia="宋体" w:cs="宋体"/>
          <w:b/>
          <w:bCs/>
          <w:kern w:val="0"/>
          <w:sz w:val="24"/>
          <w:szCs w:val="24"/>
          <w:highlight w:val="none"/>
        </w:rPr>
        <w:t>，否则不得分。样品所有费用由供应商自行承担，中标供应商的样品将做封样处理，作为验收依据。中标人需配合采购人将样品送至指定地点进行封存。未中标人提供的样品将在项目结束后当场退还（视频不退）。</w:t>
      </w:r>
    </w:p>
    <w:p w14:paraId="500D0916">
      <w:pPr>
        <w:pageBreakBefore w:val="0"/>
        <w:kinsoku/>
        <w:wordWrap/>
        <w:overflowPunct/>
        <w:topLinePunct w:val="0"/>
        <w:autoSpaceDE/>
        <w:autoSpaceDN/>
        <w:bidi w:val="0"/>
        <w:spacing w:line="440" w:lineRule="exact"/>
        <w:rPr>
          <w:rFonts w:hint="eastAsia"/>
          <w:highlight w:val="none"/>
          <w:lang w:val="zh-TW" w:eastAsia="zh-TW"/>
        </w:rPr>
      </w:pPr>
      <w:r>
        <w:rPr>
          <w:rFonts w:hint="eastAsia"/>
          <w:highlight w:val="none"/>
          <w:lang w:val="zh-TW" w:eastAsia="zh-TW"/>
        </w:rPr>
        <w:br w:type="page"/>
      </w:r>
    </w:p>
    <w:p w14:paraId="43644209">
      <w:pPr>
        <w:keepNext/>
        <w:keepLines/>
        <w:spacing w:before="312" w:beforeLines="100" w:after="312" w:afterLines="100" w:line="360" w:lineRule="auto"/>
        <w:jc w:val="center"/>
        <w:outlineLvl w:val="0"/>
        <w:rPr>
          <w:rFonts w:ascii="宋体" w:hAnsi="宋体" w:eastAsia="宋体" w:cs="宋体"/>
          <w:b/>
          <w:bCs/>
          <w:kern w:val="44"/>
          <w:sz w:val="36"/>
          <w:szCs w:val="36"/>
          <w:highlight w:val="none"/>
          <w:u w:color="000000"/>
          <w:lang w:val="zh-TW" w:eastAsia="zh-TW"/>
        </w:rPr>
      </w:pPr>
      <w:r>
        <w:rPr>
          <w:rFonts w:hint="eastAsia" w:ascii="宋体" w:hAnsi="宋体" w:eastAsia="宋体" w:cs="宋体"/>
          <w:b/>
          <w:bCs/>
          <w:kern w:val="44"/>
          <w:sz w:val="36"/>
          <w:szCs w:val="36"/>
          <w:highlight w:val="none"/>
          <w:u w:color="000000"/>
          <w:lang w:val="zh-TW" w:eastAsia="zh-TW"/>
        </w:rPr>
        <w:t>第</w:t>
      </w:r>
      <w:r>
        <w:rPr>
          <w:rFonts w:hint="eastAsia" w:ascii="宋体" w:hAnsi="宋体" w:eastAsia="宋体" w:cs="宋体"/>
          <w:b/>
          <w:bCs/>
          <w:kern w:val="44"/>
          <w:sz w:val="36"/>
          <w:szCs w:val="36"/>
          <w:highlight w:val="none"/>
          <w:u w:color="000000"/>
          <w:lang w:val="zh-TW"/>
        </w:rPr>
        <w:t>五</w:t>
      </w:r>
      <w:r>
        <w:rPr>
          <w:rFonts w:hint="eastAsia" w:ascii="宋体" w:hAnsi="宋体" w:eastAsia="宋体" w:cs="宋体"/>
          <w:b/>
          <w:bCs/>
          <w:kern w:val="44"/>
          <w:sz w:val="36"/>
          <w:szCs w:val="36"/>
          <w:highlight w:val="none"/>
          <w:u w:color="000000"/>
          <w:lang w:val="zh-TW" w:eastAsia="zh-TW"/>
        </w:rPr>
        <w:t>章  评标方法与评标标准</w:t>
      </w:r>
      <w:bookmarkEnd w:id="13"/>
    </w:p>
    <w:p w14:paraId="79B051E4">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一、评标方法与定标原则</w:t>
      </w:r>
    </w:p>
    <w:p w14:paraId="231D0BFB">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评标委员会将对确定为实质性响应招标文件要求的投标文件进行评价和比较，评标采用综合评分法。对未中标人，将不作任何解释。</w:t>
      </w:r>
    </w:p>
    <w:p w14:paraId="757D9265">
      <w:pPr>
        <w:spacing w:line="360" w:lineRule="auto"/>
        <w:ind w:firstLine="480" w:firstLineChars="200"/>
        <w:rPr>
          <w:highlight w:val="none"/>
        </w:rPr>
      </w:pPr>
      <w:r>
        <w:rPr>
          <w:rFonts w:hint="eastAsia" w:ascii="宋体" w:hAnsi="宋体" w:eastAsia="宋体" w:cs="宋体"/>
          <w:bCs/>
          <w:sz w:val="24"/>
          <w:szCs w:val="24"/>
          <w:highlight w:val="none"/>
        </w:rPr>
        <w:t>采用综合评分法的，按评审后综合得分由高到低顺序排列。综合得分相同的，按投标报价由低到高顺序排列。综合得分且投标报价相同的，按技术指标优劣顺序排列。</w:t>
      </w:r>
    </w:p>
    <w:p w14:paraId="57B1B09F">
      <w:pPr>
        <w:numPr>
          <w:ilvl w:val="0"/>
          <w:numId w:val="5"/>
        </w:num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评标标准</w:t>
      </w:r>
    </w:p>
    <w:tbl>
      <w:tblPr>
        <w:tblStyle w:val="27"/>
        <w:tblW w:w="955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8"/>
        <w:gridCol w:w="6723"/>
      </w:tblGrid>
      <w:tr w14:paraId="2E31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418" w:type="dxa"/>
            <w:vAlign w:val="center"/>
          </w:tcPr>
          <w:p w14:paraId="2F78A95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18" w:type="dxa"/>
            <w:vAlign w:val="center"/>
          </w:tcPr>
          <w:p w14:paraId="0B9D736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6723" w:type="dxa"/>
            <w:vAlign w:val="center"/>
          </w:tcPr>
          <w:p w14:paraId="3AD8820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14:paraId="2430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418" w:type="dxa"/>
            <w:vAlign w:val="center"/>
          </w:tcPr>
          <w:p w14:paraId="2BB2B7B2">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418" w:type="dxa"/>
            <w:vAlign w:val="center"/>
          </w:tcPr>
          <w:p w14:paraId="371C4C0A">
            <w:pPr>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p w14:paraId="24C93B60">
            <w:pPr>
              <w:jc w:val="center"/>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6723" w:type="dxa"/>
            <w:vAlign w:val="center"/>
          </w:tcPr>
          <w:p w14:paraId="29AE559A">
            <w:pPr>
              <w:rPr>
                <w:rFonts w:hint="eastAsia" w:ascii="宋体" w:hAnsi="宋体" w:eastAsia="宋体" w:cs="宋体"/>
                <w:szCs w:val="21"/>
                <w:highlight w:val="none"/>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以满足招标文件要求的最低报价为评审基准价，满分30分。其他报价得分＝（评审基准价/其他报价）×30×100％</w:t>
            </w:r>
          </w:p>
        </w:tc>
      </w:tr>
      <w:tr w14:paraId="1D20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trPr>
        <w:tc>
          <w:tcPr>
            <w:tcW w:w="1418" w:type="dxa"/>
            <w:vAlign w:val="center"/>
          </w:tcPr>
          <w:p w14:paraId="45107220">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418" w:type="dxa"/>
            <w:vAlign w:val="center"/>
          </w:tcPr>
          <w:p w14:paraId="7F1FA68A">
            <w:pPr>
              <w:jc w:val="center"/>
              <w:rPr>
                <w:rFonts w:ascii="宋体" w:hAnsi="宋体" w:eastAsia="宋体" w:cs="宋体"/>
                <w:szCs w:val="21"/>
                <w:highlight w:val="none"/>
              </w:rPr>
            </w:pPr>
            <w:r>
              <w:rPr>
                <w:rFonts w:hint="eastAsia" w:ascii="宋体" w:hAnsi="宋体" w:eastAsia="宋体" w:cs="宋体"/>
                <w:szCs w:val="21"/>
                <w:highlight w:val="none"/>
              </w:rPr>
              <w:t>技术参数响应（16分）</w:t>
            </w:r>
          </w:p>
        </w:tc>
        <w:tc>
          <w:tcPr>
            <w:tcW w:w="6723" w:type="dxa"/>
            <w:vAlign w:val="center"/>
          </w:tcPr>
          <w:p w14:paraId="5ABF0FA9">
            <w:pPr>
              <w:rPr>
                <w:rFonts w:ascii="宋体" w:hAnsi="宋体" w:eastAsia="宋体" w:cs="宋体"/>
                <w:szCs w:val="21"/>
                <w:highlight w:val="none"/>
              </w:rPr>
            </w:pPr>
            <w:r>
              <w:rPr>
                <w:rFonts w:hint="eastAsia" w:ascii="宋体" w:hAnsi="宋体" w:eastAsia="宋体" w:cs="宋体"/>
                <w:szCs w:val="21"/>
                <w:highlight w:val="none"/>
              </w:rPr>
              <w:t>2.1投标产品对招标文件具体需求的响应程度：全部响应即满足招标文件“技术参数要求”等的得16分</w:t>
            </w:r>
            <w:r>
              <w:rPr>
                <w:rFonts w:hint="eastAsia" w:ascii="宋体" w:hAnsi="宋体" w:eastAsia="宋体" w:cs="宋体"/>
                <w:szCs w:val="21"/>
                <w:highlight w:val="none"/>
                <w:lang w:val="en-US" w:eastAsia="zh-CN"/>
              </w:rPr>
              <w:t>，带</w:t>
            </w:r>
            <w:r>
              <w:rPr>
                <w:rFonts w:hint="eastAsia" w:ascii="宋体" w:hAnsi="宋体" w:eastAsia="宋体" w:cs="宋体"/>
                <w:szCs w:val="21"/>
                <w:highlight w:val="none"/>
              </w:rPr>
              <w:t>“▲”有负偏离或不满足要求的每项扣1分，扣完为止。</w:t>
            </w:r>
            <w:r>
              <w:rPr>
                <w:rFonts w:hint="eastAsia" w:ascii="宋体" w:hAnsi="宋体" w:eastAsia="宋体" w:cs="宋体"/>
                <w:bCs/>
                <w:szCs w:val="21"/>
                <w:highlight w:val="none"/>
              </w:rPr>
              <w:t>（投标人需按照本采购文件第四章的技术参数要求，在“技术参数响应及偏离表”等中如实详细填列所投产品的参数及相关承诺，并按采购文件要求提供证明材料并在偏离表中标明所在页码，否则评标委员会有权做负偏离处理）</w:t>
            </w:r>
          </w:p>
        </w:tc>
      </w:tr>
      <w:tr w14:paraId="36FEB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1418" w:type="dxa"/>
            <w:vMerge w:val="restart"/>
            <w:tcBorders>
              <w:top w:val="single" w:color="000000" w:sz="4" w:space="0"/>
              <w:left w:val="single" w:color="000000" w:sz="4" w:space="0"/>
              <w:right w:val="single" w:color="000000" w:sz="4" w:space="0"/>
            </w:tcBorders>
            <w:vAlign w:val="center"/>
          </w:tcPr>
          <w:p w14:paraId="4B8B94A2">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418" w:type="dxa"/>
            <w:vMerge w:val="restart"/>
            <w:tcBorders>
              <w:top w:val="single" w:color="000000" w:sz="4" w:space="0"/>
              <w:left w:val="single" w:color="000000" w:sz="4" w:space="0"/>
              <w:right w:val="single" w:color="000000" w:sz="4" w:space="0"/>
            </w:tcBorders>
            <w:vAlign w:val="center"/>
          </w:tcPr>
          <w:p w14:paraId="141D73DF">
            <w:pPr>
              <w:jc w:val="center"/>
              <w:rPr>
                <w:rFonts w:ascii="宋体" w:hAnsi="宋体" w:eastAsia="宋体" w:cs="宋体"/>
                <w:szCs w:val="21"/>
                <w:highlight w:val="none"/>
              </w:rPr>
            </w:pPr>
            <w:r>
              <w:rPr>
                <w:rFonts w:hint="eastAsia" w:ascii="宋体" w:hAnsi="宋体" w:eastAsia="宋体" w:cs="宋体"/>
                <w:szCs w:val="21"/>
                <w:highlight w:val="none"/>
              </w:rPr>
              <w:t>技术实施方案（8分）</w:t>
            </w:r>
          </w:p>
        </w:tc>
        <w:tc>
          <w:tcPr>
            <w:tcW w:w="6723" w:type="dxa"/>
            <w:tcBorders>
              <w:top w:val="single" w:color="000000" w:sz="4" w:space="0"/>
              <w:left w:val="single" w:color="000000" w:sz="4" w:space="0"/>
              <w:bottom w:val="single" w:color="000000" w:sz="4" w:space="0"/>
              <w:right w:val="single" w:color="000000" w:sz="4" w:space="0"/>
            </w:tcBorders>
            <w:vAlign w:val="center"/>
          </w:tcPr>
          <w:p w14:paraId="707CAC4F">
            <w:pPr>
              <w:rPr>
                <w:rFonts w:ascii="宋体" w:hAnsi="宋体" w:eastAsia="宋体" w:cs="宋体"/>
                <w:szCs w:val="21"/>
                <w:highlight w:val="none"/>
              </w:rPr>
            </w:pPr>
            <w:r>
              <w:rPr>
                <w:rFonts w:hint="eastAsia" w:ascii="宋体" w:hAnsi="宋体" w:eastAsia="宋体" w:cs="宋体"/>
                <w:szCs w:val="21"/>
                <w:highlight w:val="none"/>
              </w:rPr>
              <w:t>3.1投标人应根据招标文件及本项目特点提供产品效果图、施工图、供货周期、安装调试进度及安全措施整体技术方案；方案详细、合理，方案优于招标文件要求的得4分，符合招标要求文件的得2分，不符合招标文件要求或未提供的不得分。</w:t>
            </w:r>
          </w:p>
        </w:tc>
      </w:tr>
      <w:tr w14:paraId="23F7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418" w:type="dxa"/>
            <w:vMerge w:val="continue"/>
            <w:tcBorders>
              <w:left w:val="single" w:color="000000" w:sz="4" w:space="0"/>
              <w:bottom w:val="single" w:color="000000" w:sz="4" w:space="0"/>
              <w:right w:val="single" w:color="000000" w:sz="4" w:space="0"/>
            </w:tcBorders>
            <w:vAlign w:val="center"/>
          </w:tcPr>
          <w:p w14:paraId="36A34453">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418" w:type="dxa"/>
            <w:vMerge w:val="continue"/>
            <w:tcBorders>
              <w:left w:val="single" w:color="000000" w:sz="4" w:space="0"/>
              <w:bottom w:val="single" w:color="000000" w:sz="4" w:space="0"/>
              <w:right w:val="single" w:color="000000" w:sz="4" w:space="0"/>
            </w:tcBorders>
            <w:vAlign w:val="center"/>
          </w:tcPr>
          <w:p w14:paraId="637799EE">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0279F0C9">
            <w:pPr>
              <w:rPr>
                <w:rFonts w:ascii="宋体" w:hAnsi="宋体" w:eastAsia="宋体" w:cs="宋体"/>
                <w:szCs w:val="21"/>
                <w:highlight w:val="none"/>
              </w:rPr>
            </w:pPr>
            <w:r>
              <w:rPr>
                <w:rFonts w:hint="eastAsia" w:ascii="宋体" w:hAnsi="宋体" w:eastAsia="宋体" w:cs="宋体"/>
                <w:szCs w:val="21"/>
                <w:highlight w:val="none"/>
              </w:rPr>
              <w:t>3.2投标人应根据招标文件及本项目特点提供质量控制及交付方案，方案科学可行、详细，方案优于招标文件要求的得4分，符合招标要求文件的得2分，不符合招标文件要求或未提供的不得分。</w:t>
            </w:r>
          </w:p>
        </w:tc>
      </w:tr>
      <w:tr w14:paraId="6DCDF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trPr>
        <w:tc>
          <w:tcPr>
            <w:tcW w:w="1418" w:type="dxa"/>
            <w:tcBorders>
              <w:top w:val="single" w:color="000000" w:sz="4" w:space="0"/>
              <w:left w:val="single" w:color="000000" w:sz="4" w:space="0"/>
              <w:right w:val="single" w:color="000000" w:sz="4" w:space="0"/>
            </w:tcBorders>
            <w:vAlign w:val="center"/>
          </w:tcPr>
          <w:p w14:paraId="4747FBB7">
            <w:pPr>
              <w:jc w:val="center"/>
              <w:rPr>
                <w:rFonts w:hint="eastAsia" w:ascii="宋体" w:hAnsi="宋体" w:eastAsia="宋体" w:cs="宋体"/>
                <w:szCs w:val="21"/>
                <w:highlight w:val="none"/>
              </w:rPr>
            </w:pPr>
          </w:p>
        </w:tc>
        <w:tc>
          <w:tcPr>
            <w:tcW w:w="1418" w:type="dxa"/>
            <w:vMerge w:val="restart"/>
            <w:tcBorders>
              <w:top w:val="single" w:color="000000" w:sz="4" w:space="0"/>
              <w:left w:val="single" w:color="000000" w:sz="4" w:space="0"/>
              <w:right w:val="single" w:color="000000" w:sz="4" w:space="0"/>
            </w:tcBorders>
            <w:vAlign w:val="center"/>
          </w:tcPr>
          <w:p w14:paraId="647733FF">
            <w:pPr>
              <w:jc w:val="center"/>
              <w:rPr>
                <w:rFonts w:ascii="宋体" w:hAnsi="宋体" w:eastAsia="宋体" w:cs="宋体"/>
                <w:szCs w:val="21"/>
                <w:highlight w:val="none"/>
              </w:rPr>
            </w:pPr>
            <w:r>
              <w:rPr>
                <w:rFonts w:hint="eastAsia" w:ascii="宋体" w:hAnsi="宋体" w:eastAsia="宋体" w:cs="宋体"/>
                <w:szCs w:val="21"/>
                <w:highlight w:val="none"/>
              </w:rPr>
              <w:t>投标人履约能力（30分）</w:t>
            </w:r>
          </w:p>
        </w:tc>
        <w:tc>
          <w:tcPr>
            <w:tcW w:w="6723" w:type="dxa"/>
            <w:tcBorders>
              <w:top w:val="single" w:color="000000" w:sz="4" w:space="0"/>
              <w:left w:val="single" w:color="000000" w:sz="4" w:space="0"/>
              <w:bottom w:val="single" w:color="000000" w:sz="4" w:space="0"/>
              <w:right w:val="single" w:color="000000" w:sz="4" w:space="0"/>
            </w:tcBorders>
            <w:vAlign w:val="center"/>
          </w:tcPr>
          <w:p w14:paraId="4AD0B087">
            <w:pPr>
              <w:rPr>
                <w:rFonts w:ascii="宋体" w:hAnsi="宋体" w:eastAsia="宋体" w:cs="宋体"/>
                <w:szCs w:val="21"/>
                <w:highlight w:val="none"/>
              </w:rPr>
            </w:pPr>
            <w:r>
              <w:rPr>
                <w:rFonts w:hint="eastAsia" w:ascii="宋体" w:hAnsi="宋体" w:eastAsia="宋体" w:cs="宋体"/>
                <w:szCs w:val="21"/>
                <w:highlight w:val="none"/>
              </w:rPr>
              <w:t>4.1投标人具有用于生产本次采购需求的设备(木制：全自动数控开料锯、全自动直线封边机、六面钻、数控加工中心、中央吸尘系统。钢制：全自动切管机、多孔钻、弯管机、焊接机器人、光纤激光切割机）图片、功能介绍及以家具制造商名义购买的发票，（如提供的设备名称不一致，需提供具备相应功能的证明材料，否则不得分；同一物品描述不同的亦可）提供清晰复印件并加盖投标单位公章，每提供一项得0.5分，共计5分，不提供不得分。</w:t>
            </w:r>
          </w:p>
        </w:tc>
      </w:tr>
      <w:tr w14:paraId="74A9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1418" w:type="dxa"/>
            <w:vMerge w:val="restart"/>
            <w:tcBorders>
              <w:left w:val="single" w:color="000000" w:sz="4" w:space="0"/>
              <w:right w:val="single" w:color="000000" w:sz="4" w:space="0"/>
            </w:tcBorders>
            <w:vAlign w:val="center"/>
          </w:tcPr>
          <w:p w14:paraId="3A18ECE8">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18" w:type="dxa"/>
            <w:vMerge w:val="continue"/>
            <w:tcBorders>
              <w:left w:val="single" w:color="000000" w:sz="4" w:space="0"/>
              <w:right w:val="single" w:color="000000" w:sz="4" w:space="0"/>
            </w:tcBorders>
            <w:vAlign w:val="center"/>
          </w:tcPr>
          <w:p w14:paraId="6DD733C1">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290DFCDA">
            <w:pPr>
              <w:rPr>
                <w:rFonts w:ascii="宋体" w:hAnsi="宋体" w:eastAsia="宋体" w:cs="宋体"/>
                <w:szCs w:val="21"/>
                <w:highlight w:val="none"/>
              </w:rPr>
            </w:pPr>
            <w:r>
              <w:rPr>
                <w:rFonts w:hint="eastAsia" w:ascii="宋体" w:hAnsi="宋体" w:eastAsia="宋体" w:cs="宋体"/>
                <w:szCs w:val="21"/>
                <w:highlight w:val="none"/>
              </w:rPr>
              <w:t>4.2投标人提供《中国环境标志产品认证证书》，内容包含金属家具、人造板类家具、其他家具（钢塑床类）、其他家具（钢塑椅凳类），提供完整得3分，内容不全不得分。（提供有效证书复印件，涉及的证书范围如存在文字表述不同但含义相同的，经评委会认定也视同满足要求）</w:t>
            </w:r>
          </w:p>
        </w:tc>
      </w:tr>
      <w:tr w14:paraId="6AFC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1418" w:type="dxa"/>
            <w:vMerge w:val="continue"/>
            <w:tcBorders>
              <w:left w:val="single" w:color="000000" w:sz="4" w:space="0"/>
              <w:right w:val="single" w:color="000000" w:sz="4" w:space="0"/>
            </w:tcBorders>
            <w:vAlign w:val="center"/>
          </w:tcPr>
          <w:p w14:paraId="3E4FFA41">
            <w:pPr>
              <w:jc w:val="center"/>
              <w:rPr>
                <w:rFonts w:ascii="宋体" w:hAnsi="宋体" w:eastAsia="宋体" w:cs="宋体"/>
                <w:szCs w:val="21"/>
                <w:highlight w:val="none"/>
              </w:rPr>
            </w:pPr>
          </w:p>
        </w:tc>
        <w:tc>
          <w:tcPr>
            <w:tcW w:w="1418" w:type="dxa"/>
            <w:vMerge w:val="continue"/>
            <w:tcBorders>
              <w:left w:val="single" w:color="000000" w:sz="4" w:space="0"/>
              <w:right w:val="single" w:color="000000" w:sz="4" w:space="0"/>
            </w:tcBorders>
            <w:vAlign w:val="center"/>
          </w:tcPr>
          <w:p w14:paraId="2CEAB94A">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7DBF3AAD">
            <w:pPr>
              <w:rPr>
                <w:rFonts w:ascii="宋体" w:hAnsi="宋体" w:eastAsia="宋体" w:cs="宋体"/>
                <w:szCs w:val="21"/>
                <w:highlight w:val="none"/>
              </w:rPr>
            </w:pPr>
            <w:r>
              <w:rPr>
                <w:rFonts w:hint="eastAsia" w:ascii="宋体" w:hAnsi="宋体" w:eastAsia="宋体" w:cs="宋体"/>
                <w:szCs w:val="21"/>
                <w:highlight w:val="none"/>
              </w:rPr>
              <w:t>4.3评委根据供应商提供的自2021年1月1日以来实施过的</w:t>
            </w:r>
            <w:r>
              <w:rPr>
                <w:rFonts w:hint="eastAsia" w:ascii="宋体" w:hAnsi="宋体" w:eastAsia="宋体" w:cs="宋体"/>
                <w:szCs w:val="21"/>
                <w:highlight w:val="none"/>
                <w:lang w:val="en-US" w:eastAsia="zh-CN"/>
              </w:rPr>
              <w:t>与本项目类似的床具</w:t>
            </w:r>
            <w:r>
              <w:rPr>
                <w:rFonts w:hint="eastAsia" w:ascii="宋体" w:hAnsi="宋体" w:eastAsia="宋体" w:cs="宋体"/>
                <w:szCs w:val="21"/>
                <w:highlight w:val="none"/>
              </w:rPr>
              <w:t>业绩，有1个得</w:t>
            </w:r>
            <w:r>
              <w:rPr>
                <w:rFonts w:ascii="宋体" w:hAnsi="宋体" w:eastAsia="宋体" w:cs="宋体"/>
                <w:szCs w:val="21"/>
                <w:highlight w:val="none"/>
              </w:rPr>
              <w:t>1</w:t>
            </w:r>
            <w:r>
              <w:rPr>
                <w:rFonts w:hint="eastAsia" w:ascii="宋体" w:hAnsi="宋体" w:eastAsia="宋体" w:cs="宋体"/>
                <w:szCs w:val="21"/>
                <w:highlight w:val="none"/>
              </w:rPr>
              <w:t>分，满分</w:t>
            </w:r>
            <w:r>
              <w:rPr>
                <w:rFonts w:ascii="宋体" w:hAnsi="宋体" w:eastAsia="宋体" w:cs="宋体"/>
                <w:szCs w:val="21"/>
                <w:highlight w:val="none"/>
              </w:rPr>
              <w:t>10</w:t>
            </w:r>
            <w:r>
              <w:rPr>
                <w:rFonts w:hint="eastAsia" w:ascii="宋体" w:hAnsi="宋体" w:eastAsia="宋体" w:cs="宋体"/>
                <w:szCs w:val="21"/>
                <w:highlight w:val="none"/>
              </w:rPr>
              <w:t>分（以合同签订日期为准，提供合同有效复印件和验收证明复印件）。</w:t>
            </w:r>
          </w:p>
        </w:tc>
      </w:tr>
      <w:tr w14:paraId="7E5A3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418" w:type="dxa"/>
            <w:vMerge w:val="continue"/>
            <w:tcBorders>
              <w:left w:val="single" w:color="000000" w:sz="4" w:space="0"/>
              <w:right w:val="single" w:color="000000" w:sz="4" w:space="0"/>
            </w:tcBorders>
            <w:vAlign w:val="center"/>
          </w:tcPr>
          <w:p w14:paraId="02EB81F6">
            <w:pPr>
              <w:jc w:val="center"/>
              <w:rPr>
                <w:rFonts w:ascii="宋体" w:hAnsi="宋体" w:eastAsia="宋体" w:cs="宋体"/>
                <w:szCs w:val="21"/>
                <w:highlight w:val="none"/>
              </w:rPr>
            </w:pPr>
          </w:p>
        </w:tc>
        <w:tc>
          <w:tcPr>
            <w:tcW w:w="1418" w:type="dxa"/>
            <w:vMerge w:val="continue"/>
            <w:tcBorders>
              <w:left w:val="single" w:color="000000" w:sz="4" w:space="0"/>
              <w:right w:val="single" w:color="000000" w:sz="4" w:space="0"/>
            </w:tcBorders>
            <w:vAlign w:val="center"/>
          </w:tcPr>
          <w:p w14:paraId="73765230">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12367542">
            <w:pPr>
              <w:rPr>
                <w:rFonts w:ascii="宋体" w:hAnsi="宋体" w:eastAsia="宋体" w:cs="宋体"/>
                <w:szCs w:val="21"/>
                <w:highlight w:val="none"/>
              </w:rPr>
            </w:pPr>
            <w:r>
              <w:rPr>
                <w:rFonts w:hint="eastAsia" w:ascii="宋体" w:hAnsi="宋体" w:eastAsia="宋体" w:cs="宋体"/>
                <w:szCs w:val="21"/>
                <w:highlight w:val="none"/>
              </w:rPr>
              <w:t>4.4投标人所投产品具有CMA认证标识的学生公寓（宿舍）家具产品检测报告（同一物品描述不同的亦可）：</w:t>
            </w:r>
          </w:p>
          <w:p w14:paraId="2C537490">
            <w:pPr>
              <w:rPr>
                <w:rFonts w:ascii="宋体" w:hAnsi="宋体" w:eastAsia="宋体" w:cs="宋体"/>
                <w:szCs w:val="21"/>
                <w:highlight w:val="none"/>
              </w:rPr>
            </w:pPr>
            <w:r>
              <w:rPr>
                <w:rFonts w:hint="eastAsia" w:ascii="宋体" w:hAnsi="宋体" w:eastAsia="宋体" w:cs="宋体"/>
                <w:szCs w:val="21"/>
                <w:highlight w:val="none"/>
              </w:rPr>
              <w:t>①公寓床（需包含：主要尺寸及偏差、形状和位置公差、外观要求、结构安全、理化性能、力学性能、安装、品质属性等项目）；②公寓椅（需包含：主要尺寸及偏差、形状和位置公差、外观要求、结构安全、理化性能、力学性能、品质属性等项目）；③多功能组合柜（需包含：主要尺寸及偏差、形状和位置公差、含水率、外观要求、理化性能、力学性能、结构安全、品质属性等项目）。④储物柜（需包含：主要尺寸及偏差、形状和位置公差、材料要求（含水率）、外观要求、理化性能、力学性能、结构安全、品质属性等项目）；⑤书桌（需包含：主要尺寸及偏差、形状和位置公差、人造板件含水率、外观要求、结构安全、理化性能、力学性能、品质属性等项目）。上述检测报告各项指标符合国家相关规定，每提供一份检测报告得1分，共计</w:t>
            </w:r>
            <w:r>
              <w:rPr>
                <w:rFonts w:ascii="宋体" w:hAnsi="宋体" w:eastAsia="宋体" w:cs="宋体"/>
                <w:szCs w:val="21"/>
                <w:highlight w:val="none"/>
              </w:rPr>
              <w:t>5</w:t>
            </w:r>
            <w:r>
              <w:rPr>
                <w:rFonts w:hint="eastAsia" w:ascii="宋体" w:hAnsi="宋体" w:eastAsia="宋体" w:cs="宋体"/>
                <w:szCs w:val="21"/>
                <w:highlight w:val="none"/>
              </w:rPr>
              <w:t>分，检测报告中缺项的不得分。检测报告上面需有二维码或者电话查询真伪。</w:t>
            </w:r>
          </w:p>
        </w:tc>
      </w:tr>
      <w:tr w14:paraId="1FF91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418" w:type="dxa"/>
            <w:vMerge w:val="continue"/>
            <w:tcBorders>
              <w:left w:val="single" w:color="000000" w:sz="4" w:space="0"/>
              <w:bottom w:val="single" w:color="000000" w:sz="4" w:space="0"/>
              <w:right w:val="single" w:color="000000" w:sz="4" w:space="0"/>
            </w:tcBorders>
            <w:vAlign w:val="center"/>
          </w:tcPr>
          <w:p w14:paraId="3E7BF452">
            <w:pPr>
              <w:jc w:val="center"/>
              <w:rPr>
                <w:rFonts w:ascii="宋体" w:hAnsi="宋体" w:eastAsia="宋体" w:cs="宋体"/>
                <w:szCs w:val="21"/>
                <w:highlight w:val="none"/>
              </w:rPr>
            </w:pPr>
          </w:p>
        </w:tc>
        <w:tc>
          <w:tcPr>
            <w:tcW w:w="1418" w:type="dxa"/>
            <w:vMerge w:val="continue"/>
            <w:tcBorders>
              <w:left w:val="single" w:color="000000" w:sz="4" w:space="0"/>
              <w:bottom w:val="single" w:color="000000" w:sz="4" w:space="0"/>
              <w:right w:val="single" w:color="000000" w:sz="4" w:space="0"/>
            </w:tcBorders>
            <w:vAlign w:val="center"/>
          </w:tcPr>
          <w:p w14:paraId="59B7EF25">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0F196386">
            <w:pPr>
              <w:rPr>
                <w:rFonts w:ascii="宋体" w:hAnsi="宋体" w:eastAsia="宋体" w:cs="宋体"/>
                <w:szCs w:val="21"/>
                <w:highlight w:val="none"/>
              </w:rPr>
            </w:pPr>
            <w:r>
              <w:rPr>
                <w:rFonts w:hint="eastAsia" w:ascii="宋体" w:hAnsi="宋体" w:eastAsia="宋体" w:cs="宋体"/>
                <w:szCs w:val="21"/>
                <w:highlight w:val="none"/>
              </w:rPr>
              <w:t>4.5投标人所投产品具有CMA认证标识的材料检测报告（同一物品描述不同的亦可）：①三聚氰胺饰面刨花板或颗粒板（需包含：外观质量、规格尺寸及偏差、理化性能、甲醛释放量、TVOC等项目）；②三聚氰胺饰面多层板（需包含：外观质量、规格尺寸及偏差、理化性能、甲醛释放量、TVOC等项目）；③铰链（需包含：过载、功能、耐腐蚀等项目）；④导轨（需包含：过载、功能、耐腐蚀等项目）；⑤塑粉（需包含：涂膜外观、硬度、附着力、耐冲击性、耐酸性、耐碱性、耐盐雾性、重金属等项目）；⑥铝合金锁盒（需包含：外观性能、硬度、冲击强度、耐腐蚀、附着力等项目）；⑦封边条（需包含：外观、理化性能、甲醛释放量、可溶性重金属等项目）；⑧钢管（需包含：外观性能、理化性能等项目）；⑨高密度聚乙烯床板（需包含：耐老化性、冲击强度、外观、理化性能、有害物质限量等项目）；⑩中空吹塑一次成型护栏（需包含：耐老化性、冲击强度、外观、理化性能、有害物质限量等项目）。上述检测报告各项指标符合国家相关规定，每提供一份检测报告得0.7分，共计</w:t>
            </w:r>
            <w:r>
              <w:rPr>
                <w:rFonts w:ascii="宋体" w:hAnsi="宋体" w:eastAsia="宋体" w:cs="宋体"/>
                <w:szCs w:val="21"/>
                <w:highlight w:val="none"/>
              </w:rPr>
              <w:t>7</w:t>
            </w:r>
            <w:r>
              <w:rPr>
                <w:rFonts w:hint="eastAsia" w:ascii="宋体" w:hAnsi="宋体" w:eastAsia="宋体" w:cs="宋体"/>
                <w:szCs w:val="21"/>
                <w:highlight w:val="none"/>
              </w:rPr>
              <w:t>分，检测报告中缺项的不得分。</w:t>
            </w:r>
          </w:p>
        </w:tc>
      </w:tr>
      <w:tr w14:paraId="6EF33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39EF1E3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418" w:type="dxa"/>
            <w:tcBorders>
              <w:top w:val="single" w:color="000000" w:sz="4" w:space="0"/>
              <w:left w:val="single" w:color="000000" w:sz="4" w:space="0"/>
              <w:bottom w:val="single" w:color="000000" w:sz="4" w:space="0"/>
              <w:right w:val="single" w:color="000000" w:sz="4" w:space="0"/>
            </w:tcBorders>
            <w:vAlign w:val="center"/>
          </w:tcPr>
          <w:p w14:paraId="4BCF6A18">
            <w:pPr>
              <w:jc w:val="center"/>
              <w:rPr>
                <w:rFonts w:ascii="宋体" w:hAnsi="宋体" w:eastAsia="宋体" w:cs="宋体"/>
                <w:szCs w:val="21"/>
                <w:highlight w:val="none"/>
              </w:rPr>
            </w:pPr>
            <w:r>
              <w:rPr>
                <w:rFonts w:hint="eastAsia" w:ascii="宋体" w:hAnsi="宋体" w:eastAsia="宋体" w:cs="宋体"/>
                <w:szCs w:val="21"/>
                <w:highlight w:val="none"/>
              </w:rPr>
              <w:t>质量保证期</w:t>
            </w:r>
          </w:p>
          <w:p w14:paraId="617819A7">
            <w:pPr>
              <w:jc w:val="center"/>
              <w:rPr>
                <w:rFonts w:ascii="宋体" w:hAnsi="宋体" w:eastAsia="宋体" w:cs="宋体"/>
                <w:szCs w:val="21"/>
                <w:highlight w:val="none"/>
              </w:rPr>
            </w:pPr>
            <w:r>
              <w:rPr>
                <w:rFonts w:hint="eastAsia" w:ascii="宋体" w:hAnsi="宋体" w:eastAsia="宋体" w:cs="宋体"/>
                <w:szCs w:val="21"/>
                <w:highlight w:val="none"/>
              </w:rPr>
              <w:t>（3分）</w:t>
            </w:r>
          </w:p>
        </w:tc>
        <w:tc>
          <w:tcPr>
            <w:tcW w:w="6723" w:type="dxa"/>
            <w:tcBorders>
              <w:top w:val="single" w:color="000000" w:sz="4" w:space="0"/>
              <w:left w:val="single" w:color="000000" w:sz="4" w:space="0"/>
              <w:bottom w:val="single" w:color="000000" w:sz="4" w:space="0"/>
              <w:right w:val="single" w:color="000000" w:sz="4" w:space="0"/>
            </w:tcBorders>
            <w:vAlign w:val="center"/>
          </w:tcPr>
          <w:p w14:paraId="0C56A80E">
            <w:pPr>
              <w:rPr>
                <w:rFonts w:ascii="宋体" w:hAnsi="宋体" w:eastAsia="宋体" w:cs="宋体"/>
                <w:szCs w:val="21"/>
                <w:highlight w:val="none"/>
              </w:rPr>
            </w:pPr>
            <w:r>
              <w:rPr>
                <w:rFonts w:hint="eastAsia" w:ascii="宋体" w:hAnsi="宋体" w:eastAsia="宋体" w:cs="宋体"/>
                <w:szCs w:val="21"/>
                <w:highlight w:val="none"/>
              </w:rPr>
              <w:t>5.1在满足质量保证期5年的基础上，质量保证期每增加一年得1分，最多得3分。</w:t>
            </w:r>
          </w:p>
        </w:tc>
      </w:tr>
      <w:tr w14:paraId="76DB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418" w:type="dxa"/>
            <w:tcBorders>
              <w:top w:val="single" w:color="000000" w:sz="4" w:space="0"/>
              <w:left w:val="single" w:color="000000" w:sz="4" w:space="0"/>
              <w:right w:val="single" w:color="000000" w:sz="4" w:space="0"/>
            </w:tcBorders>
            <w:vAlign w:val="center"/>
          </w:tcPr>
          <w:p w14:paraId="04D41D80">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418" w:type="dxa"/>
            <w:vMerge w:val="restart"/>
            <w:tcBorders>
              <w:top w:val="single" w:color="000000" w:sz="4" w:space="0"/>
              <w:left w:val="single" w:color="000000" w:sz="4" w:space="0"/>
              <w:right w:val="single" w:color="000000" w:sz="4" w:space="0"/>
            </w:tcBorders>
            <w:vAlign w:val="center"/>
          </w:tcPr>
          <w:p w14:paraId="4A9373FA">
            <w:pPr>
              <w:jc w:val="center"/>
              <w:rPr>
                <w:rFonts w:ascii="宋体" w:hAnsi="宋体" w:eastAsia="宋体" w:cs="宋体"/>
                <w:szCs w:val="21"/>
                <w:highlight w:val="none"/>
              </w:rPr>
            </w:pPr>
            <w:r>
              <w:rPr>
                <w:rFonts w:hint="eastAsia" w:ascii="宋体" w:hAnsi="宋体" w:eastAsia="宋体" w:cs="宋体"/>
                <w:szCs w:val="21"/>
                <w:highlight w:val="none"/>
              </w:rPr>
              <w:t>样品评审（12分）</w:t>
            </w:r>
          </w:p>
        </w:tc>
        <w:tc>
          <w:tcPr>
            <w:tcW w:w="6723" w:type="dxa"/>
            <w:tcBorders>
              <w:top w:val="single" w:color="000000" w:sz="4" w:space="0"/>
              <w:left w:val="single" w:color="000000" w:sz="4" w:space="0"/>
              <w:bottom w:val="single" w:color="000000" w:sz="4" w:space="0"/>
              <w:right w:val="single" w:color="000000" w:sz="4" w:space="0"/>
            </w:tcBorders>
            <w:vAlign w:val="center"/>
          </w:tcPr>
          <w:p w14:paraId="3823173A">
            <w:pPr>
              <w:rPr>
                <w:rFonts w:ascii="宋体" w:hAnsi="宋体" w:eastAsia="宋体" w:cs="宋体"/>
                <w:szCs w:val="21"/>
                <w:highlight w:val="none"/>
              </w:rPr>
            </w:pPr>
            <w:r>
              <w:rPr>
                <w:rFonts w:hint="eastAsia" w:ascii="宋体" w:hAnsi="宋体" w:eastAsia="宋体" w:cs="宋体"/>
                <w:szCs w:val="21"/>
                <w:highlight w:val="none"/>
              </w:rPr>
              <w:t>6.1小样样品材质工艺：优于项目需求的，得4分，符合项目需求的，得2分，不符合项目需求的、样品递交不全或未按照招标文件要求递交样品的，不得分。</w:t>
            </w:r>
          </w:p>
        </w:tc>
      </w:tr>
      <w:tr w14:paraId="0A72B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418" w:type="dxa"/>
            <w:vMerge w:val="restart"/>
            <w:tcBorders>
              <w:left w:val="single" w:color="000000" w:sz="4" w:space="0"/>
              <w:right w:val="single" w:color="000000" w:sz="4" w:space="0"/>
            </w:tcBorders>
            <w:vAlign w:val="center"/>
          </w:tcPr>
          <w:p w14:paraId="69F43ED3">
            <w:pPr>
              <w:jc w:val="center"/>
              <w:rPr>
                <w:rFonts w:ascii="宋体" w:hAnsi="宋体" w:eastAsia="宋体" w:cs="宋体"/>
                <w:szCs w:val="21"/>
                <w:highlight w:val="none"/>
              </w:rPr>
            </w:pPr>
          </w:p>
        </w:tc>
        <w:tc>
          <w:tcPr>
            <w:tcW w:w="1418" w:type="dxa"/>
            <w:vMerge w:val="continue"/>
            <w:tcBorders>
              <w:left w:val="single" w:color="000000" w:sz="4" w:space="0"/>
              <w:right w:val="single" w:color="000000" w:sz="4" w:space="0"/>
            </w:tcBorders>
            <w:vAlign w:val="center"/>
          </w:tcPr>
          <w:p w14:paraId="1E6EC121">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51C940E7">
            <w:pPr>
              <w:rPr>
                <w:rFonts w:ascii="宋体" w:hAnsi="宋体" w:eastAsia="宋体" w:cs="宋体"/>
                <w:szCs w:val="21"/>
                <w:highlight w:val="none"/>
              </w:rPr>
            </w:pPr>
            <w:r>
              <w:rPr>
                <w:rFonts w:hint="eastAsia" w:ascii="宋体" w:hAnsi="宋体" w:eastAsia="宋体" w:cs="宋体"/>
                <w:szCs w:val="21"/>
                <w:highlight w:val="none"/>
              </w:rPr>
              <w:t>6.2小样样品外观造型：优于项目需求的，得4分，符合项目需求的，得2分，不符合项目需求的、样品递交不全或未按照招标文件要求递交样品的，不得分。</w:t>
            </w:r>
          </w:p>
        </w:tc>
      </w:tr>
      <w:tr w14:paraId="50F10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418" w:type="dxa"/>
            <w:vMerge w:val="continue"/>
            <w:tcBorders>
              <w:left w:val="single" w:color="000000" w:sz="4" w:space="0"/>
              <w:bottom w:val="single" w:color="000000" w:sz="4" w:space="0"/>
              <w:right w:val="single" w:color="000000" w:sz="4" w:space="0"/>
            </w:tcBorders>
            <w:vAlign w:val="center"/>
          </w:tcPr>
          <w:p w14:paraId="0BBE73FA">
            <w:pPr>
              <w:jc w:val="center"/>
              <w:rPr>
                <w:rFonts w:ascii="宋体" w:hAnsi="宋体" w:eastAsia="宋体" w:cs="宋体"/>
                <w:szCs w:val="21"/>
                <w:highlight w:val="none"/>
              </w:rPr>
            </w:pPr>
          </w:p>
        </w:tc>
        <w:tc>
          <w:tcPr>
            <w:tcW w:w="1418" w:type="dxa"/>
            <w:vMerge w:val="continue"/>
            <w:tcBorders>
              <w:left w:val="single" w:color="000000" w:sz="4" w:space="0"/>
              <w:bottom w:val="single" w:color="000000" w:sz="4" w:space="0"/>
              <w:right w:val="single" w:color="000000" w:sz="4" w:space="0"/>
            </w:tcBorders>
            <w:vAlign w:val="center"/>
          </w:tcPr>
          <w:p w14:paraId="5A0EF85A">
            <w:pPr>
              <w:jc w:val="center"/>
              <w:rPr>
                <w:rFonts w:ascii="宋体" w:hAnsi="宋体" w:eastAsia="宋体" w:cs="宋体"/>
                <w:szCs w:val="21"/>
                <w:highlight w:val="none"/>
              </w:rPr>
            </w:pPr>
          </w:p>
        </w:tc>
        <w:tc>
          <w:tcPr>
            <w:tcW w:w="6723" w:type="dxa"/>
            <w:tcBorders>
              <w:top w:val="single" w:color="000000" w:sz="4" w:space="0"/>
              <w:left w:val="single" w:color="000000" w:sz="4" w:space="0"/>
              <w:bottom w:val="single" w:color="000000" w:sz="4" w:space="0"/>
              <w:right w:val="single" w:color="000000" w:sz="4" w:space="0"/>
            </w:tcBorders>
            <w:vAlign w:val="center"/>
          </w:tcPr>
          <w:p w14:paraId="2F2F387F">
            <w:pPr>
              <w:rPr>
                <w:rFonts w:ascii="宋体" w:hAnsi="宋体" w:eastAsia="宋体" w:cs="宋体"/>
                <w:szCs w:val="21"/>
                <w:highlight w:val="none"/>
              </w:rPr>
            </w:pPr>
            <w:r>
              <w:rPr>
                <w:rFonts w:hint="eastAsia" w:ascii="宋体" w:hAnsi="宋体" w:eastAsia="宋体" w:cs="宋体"/>
                <w:szCs w:val="21"/>
                <w:highlight w:val="none"/>
              </w:rPr>
              <w:t>6.3成品样品：依据投标人提供的视频，主要从样品照片、实物小样细节讲解视频及安装动画（以动画成品床演示安装过程）演示所体现的外观造型、空间利用率、结构安全性等进行评审，优于招标文件要求的得4分，符合得2分，不符合或样品递交不全或未按照招标文件要求递交样品或样品视频不符合文件规定的视频展示的，均不得分。</w:t>
            </w:r>
          </w:p>
        </w:tc>
      </w:tr>
      <w:tr w14:paraId="20A9A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7A369DB1">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1418" w:type="dxa"/>
            <w:tcBorders>
              <w:top w:val="single" w:color="000000" w:sz="4" w:space="0"/>
              <w:left w:val="single" w:color="000000" w:sz="4" w:space="0"/>
              <w:bottom w:val="single" w:color="000000" w:sz="4" w:space="0"/>
              <w:right w:val="single" w:color="000000" w:sz="4" w:space="0"/>
            </w:tcBorders>
            <w:vAlign w:val="center"/>
          </w:tcPr>
          <w:p w14:paraId="0AB44158">
            <w:pPr>
              <w:jc w:val="center"/>
              <w:rPr>
                <w:rFonts w:ascii="宋体" w:hAnsi="宋体" w:eastAsia="宋体" w:cs="宋体"/>
                <w:szCs w:val="21"/>
                <w:highlight w:val="none"/>
              </w:rPr>
            </w:pPr>
            <w:r>
              <w:rPr>
                <w:rFonts w:hint="eastAsia" w:ascii="宋体" w:hAnsi="宋体" w:eastAsia="宋体" w:cs="宋体"/>
                <w:szCs w:val="21"/>
                <w:highlight w:val="none"/>
              </w:rPr>
              <w:t>节能产品</w:t>
            </w:r>
          </w:p>
          <w:p w14:paraId="5C38449E">
            <w:pPr>
              <w:jc w:val="center"/>
              <w:rPr>
                <w:rFonts w:ascii="宋体" w:hAnsi="宋体" w:eastAsia="宋体" w:cs="宋体"/>
                <w:szCs w:val="21"/>
                <w:highlight w:val="none"/>
              </w:rPr>
            </w:pPr>
            <w:r>
              <w:rPr>
                <w:rFonts w:hint="eastAsia" w:ascii="宋体" w:hAnsi="宋体" w:eastAsia="宋体" w:cs="宋体"/>
                <w:szCs w:val="21"/>
                <w:highlight w:val="none"/>
              </w:rPr>
              <w:t>（1分）</w:t>
            </w:r>
          </w:p>
        </w:tc>
        <w:tc>
          <w:tcPr>
            <w:tcW w:w="6723" w:type="dxa"/>
            <w:tcBorders>
              <w:top w:val="single" w:color="000000" w:sz="4" w:space="0"/>
              <w:left w:val="single" w:color="000000" w:sz="4" w:space="0"/>
              <w:bottom w:val="single" w:color="000000" w:sz="4" w:space="0"/>
              <w:right w:val="single" w:color="000000" w:sz="4" w:space="0"/>
            </w:tcBorders>
            <w:vAlign w:val="center"/>
          </w:tcPr>
          <w:p w14:paraId="0C511D1F">
            <w:pPr>
              <w:rPr>
                <w:rFonts w:ascii="宋体" w:hAnsi="宋体" w:eastAsia="宋体" w:cs="宋体"/>
                <w:szCs w:val="21"/>
                <w:highlight w:val="none"/>
              </w:rPr>
            </w:pPr>
            <w:r>
              <w:rPr>
                <w:rFonts w:hint="eastAsia" w:ascii="宋体" w:hAnsi="宋体" w:eastAsia="宋体" w:cs="宋体"/>
                <w:szCs w:val="21"/>
                <w:highlight w:val="none"/>
              </w:rPr>
              <w:t>7.1投标产品属于财政部、国家发改委公布的“节能产品品目清单”范围内的，投标人提供国家确定的认证机构出具的、处于有效期之内的该节能产品认证证书复印件的，得1分。如投标产品均属于政府强制采购节能产品品目清单范围内，本项不得分。</w:t>
            </w:r>
          </w:p>
        </w:tc>
      </w:tr>
    </w:tbl>
    <w:p w14:paraId="5FD68843">
      <w:pPr>
        <w:adjustRightInd w:val="0"/>
        <w:snapToGrid w:val="0"/>
        <w:spacing w:line="360" w:lineRule="auto"/>
        <w:ind w:firstLine="420" w:firstLineChars="200"/>
        <w:rPr>
          <w:rFonts w:hint="eastAsia" w:ascii="宋体" w:hAnsi="Times New Roman" w:eastAsia="宋体" w:cs="宋体"/>
          <w:kern w:val="0"/>
          <w:szCs w:val="21"/>
          <w:highlight w:val="none"/>
        </w:rPr>
      </w:pPr>
    </w:p>
    <w:p w14:paraId="12851EEF">
      <w:pPr>
        <w:rPr>
          <w:rFonts w:hint="eastAsia"/>
          <w:highlight w:val="none"/>
        </w:rPr>
      </w:pPr>
    </w:p>
    <w:p w14:paraId="40A0B796">
      <w:pPr>
        <w:widowControl w:val="0"/>
        <w:numPr>
          <w:ilvl w:val="0"/>
          <w:numId w:val="0"/>
        </w:numPr>
        <w:spacing w:line="360" w:lineRule="auto"/>
        <w:jc w:val="both"/>
        <w:rPr>
          <w:rFonts w:hint="eastAsia" w:ascii="宋体" w:hAnsi="宋体" w:eastAsia="宋体" w:cs="宋体"/>
          <w:b/>
          <w:sz w:val="24"/>
          <w:szCs w:val="24"/>
          <w:highlight w:val="none"/>
        </w:rPr>
      </w:pPr>
    </w:p>
    <w:p w14:paraId="1BC11C19">
      <w:pPr>
        <w:rPr>
          <w:rFonts w:hint="eastAsia" w:ascii="宋体" w:hAnsi="宋体" w:eastAsia="宋体" w:cs="宋体"/>
          <w:kern w:val="44"/>
          <w:sz w:val="36"/>
          <w:szCs w:val="36"/>
          <w:highlight w:val="none"/>
          <w:u w:color="000000"/>
          <w:lang w:val="zh-TW" w:eastAsia="zh-TW"/>
        </w:rPr>
      </w:pPr>
      <w:bookmarkStart w:id="18" w:name="_Toc5120"/>
      <w:r>
        <w:rPr>
          <w:rFonts w:hint="eastAsia" w:ascii="宋体" w:hAnsi="宋体" w:eastAsia="宋体" w:cs="宋体"/>
          <w:kern w:val="44"/>
          <w:sz w:val="36"/>
          <w:szCs w:val="36"/>
          <w:highlight w:val="none"/>
          <w:u w:color="000000"/>
          <w:lang w:val="zh-TW" w:eastAsia="zh-TW"/>
        </w:rPr>
        <w:br w:type="page"/>
      </w:r>
    </w:p>
    <w:p w14:paraId="65AB3CD4">
      <w:pPr>
        <w:keepNext/>
        <w:keepLines/>
        <w:spacing w:before="312" w:beforeLines="100" w:after="312" w:afterLines="100" w:line="360" w:lineRule="auto"/>
        <w:jc w:val="center"/>
        <w:outlineLvl w:val="0"/>
        <w:rPr>
          <w:rFonts w:ascii="宋体" w:hAnsi="宋体" w:eastAsia="宋体" w:cs="宋体"/>
          <w:kern w:val="44"/>
          <w:sz w:val="36"/>
          <w:szCs w:val="36"/>
          <w:highlight w:val="none"/>
          <w:u w:color="000000"/>
          <w:lang w:val="zh-TW" w:eastAsia="zh-TW"/>
        </w:rPr>
      </w:pPr>
      <w:r>
        <w:rPr>
          <w:rFonts w:hint="eastAsia" w:ascii="宋体" w:hAnsi="宋体" w:eastAsia="宋体" w:cs="宋体"/>
          <w:kern w:val="44"/>
          <w:sz w:val="36"/>
          <w:szCs w:val="36"/>
          <w:highlight w:val="none"/>
          <w:u w:color="000000"/>
          <w:lang w:val="zh-TW" w:eastAsia="zh-TW"/>
        </w:rPr>
        <w:t>第</w:t>
      </w:r>
      <w:r>
        <w:rPr>
          <w:rFonts w:hint="eastAsia" w:ascii="宋体" w:hAnsi="宋体" w:eastAsia="宋体" w:cs="宋体"/>
          <w:kern w:val="44"/>
          <w:sz w:val="36"/>
          <w:szCs w:val="36"/>
          <w:highlight w:val="none"/>
          <w:u w:color="000000"/>
          <w:lang w:val="zh-TW"/>
        </w:rPr>
        <w:t>六</w:t>
      </w:r>
      <w:r>
        <w:rPr>
          <w:rFonts w:hint="eastAsia" w:ascii="宋体" w:hAnsi="宋体" w:eastAsia="宋体" w:cs="宋体"/>
          <w:kern w:val="44"/>
          <w:sz w:val="36"/>
          <w:szCs w:val="36"/>
          <w:highlight w:val="none"/>
          <w:u w:color="000000"/>
          <w:lang w:val="zh-TW" w:eastAsia="zh-TW"/>
        </w:rPr>
        <w:t>章  投标文件格式</w:t>
      </w:r>
      <w:bookmarkEnd w:id="18"/>
    </w:p>
    <w:p w14:paraId="779568AF">
      <w:pPr>
        <w:spacing w:line="360" w:lineRule="auto"/>
        <w:jc w:val="right"/>
        <w:rPr>
          <w:rFonts w:ascii="宋体" w:hAnsi="宋体" w:eastAsia="宋体" w:cs="宋体"/>
          <w:sz w:val="36"/>
          <w:szCs w:val="36"/>
          <w:highlight w:val="none"/>
          <w:lang w:val="zh-TW" w:eastAsia="zh-TW"/>
        </w:rPr>
      </w:pPr>
      <w:r>
        <w:rPr>
          <w:rFonts w:hint="eastAsia" w:ascii="宋体" w:hAnsi="宋体" w:eastAsia="宋体" w:cs="宋体"/>
          <w:sz w:val="36"/>
          <w:szCs w:val="36"/>
          <w:highlight w:val="none"/>
          <w:lang w:val="zh-TW"/>
        </w:rPr>
        <w:t>正本/副本</w:t>
      </w:r>
    </w:p>
    <w:p w14:paraId="406984C0">
      <w:pPr>
        <w:spacing w:line="360" w:lineRule="auto"/>
        <w:rPr>
          <w:rFonts w:ascii="宋体" w:hAnsi="宋体" w:eastAsia="宋体" w:cs="宋体"/>
          <w:sz w:val="36"/>
          <w:szCs w:val="36"/>
          <w:highlight w:val="none"/>
          <w:u w:val="single" w:color="000000"/>
          <w:lang w:val="zh-TW" w:eastAsia="zh-TW"/>
        </w:rPr>
      </w:pPr>
    </w:p>
    <w:p w14:paraId="203022F3">
      <w:pPr>
        <w:spacing w:line="360" w:lineRule="auto"/>
        <w:rPr>
          <w:rFonts w:ascii="宋体" w:hAnsi="宋体" w:eastAsia="宋体" w:cs="宋体"/>
          <w:sz w:val="36"/>
          <w:szCs w:val="36"/>
          <w:highlight w:val="none"/>
          <w:u w:val="single" w:color="000000"/>
          <w:lang w:val="zh-TW" w:eastAsia="zh-TW"/>
        </w:rPr>
      </w:pPr>
    </w:p>
    <w:p w14:paraId="306E0C0B">
      <w:pPr>
        <w:spacing w:line="360" w:lineRule="auto"/>
        <w:rPr>
          <w:rFonts w:ascii="宋体" w:hAnsi="宋体" w:eastAsia="宋体" w:cs="宋体"/>
          <w:sz w:val="36"/>
          <w:szCs w:val="36"/>
          <w:highlight w:val="none"/>
          <w:u w:val="single" w:color="000000"/>
          <w:lang w:val="zh-TW" w:eastAsia="zh-TW"/>
        </w:rPr>
      </w:pPr>
    </w:p>
    <w:p w14:paraId="2D907F45">
      <w:pPr>
        <w:spacing w:line="360" w:lineRule="auto"/>
        <w:jc w:val="center"/>
        <w:rPr>
          <w:rFonts w:ascii="宋体" w:hAnsi="宋体" w:eastAsia="宋体" w:cs="宋体"/>
          <w:sz w:val="36"/>
          <w:szCs w:val="36"/>
          <w:highlight w:val="none"/>
          <w:lang w:val="zh-TW"/>
        </w:rPr>
      </w:pPr>
      <w:r>
        <w:rPr>
          <w:rFonts w:hint="eastAsia" w:ascii="宋体" w:hAnsi="宋体" w:eastAsia="宋体" w:cs="宋体"/>
          <w:sz w:val="36"/>
          <w:szCs w:val="36"/>
          <w:highlight w:val="none"/>
          <w:lang w:val="zh-TW" w:eastAsia="zh-CN"/>
        </w:rPr>
        <w:t>南京邮电大学通达学院2025年学生公寓组合床采购</w:t>
      </w:r>
      <w:r>
        <w:rPr>
          <w:rFonts w:hint="eastAsia" w:ascii="宋体" w:hAnsi="宋体" w:eastAsia="宋体" w:cs="宋体"/>
          <w:sz w:val="36"/>
          <w:szCs w:val="36"/>
          <w:highlight w:val="none"/>
          <w:lang w:val="zh-TW"/>
        </w:rPr>
        <w:t>项目</w:t>
      </w:r>
    </w:p>
    <w:p w14:paraId="6020249F">
      <w:pPr>
        <w:spacing w:line="360" w:lineRule="auto"/>
        <w:jc w:val="center"/>
        <w:rPr>
          <w:rFonts w:ascii="宋体" w:hAnsi="宋体" w:eastAsia="宋体" w:cs="宋体"/>
          <w:sz w:val="36"/>
          <w:szCs w:val="36"/>
          <w:highlight w:val="none"/>
          <w:u w:color="000000"/>
        </w:rPr>
      </w:pPr>
      <w:r>
        <w:rPr>
          <w:rFonts w:hint="eastAsia" w:ascii="宋体" w:hAnsi="宋体" w:eastAsia="宋体" w:cs="宋体"/>
          <w:sz w:val="36"/>
          <w:szCs w:val="36"/>
          <w:highlight w:val="none"/>
          <w:u w:color="000000"/>
        </w:rPr>
        <w:t>项目编号：</w:t>
      </w:r>
    </w:p>
    <w:p w14:paraId="7631E9E9">
      <w:pPr>
        <w:spacing w:line="360" w:lineRule="auto"/>
        <w:rPr>
          <w:rFonts w:ascii="宋体" w:hAnsi="宋体" w:eastAsia="宋体" w:cs="宋体"/>
          <w:sz w:val="36"/>
          <w:szCs w:val="36"/>
          <w:highlight w:val="none"/>
          <w:u w:color="000000"/>
        </w:rPr>
      </w:pPr>
    </w:p>
    <w:p w14:paraId="66AEF54F">
      <w:pPr>
        <w:spacing w:line="360" w:lineRule="auto"/>
        <w:jc w:val="center"/>
        <w:rPr>
          <w:rFonts w:ascii="宋体" w:hAnsi="宋体" w:eastAsia="宋体" w:cs="宋体"/>
          <w:sz w:val="36"/>
          <w:szCs w:val="36"/>
          <w:highlight w:val="none"/>
          <w:u w:color="000000"/>
        </w:rPr>
      </w:pPr>
    </w:p>
    <w:p w14:paraId="10D3D514">
      <w:pPr>
        <w:spacing w:after="120"/>
        <w:jc w:val="center"/>
        <w:rPr>
          <w:rFonts w:ascii="宋体" w:hAnsi="宋体" w:eastAsia="宋体" w:cs="宋体"/>
          <w:sz w:val="52"/>
          <w:szCs w:val="52"/>
          <w:highlight w:val="none"/>
          <w:u w:color="000000"/>
        </w:rPr>
      </w:pPr>
      <w:r>
        <w:rPr>
          <w:rFonts w:hint="eastAsia" w:ascii="宋体" w:hAnsi="宋体" w:eastAsia="宋体" w:cs="宋体"/>
          <w:sz w:val="52"/>
          <w:szCs w:val="52"/>
          <w:highlight w:val="none"/>
          <w:u w:color="000000"/>
          <w:lang w:val="zh-TW"/>
        </w:rPr>
        <w:t>投标</w:t>
      </w:r>
      <w:r>
        <w:rPr>
          <w:rFonts w:hint="eastAsia" w:ascii="宋体" w:hAnsi="宋体" w:eastAsia="宋体" w:cs="宋体"/>
          <w:sz w:val="52"/>
          <w:szCs w:val="52"/>
          <w:highlight w:val="none"/>
          <w:u w:color="000000"/>
          <w:lang w:val="zh-TW" w:eastAsia="zh-TW"/>
        </w:rPr>
        <w:t>文件</w:t>
      </w:r>
    </w:p>
    <w:p w14:paraId="215CB518">
      <w:pPr>
        <w:spacing w:line="360" w:lineRule="auto"/>
        <w:jc w:val="center"/>
        <w:rPr>
          <w:rFonts w:ascii="宋体" w:hAnsi="宋体" w:eastAsia="宋体" w:cs="宋体"/>
          <w:b/>
          <w:bCs/>
          <w:sz w:val="28"/>
          <w:szCs w:val="28"/>
          <w:highlight w:val="none"/>
          <w:u w:color="000000"/>
        </w:rPr>
      </w:pPr>
    </w:p>
    <w:p w14:paraId="5B06FE9A">
      <w:pPr>
        <w:spacing w:line="360" w:lineRule="auto"/>
        <w:jc w:val="center"/>
        <w:rPr>
          <w:rFonts w:ascii="宋体" w:hAnsi="宋体" w:eastAsia="宋体" w:cs="宋体"/>
          <w:b/>
          <w:bCs/>
          <w:sz w:val="28"/>
          <w:szCs w:val="28"/>
          <w:highlight w:val="none"/>
          <w:u w:color="000000"/>
        </w:rPr>
      </w:pPr>
    </w:p>
    <w:p w14:paraId="7C7A6889">
      <w:pPr>
        <w:spacing w:line="360" w:lineRule="auto"/>
        <w:jc w:val="center"/>
        <w:rPr>
          <w:rFonts w:ascii="宋体" w:hAnsi="宋体" w:eastAsia="宋体" w:cs="宋体"/>
          <w:b/>
          <w:bCs/>
          <w:sz w:val="28"/>
          <w:szCs w:val="28"/>
          <w:highlight w:val="none"/>
          <w:u w:color="000000"/>
        </w:rPr>
      </w:pPr>
    </w:p>
    <w:p w14:paraId="19C45C9D">
      <w:pPr>
        <w:spacing w:line="360" w:lineRule="auto"/>
        <w:jc w:val="center"/>
        <w:rPr>
          <w:rFonts w:ascii="宋体" w:hAnsi="宋体" w:eastAsia="宋体" w:cs="宋体"/>
          <w:b/>
          <w:bCs/>
          <w:sz w:val="28"/>
          <w:szCs w:val="28"/>
          <w:highlight w:val="none"/>
          <w:u w:color="000000"/>
        </w:rPr>
      </w:pPr>
    </w:p>
    <w:p w14:paraId="1C1F0387">
      <w:pPr>
        <w:spacing w:line="360" w:lineRule="auto"/>
        <w:jc w:val="center"/>
        <w:rPr>
          <w:rFonts w:ascii="宋体" w:hAnsi="宋体" w:eastAsia="宋体" w:cs="宋体"/>
          <w:b/>
          <w:bCs/>
          <w:sz w:val="28"/>
          <w:szCs w:val="28"/>
          <w:highlight w:val="none"/>
          <w:u w:color="000000"/>
        </w:rPr>
      </w:pPr>
    </w:p>
    <w:p w14:paraId="555F0E83">
      <w:pPr>
        <w:spacing w:line="360" w:lineRule="auto"/>
        <w:jc w:val="center"/>
        <w:rPr>
          <w:rFonts w:ascii="宋体" w:hAnsi="宋体" w:eastAsia="宋体" w:cs="宋体"/>
          <w:sz w:val="28"/>
          <w:szCs w:val="28"/>
          <w:highlight w:val="none"/>
          <w:u w:color="000000"/>
        </w:rPr>
      </w:pPr>
      <w:r>
        <w:rPr>
          <w:rFonts w:hint="eastAsia" w:ascii="宋体" w:hAnsi="宋体" w:eastAsia="宋体" w:cs="宋体"/>
          <w:sz w:val="28"/>
          <w:szCs w:val="28"/>
          <w:highlight w:val="none"/>
          <w:u w:color="000000"/>
          <w:lang w:val="zh-TW"/>
        </w:rPr>
        <w:t>投标人</w:t>
      </w:r>
      <w:r>
        <w:rPr>
          <w:rFonts w:hint="eastAsia" w:ascii="宋体" w:hAnsi="宋体" w:eastAsia="宋体" w:cs="宋体"/>
          <w:sz w:val="28"/>
          <w:szCs w:val="28"/>
          <w:highlight w:val="none"/>
          <w:u w:color="000000"/>
          <w:lang w:val="zh-TW" w:eastAsia="zh-TW"/>
        </w:rPr>
        <w:t>：</w:t>
      </w:r>
      <w:r>
        <w:rPr>
          <w:rFonts w:hint="eastAsia" w:ascii="宋体" w:hAnsi="宋体" w:eastAsia="宋体" w:cs="宋体"/>
          <w:sz w:val="28"/>
          <w:szCs w:val="28"/>
          <w:highlight w:val="none"/>
          <w:u w:val="single"/>
          <w:lang w:val="zh-TW"/>
        </w:rPr>
        <w:t xml:space="preserve">     </w:t>
      </w:r>
      <w:r>
        <w:rPr>
          <w:rFonts w:hint="eastAsia" w:ascii="宋体" w:hAnsi="宋体" w:eastAsia="宋体" w:cs="宋体"/>
          <w:sz w:val="28"/>
          <w:szCs w:val="28"/>
          <w:highlight w:val="none"/>
          <w:u w:val="single"/>
          <w:lang w:val="zh-TW" w:eastAsia="zh-TW"/>
        </w:rPr>
        <w:t xml:space="preserve">   </w:t>
      </w:r>
      <w:r>
        <w:rPr>
          <w:rFonts w:hint="eastAsia" w:ascii="宋体" w:hAnsi="宋体" w:eastAsia="宋体" w:cs="宋体"/>
          <w:sz w:val="28"/>
          <w:szCs w:val="28"/>
          <w:highlight w:val="none"/>
          <w:u w:val="single"/>
          <w:lang w:val="zh-TW"/>
        </w:rPr>
        <w:t xml:space="preserve">               </w:t>
      </w:r>
      <w:r>
        <w:rPr>
          <w:rFonts w:hint="eastAsia" w:ascii="宋体" w:hAnsi="宋体" w:eastAsia="宋体" w:cs="宋体"/>
          <w:sz w:val="28"/>
          <w:szCs w:val="28"/>
          <w:highlight w:val="none"/>
          <w:u w:color="000000"/>
          <w:lang w:val="zh-TW" w:eastAsia="zh-TW"/>
        </w:rPr>
        <w:t>（盖单位章）</w:t>
      </w:r>
    </w:p>
    <w:p w14:paraId="798455F4">
      <w:pPr>
        <w:spacing w:line="360" w:lineRule="auto"/>
        <w:jc w:val="center"/>
        <w:rPr>
          <w:rFonts w:ascii="宋体" w:hAnsi="宋体" w:eastAsia="宋体" w:cs="宋体"/>
          <w:sz w:val="28"/>
          <w:szCs w:val="28"/>
          <w:highlight w:val="none"/>
          <w:u w:val="single" w:color="000000"/>
        </w:rPr>
      </w:pPr>
      <w:r>
        <w:rPr>
          <w:rFonts w:hint="eastAsia" w:ascii="宋体" w:hAnsi="宋体" w:eastAsia="宋体" w:cs="宋体"/>
          <w:sz w:val="28"/>
          <w:szCs w:val="28"/>
          <w:highlight w:val="none"/>
          <w:u w:color="000000"/>
          <w:lang w:val="zh-TW" w:eastAsia="zh-TW"/>
        </w:rPr>
        <w:t>法定代表人或其委托代理人：</w:t>
      </w:r>
      <w:r>
        <w:rPr>
          <w:rFonts w:hint="eastAsia" w:ascii="宋体" w:hAnsi="宋体" w:eastAsia="宋体" w:cs="宋体"/>
          <w:sz w:val="28"/>
          <w:szCs w:val="28"/>
          <w:highlight w:val="none"/>
          <w:u w:val="single"/>
          <w:lang w:val="zh-TW"/>
        </w:rPr>
        <w:t xml:space="preserve">         </w:t>
      </w:r>
      <w:r>
        <w:rPr>
          <w:rFonts w:hint="eastAsia" w:ascii="宋体" w:hAnsi="宋体" w:eastAsia="宋体" w:cs="宋体"/>
          <w:sz w:val="28"/>
          <w:szCs w:val="28"/>
          <w:highlight w:val="none"/>
          <w:u w:color="000000"/>
          <w:lang w:val="zh-TW" w:eastAsia="zh-TW"/>
        </w:rPr>
        <w:t>（签字）</w:t>
      </w:r>
    </w:p>
    <w:p w14:paraId="33E3D2FA">
      <w:pPr>
        <w:spacing w:line="360" w:lineRule="auto"/>
        <w:jc w:val="center"/>
        <w:rPr>
          <w:rFonts w:ascii="宋体" w:hAnsi="宋体" w:eastAsia="宋体" w:cs="宋体"/>
          <w:highlight w:val="none"/>
        </w:rPr>
      </w:pPr>
      <w:r>
        <w:rPr>
          <w:rFonts w:hint="eastAsia" w:ascii="宋体" w:hAnsi="宋体" w:eastAsia="宋体" w:cs="宋体"/>
          <w:sz w:val="28"/>
          <w:szCs w:val="28"/>
          <w:highlight w:val="none"/>
          <w:u w:val="single" w:color="000000"/>
        </w:rPr>
        <w:t xml:space="preserve">       </w:t>
      </w:r>
      <w:r>
        <w:rPr>
          <w:rFonts w:hint="eastAsia" w:ascii="宋体" w:hAnsi="宋体" w:eastAsia="宋体" w:cs="宋体"/>
          <w:sz w:val="28"/>
          <w:szCs w:val="28"/>
          <w:highlight w:val="none"/>
          <w:u w:color="000000"/>
          <w:lang w:val="zh-TW" w:eastAsia="zh-TW"/>
        </w:rPr>
        <w:t>年</w:t>
      </w:r>
      <w:r>
        <w:rPr>
          <w:rFonts w:hint="eastAsia" w:ascii="宋体" w:hAnsi="宋体" w:eastAsia="宋体" w:cs="宋体"/>
          <w:sz w:val="28"/>
          <w:szCs w:val="28"/>
          <w:highlight w:val="none"/>
          <w:u w:val="single"/>
          <w:lang w:val="zh-TW"/>
        </w:rPr>
        <w:t xml:space="preserve">    </w:t>
      </w:r>
      <w:r>
        <w:rPr>
          <w:rFonts w:hint="eastAsia" w:ascii="宋体" w:hAnsi="宋体" w:eastAsia="宋体" w:cs="宋体"/>
          <w:sz w:val="28"/>
          <w:szCs w:val="28"/>
          <w:highlight w:val="none"/>
          <w:u w:color="000000"/>
          <w:lang w:val="zh-TW" w:eastAsia="zh-TW"/>
        </w:rPr>
        <w:t>月</w:t>
      </w:r>
      <w:r>
        <w:rPr>
          <w:rFonts w:hint="eastAsia" w:ascii="宋体" w:hAnsi="宋体" w:eastAsia="宋体" w:cs="宋体"/>
          <w:sz w:val="28"/>
          <w:szCs w:val="28"/>
          <w:highlight w:val="none"/>
          <w:u w:val="single"/>
          <w:lang w:val="zh-TW"/>
        </w:rPr>
        <w:t xml:space="preserve">     </w:t>
      </w:r>
      <w:r>
        <w:rPr>
          <w:rFonts w:hint="eastAsia" w:ascii="宋体" w:hAnsi="宋体" w:eastAsia="宋体" w:cs="宋体"/>
          <w:sz w:val="28"/>
          <w:szCs w:val="28"/>
          <w:highlight w:val="none"/>
          <w:u w:color="000000"/>
          <w:lang w:val="zh-TW" w:eastAsia="zh-TW"/>
        </w:rPr>
        <w:t>日</w:t>
      </w:r>
      <w:r>
        <w:rPr>
          <w:rFonts w:hint="eastAsia" w:ascii="宋体" w:hAnsi="宋体" w:eastAsia="宋体" w:cs="宋体"/>
          <w:highlight w:val="none"/>
        </w:rPr>
        <w:br w:type="page"/>
      </w:r>
    </w:p>
    <w:p w14:paraId="3F1A5F45">
      <w:pPr>
        <w:spacing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资格性和符合性检查响应对照及评分索引表</w:t>
      </w:r>
    </w:p>
    <w:p w14:paraId="5936A8F6">
      <w:pPr>
        <w:spacing w:before="156" w:beforeLines="50" w:after="156" w:afterLines="5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投标人全称（加盖公章）：</w:t>
      </w:r>
      <w:r>
        <w:rPr>
          <w:rFonts w:hint="eastAsia" w:ascii="宋体" w:hAnsi="宋体" w:eastAsia="宋体" w:cs="宋体"/>
          <w:sz w:val="24"/>
          <w:szCs w:val="24"/>
          <w:highlight w:val="none"/>
          <w:u w:val="single"/>
        </w:rPr>
        <w:t xml:space="preserve">                            </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14:paraId="31DA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14:paraId="22B339D4">
            <w:pPr>
              <w:snapToGrid w:val="0"/>
              <w:spacing w:line="240" w:lineRule="atLeast"/>
              <w:jc w:val="center"/>
              <w:rPr>
                <w:rFonts w:ascii="宋体" w:hAnsi="宋体" w:eastAsia="宋体" w:cs="宋体"/>
                <w:b/>
                <w:highlight w:val="none"/>
              </w:rPr>
            </w:pPr>
            <w:r>
              <w:rPr>
                <w:rFonts w:hint="eastAsia" w:ascii="宋体" w:hAnsi="宋体" w:eastAsia="宋体" w:cs="宋体"/>
                <w:b/>
                <w:highlight w:val="none"/>
              </w:rPr>
              <w:t>序号</w:t>
            </w:r>
          </w:p>
        </w:tc>
        <w:tc>
          <w:tcPr>
            <w:tcW w:w="4838" w:type="dxa"/>
            <w:vAlign w:val="center"/>
          </w:tcPr>
          <w:p w14:paraId="032FE138">
            <w:pPr>
              <w:snapToGrid w:val="0"/>
              <w:spacing w:line="240" w:lineRule="atLeast"/>
              <w:jc w:val="center"/>
              <w:rPr>
                <w:rFonts w:ascii="宋体" w:hAnsi="宋体" w:eastAsia="宋体" w:cs="宋体"/>
                <w:b/>
                <w:highlight w:val="none"/>
              </w:rPr>
            </w:pPr>
            <w:r>
              <w:rPr>
                <w:rFonts w:hint="eastAsia" w:ascii="宋体" w:hAnsi="宋体" w:eastAsia="宋体" w:cs="宋体"/>
                <w:b/>
                <w:highlight w:val="none"/>
              </w:rPr>
              <w:t>资格性和符合性检查响应内容</w:t>
            </w:r>
          </w:p>
        </w:tc>
        <w:tc>
          <w:tcPr>
            <w:tcW w:w="1756" w:type="dxa"/>
            <w:vAlign w:val="center"/>
          </w:tcPr>
          <w:p w14:paraId="46C888AD">
            <w:pPr>
              <w:snapToGrid w:val="0"/>
              <w:spacing w:line="240" w:lineRule="atLeast"/>
              <w:jc w:val="center"/>
              <w:rPr>
                <w:rFonts w:ascii="宋体" w:hAnsi="宋体" w:eastAsia="宋体" w:cs="宋体"/>
                <w:b/>
                <w:highlight w:val="none"/>
              </w:rPr>
            </w:pPr>
            <w:r>
              <w:rPr>
                <w:rFonts w:hint="eastAsia" w:ascii="宋体" w:hAnsi="宋体" w:eastAsia="宋体" w:cs="宋体"/>
                <w:b/>
                <w:highlight w:val="none"/>
              </w:rPr>
              <w:t>是否响应</w:t>
            </w:r>
          </w:p>
          <w:p w14:paraId="539C2D38">
            <w:pPr>
              <w:snapToGrid w:val="0"/>
              <w:spacing w:line="240" w:lineRule="atLeast"/>
              <w:jc w:val="center"/>
              <w:rPr>
                <w:rFonts w:ascii="宋体" w:hAnsi="宋体" w:eastAsia="宋体" w:cs="宋体"/>
                <w:b/>
                <w:highlight w:val="none"/>
              </w:rPr>
            </w:pPr>
            <w:r>
              <w:rPr>
                <w:rFonts w:hint="eastAsia" w:ascii="宋体" w:hAnsi="宋体" w:eastAsia="宋体" w:cs="宋体"/>
                <w:b/>
                <w:highlight w:val="none"/>
              </w:rPr>
              <w:t>（填是或者否）</w:t>
            </w:r>
          </w:p>
        </w:tc>
        <w:tc>
          <w:tcPr>
            <w:tcW w:w="1738" w:type="dxa"/>
            <w:vAlign w:val="center"/>
          </w:tcPr>
          <w:p w14:paraId="340227C7">
            <w:pPr>
              <w:snapToGrid w:val="0"/>
              <w:spacing w:line="240" w:lineRule="atLeast"/>
              <w:jc w:val="center"/>
              <w:rPr>
                <w:rFonts w:ascii="宋体" w:hAnsi="宋体" w:eastAsia="宋体" w:cs="宋体"/>
                <w:b/>
                <w:highlight w:val="none"/>
              </w:rPr>
            </w:pPr>
            <w:r>
              <w:rPr>
                <w:rFonts w:hint="eastAsia" w:ascii="宋体" w:hAnsi="宋体" w:eastAsia="宋体" w:cs="宋体"/>
                <w:b/>
                <w:highlight w:val="none"/>
              </w:rPr>
              <w:t>投标文件中的</w:t>
            </w:r>
          </w:p>
          <w:p w14:paraId="4076F4BF">
            <w:pPr>
              <w:snapToGrid w:val="0"/>
              <w:spacing w:line="240" w:lineRule="atLeast"/>
              <w:jc w:val="center"/>
              <w:rPr>
                <w:rFonts w:ascii="宋体" w:hAnsi="宋体" w:eastAsia="宋体" w:cs="宋体"/>
                <w:b/>
                <w:highlight w:val="none"/>
              </w:rPr>
            </w:pPr>
            <w:r>
              <w:rPr>
                <w:rFonts w:hint="eastAsia" w:ascii="宋体" w:hAnsi="宋体" w:eastAsia="宋体" w:cs="宋体"/>
                <w:b/>
                <w:highlight w:val="none"/>
              </w:rPr>
              <w:t>页码位置</w:t>
            </w:r>
          </w:p>
        </w:tc>
      </w:tr>
      <w:tr w14:paraId="7458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3FD78068">
            <w:pPr>
              <w:jc w:val="center"/>
              <w:rPr>
                <w:rFonts w:ascii="宋体" w:hAnsi="宋体" w:eastAsia="宋体" w:cs="宋体"/>
                <w:highlight w:val="none"/>
              </w:rPr>
            </w:pPr>
            <w:r>
              <w:rPr>
                <w:rFonts w:hint="eastAsia" w:ascii="宋体" w:hAnsi="宋体" w:eastAsia="宋体" w:cs="宋体"/>
                <w:highlight w:val="none"/>
              </w:rPr>
              <w:t>1</w:t>
            </w:r>
          </w:p>
        </w:tc>
        <w:tc>
          <w:tcPr>
            <w:tcW w:w="4838" w:type="dxa"/>
            <w:vAlign w:val="center"/>
          </w:tcPr>
          <w:p w14:paraId="059DFDF1">
            <w:pPr>
              <w:spacing w:line="480" w:lineRule="exact"/>
              <w:rPr>
                <w:rFonts w:ascii="宋体" w:hAnsi="宋体" w:eastAsia="宋体" w:cs="宋体"/>
                <w:iCs/>
                <w:highlight w:val="none"/>
              </w:rPr>
            </w:pPr>
          </w:p>
        </w:tc>
        <w:tc>
          <w:tcPr>
            <w:tcW w:w="1756" w:type="dxa"/>
            <w:vAlign w:val="center"/>
          </w:tcPr>
          <w:p w14:paraId="323AE528">
            <w:pPr>
              <w:rPr>
                <w:rFonts w:ascii="宋体" w:hAnsi="宋体" w:eastAsia="宋体" w:cs="宋体"/>
                <w:b/>
                <w:highlight w:val="none"/>
              </w:rPr>
            </w:pPr>
          </w:p>
        </w:tc>
        <w:tc>
          <w:tcPr>
            <w:tcW w:w="1738" w:type="dxa"/>
            <w:vAlign w:val="center"/>
          </w:tcPr>
          <w:p w14:paraId="19032D47">
            <w:pPr>
              <w:rPr>
                <w:rFonts w:ascii="宋体" w:hAnsi="宋体" w:eastAsia="宋体" w:cs="宋体"/>
                <w:b/>
                <w:highlight w:val="none"/>
              </w:rPr>
            </w:pPr>
          </w:p>
        </w:tc>
      </w:tr>
      <w:tr w14:paraId="4AA3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5518D1C3">
            <w:pPr>
              <w:jc w:val="center"/>
              <w:rPr>
                <w:rFonts w:ascii="宋体" w:hAnsi="宋体" w:eastAsia="宋体" w:cs="宋体"/>
                <w:highlight w:val="none"/>
              </w:rPr>
            </w:pPr>
            <w:r>
              <w:rPr>
                <w:rFonts w:hint="eastAsia" w:ascii="宋体" w:hAnsi="宋体" w:eastAsia="宋体" w:cs="宋体"/>
                <w:highlight w:val="none"/>
              </w:rPr>
              <w:t>2</w:t>
            </w:r>
          </w:p>
        </w:tc>
        <w:tc>
          <w:tcPr>
            <w:tcW w:w="4838" w:type="dxa"/>
            <w:vAlign w:val="center"/>
          </w:tcPr>
          <w:p w14:paraId="31404F14">
            <w:pPr>
              <w:snapToGrid w:val="0"/>
              <w:spacing w:before="50" w:after="156" w:afterLines="50"/>
              <w:rPr>
                <w:rFonts w:ascii="宋体" w:hAnsi="宋体" w:eastAsia="宋体" w:cs="宋体"/>
                <w:b/>
                <w:sz w:val="28"/>
                <w:szCs w:val="28"/>
                <w:highlight w:val="none"/>
              </w:rPr>
            </w:pPr>
          </w:p>
        </w:tc>
        <w:tc>
          <w:tcPr>
            <w:tcW w:w="1756" w:type="dxa"/>
            <w:vAlign w:val="center"/>
          </w:tcPr>
          <w:p w14:paraId="63FA840F">
            <w:pPr>
              <w:rPr>
                <w:rFonts w:ascii="宋体" w:hAnsi="宋体" w:eastAsia="宋体" w:cs="宋体"/>
                <w:highlight w:val="none"/>
              </w:rPr>
            </w:pPr>
          </w:p>
        </w:tc>
        <w:tc>
          <w:tcPr>
            <w:tcW w:w="1738" w:type="dxa"/>
            <w:vAlign w:val="center"/>
          </w:tcPr>
          <w:p w14:paraId="0C1D403E">
            <w:pPr>
              <w:rPr>
                <w:rFonts w:ascii="宋体" w:hAnsi="宋体" w:eastAsia="宋体" w:cs="宋体"/>
                <w:highlight w:val="none"/>
              </w:rPr>
            </w:pPr>
          </w:p>
        </w:tc>
      </w:tr>
      <w:tr w14:paraId="1931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3C8FD52B">
            <w:pPr>
              <w:jc w:val="center"/>
              <w:rPr>
                <w:rFonts w:ascii="宋体" w:hAnsi="宋体" w:eastAsia="宋体" w:cs="宋体"/>
                <w:highlight w:val="none"/>
              </w:rPr>
            </w:pPr>
            <w:r>
              <w:rPr>
                <w:rFonts w:hint="eastAsia" w:ascii="宋体" w:hAnsi="宋体" w:eastAsia="宋体" w:cs="宋体"/>
                <w:highlight w:val="none"/>
              </w:rPr>
              <w:t>3</w:t>
            </w:r>
          </w:p>
        </w:tc>
        <w:tc>
          <w:tcPr>
            <w:tcW w:w="4838" w:type="dxa"/>
            <w:vAlign w:val="center"/>
          </w:tcPr>
          <w:p w14:paraId="6AB36EC1">
            <w:pPr>
              <w:spacing w:line="480" w:lineRule="exact"/>
              <w:rPr>
                <w:rFonts w:ascii="宋体" w:hAnsi="宋体" w:eastAsia="宋体" w:cs="宋体"/>
                <w:iCs/>
                <w:highlight w:val="none"/>
              </w:rPr>
            </w:pPr>
          </w:p>
        </w:tc>
        <w:tc>
          <w:tcPr>
            <w:tcW w:w="1756" w:type="dxa"/>
            <w:vAlign w:val="center"/>
          </w:tcPr>
          <w:p w14:paraId="414A673D">
            <w:pPr>
              <w:rPr>
                <w:rFonts w:ascii="宋体" w:hAnsi="宋体" w:eastAsia="宋体" w:cs="宋体"/>
                <w:highlight w:val="none"/>
              </w:rPr>
            </w:pPr>
          </w:p>
        </w:tc>
        <w:tc>
          <w:tcPr>
            <w:tcW w:w="1738" w:type="dxa"/>
            <w:vAlign w:val="center"/>
          </w:tcPr>
          <w:p w14:paraId="239F1A0C">
            <w:pPr>
              <w:rPr>
                <w:rFonts w:ascii="宋体" w:hAnsi="宋体" w:eastAsia="宋体" w:cs="宋体"/>
                <w:highlight w:val="none"/>
              </w:rPr>
            </w:pPr>
          </w:p>
        </w:tc>
      </w:tr>
      <w:tr w14:paraId="220F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36D876E2">
            <w:pPr>
              <w:jc w:val="center"/>
              <w:rPr>
                <w:rFonts w:ascii="宋体" w:hAnsi="宋体" w:eastAsia="宋体" w:cs="宋体"/>
                <w:highlight w:val="none"/>
              </w:rPr>
            </w:pPr>
            <w:r>
              <w:rPr>
                <w:rFonts w:hint="eastAsia" w:ascii="宋体" w:hAnsi="宋体" w:eastAsia="宋体" w:cs="宋体"/>
                <w:highlight w:val="none"/>
              </w:rPr>
              <w:t>4</w:t>
            </w:r>
          </w:p>
        </w:tc>
        <w:tc>
          <w:tcPr>
            <w:tcW w:w="4838" w:type="dxa"/>
            <w:vAlign w:val="center"/>
          </w:tcPr>
          <w:p w14:paraId="47C5971E">
            <w:pPr>
              <w:spacing w:line="360" w:lineRule="auto"/>
              <w:rPr>
                <w:rFonts w:ascii="宋体" w:hAnsi="宋体" w:eastAsia="宋体" w:cs="宋体"/>
                <w:iCs/>
                <w:highlight w:val="none"/>
              </w:rPr>
            </w:pPr>
          </w:p>
        </w:tc>
        <w:tc>
          <w:tcPr>
            <w:tcW w:w="1756" w:type="dxa"/>
            <w:vAlign w:val="center"/>
          </w:tcPr>
          <w:p w14:paraId="7569ACE3">
            <w:pPr>
              <w:rPr>
                <w:rFonts w:ascii="宋体" w:hAnsi="宋体" w:eastAsia="宋体" w:cs="宋体"/>
                <w:highlight w:val="none"/>
              </w:rPr>
            </w:pPr>
          </w:p>
        </w:tc>
        <w:tc>
          <w:tcPr>
            <w:tcW w:w="1738" w:type="dxa"/>
            <w:vAlign w:val="center"/>
          </w:tcPr>
          <w:p w14:paraId="7221843C">
            <w:pPr>
              <w:rPr>
                <w:rFonts w:ascii="宋体" w:hAnsi="宋体" w:eastAsia="宋体" w:cs="宋体"/>
                <w:highlight w:val="none"/>
              </w:rPr>
            </w:pPr>
          </w:p>
        </w:tc>
      </w:tr>
      <w:tr w14:paraId="18C6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61F2F331">
            <w:pPr>
              <w:jc w:val="center"/>
              <w:rPr>
                <w:rFonts w:ascii="宋体" w:hAnsi="宋体" w:eastAsia="宋体" w:cs="宋体"/>
                <w:highlight w:val="none"/>
              </w:rPr>
            </w:pPr>
            <w:r>
              <w:rPr>
                <w:rFonts w:hint="eastAsia" w:ascii="宋体" w:hAnsi="宋体" w:eastAsia="宋体" w:cs="宋体"/>
                <w:highlight w:val="none"/>
              </w:rPr>
              <w:t>5</w:t>
            </w:r>
          </w:p>
        </w:tc>
        <w:tc>
          <w:tcPr>
            <w:tcW w:w="4838" w:type="dxa"/>
            <w:vAlign w:val="center"/>
          </w:tcPr>
          <w:p w14:paraId="22188E36">
            <w:pPr>
              <w:snapToGrid w:val="0"/>
              <w:spacing w:line="590" w:lineRule="atLeast"/>
              <w:rPr>
                <w:rFonts w:ascii="宋体" w:hAnsi="宋体" w:eastAsia="宋体" w:cs="宋体"/>
                <w:iCs/>
                <w:highlight w:val="none"/>
              </w:rPr>
            </w:pPr>
          </w:p>
        </w:tc>
        <w:tc>
          <w:tcPr>
            <w:tcW w:w="1756" w:type="dxa"/>
            <w:vAlign w:val="center"/>
          </w:tcPr>
          <w:p w14:paraId="5BBC1DFA">
            <w:pPr>
              <w:rPr>
                <w:rFonts w:ascii="宋体" w:hAnsi="宋体" w:eastAsia="宋体" w:cs="宋体"/>
                <w:highlight w:val="none"/>
              </w:rPr>
            </w:pPr>
          </w:p>
        </w:tc>
        <w:tc>
          <w:tcPr>
            <w:tcW w:w="1738" w:type="dxa"/>
            <w:vAlign w:val="center"/>
          </w:tcPr>
          <w:p w14:paraId="57E4B3E5">
            <w:pPr>
              <w:rPr>
                <w:rFonts w:ascii="宋体" w:hAnsi="宋体" w:eastAsia="宋体" w:cs="宋体"/>
                <w:highlight w:val="none"/>
              </w:rPr>
            </w:pPr>
          </w:p>
        </w:tc>
      </w:tr>
      <w:tr w14:paraId="6806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114790E0">
            <w:pPr>
              <w:spacing w:line="360" w:lineRule="auto"/>
              <w:jc w:val="center"/>
              <w:rPr>
                <w:rFonts w:ascii="宋体" w:hAnsi="宋体" w:eastAsia="宋体" w:cs="宋体"/>
                <w:b/>
                <w:bCs/>
                <w:highlight w:val="none"/>
              </w:rPr>
            </w:pPr>
            <w:r>
              <w:rPr>
                <w:rFonts w:hint="eastAsia" w:ascii="宋体" w:hAnsi="宋体" w:eastAsia="宋体" w:cs="宋体"/>
                <w:b/>
                <w:bCs/>
                <w:highlight w:val="none"/>
              </w:rPr>
              <w:t>评分项</w:t>
            </w:r>
          </w:p>
        </w:tc>
        <w:tc>
          <w:tcPr>
            <w:tcW w:w="3494" w:type="dxa"/>
            <w:gridSpan w:val="2"/>
            <w:tcBorders>
              <w:top w:val="single" w:color="000000" w:sz="4" w:space="0"/>
              <w:left w:val="nil"/>
              <w:bottom w:val="single" w:color="000000" w:sz="4" w:space="0"/>
              <w:right w:val="single" w:color="000000" w:sz="4" w:space="0"/>
            </w:tcBorders>
            <w:vAlign w:val="center"/>
          </w:tcPr>
          <w:p w14:paraId="0E1065CF">
            <w:pPr>
              <w:spacing w:line="360" w:lineRule="auto"/>
              <w:jc w:val="center"/>
              <w:rPr>
                <w:rFonts w:ascii="宋体" w:hAnsi="宋体" w:eastAsia="宋体" w:cs="宋体"/>
                <w:b/>
                <w:bCs/>
                <w:highlight w:val="none"/>
              </w:rPr>
            </w:pPr>
            <w:r>
              <w:rPr>
                <w:rFonts w:hint="eastAsia" w:ascii="宋体" w:hAnsi="宋体" w:eastAsia="宋体" w:cs="宋体"/>
                <w:b/>
                <w:bCs/>
                <w:highlight w:val="none"/>
              </w:rPr>
              <w:t>在投标文件中的页码位置</w:t>
            </w:r>
          </w:p>
        </w:tc>
      </w:tr>
      <w:tr w14:paraId="67F0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390452BC">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2AEBD1A6">
            <w:pPr>
              <w:spacing w:line="360" w:lineRule="auto"/>
              <w:ind w:firstLine="420"/>
              <w:jc w:val="center"/>
              <w:rPr>
                <w:rFonts w:ascii="宋体" w:hAnsi="宋体" w:eastAsia="宋体" w:cs="宋体"/>
                <w:b/>
                <w:bCs/>
                <w:highlight w:val="none"/>
              </w:rPr>
            </w:pPr>
          </w:p>
        </w:tc>
      </w:tr>
      <w:tr w14:paraId="313D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45878416">
            <w:pPr>
              <w:spacing w:line="360" w:lineRule="auto"/>
              <w:jc w:val="center"/>
              <w:rPr>
                <w:rFonts w:ascii="宋体" w:hAnsi="宋体" w:eastAsia="宋体" w:cs="宋体"/>
                <w:b/>
                <w:bCs/>
                <w:highlight w:val="none"/>
              </w:rPr>
            </w:pPr>
          </w:p>
        </w:tc>
        <w:tc>
          <w:tcPr>
            <w:tcW w:w="4838" w:type="dxa"/>
            <w:tcBorders>
              <w:top w:val="single" w:color="000000" w:sz="4" w:space="0"/>
              <w:left w:val="nil"/>
              <w:bottom w:val="single" w:color="000000" w:sz="4" w:space="0"/>
              <w:right w:val="single" w:color="000000" w:sz="4" w:space="0"/>
            </w:tcBorders>
            <w:vAlign w:val="center"/>
          </w:tcPr>
          <w:p w14:paraId="0ACDBBD3">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6CFE04F9">
            <w:pPr>
              <w:spacing w:line="360" w:lineRule="auto"/>
              <w:ind w:firstLine="420"/>
              <w:jc w:val="center"/>
              <w:rPr>
                <w:rFonts w:ascii="宋体" w:hAnsi="宋体" w:eastAsia="宋体" w:cs="宋体"/>
                <w:b/>
                <w:bCs/>
                <w:highlight w:val="none"/>
              </w:rPr>
            </w:pPr>
          </w:p>
        </w:tc>
      </w:tr>
      <w:tr w14:paraId="5CD7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5585BFFA">
            <w:pPr>
              <w:spacing w:line="360" w:lineRule="auto"/>
              <w:rPr>
                <w:rFonts w:ascii="宋体" w:hAnsi="宋体" w:eastAsia="宋体" w:cs="宋体"/>
                <w:b/>
                <w:bCs/>
                <w:highlight w:val="none"/>
              </w:rPr>
            </w:pPr>
          </w:p>
        </w:tc>
        <w:tc>
          <w:tcPr>
            <w:tcW w:w="4838" w:type="dxa"/>
            <w:tcBorders>
              <w:top w:val="single" w:color="000000" w:sz="4" w:space="0"/>
              <w:left w:val="nil"/>
              <w:bottom w:val="single" w:color="000000" w:sz="4" w:space="0"/>
              <w:right w:val="single" w:color="000000" w:sz="4" w:space="0"/>
            </w:tcBorders>
            <w:vAlign w:val="center"/>
          </w:tcPr>
          <w:p w14:paraId="7A7D6530">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5795E06D">
            <w:pPr>
              <w:spacing w:line="360" w:lineRule="auto"/>
              <w:ind w:firstLine="420"/>
              <w:jc w:val="center"/>
              <w:rPr>
                <w:rFonts w:ascii="宋体" w:hAnsi="宋体" w:eastAsia="宋体" w:cs="宋体"/>
                <w:b/>
                <w:bCs/>
                <w:highlight w:val="none"/>
              </w:rPr>
            </w:pPr>
          </w:p>
        </w:tc>
      </w:tr>
      <w:tr w14:paraId="1ED8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641F5E11">
            <w:pPr>
              <w:spacing w:line="360" w:lineRule="auto"/>
              <w:rPr>
                <w:rFonts w:ascii="宋体" w:hAnsi="宋体" w:eastAsia="宋体" w:cs="宋体"/>
                <w:b/>
                <w:bCs/>
                <w:highlight w:val="none"/>
              </w:rPr>
            </w:pPr>
          </w:p>
        </w:tc>
        <w:tc>
          <w:tcPr>
            <w:tcW w:w="4838" w:type="dxa"/>
            <w:tcBorders>
              <w:top w:val="single" w:color="000000" w:sz="4" w:space="0"/>
              <w:left w:val="nil"/>
              <w:bottom w:val="single" w:color="000000" w:sz="4" w:space="0"/>
              <w:right w:val="single" w:color="000000" w:sz="4" w:space="0"/>
            </w:tcBorders>
            <w:vAlign w:val="center"/>
          </w:tcPr>
          <w:p w14:paraId="6AA93F91">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2F5EA7FF">
            <w:pPr>
              <w:spacing w:line="360" w:lineRule="auto"/>
              <w:ind w:firstLine="420"/>
              <w:jc w:val="center"/>
              <w:rPr>
                <w:rFonts w:ascii="宋体" w:hAnsi="宋体" w:eastAsia="宋体" w:cs="宋体"/>
                <w:b/>
                <w:bCs/>
                <w:highlight w:val="none"/>
              </w:rPr>
            </w:pPr>
          </w:p>
        </w:tc>
      </w:tr>
      <w:tr w14:paraId="017E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2111FFF5">
            <w:pPr>
              <w:spacing w:line="360" w:lineRule="auto"/>
              <w:jc w:val="center"/>
              <w:rPr>
                <w:rFonts w:ascii="宋体" w:hAnsi="宋体" w:eastAsia="宋体" w:cs="宋体"/>
                <w:b/>
                <w:bCs/>
                <w:highlight w:val="none"/>
              </w:rPr>
            </w:pPr>
          </w:p>
        </w:tc>
        <w:tc>
          <w:tcPr>
            <w:tcW w:w="4838" w:type="dxa"/>
            <w:tcBorders>
              <w:top w:val="single" w:color="000000" w:sz="4" w:space="0"/>
              <w:left w:val="nil"/>
              <w:bottom w:val="single" w:color="000000" w:sz="4" w:space="0"/>
              <w:right w:val="single" w:color="000000" w:sz="4" w:space="0"/>
            </w:tcBorders>
            <w:vAlign w:val="center"/>
          </w:tcPr>
          <w:p w14:paraId="04B90D3A">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77453F45">
            <w:pPr>
              <w:spacing w:line="360" w:lineRule="auto"/>
              <w:ind w:firstLine="420"/>
              <w:jc w:val="center"/>
              <w:rPr>
                <w:rFonts w:ascii="宋体" w:hAnsi="宋体" w:eastAsia="宋体" w:cs="宋体"/>
                <w:b/>
                <w:bCs/>
                <w:highlight w:val="none"/>
              </w:rPr>
            </w:pPr>
          </w:p>
        </w:tc>
      </w:tr>
      <w:tr w14:paraId="3836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6686B2F5">
            <w:pPr>
              <w:spacing w:line="360" w:lineRule="auto"/>
              <w:rPr>
                <w:rFonts w:ascii="宋体" w:hAnsi="宋体" w:eastAsia="宋体" w:cs="宋体"/>
                <w:b/>
                <w:bCs/>
                <w:highlight w:val="none"/>
              </w:rPr>
            </w:pPr>
          </w:p>
        </w:tc>
        <w:tc>
          <w:tcPr>
            <w:tcW w:w="4838" w:type="dxa"/>
            <w:tcBorders>
              <w:top w:val="single" w:color="000000" w:sz="4" w:space="0"/>
              <w:left w:val="nil"/>
              <w:bottom w:val="single" w:color="000000" w:sz="4" w:space="0"/>
              <w:right w:val="single" w:color="000000" w:sz="4" w:space="0"/>
            </w:tcBorders>
            <w:vAlign w:val="center"/>
          </w:tcPr>
          <w:p w14:paraId="1A8CD92C">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289C03D3">
            <w:pPr>
              <w:spacing w:line="360" w:lineRule="auto"/>
              <w:ind w:firstLine="420"/>
              <w:jc w:val="center"/>
              <w:rPr>
                <w:rFonts w:ascii="宋体" w:hAnsi="宋体" w:eastAsia="宋体" w:cs="宋体"/>
                <w:b/>
                <w:bCs/>
                <w:highlight w:val="none"/>
              </w:rPr>
            </w:pPr>
          </w:p>
        </w:tc>
      </w:tr>
      <w:tr w14:paraId="7837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4ED1F0CD">
            <w:pPr>
              <w:spacing w:line="360" w:lineRule="auto"/>
              <w:rPr>
                <w:rFonts w:ascii="宋体" w:hAnsi="宋体" w:eastAsia="宋体" w:cs="宋体"/>
                <w:b/>
                <w:bCs/>
                <w:highlight w:val="none"/>
              </w:rPr>
            </w:pPr>
          </w:p>
        </w:tc>
        <w:tc>
          <w:tcPr>
            <w:tcW w:w="4838" w:type="dxa"/>
            <w:tcBorders>
              <w:top w:val="single" w:color="000000" w:sz="4" w:space="0"/>
              <w:left w:val="nil"/>
              <w:bottom w:val="single" w:color="000000" w:sz="4" w:space="0"/>
              <w:right w:val="single" w:color="000000" w:sz="4" w:space="0"/>
            </w:tcBorders>
            <w:vAlign w:val="center"/>
          </w:tcPr>
          <w:p w14:paraId="399FEC71">
            <w:pPr>
              <w:spacing w:line="360" w:lineRule="auto"/>
              <w:rPr>
                <w:rFonts w:ascii="宋体" w:hAnsi="宋体" w:eastAsia="宋体" w:cs="宋体"/>
                <w:highlight w:val="none"/>
              </w:rPr>
            </w:pPr>
          </w:p>
        </w:tc>
        <w:tc>
          <w:tcPr>
            <w:tcW w:w="3494" w:type="dxa"/>
            <w:gridSpan w:val="2"/>
            <w:tcBorders>
              <w:top w:val="single" w:color="000000" w:sz="4" w:space="0"/>
              <w:left w:val="nil"/>
              <w:bottom w:val="single" w:color="000000" w:sz="4" w:space="0"/>
              <w:right w:val="single" w:color="000000" w:sz="4" w:space="0"/>
            </w:tcBorders>
            <w:vAlign w:val="center"/>
          </w:tcPr>
          <w:p w14:paraId="197011BE">
            <w:pPr>
              <w:spacing w:line="360" w:lineRule="auto"/>
              <w:ind w:firstLine="420"/>
              <w:jc w:val="center"/>
              <w:rPr>
                <w:rFonts w:ascii="宋体" w:hAnsi="宋体" w:eastAsia="宋体" w:cs="宋体"/>
                <w:b/>
                <w:bCs/>
                <w:highlight w:val="none"/>
              </w:rPr>
            </w:pPr>
          </w:p>
        </w:tc>
      </w:tr>
    </w:tbl>
    <w:p w14:paraId="31E7486A">
      <w:pPr>
        <w:spacing w:line="360" w:lineRule="auto"/>
        <w:jc w:val="left"/>
        <w:rPr>
          <w:rFonts w:ascii="宋体" w:hAnsi="宋体" w:eastAsia="宋体" w:cs="宋体"/>
          <w:highlight w:val="none"/>
        </w:rPr>
      </w:pPr>
    </w:p>
    <w:p w14:paraId="66CC6685">
      <w:pPr>
        <w:spacing w:line="360" w:lineRule="auto"/>
        <w:jc w:val="left"/>
        <w:rPr>
          <w:rFonts w:ascii="宋体" w:hAnsi="宋体" w:eastAsia="宋体" w:cs="宋体"/>
          <w:highlight w:val="none"/>
        </w:rPr>
      </w:pPr>
    </w:p>
    <w:p w14:paraId="63B43F12">
      <w:pPr>
        <w:jc w:val="left"/>
        <w:rPr>
          <w:rFonts w:ascii="宋体" w:hAnsi="宋体" w:eastAsia="宋体" w:cs="宋体"/>
          <w:highlight w:val="none"/>
        </w:rPr>
      </w:pPr>
      <w:r>
        <w:rPr>
          <w:rFonts w:hint="eastAsia" w:ascii="宋体" w:hAnsi="宋体" w:eastAsia="宋体" w:cs="宋体"/>
          <w:highlight w:val="none"/>
        </w:rPr>
        <w:br w:type="page"/>
      </w:r>
    </w:p>
    <w:p w14:paraId="2400C1F6">
      <w:pPr>
        <w:spacing w:before="312" w:beforeLines="100" w:after="312" w:afterLines="100" w:line="360" w:lineRule="auto"/>
        <w:jc w:val="center"/>
        <w:rPr>
          <w:rFonts w:ascii="宋体" w:hAnsi="宋体" w:eastAsia="宋体" w:cs="宋体"/>
          <w:sz w:val="36"/>
          <w:szCs w:val="36"/>
          <w:highlight w:val="none"/>
          <w:u w:color="000000"/>
        </w:rPr>
      </w:pPr>
      <w:r>
        <w:rPr>
          <w:rFonts w:hint="eastAsia" w:ascii="宋体" w:hAnsi="宋体" w:eastAsia="宋体" w:cs="宋体"/>
          <w:sz w:val="36"/>
          <w:szCs w:val="36"/>
          <w:highlight w:val="none"/>
          <w:u w:color="000000"/>
          <w:lang w:val="zh-TW" w:eastAsia="zh-TW"/>
        </w:rPr>
        <w:t>目</w:t>
      </w:r>
      <w:r>
        <w:rPr>
          <w:rFonts w:hint="eastAsia" w:ascii="宋体" w:hAnsi="宋体" w:eastAsia="宋体" w:cs="宋体"/>
          <w:sz w:val="36"/>
          <w:szCs w:val="36"/>
          <w:highlight w:val="none"/>
          <w:u w:color="000000"/>
          <w:lang w:val="zh-TW"/>
        </w:rPr>
        <w:t xml:space="preserve">  </w:t>
      </w:r>
      <w:r>
        <w:rPr>
          <w:rFonts w:hint="eastAsia" w:ascii="宋体" w:hAnsi="宋体" w:eastAsia="宋体" w:cs="宋体"/>
          <w:sz w:val="36"/>
          <w:szCs w:val="36"/>
          <w:highlight w:val="none"/>
          <w:u w:color="000000"/>
          <w:lang w:val="zh-TW" w:eastAsia="zh-TW"/>
        </w:rPr>
        <w:t>录</w:t>
      </w:r>
    </w:p>
    <w:p w14:paraId="57988C90">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一、投标函</w:t>
      </w:r>
    </w:p>
    <w:p w14:paraId="0688D681">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二、投标一览表</w:t>
      </w:r>
    </w:p>
    <w:p w14:paraId="5D712A24">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三、法人授权书</w:t>
      </w:r>
    </w:p>
    <w:p w14:paraId="13754154">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四、资格证明文件</w:t>
      </w:r>
    </w:p>
    <w:p w14:paraId="60D50B07">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五、商务条款响应及偏离表</w:t>
      </w:r>
    </w:p>
    <w:p w14:paraId="59B9F814">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六、技术参数响应及偏离表</w:t>
      </w:r>
    </w:p>
    <w:p w14:paraId="545953F7">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七、技术规范点对点应答</w:t>
      </w:r>
    </w:p>
    <w:p w14:paraId="569AFA66">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八、综合实力证明</w:t>
      </w:r>
    </w:p>
    <w:p w14:paraId="22B4012A">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九、技术方案</w:t>
      </w:r>
    </w:p>
    <w:p w14:paraId="2C05B023">
      <w:pPr>
        <w:spacing w:line="360" w:lineRule="auto"/>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十、投标人其它声明及材料</w:t>
      </w:r>
    </w:p>
    <w:p w14:paraId="03024F0F">
      <w:pPr>
        <w:spacing w:line="360" w:lineRule="auto"/>
        <w:rPr>
          <w:rFonts w:ascii="宋体" w:hAnsi="宋体" w:eastAsia="宋体" w:cs="宋体"/>
          <w:sz w:val="28"/>
          <w:szCs w:val="28"/>
          <w:highlight w:val="none"/>
          <w:u w:color="000000"/>
        </w:rPr>
      </w:pPr>
    </w:p>
    <w:p w14:paraId="5B7CED6F">
      <w:pPr>
        <w:jc w:val="left"/>
        <w:rPr>
          <w:rFonts w:ascii="宋体" w:hAnsi="宋体" w:eastAsia="宋体" w:cs="宋体"/>
          <w:highlight w:val="none"/>
        </w:rPr>
      </w:pPr>
      <w:r>
        <w:rPr>
          <w:rFonts w:hint="eastAsia" w:ascii="宋体" w:hAnsi="宋体" w:eastAsia="宋体" w:cs="宋体"/>
          <w:highlight w:val="none"/>
        </w:rPr>
        <w:br w:type="page"/>
      </w:r>
    </w:p>
    <w:p w14:paraId="27824265">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19" w:name="_Toc448069988"/>
      <w:bookmarkStart w:id="20" w:name="_Toc50"/>
      <w:bookmarkStart w:id="21" w:name="_Toc415494574"/>
      <w:bookmarkStart w:id="22" w:name="_Toc20393"/>
      <w:bookmarkStart w:id="23" w:name="_Toc11859491"/>
      <w:r>
        <w:rPr>
          <w:rFonts w:hint="eastAsia" w:ascii="宋体" w:hAnsi="宋体" w:eastAsia="宋体" w:cs="宋体"/>
          <w:sz w:val="24"/>
          <w:szCs w:val="24"/>
          <w:highlight w:val="none"/>
          <w:u w:color="000000"/>
        </w:rPr>
        <w:t xml:space="preserve">6.1 </w:t>
      </w:r>
      <w:bookmarkEnd w:id="19"/>
      <w:bookmarkEnd w:id="20"/>
      <w:bookmarkEnd w:id="21"/>
      <w:r>
        <w:rPr>
          <w:rFonts w:hint="eastAsia" w:ascii="宋体" w:hAnsi="宋体" w:eastAsia="宋体" w:cs="宋体"/>
          <w:sz w:val="24"/>
          <w:szCs w:val="24"/>
          <w:highlight w:val="none"/>
          <w:u w:color="000000"/>
        </w:rPr>
        <w:t>投标函</w:t>
      </w:r>
      <w:bookmarkEnd w:id="22"/>
      <w:bookmarkEnd w:id="23"/>
    </w:p>
    <w:p w14:paraId="445ECB20">
      <w:pPr>
        <w:snapToGrid w:val="0"/>
        <w:spacing w:line="360" w:lineRule="auto"/>
        <w:jc w:val="center"/>
        <w:rPr>
          <w:rFonts w:ascii="宋体" w:hAnsi="宋体" w:eastAsia="宋体" w:cs="宋体"/>
          <w:sz w:val="28"/>
          <w:szCs w:val="24"/>
          <w:highlight w:val="none"/>
          <w:u w:color="000000"/>
          <w:lang w:val="zh-TW" w:eastAsia="zh-TW"/>
        </w:rPr>
      </w:pPr>
      <w:r>
        <w:rPr>
          <w:rFonts w:hint="eastAsia" w:ascii="宋体" w:hAnsi="宋体" w:eastAsia="宋体" w:cs="宋体"/>
          <w:sz w:val="28"/>
          <w:szCs w:val="24"/>
          <w:highlight w:val="none"/>
          <w:u w:color="000000"/>
          <w:lang w:val="zh-TW" w:eastAsia="zh-TW"/>
        </w:rPr>
        <w:t>投标函</w:t>
      </w:r>
    </w:p>
    <w:p w14:paraId="4F13ABEF">
      <w:pPr>
        <w:pStyle w:val="49"/>
        <w:spacing w:before="0" w:after="0" w:line="300" w:lineRule="auto"/>
        <w:ind w:firstLine="0"/>
        <w:rPr>
          <w:rFonts w:ascii="宋体" w:hAnsi="宋体" w:cs="宋体"/>
          <w:kern w:val="2"/>
          <w:szCs w:val="21"/>
          <w:highlight w:val="none"/>
        </w:rPr>
      </w:pPr>
      <w:r>
        <w:rPr>
          <w:rFonts w:hint="eastAsia" w:ascii="宋体" w:hAnsi="宋体" w:cs="宋体"/>
          <w:kern w:val="2"/>
          <w:szCs w:val="21"/>
          <w:highlight w:val="none"/>
        </w:rPr>
        <w:t>致：南京邮电大学通达学院</w:t>
      </w:r>
    </w:p>
    <w:p w14:paraId="0C141440">
      <w:pPr>
        <w:pStyle w:val="49"/>
        <w:spacing w:before="0" w:after="0" w:line="300" w:lineRule="auto"/>
        <w:ind w:firstLineChars="200"/>
        <w:rPr>
          <w:rFonts w:ascii="宋体" w:hAnsi="宋体" w:cs="宋体"/>
          <w:kern w:val="2"/>
          <w:szCs w:val="21"/>
          <w:highlight w:val="none"/>
        </w:rPr>
      </w:pPr>
      <w:r>
        <w:rPr>
          <w:rFonts w:hint="eastAsia" w:ascii="宋体" w:hAnsi="宋体" w:cs="宋体"/>
          <w:kern w:val="2"/>
          <w:szCs w:val="21"/>
          <w:highlight w:val="none"/>
        </w:rPr>
        <w:t>根据贵方</w:t>
      </w:r>
      <w:r>
        <w:rPr>
          <w:rFonts w:hint="eastAsia" w:ascii="宋体" w:hAnsi="宋体" w:cs="宋体"/>
          <w:kern w:val="2"/>
          <w:szCs w:val="21"/>
          <w:highlight w:val="none"/>
          <w:u w:val="single"/>
          <w:lang w:eastAsia="zh-CN"/>
        </w:rPr>
        <w:t>南京邮电大学通达学院2025年学生公寓组合床采购</w:t>
      </w:r>
      <w:r>
        <w:rPr>
          <w:rFonts w:hint="eastAsia" w:ascii="宋体" w:hAnsi="宋体" w:cs="宋体"/>
          <w:kern w:val="2"/>
          <w:szCs w:val="21"/>
          <w:highlight w:val="none"/>
          <w:u w:val="single"/>
        </w:rPr>
        <w:t>项目（项目编号：</w:t>
      </w:r>
      <w:r>
        <w:rPr>
          <w:rFonts w:hint="eastAsia" w:ascii="宋体" w:hAnsi="宋体" w:cs="宋体"/>
          <w:kern w:val="2"/>
          <w:szCs w:val="21"/>
          <w:highlight w:val="none"/>
          <w:u w:val="single"/>
          <w:lang w:eastAsia="zh-CN"/>
        </w:rPr>
        <w:t>TDCG2025025</w:t>
      </w:r>
      <w:r>
        <w:rPr>
          <w:rFonts w:hint="eastAsia" w:ascii="宋体" w:hAnsi="宋体" w:cs="宋体"/>
          <w:kern w:val="2"/>
          <w:szCs w:val="21"/>
          <w:highlight w:val="none"/>
          <w:u w:val="single"/>
        </w:rPr>
        <w:t>）</w:t>
      </w:r>
      <w:r>
        <w:rPr>
          <w:rFonts w:hint="eastAsia" w:ascii="宋体" w:hAnsi="宋体" w:cs="宋体"/>
          <w:kern w:val="2"/>
          <w:szCs w:val="21"/>
          <w:highlight w:val="none"/>
        </w:rPr>
        <w:t>的招标文件，正式授权下述签字人____________（姓名和职务）代表我方____________（投标人的名称），全权处理本次项目投标的有关事宜。</w:t>
      </w:r>
    </w:p>
    <w:p w14:paraId="3C11D39E">
      <w:pPr>
        <w:pStyle w:val="49"/>
        <w:spacing w:before="0" w:after="0" w:line="300" w:lineRule="auto"/>
        <w:ind w:firstLineChars="200"/>
        <w:rPr>
          <w:rFonts w:ascii="宋体" w:hAnsi="宋体" w:cs="宋体"/>
          <w:kern w:val="2"/>
          <w:szCs w:val="21"/>
          <w:highlight w:val="none"/>
        </w:rPr>
      </w:pPr>
      <w:r>
        <w:rPr>
          <w:rFonts w:hint="eastAsia" w:ascii="宋体" w:hAnsi="宋体" w:cs="宋体"/>
          <w:kern w:val="2"/>
          <w:szCs w:val="21"/>
          <w:highlight w:val="none"/>
        </w:rPr>
        <w:t>据此函，投标人宣布同意如下：</w:t>
      </w:r>
    </w:p>
    <w:p w14:paraId="60BFF67B">
      <w:pPr>
        <w:pStyle w:val="49"/>
        <w:spacing w:before="0" w:after="0" w:line="300" w:lineRule="auto"/>
        <w:rPr>
          <w:rFonts w:ascii="宋体" w:hAnsi="宋体" w:cs="宋体"/>
          <w:kern w:val="2"/>
          <w:szCs w:val="21"/>
          <w:highlight w:val="none"/>
        </w:rPr>
      </w:pPr>
      <w:r>
        <w:rPr>
          <w:rFonts w:hint="eastAsia" w:ascii="宋体" w:hAnsi="宋体" w:cs="宋体"/>
          <w:kern w:val="2"/>
          <w:szCs w:val="21"/>
          <w:highlight w:val="none"/>
        </w:rPr>
        <w:t>1.按招标文件规定的各项要求，向买方提供所需货物与服务。</w:t>
      </w:r>
    </w:p>
    <w:p w14:paraId="5D64C7ED">
      <w:pPr>
        <w:pStyle w:val="49"/>
        <w:spacing w:before="0" w:after="0" w:line="300" w:lineRule="auto"/>
        <w:ind w:firstLineChars="200"/>
        <w:rPr>
          <w:rFonts w:ascii="宋体" w:hAnsi="宋体" w:cs="宋体"/>
          <w:kern w:val="2"/>
          <w:szCs w:val="21"/>
          <w:highlight w:val="none"/>
        </w:rPr>
      </w:pPr>
      <w:r>
        <w:rPr>
          <w:rFonts w:hint="eastAsia" w:ascii="宋体" w:hAnsi="宋体" w:cs="宋体"/>
          <w:kern w:val="2"/>
          <w:szCs w:val="21"/>
          <w:highlight w:val="none"/>
        </w:rPr>
        <w:t>2.我们完全理解贵方不一定将合同授予最低报价的投标人。</w:t>
      </w:r>
    </w:p>
    <w:p w14:paraId="40EA888B">
      <w:pPr>
        <w:pStyle w:val="49"/>
        <w:spacing w:before="0" w:after="0" w:line="300" w:lineRule="auto"/>
        <w:ind w:firstLineChars="200"/>
        <w:rPr>
          <w:rFonts w:ascii="宋体" w:hAnsi="宋体" w:cs="宋体"/>
          <w:kern w:val="2"/>
          <w:szCs w:val="21"/>
          <w:highlight w:val="none"/>
        </w:rPr>
      </w:pPr>
      <w:r>
        <w:rPr>
          <w:rFonts w:hint="eastAsia" w:ascii="宋体" w:hAnsi="宋体" w:cs="宋体"/>
          <w:kern w:val="2"/>
          <w:szCs w:val="21"/>
          <w:highlight w:val="none"/>
        </w:rPr>
        <w:t>3.我们已详细审核全部招标文件及其有效补充文件，我们知道必须放弃提出含糊不清或误解问题的权利。</w:t>
      </w:r>
    </w:p>
    <w:p w14:paraId="3F7331F2">
      <w:pPr>
        <w:pStyle w:val="49"/>
        <w:spacing w:before="0" w:after="0" w:line="300" w:lineRule="auto"/>
        <w:rPr>
          <w:rFonts w:ascii="宋体" w:hAnsi="宋体" w:cs="宋体"/>
          <w:kern w:val="2"/>
          <w:szCs w:val="21"/>
          <w:highlight w:val="none"/>
        </w:rPr>
      </w:pPr>
      <w:r>
        <w:rPr>
          <w:rFonts w:hint="eastAsia" w:ascii="宋体" w:hAnsi="宋体" w:cs="宋体"/>
          <w:kern w:val="2"/>
          <w:szCs w:val="21"/>
          <w:highlight w:val="none"/>
        </w:rPr>
        <w:t>4.我们同意从规定的开标日期起遵循本投标文件，并在规定的投标有效期期满之前均具有约束力。</w:t>
      </w:r>
    </w:p>
    <w:p w14:paraId="36BF4159">
      <w:pPr>
        <w:pStyle w:val="49"/>
        <w:spacing w:before="0" w:after="0" w:line="300" w:lineRule="auto"/>
        <w:rPr>
          <w:rFonts w:ascii="宋体" w:hAnsi="宋体" w:cs="宋体"/>
          <w:kern w:val="2"/>
          <w:szCs w:val="21"/>
          <w:highlight w:val="none"/>
        </w:rPr>
      </w:pPr>
      <w:r>
        <w:rPr>
          <w:rFonts w:hint="eastAsia" w:ascii="宋体" w:hAnsi="宋体" w:cs="宋体"/>
          <w:kern w:val="2"/>
          <w:szCs w:val="21"/>
          <w:highlight w:val="none"/>
        </w:rPr>
        <w:t>5.如果在开标后规定的投标有效期内撤回投标或中标后拒绝签订合同，我们的投标保证金可被贵方没收。</w:t>
      </w:r>
    </w:p>
    <w:p w14:paraId="7D003A54">
      <w:pPr>
        <w:pStyle w:val="49"/>
        <w:spacing w:before="0" w:after="0" w:line="300" w:lineRule="auto"/>
        <w:rPr>
          <w:rFonts w:ascii="宋体" w:hAnsi="宋体" w:cs="宋体"/>
          <w:kern w:val="2"/>
          <w:szCs w:val="21"/>
          <w:highlight w:val="none"/>
        </w:rPr>
      </w:pPr>
      <w:r>
        <w:rPr>
          <w:rFonts w:hint="eastAsia" w:ascii="宋体" w:hAnsi="宋体" w:cs="宋体"/>
          <w:kern w:val="2"/>
          <w:szCs w:val="21"/>
          <w:highlight w:val="none"/>
        </w:rPr>
        <w:t>6.同意向贵方提供贵方可能另外要求的与投标有关的任何证据或资料，并保证我方已提供和将要提供的文件是真实的、准确的。</w:t>
      </w:r>
    </w:p>
    <w:p w14:paraId="4397C975">
      <w:pPr>
        <w:pStyle w:val="49"/>
        <w:spacing w:before="0" w:after="0" w:line="300" w:lineRule="auto"/>
        <w:rPr>
          <w:rFonts w:ascii="宋体" w:hAnsi="宋体" w:cs="宋体"/>
          <w:kern w:val="2"/>
          <w:szCs w:val="21"/>
          <w:highlight w:val="none"/>
        </w:rPr>
      </w:pPr>
      <w:r>
        <w:rPr>
          <w:rFonts w:hint="eastAsia" w:ascii="宋体" w:hAnsi="宋体" w:cs="宋体"/>
          <w:kern w:val="2"/>
          <w:szCs w:val="21"/>
          <w:highlight w:val="none"/>
        </w:rPr>
        <w:t>7.一旦我方中标,我方将根据招标文件的规定，严格履行合同的责任和义务,并保证在招标文件规定的时间完成项目，交付买方验收、使用。</w:t>
      </w:r>
    </w:p>
    <w:p w14:paraId="0546B0B9">
      <w:pPr>
        <w:pStyle w:val="49"/>
        <w:spacing w:before="0" w:after="0" w:line="300" w:lineRule="auto"/>
        <w:ind w:firstLineChars="200"/>
        <w:rPr>
          <w:rFonts w:ascii="宋体" w:hAnsi="宋体" w:cs="宋体"/>
          <w:kern w:val="2"/>
          <w:szCs w:val="21"/>
          <w:highlight w:val="none"/>
        </w:rPr>
      </w:pPr>
      <w:r>
        <w:rPr>
          <w:rFonts w:hint="eastAsia" w:ascii="宋体" w:hAnsi="宋体" w:cs="宋体"/>
          <w:kern w:val="2"/>
          <w:szCs w:val="21"/>
          <w:highlight w:val="none"/>
        </w:rPr>
        <w:t>8.遵守招标文件中要求的收费项目和标准。</w:t>
      </w:r>
    </w:p>
    <w:p w14:paraId="062258A5">
      <w:pPr>
        <w:pStyle w:val="49"/>
        <w:spacing w:before="0" w:after="0" w:line="300" w:lineRule="auto"/>
        <w:ind w:firstLineChars="200"/>
        <w:rPr>
          <w:rFonts w:ascii="宋体" w:hAnsi="宋体" w:cs="宋体"/>
          <w:kern w:val="2"/>
          <w:szCs w:val="21"/>
          <w:highlight w:val="none"/>
        </w:rPr>
      </w:pPr>
      <w:r>
        <w:rPr>
          <w:rFonts w:hint="eastAsia" w:ascii="宋体" w:hAnsi="宋体" w:cs="宋体"/>
          <w:kern w:val="2"/>
          <w:szCs w:val="21"/>
          <w:highlight w:val="none"/>
        </w:rPr>
        <w:t>9.与本投标有关的正式通讯地址为：</w:t>
      </w:r>
    </w:p>
    <w:p w14:paraId="44D1842E">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地        址：</w:t>
      </w:r>
    </w:p>
    <w:p w14:paraId="00F0BF66">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邮        编：</w:t>
      </w:r>
    </w:p>
    <w:p w14:paraId="6E65FAA8">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电        话：</w:t>
      </w:r>
    </w:p>
    <w:p w14:paraId="4FDFA3DD">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传        真：</w:t>
      </w:r>
    </w:p>
    <w:p w14:paraId="6E155DC5">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投标人开户行：</w:t>
      </w:r>
    </w:p>
    <w:p w14:paraId="1475A5FC">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 xml:space="preserve">账        户： </w:t>
      </w:r>
    </w:p>
    <w:p w14:paraId="32B9C137">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 xml:space="preserve">投标人授权代表姓名（签字）： </w:t>
      </w:r>
    </w:p>
    <w:p w14:paraId="29A86430">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 xml:space="preserve">投标人名称（公章）： </w:t>
      </w:r>
    </w:p>
    <w:p w14:paraId="0E8CCE60">
      <w:pPr>
        <w:pStyle w:val="49"/>
        <w:spacing w:before="0" w:after="0" w:line="300" w:lineRule="auto"/>
        <w:ind w:left="420" w:leftChars="200" w:firstLineChars="200"/>
        <w:rPr>
          <w:rFonts w:ascii="宋体" w:hAnsi="宋体" w:cs="宋体"/>
          <w:kern w:val="2"/>
          <w:szCs w:val="21"/>
          <w:highlight w:val="none"/>
        </w:rPr>
      </w:pPr>
      <w:r>
        <w:rPr>
          <w:rFonts w:hint="eastAsia" w:ascii="宋体" w:hAnsi="宋体" w:cs="宋体"/>
          <w:kern w:val="2"/>
          <w:szCs w:val="21"/>
          <w:highlight w:val="none"/>
        </w:rPr>
        <w:t>日        期：________年____月____日</w:t>
      </w:r>
    </w:p>
    <w:p w14:paraId="58E0A370">
      <w:pPr>
        <w:snapToGrid w:val="0"/>
        <w:spacing w:line="360" w:lineRule="auto"/>
        <w:jc w:val="right"/>
        <w:rPr>
          <w:rFonts w:ascii="宋体" w:hAnsi="宋体" w:eastAsia="宋体" w:cs="宋体"/>
          <w:szCs w:val="21"/>
          <w:highlight w:val="none"/>
          <w:u w:color="000000"/>
        </w:rPr>
      </w:pPr>
    </w:p>
    <w:p w14:paraId="75180DFE">
      <w:pPr>
        <w:spacing w:line="360" w:lineRule="auto"/>
        <w:jc w:val="right"/>
        <w:rPr>
          <w:rFonts w:ascii="宋体" w:hAnsi="宋体" w:eastAsia="宋体" w:cs="宋体"/>
          <w:szCs w:val="21"/>
          <w:highlight w:val="none"/>
          <w:u w:color="000000"/>
        </w:rPr>
      </w:pPr>
    </w:p>
    <w:p w14:paraId="605AADCF">
      <w:pPr>
        <w:jc w:val="left"/>
        <w:rPr>
          <w:rFonts w:ascii="宋体" w:hAnsi="宋体" w:eastAsia="宋体" w:cs="宋体"/>
          <w:highlight w:val="none"/>
        </w:rPr>
      </w:pPr>
      <w:r>
        <w:rPr>
          <w:rFonts w:hint="eastAsia" w:ascii="宋体" w:hAnsi="宋体" w:eastAsia="宋体" w:cs="宋体"/>
          <w:highlight w:val="none"/>
        </w:rPr>
        <w:br w:type="page"/>
      </w:r>
    </w:p>
    <w:p w14:paraId="6A461FFE">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24" w:name="_Toc11859492"/>
      <w:bookmarkStart w:id="25" w:name="_Toc448069992"/>
      <w:bookmarkStart w:id="26" w:name="_Toc415494579"/>
      <w:bookmarkStart w:id="27" w:name="_Toc12813"/>
      <w:bookmarkStart w:id="28" w:name="_Toc415494575"/>
      <w:bookmarkStart w:id="29" w:name="_Toc452541709"/>
      <w:bookmarkStart w:id="30" w:name="_Toc51"/>
      <w:bookmarkStart w:id="31" w:name="_Toc448069989"/>
      <w:r>
        <w:rPr>
          <w:rFonts w:hint="eastAsia" w:ascii="宋体" w:hAnsi="宋体" w:eastAsia="宋体" w:cs="宋体"/>
          <w:sz w:val="24"/>
          <w:szCs w:val="24"/>
          <w:highlight w:val="none"/>
          <w:u w:color="000000"/>
        </w:rPr>
        <w:t>6.2 投标一览表</w:t>
      </w:r>
      <w:bookmarkEnd w:id="24"/>
      <w:bookmarkEnd w:id="25"/>
      <w:bookmarkEnd w:id="26"/>
      <w:bookmarkEnd w:id="27"/>
    </w:p>
    <w:p w14:paraId="4C238489">
      <w:pPr>
        <w:snapToGrid w:val="0"/>
        <w:spacing w:line="360" w:lineRule="auto"/>
        <w:jc w:val="center"/>
        <w:rPr>
          <w:rFonts w:ascii="宋体" w:hAnsi="宋体" w:eastAsia="宋体" w:cs="宋体"/>
          <w:sz w:val="28"/>
          <w:szCs w:val="24"/>
          <w:highlight w:val="none"/>
          <w:u w:color="000000"/>
          <w:lang w:val="zh-TW" w:eastAsia="zh-TW"/>
        </w:rPr>
      </w:pPr>
      <w:r>
        <w:rPr>
          <w:rFonts w:hint="eastAsia" w:ascii="宋体" w:hAnsi="宋体" w:eastAsia="宋体" w:cs="宋体"/>
          <w:sz w:val="28"/>
          <w:szCs w:val="24"/>
          <w:highlight w:val="none"/>
          <w:u w:color="000000"/>
          <w:lang w:val="zh-TW" w:eastAsia="zh-TW"/>
        </w:rPr>
        <w:t>投标一览表</w:t>
      </w:r>
    </w:p>
    <w:p w14:paraId="1A02C540">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投标人全称（加盖公章）：</w:t>
      </w:r>
    </w:p>
    <w:p w14:paraId="02233BB9">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南京邮电大学通达学院2025年学生公寓组合床采购</w:t>
      </w:r>
      <w:r>
        <w:rPr>
          <w:rFonts w:hint="eastAsia" w:ascii="宋体" w:hAnsi="宋体" w:eastAsia="宋体" w:cs="宋体"/>
          <w:sz w:val="24"/>
          <w:szCs w:val="24"/>
          <w:highlight w:val="none"/>
        </w:rPr>
        <w:t>项目</w:t>
      </w:r>
    </w:p>
    <w:p w14:paraId="2B46B020">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27"/>
        <w:tblW w:w="8537" w:type="dxa"/>
        <w:tblInd w:w="-21" w:type="dxa"/>
        <w:tblLayout w:type="fixed"/>
        <w:tblCellMar>
          <w:top w:w="0" w:type="dxa"/>
          <w:left w:w="108" w:type="dxa"/>
          <w:bottom w:w="0" w:type="dxa"/>
          <w:right w:w="108" w:type="dxa"/>
        </w:tblCellMar>
      </w:tblPr>
      <w:tblGrid>
        <w:gridCol w:w="2423"/>
        <w:gridCol w:w="6114"/>
      </w:tblGrid>
      <w:tr w14:paraId="15C1ACB0">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34CD799E">
            <w:pPr>
              <w:widowControl/>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6114" w:type="dxa"/>
            <w:tcBorders>
              <w:top w:val="single" w:color="000000" w:sz="4" w:space="0"/>
              <w:left w:val="single" w:color="000000" w:sz="4" w:space="0"/>
              <w:bottom w:val="single" w:color="000000" w:sz="4" w:space="0"/>
              <w:right w:val="single" w:color="000000" w:sz="4" w:space="0"/>
            </w:tcBorders>
            <w:vAlign w:val="center"/>
          </w:tcPr>
          <w:p w14:paraId="359DDF0D">
            <w:pPr>
              <w:widowControl/>
              <w:jc w:val="left"/>
              <w:rPr>
                <w:rFonts w:ascii="宋体" w:hAnsi="宋体" w:eastAsia="宋体" w:cs="宋体"/>
                <w:kern w:val="0"/>
                <w:sz w:val="28"/>
                <w:szCs w:val="28"/>
                <w:highlight w:val="none"/>
              </w:rPr>
            </w:pPr>
            <w:r>
              <w:rPr>
                <w:rFonts w:hint="eastAsia" w:ascii="宋体" w:hAnsi="宋体" w:eastAsia="宋体" w:cs="宋体"/>
                <w:b/>
                <w:bCs/>
                <w:kern w:val="0"/>
                <w:sz w:val="28"/>
                <w:szCs w:val="28"/>
                <w:highlight w:val="none"/>
              </w:rPr>
              <w:t xml:space="preserve">  </w:t>
            </w:r>
          </w:p>
        </w:tc>
      </w:tr>
      <w:tr w14:paraId="21E35113">
        <w:tblPrEx>
          <w:tblCellMar>
            <w:top w:w="0" w:type="dxa"/>
            <w:left w:w="108" w:type="dxa"/>
            <w:bottom w:w="0" w:type="dxa"/>
            <w:right w:w="108" w:type="dxa"/>
          </w:tblCellMar>
        </w:tblPrEx>
        <w:trPr>
          <w:trHeight w:val="787"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3BD38C94">
            <w:pPr>
              <w:widowControl/>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项目编号</w:t>
            </w:r>
          </w:p>
        </w:tc>
        <w:tc>
          <w:tcPr>
            <w:tcW w:w="6114" w:type="dxa"/>
            <w:tcBorders>
              <w:top w:val="single" w:color="000000" w:sz="4" w:space="0"/>
              <w:left w:val="single" w:color="000000" w:sz="4" w:space="0"/>
              <w:bottom w:val="single" w:color="000000" w:sz="4" w:space="0"/>
              <w:right w:val="single" w:color="000000" w:sz="4" w:space="0"/>
            </w:tcBorders>
            <w:vAlign w:val="center"/>
          </w:tcPr>
          <w:p w14:paraId="3B0B3E1F">
            <w:pPr>
              <w:widowControl/>
              <w:spacing w:line="360" w:lineRule="auto"/>
              <w:ind w:firstLine="36" w:firstLineChars="13"/>
              <w:rPr>
                <w:rFonts w:ascii="宋体" w:hAnsi="宋体" w:eastAsia="宋体" w:cs="宋体"/>
                <w:kern w:val="0"/>
                <w:sz w:val="28"/>
                <w:szCs w:val="28"/>
                <w:highlight w:val="none"/>
              </w:rPr>
            </w:pPr>
          </w:p>
        </w:tc>
      </w:tr>
      <w:tr w14:paraId="06D964AB">
        <w:tblPrEx>
          <w:tblCellMar>
            <w:top w:w="0" w:type="dxa"/>
            <w:left w:w="108" w:type="dxa"/>
            <w:bottom w:w="0" w:type="dxa"/>
            <w:right w:w="108" w:type="dxa"/>
          </w:tblCellMar>
        </w:tblPrEx>
        <w:trPr>
          <w:trHeight w:val="3764" w:hRule="atLeast"/>
        </w:trPr>
        <w:tc>
          <w:tcPr>
            <w:tcW w:w="2423" w:type="dxa"/>
            <w:tcBorders>
              <w:top w:val="single" w:color="000000" w:sz="4" w:space="0"/>
              <w:left w:val="single" w:color="000000" w:sz="4" w:space="0"/>
              <w:bottom w:val="single" w:color="000000" w:sz="4" w:space="0"/>
              <w:right w:val="single" w:color="000000" w:sz="4" w:space="0"/>
            </w:tcBorders>
            <w:vAlign w:val="center"/>
          </w:tcPr>
          <w:p w14:paraId="16DD54FA">
            <w:pPr>
              <w:jc w:val="center"/>
              <w:rPr>
                <w:rFonts w:ascii="宋体" w:hAnsi="宋体" w:eastAsia="宋体" w:cs="宋体"/>
                <w:bCs/>
                <w:sz w:val="28"/>
                <w:szCs w:val="28"/>
                <w:highlight w:val="none"/>
              </w:rPr>
            </w:pPr>
            <w:r>
              <w:rPr>
                <w:rFonts w:hint="eastAsia" w:ascii="宋体" w:hAnsi="宋体" w:eastAsia="宋体" w:cs="宋体"/>
                <w:bCs/>
                <w:sz w:val="28"/>
                <w:szCs w:val="28"/>
                <w:highlight w:val="none"/>
              </w:rPr>
              <w:t>投标报价（元）</w:t>
            </w:r>
          </w:p>
          <w:p w14:paraId="5C1EA76B">
            <w:pPr>
              <w:jc w:val="center"/>
              <w:rPr>
                <w:rFonts w:ascii="宋体" w:hAnsi="宋体" w:eastAsia="宋体" w:cs="宋体"/>
                <w:bCs/>
                <w:sz w:val="28"/>
                <w:szCs w:val="28"/>
                <w:highlight w:val="none"/>
              </w:rPr>
            </w:pPr>
          </w:p>
        </w:tc>
        <w:tc>
          <w:tcPr>
            <w:tcW w:w="6114" w:type="dxa"/>
            <w:tcBorders>
              <w:top w:val="single" w:color="000000" w:sz="4" w:space="0"/>
              <w:left w:val="single" w:color="000000" w:sz="4" w:space="0"/>
              <w:bottom w:val="single" w:color="000000" w:sz="4" w:space="0"/>
              <w:right w:val="single" w:color="000000" w:sz="4" w:space="0"/>
            </w:tcBorders>
            <w:vAlign w:val="center"/>
          </w:tcPr>
          <w:p w14:paraId="5A6300EB">
            <w:pPr>
              <w:rPr>
                <w:rFonts w:hint="eastAsia"/>
                <w:sz w:val="28"/>
                <w:szCs w:val="32"/>
                <w:highlight w:val="none"/>
                <w:lang w:val="en-US" w:eastAsia="zh-CN"/>
              </w:rPr>
            </w:pPr>
            <w:r>
              <w:rPr>
                <w:rFonts w:hint="eastAsia"/>
                <w:sz w:val="28"/>
                <w:szCs w:val="32"/>
                <w:highlight w:val="none"/>
                <w:lang w:val="en-US" w:eastAsia="zh-CN"/>
              </w:rPr>
              <w:t>大写：</w:t>
            </w:r>
          </w:p>
          <w:p w14:paraId="7C90999F">
            <w:pPr>
              <w:rPr>
                <w:rFonts w:hint="eastAsia"/>
                <w:sz w:val="28"/>
                <w:szCs w:val="32"/>
                <w:highlight w:val="none"/>
                <w:lang w:val="en-US" w:eastAsia="zh-CN"/>
              </w:rPr>
            </w:pPr>
          </w:p>
          <w:p w14:paraId="67E771DA">
            <w:pPr>
              <w:rPr>
                <w:rFonts w:hint="default"/>
                <w:highlight w:val="none"/>
                <w:lang w:val="en-US" w:eastAsia="zh-CN"/>
              </w:rPr>
            </w:pPr>
            <w:r>
              <w:rPr>
                <w:rFonts w:hint="eastAsia"/>
                <w:sz w:val="28"/>
                <w:szCs w:val="32"/>
                <w:highlight w:val="none"/>
                <w:lang w:val="en-US" w:eastAsia="zh-CN"/>
              </w:rPr>
              <w:t>小写：</w:t>
            </w:r>
          </w:p>
        </w:tc>
      </w:tr>
    </w:tbl>
    <w:p w14:paraId="067584A0">
      <w:pPr>
        <w:adjustRightInd w:val="0"/>
        <w:snapToGrid w:val="0"/>
        <w:spacing w:line="360" w:lineRule="auto"/>
        <w:ind w:firstLine="480" w:firstLineChars="200"/>
        <w:rPr>
          <w:rFonts w:ascii="宋体" w:hAnsi="宋体" w:eastAsia="宋体" w:cs="宋体"/>
          <w:sz w:val="24"/>
          <w:szCs w:val="24"/>
          <w:highlight w:val="none"/>
        </w:rPr>
      </w:pPr>
    </w:p>
    <w:p w14:paraId="0D27BE39">
      <w:pPr>
        <w:adjustRightInd w:val="0"/>
        <w:snapToGrid w:val="0"/>
        <w:jc w:val="right"/>
        <w:rPr>
          <w:rFonts w:ascii="宋体" w:hAnsi="宋体" w:eastAsia="宋体" w:cs="宋体"/>
          <w:sz w:val="24"/>
          <w:szCs w:val="24"/>
          <w:highlight w:val="none"/>
        </w:rPr>
      </w:pPr>
    </w:p>
    <w:p w14:paraId="67BE2E1F">
      <w:pPr>
        <w:adjustRightInd w:val="0"/>
        <w:snapToGrid w:val="0"/>
        <w:spacing w:line="360" w:lineRule="auto"/>
        <w:jc w:val="right"/>
        <w:rPr>
          <w:rFonts w:ascii="宋体" w:hAnsi="宋体" w:eastAsia="宋体" w:cs="宋体"/>
          <w:sz w:val="24"/>
          <w:szCs w:val="24"/>
          <w:highlight w:val="none"/>
        </w:rPr>
      </w:pPr>
      <w:r>
        <w:rPr>
          <w:rFonts w:hint="eastAsia" w:ascii="宋体" w:hAnsi="宋体" w:eastAsia="宋体" w:cs="宋体"/>
          <w:sz w:val="24"/>
          <w:szCs w:val="24"/>
          <w:highlight w:val="none"/>
        </w:rPr>
        <w:t>法定代表人（授权代表）签字：</w:t>
      </w:r>
      <w:r>
        <w:rPr>
          <w:rFonts w:hint="eastAsia" w:ascii="宋体" w:hAnsi="宋体" w:eastAsia="宋体" w:cs="宋体"/>
          <w:sz w:val="24"/>
          <w:szCs w:val="24"/>
          <w:highlight w:val="none"/>
          <w:u w:val="single"/>
        </w:rPr>
        <w:t xml:space="preserve"> </w:t>
      </w:r>
    </w:p>
    <w:p w14:paraId="49EF83BF">
      <w:pPr>
        <w:adjustRightInd w:val="0"/>
        <w:snapToGrid w:val="0"/>
        <w:spacing w:line="360" w:lineRule="auto"/>
        <w:ind w:firstLine="5880" w:firstLineChars="2450"/>
        <w:rPr>
          <w:rFonts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354EA9">
      <w:pPr>
        <w:adjustRightInd w:val="0"/>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填写说明：</w:t>
      </w:r>
    </w:p>
    <w:p w14:paraId="7481A479">
      <w:pPr>
        <w:adjustRightInd w:val="0"/>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1、投标一览表必须加盖投标单位公章，并单独装在小信封内于投标截止时间前与投标文件一起递交。</w:t>
      </w:r>
    </w:p>
    <w:p w14:paraId="14BD7C69">
      <w:pPr>
        <w:adjustRightInd w:val="0"/>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2、投标报价不得高于最高限价，超过最高限价将否决投标。报价保留小数点后两位。</w:t>
      </w:r>
    </w:p>
    <w:p w14:paraId="2800E8FE">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1950B3A">
      <w:pPr>
        <w:jc w:val="center"/>
        <w:rPr>
          <w:rFonts w:hint="eastAsia" w:cs="Times New Roman" w:asciiTheme="majorEastAsia" w:hAnsiTheme="majorEastAsia" w:eastAsiaTheme="majorEastAsia"/>
          <w:b/>
          <w:sz w:val="24"/>
          <w:szCs w:val="21"/>
          <w:highlight w:val="none"/>
        </w:rPr>
      </w:pPr>
      <w:r>
        <w:rPr>
          <w:rFonts w:hint="eastAsia" w:cs="Times New Roman" w:asciiTheme="majorEastAsia" w:hAnsiTheme="majorEastAsia" w:eastAsiaTheme="majorEastAsia"/>
          <w:b/>
          <w:sz w:val="28"/>
          <w:szCs w:val="22"/>
          <w:highlight w:val="none"/>
        </w:rPr>
        <w:t>分项报价表</w:t>
      </w:r>
    </w:p>
    <w:p w14:paraId="7B550086">
      <w:pPr>
        <w:widowControl w:val="0"/>
        <w:spacing w:line="440" w:lineRule="exact"/>
        <w:ind w:left="840" w:hanging="420"/>
        <w:jc w:val="both"/>
        <w:rPr>
          <w:rFonts w:ascii="Times New Roman" w:hAnsi="Times New Roman" w:eastAsia="宋体" w:cs="Times New Roman"/>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项目编号：</w:t>
      </w:r>
    </w:p>
    <w:p w14:paraId="27653758">
      <w:pPr>
        <w:widowControl w:val="0"/>
        <w:spacing w:line="440" w:lineRule="exact"/>
        <w:ind w:left="840" w:hanging="420"/>
        <w:jc w:val="both"/>
        <w:rPr>
          <w:rFonts w:ascii="Times New Roman" w:hAnsi="Times New Roman" w:eastAsia="宋体" w:cs="Times New Roman"/>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项目名称：</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93"/>
        <w:gridCol w:w="1314"/>
        <w:gridCol w:w="1870"/>
        <w:gridCol w:w="796"/>
        <w:gridCol w:w="715"/>
        <w:gridCol w:w="1147"/>
        <w:gridCol w:w="1096"/>
      </w:tblGrid>
      <w:tr w14:paraId="5AEC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71" w:type="pct"/>
            <w:vAlign w:val="center"/>
          </w:tcPr>
          <w:p w14:paraId="43F61754">
            <w:pPr>
              <w:spacing w:line="24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74" w:type="pct"/>
            <w:vAlign w:val="center"/>
          </w:tcPr>
          <w:p w14:paraId="76A2A513">
            <w:pPr>
              <w:spacing w:line="24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730" w:type="pct"/>
            <w:vAlign w:val="center"/>
          </w:tcPr>
          <w:p w14:paraId="6728CDD0">
            <w:pPr>
              <w:spacing w:line="24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产品形式</w:t>
            </w:r>
          </w:p>
        </w:tc>
        <w:tc>
          <w:tcPr>
            <w:tcW w:w="1039" w:type="pct"/>
            <w:vAlign w:val="center"/>
          </w:tcPr>
          <w:p w14:paraId="2193CC9C">
            <w:pPr>
              <w:spacing w:line="24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规格尺寸</w:t>
            </w:r>
          </w:p>
        </w:tc>
        <w:tc>
          <w:tcPr>
            <w:tcW w:w="442" w:type="pct"/>
            <w:vAlign w:val="center"/>
          </w:tcPr>
          <w:p w14:paraId="52A9A166">
            <w:pPr>
              <w:spacing w:line="24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397" w:type="pct"/>
            <w:vAlign w:val="center"/>
          </w:tcPr>
          <w:p w14:paraId="0B56011F">
            <w:pPr>
              <w:spacing w:line="240" w:lineRule="atLeas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635" w:type="pct"/>
            <w:vAlign w:val="center"/>
          </w:tcPr>
          <w:p w14:paraId="2DF4FE4A">
            <w:pPr>
              <w:spacing w:line="240" w:lineRule="atLeas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单价（元）</w:t>
            </w:r>
          </w:p>
        </w:tc>
        <w:tc>
          <w:tcPr>
            <w:tcW w:w="609" w:type="pct"/>
            <w:vAlign w:val="center"/>
          </w:tcPr>
          <w:p w14:paraId="128658A1">
            <w:pPr>
              <w:spacing w:line="240" w:lineRule="atLeast"/>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总价（元）</w:t>
            </w:r>
          </w:p>
        </w:tc>
      </w:tr>
      <w:tr w14:paraId="3094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371" w:type="pct"/>
            <w:vAlign w:val="center"/>
          </w:tcPr>
          <w:p w14:paraId="051CD60D">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74" w:type="pct"/>
            <w:vAlign w:val="center"/>
          </w:tcPr>
          <w:p w14:paraId="3CDD48F6">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公寓组合床</w:t>
            </w:r>
          </w:p>
        </w:tc>
        <w:tc>
          <w:tcPr>
            <w:tcW w:w="730" w:type="pct"/>
            <w:vAlign w:val="center"/>
          </w:tcPr>
          <w:p w14:paraId="3E32889A">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单体（单人位）</w:t>
            </w:r>
          </w:p>
        </w:tc>
        <w:tc>
          <w:tcPr>
            <w:tcW w:w="1039" w:type="pct"/>
            <w:vAlign w:val="center"/>
          </w:tcPr>
          <w:p w14:paraId="126B3A7C">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2000*900*2950mm</w:t>
            </w:r>
          </w:p>
        </w:tc>
        <w:tc>
          <w:tcPr>
            <w:tcW w:w="442" w:type="pct"/>
            <w:vAlign w:val="center"/>
          </w:tcPr>
          <w:p w14:paraId="2E5A5099">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w:t>
            </w:r>
          </w:p>
        </w:tc>
        <w:tc>
          <w:tcPr>
            <w:tcW w:w="397" w:type="pct"/>
            <w:vAlign w:val="center"/>
          </w:tcPr>
          <w:p w14:paraId="61ED9616">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134</w:t>
            </w:r>
          </w:p>
        </w:tc>
        <w:tc>
          <w:tcPr>
            <w:tcW w:w="635" w:type="pct"/>
            <w:vAlign w:val="center"/>
          </w:tcPr>
          <w:p w14:paraId="72CD56E6">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6E683633">
            <w:pPr>
              <w:spacing w:line="240" w:lineRule="atLeast"/>
              <w:jc w:val="center"/>
              <w:rPr>
                <w:rFonts w:hint="eastAsia" w:ascii="宋体" w:hAnsi="宋体" w:eastAsia="宋体" w:cs="宋体"/>
                <w:sz w:val="21"/>
                <w:szCs w:val="21"/>
                <w:highlight w:val="none"/>
                <w:lang w:val="en-US" w:eastAsia="zh-CN"/>
              </w:rPr>
            </w:pPr>
          </w:p>
        </w:tc>
      </w:tr>
      <w:tr w14:paraId="64D1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1" w:type="pct"/>
            <w:vAlign w:val="center"/>
          </w:tcPr>
          <w:p w14:paraId="70E10482">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774" w:type="pct"/>
            <w:vAlign w:val="center"/>
          </w:tcPr>
          <w:p w14:paraId="302114DD">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双层床</w:t>
            </w:r>
          </w:p>
        </w:tc>
        <w:tc>
          <w:tcPr>
            <w:tcW w:w="730" w:type="pct"/>
            <w:vAlign w:val="center"/>
          </w:tcPr>
          <w:p w14:paraId="0FACA61A">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单体（两人位）</w:t>
            </w:r>
          </w:p>
        </w:tc>
        <w:tc>
          <w:tcPr>
            <w:tcW w:w="1039" w:type="pct"/>
            <w:vAlign w:val="center"/>
          </w:tcPr>
          <w:p w14:paraId="7AF4BC48">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2000*900*2950mm</w:t>
            </w:r>
          </w:p>
        </w:tc>
        <w:tc>
          <w:tcPr>
            <w:tcW w:w="442" w:type="pct"/>
            <w:vAlign w:val="center"/>
          </w:tcPr>
          <w:p w14:paraId="54834012">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397" w:type="pct"/>
            <w:vAlign w:val="center"/>
          </w:tcPr>
          <w:p w14:paraId="47189E08">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w:t>
            </w:r>
          </w:p>
        </w:tc>
        <w:tc>
          <w:tcPr>
            <w:tcW w:w="635" w:type="pct"/>
            <w:vAlign w:val="center"/>
          </w:tcPr>
          <w:p w14:paraId="1D123B17">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5038AFA5">
            <w:pPr>
              <w:spacing w:line="240" w:lineRule="atLeast"/>
              <w:jc w:val="center"/>
              <w:rPr>
                <w:rFonts w:hint="eastAsia" w:ascii="宋体" w:hAnsi="宋体" w:eastAsia="宋体" w:cs="宋体"/>
                <w:sz w:val="21"/>
                <w:szCs w:val="21"/>
                <w:highlight w:val="none"/>
                <w:lang w:val="en-US" w:eastAsia="zh-CN"/>
              </w:rPr>
            </w:pPr>
          </w:p>
        </w:tc>
      </w:tr>
      <w:tr w14:paraId="2AB0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1" w:type="pct"/>
            <w:vAlign w:val="center"/>
          </w:tcPr>
          <w:p w14:paraId="0108AEC2">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774" w:type="pct"/>
            <w:vAlign w:val="center"/>
          </w:tcPr>
          <w:p w14:paraId="27CC0F72">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自修桌</w:t>
            </w:r>
          </w:p>
        </w:tc>
        <w:tc>
          <w:tcPr>
            <w:tcW w:w="730" w:type="pct"/>
            <w:vAlign w:val="center"/>
          </w:tcPr>
          <w:p w14:paraId="3D919792">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两人位</w:t>
            </w:r>
          </w:p>
        </w:tc>
        <w:tc>
          <w:tcPr>
            <w:tcW w:w="1039" w:type="pct"/>
            <w:vAlign w:val="center"/>
          </w:tcPr>
          <w:p w14:paraId="65499610">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1600*</w:t>
            </w:r>
            <w:r>
              <w:rPr>
                <w:rFonts w:hint="eastAsia" w:ascii="宋体" w:hAnsi="宋体" w:eastAsia="宋体" w:cs="宋体"/>
                <w:sz w:val="21"/>
                <w:szCs w:val="21"/>
                <w:highlight w:val="none"/>
                <w:lang w:val="en-US" w:eastAsia="zh-CN"/>
              </w:rPr>
              <w:t>575</w:t>
            </w:r>
            <w:r>
              <w:rPr>
                <w:rFonts w:hint="eastAsia" w:ascii="宋体" w:hAnsi="宋体" w:eastAsia="宋体" w:cs="宋体"/>
                <w:sz w:val="21"/>
                <w:szCs w:val="21"/>
                <w:highlight w:val="none"/>
              </w:rPr>
              <w:t>*2250mm</w:t>
            </w:r>
          </w:p>
        </w:tc>
        <w:tc>
          <w:tcPr>
            <w:tcW w:w="442" w:type="pct"/>
            <w:vAlign w:val="center"/>
          </w:tcPr>
          <w:p w14:paraId="74397466">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397" w:type="pct"/>
            <w:vAlign w:val="center"/>
          </w:tcPr>
          <w:p w14:paraId="297C5E97">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w:t>
            </w:r>
          </w:p>
        </w:tc>
        <w:tc>
          <w:tcPr>
            <w:tcW w:w="635" w:type="pct"/>
            <w:vAlign w:val="center"/>
          </w:tcPr>
          <w:p w14:paraId="1F12D36A">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2B87A91E">
            <w:pPr>
              <w:spacing w:line="240" w:lineRule="atLeast"/>
              <w:jc w:val="center"/>
              <w:rPr>
                <w:rFonts w:hint="eastAsia" w:ascii="宋体" w:hAnsi="宋体" w:eastAsia="宋体" w:cs="宋体"/>
                <w:sz w:val="21"/>
                <w:szCs w:val="21"/>
                <w:highlight w:val="none"/>
                <w:lang w:val="en-US" w:eastAsia="zh-CN"/>
              </w:rPr>
            </w:pPr>
          </w:p>
        </w:tc>
      </w:tr>
      <w:tr w14:paraId="4C09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1" w:type="pct"/>
            <w:vAlign w:val="center"/>
          </w:tcPr>
          <w:p w14:paraId="4921E1DC">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774" w:type="pct"/>
            <w:vAlign w:val="center"/>
          </w:tcPr>
          <w:p w14:paraId="56828C83">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衣柜</w:t>
            </w:r>
          </w:p>
        </w:tc>
        <w:tc>
          <w:tcPr>
            <w:tcW w:w="730" w:type="pct"/>
            <w:vAlign w:val="center"/>
          </w:tcPr>
          <w:p w14:paraId="21DF689A">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两人位</w:t>
            </w:r>
          </w:p>
        </w:tc>
        <w:tc>
          <w:tcPr>
            <w:tcW w:w="1039" w:type="pct"/>
            <w:vAlign w:val="center"/>
          </w:tcPr>
          <w:p w14:paraId="454C3A1F">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800*600*2250mm</w:t>
            </w:r>
          </w:p>
        </w:tc>
        <w:tc>
          <w:tcPr>
            <w:tcW w:w="442" w:type="pct"/>
            <w:vAlign w:val="center"/>
          </w:tcPr>
          <w:p w14:paraId="6C940453">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397" w:type="pct"/>
            <w:vAlign w:val="center"/>
          </w:tcPr>
          <w:p w14:paraId="72F8E887">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w:t>
            </w:r>
          </w:p>
        </w:tc>
        <w:tc>
          <w:tcPr>
            <w:tcW w:w="635" w:type="pct"/>
            <w:vAlign w:val="center"/>
          </w:tcPr>
          <w:p w14:paraId="30C97A0A">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409D3183">
            <w:pPr>
              <w:spacing w:line="240" w:lineRule="atLeast"/>
              <w:jc w:val="center"/>
              <w:rPr>
                <w:rFonts w:hint="eastAsia" w:ascii="宋体" w:hAnsi="宋体" w:eastAsia="宋体" w:cs="宋体"/>
                <w:sz w:val="21"/>
                <w:szCs w:val="21"/>
                <w:highlight w:val="none"/>
                <w:lang w:val="en-US" w:eastAsia="zh-CN"/>
              </w:rPr>
            </w:pPr>
          </w:p>
        </w:tc>
      </w:tr>
      <w:tr w14:paraId="30D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1" w:type="pct"/>
            <w:vAlign w:val="center"/>
          </w:tcPr>
          <w:p w14:paraId="11EF0BFA">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774" w:type="pct"/>
            <w:vAlign w:val="center"/>
          </w:tcPr>
          <w:p w14:paraId="13F70B33">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自修桌</w:t>
            </w:r>
          </w:p>
        </w:tc>
        <w:tc>
          <w:tcPr>
            <w:tcW w:w="730" w:type="pct"/>
            <w:vAlign w:val="center"/>
          </w:tcPr>
          <w:p w14:paraId="3B773DA3">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三人位</w:t>
            </w:r>
          </w:p>
        </w:tc>
        <w:tc>
          <w:tcPr>
            <w:tcW w:w="1039" w:type="pct"/>
            <w:vAlign w:val="center"/>
          </w:tcPr>
          <w:p w14:paraId="441952A6">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2400*575*2250mm</w:t>
            </w:r>
          </w:p>
        </w:tc>
        <w:tc>
          <w:tcPr>
            <w:tcW w:w="442" w:type="pct"/>
            <w:vAlign w:val="center"/>
          </w:tcPr>
          <w:p w14:paraId="4B4EBD49">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张</w:t>
            </w:r>
          </w:p>
        </w:tc>
        <w:tc>
          <w:tcPr>
            <w:tcW w:w="397" w:type="pct"/>
            <w:vAlign w:val="center"/>
          </w:tcPr>
          <w:p w14:paraId="780D5FCE">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35" w:type="pct"/>
            <w:vAlign w:val="center"/>
          </w:tcPr>
          <w:p w14:paraId="4F71B473">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2C6958EE">
            <w:pPr>
              <w:spacing w:line="240" w:lineRule="atLeast"/>
              <w:jc w:val="center"/>
              <w:rPr>
                <w:rFonts w:hint="eastAsia" w:ascii="宋体" w:hAnsi="宋体" w:eastAsia="宋体" w:cs="宋体"/>
                <w:sz w:val="21"/>
                <w:szCs w:val="21"/>
                <w:highlight w:val="none"/>
                <w:lang w:val="en-US" w:eastAsia="zh-CN"/>
              </w:rPr>
            </w:pPr>
          </w:p>
        </w:tc>
      </w:tr>
      <w:tr w14:paraId="685A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1" w:type="pct"/>
            <w:vAlign w:val="center"/>
          </w:tcPr>
          <w:p w14:paraId="5AE58942">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774" w:type="pct"/>
            <w:vAlign w:val="center"/>
          </w:tcPr>
          <w:p w14:paraId="4E88445B">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衣柜</w:t>
            </w:r>
          </w:p>
        </w:tc>
        <w:tc>
          <w:tcPr>
            <w:tcW w:w="730" w:type="pct"/>
            <w:vAlign w:val="center"/>
          </w:tcPr>
          <w:p w14:paraId="5CF88F68">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三人位</w:t>
            </w:r>
          </w:p>
        </w:tc>
        <w:tc>
          <w:tcPr>
            <w:tcW w:w="1039" w:type="pct"/>
            <w:vAlign w:val="center"/>
          </w:tcPr>
          <w:p w14:paraId="4EB282A2">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1200*600*2250mm</w:t>
            </w:r>
          </w:p>
        </w:tc>
        <w:tc>
          <w:tcPr>
            <w:tcW w:w="442" w:type="pct"/>
            <w:vAlign w:val="center"/>
          </w:tcPr>
          <w:p w14:paraId="5AE2CD0C">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个</w:t>
            </w:r>
          </w:p>
        </w:tc>
        <w:tc>
          <w:tcPr>
            <w:tcW w:w="397" w:type="pct"/>
            <w:vAlign w:val="center"/>
          </w:tcPr>
          <w:p w14:paraId="386C23B3">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35" w:type="pct"/>
            <w:vAlign w:val="center"/>
          </w:tcPr>
          <w:p w14:paraId="0B395413">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6FCF9899">
            <w:pPr>
              <w:spacing w:line="240" w:lineRule="atLeast"/>
              <w:jc w:val="center"/>
              <w:rPr>
                <w:rFonts w:hint="eastAsia" w:ascii="宋体" w:hAnsi="宋体" w:eastAsia="宋体" w:cs="宋体"/>
                <w:sz w:val="21"/>
                <w:szCs w:val="21"/>
                <w:highlight w:val="none"/>
                <w:lang w:val="en-US" w:eastAsia="zh-CN"/>
              </w:rPr>
            </w:pPr>
          </w:p>
        </w:tc>
      </w:tr>
      <w:tr w14:paraId="130D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71" w:type="pct"/>
            <w:vAlign w:val="center"/>
          </w:tcPr>
          <w:p w14:paraId="35FED9A9">
            <w:pPr>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774" w:type="pct"/>
            <w:vAlign w:val="center"/>
          </w:tcPr>
          <w:p w14:paraId="7910177F">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公寓椅</w:t>
            </w:r>
          </w:p>
        </w:tc>
        <w:tc>
          <w:tcPr>
            <w:tcW w:w="730" w:type="pct"/>
            <w:vAlign w:val="center"/>
          </w:tcPr>
          <w:p w14:paraId="650B654B">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单人位</w:t>
            </w:r>
          </w:p>
        </w:tc>
        <w:tc>
          <w:tcPr>
            <w:tcW w:w="1039" w:type="pct"/>
            <w:vAlign w:val="center"/>
          </w:tcPr>
          <w:p w14:paraId="76788A53">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410*510*840mm</w:t>
            </w:r>
          </w:p>
        </w:tc>
        <w:tc>
          <w:tcPr>
            <w:tcW w:w="442" w:type="pct"/>
            <w:vAlign w:val="center"/>
          </w:tcPr>
          <w:p w14:paraId="2083EDA8">
            <w:pPr>
              <w:spacing w:line="24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397" w:type="pct"/>
            <w:vAlign w:val="center"/>
          </w:tcPr>
          <w:p w14:paraId="44108DAF">
            <w:pPr>
              <w:spacing w:line="24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286</w:t>
            </w:r>
          </w:p>
        </w:tc>
        <w:tc>
          <w:tcPr>
            <w:tcW w:w="635" w:type="pct"/>
            <w:vAlign w:val="center"/>
          </w:tcPr>
          <w:p w14:paraId="488E15B0">
            <w:pPr>
              <w:spacing w:line="240" w:lineRule="atLeast"/>
              <w:jc w:val="center"/>
              <w:rPr>
                <w:rFonts w:hint="eastAsia" w:ascii="宋体" w:hAnsi="宋体" w:eastAsia="宋体" w:cs="宋体"/>
                <w:sz w:val="21"/>
                <w:szCs w:val="21"/>
                <w:highlight w:val="none"/>
                <w:lang w:val="en-US" w:eastAsia="zh-CN"/>
              </w:rPr>
            </w:pPr>
          </w:p>
        </w:tc>
        <w:tc>
          <w:tcPr>
            <w:tcW w:w="609" w:type="pct"/>
            <w:vAlign w:val="center"/>
          </w:tcPr>
          <w:p w14:paraId="0A41CE7A">
            <w:pPr>
              <w:spacing w:line="240" w:lineRule="atLeast"/>
              <w:jc w:val="center"/>
              <w:rPr>
                <w:rFonts w:hint="eastAsia" w:ascii="宋体" w:hAnsi="宋体" w:eastAsia="宋体" w:cs="宋体"/>
                <w:sz w:val="21"/>
                <w:szCs w:val="21"/>
                <w:highlight w:val="none"/>
                <w:lang w:val="en-US" w:eastAsia="zh-CN"/>
              </w:rPr>
            </w:pPr>
          </w:p>
        </w:tc>
      </w:tr>
      <w:tr w14:paraId="7852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pct"/>
            <w:vAlign w:val="center"/>
          </w:tcPr>
          <w:p w14:paraId="5B4E9E2F">
            <w:pPr>
              <w:spacing w:line="24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019" w:type="pct"/>
            <w:gridSpan w:val="6"/>
            <w:vAlign w:val="center"/>
          </w:tcPr>
          <w:p w14:paraId="34F05AC2">
            <w:pPr>
              <w:spacing w:line="24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合计（元）</w:t>
            </w:r>
          </w:p>
        </w:tc>
        <w:tc>
          <w:tcPr>
            <w:tcW w:w="609" w:type="pct"/>
            <w:vAlign w:val="center"/>
          </w:tcPr>
          <w:p w14:paraId="3494CDEE">
            <w:pPr>
              <w:spacing w:line="240" w:lineRule="atLeast"/>
              <w:jc w:val="center"/>
              <w:rPr>
                <w:rFonts w:hint="eastAsia" w:ascii="宋体" w:hAnsi="宋体" w:eastAsia="宋体" w:cs="宋体"/>
                <w:sz w:val="21"/>
                <w:szCs w:val="21"/>
                <w:highlight w:val="none"/>
                <w:lang w:val="en-US" w:eastAsia="zh-CN"/>
              </w:rPr>
            </w:pPr>
          </w:p>
        </w:tc>
      </w:tr>
    </w:tbl>
    <w:p w14:paraId="113BD2F8">
      <w:pPr>
        <w:spacing w:line="360" w:lineRule="auto"/>
        <w:jc w:val="right"/>
        <w:rPr>
          <w:rFonts w:cs="Times New Roman" w:asciiTheme="majorEastAsia" w:hAnsiTheme="majorEastAsia" w:eastAsiaTheme="majorEastAsia"/>
          <w:szCs w:val="21"/>
          <w:highlight w:val="none"/>
        </w:rPr>
      </w:pPr>
    </w:p>
    <w:p w14:paraId="62FFEF84">
      <w:pPr>
        <w:spacing w:line="360" w:lineRule="auto"/>
        <w:jc w:val="right"/>
        <w:rPr>
          <w:rFonts w:hint="eastAsia" w:cs="Times New Roman" w:asciiTheme="majorEastAsia" w:hAnsiTheme="majorEastAsia" w:eastAsiaTheme="majorEastAsia"/>
          <w:szCs w:val="21"/>
          <w:highlight w:val="none"/>
        </w:rPr>
      </w:pPr>
      <w:r>
        <w:rPr>
          <w:rFonts w:cs="Times New Roman" w:asciiTheme="majorEastAsia" w:hAnsiTheme="majorEastAsia" w:eastAsiaTheme="majorEastAsia"/>
          <w:szCs w:val="21"/>
          <w:highlight w:val="none"/>
        </w:rPr>
        <w:t>投标人名称：</w:t>
      </w:r>
      <w:r>
        <w:rPr>
          <w:rFonts w:cs="Times New Roman" w:asciiTheme="majorEastAsia" w:hAnsiTheme="majorEastAsia" w:eastAsiaTheme="majorEastAsia"/>
          <w:szCs w:val="21"/>
          <w:highlight w:val="none"/>
          <w:u w:val="single"/>
        </w:rPr>
        <w:t xml:space="preserve">                     </w:t>
      </w:r>
      <w:r>
        <w:rPr>
          <w:rFonts w:cs="Times New Roman" w:asciiTheme="majorEastAsia" w:hAnsiTheme="majorEastAsia" w:eastAsiaTheme="majorEastAsia"/>
          <w:szCs w:val="21"/>
          <w:highlight w:val="none"/>
        </w:rPr>
        <w:t>（盖单位公章）</w:t>
      </w:r>
    </w:p>
    <w:p w14:paraId="0CA8F991">
      <w:pPr>
        <w:spacing w:line="360" w:lineRule="auto"/>
        <w:jc w:val="right"/>
        <w:rPr>
          <w:rFonts w:hint="eastAsia" w:cs="Times New Roman" w:asciiTheme="majorEastAsia" w:hAnsiTheme="majorEastAsia" w:eastAsiaTheme="majorEastAsia"/>
          <w:szCs w:val="21"/>
          <w:highlight w:val="none"/>
        </w:rPr>
      </w:pPr>
      <w:r>
        <w:rPr>
          <w:rFonts w:cs="Times New Roman" w:asciiTheme="majorEastAsia" w:hAnsiTheme="majorEastAsia" w:eastAsiaTheme="majorEastAsia"/>
          <w:szCs w:val="21"/>
          <w:highlight w:val="none"/>
        </w:rPr>
        <w:t>法定代表人或者其委托代理人：</w:t>
      </w:r>
      <w:r>
        <w:rPr>
          <w:rFonts w:cs="Times New Roman" w:asciiTheme="majorEastAsia" w:hAnsiTheme="majorEastAsia" w:eastAsiaTheme="majorEastAsia"/>
          <w:szCs w:val="21"/>
          <w:highlight w:val="none"/>
          <w:u w:val="single"/>
        </w:rPr>
        <w:t xml:space="preserve">           </w:t>
      </w:r>
      <w:r>
        <w:rPr>
          <w:rFonts w:cs="Times New Roman" w:asciiTheme="majorEastAsia" w:hAnsiTheme="majorEastAsia" w:eastAsiaTheme="majorEastAsia"/>
          <w:szCs w:val="21"/>
          <w:highlight w:val="none"/>
        </w:rPr>
        <w:t>（签字）</w:t>
      </w:r>
    </w:p>
    <w:p w14:paraId="56E78F4E">
      <w:pPr>
        <w:widowControl/>
        <w:spacing w:line="360" w:lineRule="auto"/>
        <w:ind w:firstLine="3570" w:firstLineChars="1700"/>
        <w:jc w:val="left"/>
        <w:rPr>
          <w:rFonts w:hint="eastAsia" w:cs="Times New Roman" w:asciiTheme="majorEastAsia" w:hAnsiTheme="majorEastAsia" w:eastAsiaTheme="majorEastAsia"/>
          <w:szCs w:val="21"/>
          <w:highlight w:val="none"/>
        </w:rPr>
      </w:pPr>
      <w:r>
        <w:rPr>
          <w:rFonts w:hint="eastAsia" w:cs="Times New Roman" w:asciiTheme="majorEastAsia" w:hAnsiTheme="majorEastAsia" w:eastAsiaTheme="majorEastAsia"/>
          <w:szCs w:val="21"/>
          <w:highlight w:val="none"/>
        </w:rPr>
        <w:t>日期：</w:t>
      </w:r>
      <w:r>
        <w:rPr>
          <w:rFonts w:cs="Times New Roman" w:asciiTheme="majorEastAsia" w:hAnsiTheme="majorEastAsia" w:eastAsiaTheme="majorEastAsia"/>
          <w:szCs w:val="21"/>
          <w:highlight w:val="none"/>
          <w:u w:val="single"/>
        </w:rPr>
        <w:t xml:space="preserve">      </w:t>
      </w:r>
      <w:r>
        <w:rPr>
          <w:rFonts w:cs="Times New Roman" w:asciiTheme="majorEastAsia" w:hAnsiTheme="majorEastAsia" w:eastAsiaTheme="majorEastAsia"/>
          <w:szCs w:val="21"/>
          <w:highlight w:val="none"/>
        </w:rPr>
        <w:t>年</w:t>
      </w:r>
      <w:r>
        <w:rPr>
          <w:rFonts w:cs="Times New Roman" w:asciiTheme="majorEastAsia" w:hAnsiTheme="majorEastAsia" w:eastAsiaTheme="majorEastAsia"/>
          <w:szCs w:val="21"/>
          <w:highlight w:val="none"/>
          <w:u w:val="single"/>
        </w:rPr>
        <w:t xml:space="preserve">       </w:t>
      </w:r>
      <w:r>
        <w:rPr>
          <w:rFonts w:cs="Times New Roman" w:asciiTheme="majorEastAsia" w:hAnsiTheme="majorEastAsia" w:eastAsiaTheme="majorEastAsia"/>
          <w:szCs w:val="21"/>
          <w:highlight w:val="none"/>
        </w:rPr>
        <w:t>月</w:t>
      </w:r>
      <w:r>
        <w:rPr>
          <w:rFonts w:cs="Times New Roman" w:asciiTheme="majorEastAsia" w:hAnsiTheme="majorEastAsia" w:eastAsiaTheme="majorEastAsia"/>
          <w:szCs w:val="21"/>
          <w:highlight w:val="none"/>
          <w:u w:val="single"/>
        </w:rPr>
        <w:t xml:space="preserve">      </w:t>
      </w:r>
      <w:r>
        <w:rPr>
          <w:rFonts w:cs="Times New Roman" w:asciiTheme="majorEastAsia" w:hAnsiTheme="majorEastAsia" w:eastAsiaTheme="majorEastAsia"/>
          <w:szCs w:val="21"/>
          <w:highlight w:val="none"/>
        </w:rPr>
        <w:t>日</w:t>
      </w:r>
    </w:p>
    <w:p w14:paraId="71C41F40">
      <w:pPr>
        <w:widowControl/>
        <w:jc w:val="left"/>
        <w:rPr>
          <w:rFonts w:ascii="宋体" w:hAnsi="宋体" w:eastAsia="宋体" w:cs="宋体"/>
          <w:sz w:val="24"/>
          <w:szCs w:val="24"/>
          <w:highlight w:val="none"/>
        </w:rPr>
      </w:pPr>
    </w:p>
    <w:p w14:paraId="69898A2B">
      <w:pPr>
        <w:rPr>
          <w:rFonts w:hint="eastAsia" w:ascii="宋体" w:hAnsi="宋体" w:eastAsia="宋体" w:cs="宋体"/>
          <w:sz w:val="24"/>
          <w:szCs w:val="24"/>
          <w:highlight w:val="none"/>
          <w:u w:color="000000"/>
        </w:rPr>
      </w:pPr>
      <w:bookmarkStart w:id="32" w:name="_Toc8435"/>
      <w:bookmarkStart w:id="33" w:name="_Toc415494580"/>
      <w:bookmarkStart w:id="34" w:name="_Toc11859493"/>
      <w:bookmarkStart w:id="35" w:name="_Toc448069993"/>
      <w:bookmarkStart w:id="36" w:name="_Toc55"/>
      <w:r>
        <w:rPr>
          <w:rFonts w:hint="eastAsia" w:ascii="宋体" w:hAnsi="宋体" w:eastAsia="宋体" w:cs="宋体"/>
          <w:sz w:val="24"/>
          <w:szCs w:val="24"/>
          <w:highlight w:val="none"/>
          <w:u w:color="000000"/>
        </w:rPr>
        <w:br w:type="page"/>
      </w:r>
    </w:p>
    <w:p w14:paraId="1CAF3F5A">
      <w:pPr>
        <w:jc w:val="left"/>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t>6.3 法定代表人授权委托书</w:t>
      </w:r>
      <w:bookmarkEnd w:id="32"/>
      <w:bookmarkEnd w:id="33"/>
      <w:bookmarkEnd w:id="34"/>
      <w:bookmarkEnd w:id="35"/>
      <w:bookmarkEnd w:id="36"/>
    </w:p>
    <w:p w14:paraId="788407C7">
      <w:pPr>
        <w:spacing w:before="312" w:beforeLines="100" w:after="312" w:afterLines="100" w:line="360" w:lineRule="auto"/>
        <w:jc w:val="center"/>
        <w:rPr>
          <w:rFonts w:ascii="宋体" w:hAnsi="宋体" w:eastAsia="宋体" w:cs="宋体"/>
          <w:sz w:val="28"/>
          <w:szCs w:val="28"/>
          <w:highlight w:val="none"/>
          <w:u w:color="000000"/>
        </w:rPr>
      </w:pPr>
      <w:r>
        <w:rPr>
          <w:rFonts w:hint="eastAsia" w:ascii="宋体" w:hAnsi="宋体" w:eastAsia="宋体" w:cs="宋体"/>
          <w:bCs/>
          <w:sz w:val="28"/>
          <w:szCs w:val="28"/>
          <w:highlight w:val="none"/>
          <w:u w:color="000000"/>
          <w:lang w:val="zh-TW"/>
        </w:rPr>
        <w:t>法定代表人</w:t>
      </w:r>
      <w:r>
        <w:rPr>
          <w:rFonts w:hint="eastAsia" w:ascii="宋体" w:hAnsi="宋体" w:eastAsia="宋体" w:cs="宋体"/>
          <w:bCs/>
          <w:sz w:val="28"/>
          <w:szCs w:val="28"/>
          <w:highlight w:val="none"/>
          <w:u w:color="000000"/>
          <w:lang w:val="zh-TW" w:eastAsia="zh-TW"/>
        </w:rPr>
        <w:t>授权</w:t>
      </w:r>
      <w:r>
        <w:rPr>
          <w:rFonts w:hint="eastAsia" w:ascii="宋体" w:hAnsi="宋体" w:eastAsia="宋体" w:cs="宋体"/>
          <w:bCs/>
          <w:sz w:val="28"/>
          <w:szCs w:val="28"/>
          <w:highlight w:val="none"/>
          <w:u w:color="000000"/>
          <w:lang w:val="zh-TW"/>
        </w:rPr>
        <w:t>委托</w:t>
      </w:r>
      <w:r>
        <w:rPr>
          <w:rFonts w:hint="eastAsia" w:ascii="宋体" w:hAnsi="宋体" w:eastAsia="宋体" w:cs="宋体"/>
          <w:bCs/>
          <w:sz w:val="28"/>
          <w:szCs w:val="28"/>
          <w:highlight w:val="none"/>
          <w:u w:color="000000"/>
          <w:lang w:val="zh-TW" w:eastAsia="zh-TW"/>
        </w:rPr>
        <w:t>书</w:t>
      </w:r>
    </w:p>
    <w:p w14:paraId="4114B995">
      <w:pPr>
        <w:shd w:val="clear" w:color="auto" w:fill="FFFFFF"/>
        <w:snapToGrid w:val="0"/>
        <w:spacing w:line="360" w:lineRule="auto"/>
        <w:ind w:firstLine="482"/>
        <w:rPr>
          <w:rFonts w:ascii="宋体" w:hAnsi="宋体" w:eastAsia="宋体" w:cs="宋体"/>
          <w:bCs/>
          <w:sz w:val="24"/>
          <w:szCs w:val="24"/>
          <w:highlight w:val="none"/>
        </w:rPr>
      </w:pPr>
      <w:r>
        <w:rPr>
          <w:rFonts w:hint="eastAsia" w:ascii="宋体" w:hAnsi="宋体" w:eastAsia="宋体" w:cs="宋体"/>
          <w:bCs/>
          <w:sz w:val="24"/>
          <w:szCs w:val="24"/>
          <w:highlight w:val="none"/>
        </w:rPr>
        <w:t>本授权书声明：____________（投标人名称）授权________________（被授权人的姓名、职务）为我方就</w:t>
      </w:r>
      <w:r>
        <w:rPr>
          <w:rFonts w:hint="eastAsia" w:ascii="宋体" w:hAnsi="宋体" w:eastAsia="宋体" w:cs="宋体"/>
          <w:bCs/>
          <w:sz w:val="24"/>
          <w:szCs w:val="24"/>
          <w:highlight w:val="none"/>
          <w:u w:val="single"/>
          <w:lang w:eastAsia="zh-CN"/>
        </w:rPr>
        <w:t>南京邮电大学通达学院2025年学生公寓组合床采购</w:t>
      </w:r>
      <w:r>
        <w:rPr>
          <w:rFonts w:hint="eastAsia" w:ascii="宋体" w:hAnsi="宋体" w:eastAsia="宋体" w:cs="宋体"/>
          <w:bCs/>
          <w:sz w:val="24"/>
          <w:szCs w:val="24"/>
          <w:highlight w:val="none"/>
          <w:u w:val="single"/>
        </w:rPr>
        <w:t>项目</w:t>
      </w: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）采购活动的合法代理人，以本单位名义全权处理一切与该项目采购有关的事务。</w:t>
      </w:r>
    </w:p>
    <w:p w14:paraId="729FE8C9">
      <w:pPr>
        <w:shd w:val="clear" w:color="auto" w:fill="FFFFFF"/>
        <w:snapToGrid w:val="0"/>
        <w:spacing w:line="360" w:lineRule="auto"/>
        <w:ind w:firstLine="482"/>
        <w:rPr>
          <w:rFonts w:ascii="宋体" w:hAnsi="宋体" w:eastAsia="宋体" w:cs="宋体"/>
          <w:bCs/>
          <w:sz w:val="24"/>
          <w:szCs w:val="24"/>
          <w:highlight w:val="none"/>
        </w:rPr>
      </w:pPr>
      <w:r>
        <w:rPr>
          <w:rFonts w:hint="eastAsia" w:ascii="宋体" w:hAnsi="宋体" w:eastAsia="宋体" w:cs="宋体"/>
          <w:bCs/>
          <w:sz w:val="24"/>
          <w:szCs w:val="24"/>
          <w:highlight w:val="none"/>
        </w:rPr>
        <w:t>本授权书于______年____月____日起生效，特此声明。</w:t>
      </w:r>
    </w:p>
    <w:p w14:paraId="15F48285">
      <w:pPr>
        <w:shd w:val="clear" w:color="auto" w:fill="FFFFFF"/>
        <w:snapToGrid w:val="0"/>
        <w:spacing w:line="360" w:lineRule="auto"/>
        <w:ind w:firstLine="480"/>
        <w:rPr>
          <w:rFonts w:ascii="宋体" w:hAnsi="宋体" w:eastAsia="宋体" w:cs="宋体"/>
          <w:bCs/>
          <w:highlight w:val="none"/>
        </w:rPr>
      </w:pPr>
    </w:p>
    <w:p w14:paraId="7F037319">
      <w:pPr>
        <w:shd w:val="clear" w:color="auto" w:fill="FFFFFF"/>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授权单位盖章：_________________________________</w:t>
      </w:r>
    </w:p>
    <w:p w14:paraId="47218DFE">
      <w:pPr>
        <w:shd w:val="clear" w:color="auto" w:fill="FFFFFF"/>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单位名称：_____________________________________</w:t>
      </w:r>
    </w:p>
    <w:p w14:paraId="69D14B91">
      <w:pPr>
        <w:shd w:val="clear" w:color="auto" w:fill="FFFFFF"/>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法人签字：_____________________________________</w:t>
      </w:r>
    </w:p>
    <w:p w14:paraId="07910C20">
      <w:pPr>
        <w:shd w:val="clear" w:color="auto" w:fill="FFFFFF"/>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代理人（被授权人）签字：_______________________</w:t>
      </w:r>
    </w:p>
    <w:p w14:paraId="7EEEE424">
      <w:pPr>
        <w:shd w:val="clear" w:color="auto" w:fill="FFFFFF"/>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职    务：_____________________________________</w:t>
      </w:r>
    </w:p>
    <w:p w14:paraId="7DDF5597">
      <w:pPr>
        <w:shd w:val="clear" w:color="auto" w:fill="FFFFFF"/>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地址：</w:t>
      </w:r>
      <w:r>
        <w:rPr>
          <w:rFonts w:hint="eastAsia" w:ascii="宋体" w:hAnsi="宋体" w:eastAsia="宋体" w:cs="宋体"/>
          <w:bCs/>
          <w:sz w:val="24"/>
          <w:szCs w:val="24"/>
          <w:highlight w:val="none"/>
          <w:u w:val="single"/>
        </w:rPr>
        <w:t xml:space="preserve">                                         </w:t>
      </w:r>
    </w:p>
    <w:p w14:paraId="0ABCAA97">
      <w:pPr>
        <w:shd w:val="clear" w:color="auto" w:fill="FFFFFF"/>
        <w:snapToGrid w:val="0"/>
        <w:spacing w:line="360" w:lineRule="auto"/>
        <w:rPr>
          <w:rFonts w:ascii="宋体" w:hAnsi="宋体" w:eastAsia="宋体" w:cs="宋体"/>
          <w:sz w:val="24"/>
          <w:szCs w:val="24"/>
          <w:highlight w:val="none"/>
        </w:rPr>
      </w:pPr>
      <w:r>
        <w:rPr>
          <w:rFonts w:hint="eastAsia" w:ascii="宋体" w:hAnsi="宋体" w:eastAsia="宋体" w:cs="宋体"/>
          <w:bCs/>
          <w:sz w:val="24"/>
          <w:szCs w:val="24"/>
          <w:highlight w:val="none"/>
        </w:rPr>
        <w:t xml:space="preserve">         日期：______年____月____日</w:t>
      </w:r>
    </w:p>
    <w:p w14:paraId="55707D8E">
      <w:pPr>
        <w:spacing w:line="360" w:lineRule="auto"/>
        <w:rPr>
          <w:rFonts w:ascii="宋体" w:hAnsi="宋体" w:eastAsia="宋体" w:cs="宋体"/>
          <w:b/>
          <w:bCs/>
          <w:kern w:val="11"/>
          <w:szCs w:val="21"/>
          <w:highlight w:val="none"/>
          <w:u w:val="single" w:color="000000"/>
          <w:lang w:val="zh-TW"/>
        </w:rPr>
      </w:pPr>
    </w:p>
    <w:p w14:paraId="1E648471">
      <w:pPr>
        <w:spacing w:line="360" w:lineRule="auto"/>
        <w:ind w:right="420"/>
        <w:rPr>
          <w:rFonts w:ascii="宋体" w:hAnsi="宋体" w:eastAsia="宋体" w:cs="宋体"/>
          <w:szCs w:val="21"/>
          <w:highlight w:val="none"/>
          <w:u w:color="000000"/>
          <w:lang w:val="zh-TW" w:eastAsia="zh-TW"/>
        </w:rPr>
      </w:pPr>
    </w:p>
    <w:p w14:paraId="740E0EB0">
      <w:pPr>
        <w:spacing w:line="360" w:lineRule="auto"/>
        <w:ind w:right="420"/>
        <w:rPr>
          <w:rFonts w:ascii="宋体" w:hAnsi="宋体" w:eastAsia="宋体" w:cs="宋体"/>
          <w:b/>
          <w:szCs w:val="21"/>
          <w:highlight w:val="none"/>
          <w:u w:color="000000"/>
          <w:lang w:val="zh-TW"/>
        </w:rPr>
      </w:pPr>
      <w:r>
        <w:rPr>
          <w:rFonts w:hint="eastAsia" w:ascii="宋体" w:hAnsi="宋体" w:eastAsia="宋体" w:cs="宋体"/>
          <w:b/>
          <w:szCs w:val="21"/>
          <w:highlight w:val="none"/>
          <w:u w:color="000000"/>
          <w:lang w:val="zh-TW" w:eastAsia="zh-TW"/>
        </w:rPr>
        <w:t>注：</w:t>
      </w:r>
      <w:r>
        <w:rPr>
          <w:rFonts w:hint="eastAsia" w:ascii="宋体" w:hAnsi="宋体" w:eastAsia="宋体" w:cs="宋体"/>
          <w:b/>
          <w:szCs w:val="21"/>
          <w:highlight w:val="none"/>
          <w:u w:color="000000"/>
          <w:lang w:val="zh-TW"/>
        </w:rPr>
        <w:t>代理</w:t>
      </w:r>
      <w:r>
        <w:rPr>
          <w:rFonts w:hint="eastAsia" w:ascii="宋体" w:hAnsi="宋体" w:eastAsia="宋体" w:cs="宋体"/>
          <w:b/>
          <w:szCs w:val="21"/>
          <w:highlight w:val="none"/>
          <w:u w:color="000000"/>
          <w:lang w:val="zh-TW" w:eastAsia="zh-TW"/>
        </w:rPr>
        <w:t>人应持本</w:t>
      </w:r>
      <w:r>
        <w:rPr>
          <w:rFonts w:hint="eastAsia" w:ascii="宋体" w:hAnsi="宋体" w:eastAsia="宋体" w:cs="宋体"/>
          <w:b/>
          <w:szCs w:val="21"/>
          <w:highlight w:val="none"/>
          <w:u w:color="000000"/>
          <w:lang w:val="zh-TW"/>
        </w:rPr>
        <w:t>授权书</w:t>
      </w:r>
      <w:r>
        <w:rPr>
          <w:rFonts w:hint="eastAsia" w:ascii="宋体" w:hAnsi="宋体" w:eastAsia="宋体" w:cs="宋体"/>
          <w:b/>
          <w:szCs w:val="21"/>
          <w:highlight w:val="none"/>
          <w:u w:color="000000"/>
          <w:lang w:val="zh-TW" w:eastAsia="zh-TW"/>
        </w:rPr>
        <w:t>参加</w:t>
      </w:r>
      <w:r>
        <w:rPr>
          <w:rFonts w:hint="eastAsia" w:ascii="宋体" w:hAnsi="宋体" w:eastAsia="宋体" w:cs="宋体"/>
          <w:b/>
          <w:szCs w:val="21"/>
          <w:highlight w:val="none"/>
          <w:u w:color="000000"/>
          <w:lang w:val="zh-TW"/>
        </w:rPr>
        <w:t>投标</w:t>
      </w:r>
      <w:r>
        <w:rPr>
          <w:rFonts w:hint="eastAsia" w:ascii="宋体" w:hAnsi="宋体" w:eastAsia="宋体" w:cs="宋体"/>
          <w:b/>
          <w:szCs w:val="21"/>
          <w:highlight w:val="none"/>
          <w:u w:color="000000"/>
          <w:lang w:val="zh-TW" w:eastAsia="zh-TW"/>
        </w:rPr>
        <w:t>，并提供一份原件在</w:t>
      </w:r>
      <w:r>
        <w:rPr>
          <w:rFonts w:hint="eastAsia" w:ascii="宋体" w:hAnsi="宋体" w:eastAsia="宋体" w:cs="宋体"/>
          <w:b/>
          <w:szCs w:val="21"/>
          <w:highlight w:val="none"/>
          <w:u w:color="000000"/>
          <w:lang w:val="zh-TW"/>
        </w:rPr>
        <w:t>投标</w:t>
      </w:r>
      <w:r>
        <w:rPr>
          <w:rFonts w:hint="eastAsia" w:ascii="宋体" w:hAnsi="宋体" w:eastAsia="宋体" w:cs="宋体"/>
          <w:b/>
          <w:szCs w:val="21"/>
          <w:highlight w:val="none"/>
          <w:u w:color="000000"/>
          <w:lang w:val="zh-TW" w:eastAsia="zh-TW"/>
        </w:rPr>
        <w:t>文件中</w:t>
      </w:r>
      <w:r>
        <w:rPr>
          <w:rFonts w:hint="eastAsia" w:ascii="宋体" w:hAnsi="宋体" w:eastAsia="宋体" w:cs="宋体"/>
          <w:b/>
          <w:szCs w:val="21"/>
          <w:highlight w:val="none"/>
          <w:u w:color="000000"/>
          <w:lang w:val="zh-TW"/>
        </w:rPr>
        <w:t>。</w:t>
      </w:r>
    </w:p>
    <w:p w14:paraId="0F0FFD23">
      <w:pPr>
        <w:spacing w:line="360" w:lineRule="auto"/>
        <w:ind w:right="420"/>
        <w:rPr>
          <w:rFonts w:ascii="宋体" w:hAnsi="宋体" w:eastAsia="宋体" w:cs="宋体"/>
          <w:szCs w:val="21"/>
          <w:highlight w:val="none"/>
          <w:u w:color="000000"/>
        </w:rPr>
      </w:pPr>
    </w:p>
    <w:p w14:paraId="31B4B821">
      <w:pPr>
        <w:jc w:val="left"/>
        <w:rPr>
          <w:rFonts w:ascii="宋体" w:hAnsi="宋体" w:eastAsia="宋体" w:cs="宋体"/>
          <w:szCs w:val="21"/>
          <w:highlight w:val="none"/>
          <w:u w:color="000000"/>
        </w:rPr>
      </w:pPr>
      <w:r>
        <w:rPr>
          <w:rFonts w:hint="eastAsia" w:ascii="宋体" w:hAnsi="宋体" w:eastAsia="宋体" w:cs="宋体"/>
          <w:szCs w:val="21"/>
          <w:highlight w:val="none"/>
          <w:u w:color="000000"/>
        </w:rPr>
        <w:br w:type="page"/>
      </w:r>
    </w:p>
    <w:p w14:paraId="64D30C25">
      <w:pPr>
        <w:snapToGrid w:val="0"/>
        <w:spacing w:line="360" w:lineRule="auto"/>
        <w:ind w:firstLine="482"/>
        <w:rPr>
          <w:rFonts w:ascii="宋体" w:hAnsi="宋体" w:eastAsia="宋体" w:cs="宋体"/>
          <w:sz w:val="24"/>
          <w:szCs w:val="24"/>
          <w:highlight w:val="none"/>
          <w:u w:color="000000"/>
          <w:lang w:val="zh-TW"/>
        </w:rPr>
      </w:pPr>
      <w:r>
        <w:rPr>
          <w:rFonts w:hint="eastAsia" w:ascii="宋体" w:hAnsi="宋体" w:eastAsia="宋体" w:cs="宋体"/>
          <w:sz w:val="24"/>
          <w:szCs w:val="24"/>
          <w:highlight w:val="none"/>
          <w:u w:color="000000"/>
          <w:lang w:val="zh-TW" w:eastAsia="zh-TW"/>
        </w:rPr>
        <w:t>附：</w:t>
      </w:r>
      <w:r>
        <w:rPr>
          <w:rFonts w:hint="eastAsia" w:ascii="宋体" w:hAnsi="宋体" w:eastAsia="宋体" w:cs="宋体"/>
          <w:bCs/>
          <w:sz w:val="24"/>
          <w:szCs w:val="24"/>
          <w:highlight w:val="none"/>
        </w:rPr>
        <w:t>法人</w:t>
      </w:r>
      <w:r>
        <w:rPr>
          <w:rFonts w:hint="eastAsia" w:ascii="宋体" w:hAnsi="宋体" w:eastAsia="宋体" w:cs="宋体"/>
          <w:sz w:val="24"/>
          <w:szCs w:val="24"/>
          <w:highlight w:val="none"/>
          <w:u w:color="000000"/>
          <w:lang w:val="zh-TW" w:eastAsia="zh-TW"/>
        </w:rPr>
        <w:t>身份证复印件</w:t>
      </w:r>
      <w:r>
        <w:rPr>
          <w:rFonts w:hint="eastAsia" w:ascii="宋体" w:hAnsi="宋体" w:eastAsia="宋体" w:cs="宋体"/>
          <w:sz w:val="24"/>
          <w:szCs w:val="24"/>
          <w:highlight w:val="none"/>
          <w:u w:color="000000"/>
          <w:lang w:val="zh-TW"/>
        </w:rPr>
        <w:t>（</w:t>
      </w:r>
      <w:r>
        <w:rPr>
          <w:rFonts w:hint="eastAsia" w:ascii="宋体" w:hAnsi="宋体" w:eastAsia="宋体" w:cs="宋体"/>
          <w:sz w:val="24"/>
          <w:szCs w:val="24"/>
          <w:highlight w:val="none"/>
          <w:u w:color="000000"/>
          <w:lang w:val="zh-TW" w:eastAsia="zh-TW"/>
        </w:rPr>
        <w:t>需同时提供正面及背面</w:t>
      </w:r>
      <w:r>
        <w:rPr>
          <w:rFonts w:hint="eastAsia" w:ascii="宋体" w:hAnsi="宋体" w:eastAsia="宋体" w:cs="宋体"/>
          <w:sz w:val="24"/>
          <w:szCs w:val="24"/>
          <w:highlight w:val="none"/>
          <w:u w:color="000000"/>
          <w:lang w:val="zh-TW"/>
        </w:rPr>
        <w:t>）</w:t>
      </w:r>
    </w:p>
    <w:tbl>
      <w:tblPr>
        <w:tblStyle w:val="27"/>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36B0720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14:paraId="69270E69">
            <w:pPr>
              <w:jc w:val="center"/>
              <w:rPr>
                <w:rFonts w:ascii="宋体" w:hAnsi="宋体" w:eastAsia="宋体" w:cs="宋体"/>
                <w:sz w:val="24"/>
                <w:szCs w:val="24"/>
                <w:highlight w:val="none"/>
              </w:rPr>
            </w:pPr>
            <w:r>
              <w:rPr>
                <w:rFonts w:hint="eastAsia" w:ascii="宋体" w:hAnsi="宋体" w:eastAsia="宋体" w:cs="宋体"/>
                <w:bCs/>
                <w:sz w:val="24"/>
                <w:szCs w:val="24"/>
                <w:highlight w:val="none"/>
              </w:rPr>
              <w:t>法人</w:t>
            </w:r>
            <w:r>
              <w:rPr>
                <w:rFonts w:hint="eastAsia" w:ascii="宋体" w:hAnsi="宋体" w:eastAsia="宋体" w:cs="宋体"/>
                <w:sz w:val="24"/>
                <w:szCs w:val="24"/>
                <w:highlight w:val="none"/>
              </w:rPr>
              <w:t>身份证复印件正面</w:t>
            </w:r>
          </w:p>
        </w:tc>
        <w:tc>
          <w:tcPr>
            <w:tcW w:w="4001" w:type="dxa"/>
            <w:vAlign w:val="center"/>
          </w:tcPr>
          <w:p w14:paraId="0E146B86">
            <w:pPr>
              <w:jc w:val="center"/>
              <w:rPr>
                <w:rFonts w:ascii="宋体" w:hAnsi="宋体" w:eastAsia="宋体" w:cs="宋体"/>
                <w:sz w:val="24"/>
                <w:szCs w:val="24"/>
                <w:highlight w:val="none"/>
              </w:rPr>
            </w:pPr>
            <w:r>
              <w:rPr>
                <w:rFonts w:hint="eastAsia" w:ascii="宋体" w:hAnsi="宋体" w:eastAsia="宋体" w:cs="宋体"/>
                <w:bCs/>
                <w:sz w:val="24"/>
                <w:szCs w:val="24"/>
                <w:highlight w:val="none"/>
              </w:rPr>
              <w:t>法人</w:t>
            </w:r>
            <w:r>
              <w:rPr>
                <w:rFonts w:hint="eastAsia" w:ascii="宋体" w:hAnsi="宋体" w:eastAsia="宋体" w:cs="宋体"/>
                <w:sz w:val="24"/>
                <w:szCs w:val="24"/>
                <w:highlight w:val="none"/>
              </w:rPr>
              <w:t>身份证复印件背面</w:t>
            </w:r>
          </w:p>
        </w:tc>
      </w:tr>
    </w:tbl>
    <w:p w14:paraId="3F917596">
      <w:pPr>
        <w:snapToGrid w:val="0"/>
        <w:spacing w:line="360" w:lineRule="auto"/>
        <w:ind w:firstLine="482"/>
        <w:rPr>
          <w:rFonts w:ascii="宋体" w:hAnsi="宋体" w:eastAsia="宋体" w:cs="宋体"/>
          <w:sz w:val="24"/>
          <w:szCs w:val="24"/>
          <w:highlight w:val="none"/>
          <w:u w:color="000000"/>
          <w:lang w:eastAsia="zh-TW"/>
        </w:rPr>
      </w:pPr>
    </w:p>
    <w:p w14:paraId="10A024E1">
      <w:pPr>
        <w:snapToGrid w:val="0"/>
        <w:spacing w:line="360" w:lineRule="auto"/>
        <w:ind w:firstLine="482"/>
        <w:rPr>
          <w:rFonts w:ascii="宋体" w:hAnsi="宋体" w:eastAsia="宋体" w:cs="宋体"/>
          <w:sz w:val="24"/>
          <w:szCs w:val="24"/>
          <w:highlight w:val="none"/>
          <w:u w:color="000000"/>
          <w:lang w:eastAsia="zh-TW"/>
        </w:rPr>
      </w:pPr>
    </w:p>
    <w:p w14:paraId="7AACF6D0">
      <w:pPr>
        <w:snapToGrid w:val="0"/>
        <w:spacing w:line="360" w:lineRule="auto"/>
        <w:ind w:firstLine="482"/>
        <w:rPr>
          <w:rFonts w:ascii="宋体" w:hAnsi="宋体" w:eastAsia="宋体" w:cs="宋体"/>
          <w:sz w:val="24"/>
          <w:szCs w:val="24"/>
          <w:highlight w:val="none"/>
          <w:u w:color="000000"/>
          <w:lang w:val="zh-TW"/>
        </w:rPr>
      </w:pPr>
      <w:r>
        <w:rPr>
          <w:rFonts w:hint="eastAsia" w:ascii="宋体" w:hAnsi="宋体" w:eastAsia="宋体" w:cs="宋体"/>
          <w:sz w:val="24"/>
          <w:szCs w:val="24"/>
          <w:highlight w:val="none"/>
          <w:u w:color="000000"/>
          <w:lang w:val="zh-TW" w:eastAsia="zh-TW"/>
        </w:rPr>
        <w:t>附：委托代理人身份证复印件</w:t>
      </w:r>
      <w:r>
        <w:rPr>
          <w:rFonts w:hint="eastAsia" w:ascii="宋体" w:hAnsi="宋体" w:eastAsia="宋体" w:cs="宋体"/>
          <w:sz w:val="24"/>
          <w:szCs w:val="24"/>
          <w:highlight w:val="none"/>
          <w:u w:color="000000"/>
          <w:lang w:val="zh-TW"/>
        </w:rPr>
        <w:t>（</w:t>
      </w:r>
      <w:r>
        <w:rPr>
          <w:rFonts w:hint="eastAsia" w:ascii="宋体" w:hAnsi="宋体" w:eastAsia="宋体" w:cs="宋体"/>
          <w:sz w:val="24"/>
          <w:szCs w:val="24"/>
          <w:highlight w:val="none"/>
          <w:u w:color="000000"/>
          <w:lang w:val="zh-TW" w:eastAsia="zh-TW"/>
        </w:rPr>
        <w:t>需同时提供正面及背面</w:t>
      </w:r>
      <w:r>
        <w:rPr>
          <w:rFonts w:hint="eastAsia" w:ascii="宋体" w:hAnsi="宋体" w:eastAsia="宋体" w:cs="宋体"/>
          <w:sz w:val="24"/>
          <w:szCs w:val="24"/>
          <w:highlight w:val="none"/>
          <w:u w:color="000000"/>
          <w:lang w:val="zh-TW"/>
        </w:rPr>
        <w:t>）</w:t>
      </w:r>
    </w:p>
    <w:tbl>
      <w:tblPr>
        <w:tblStyle w:val="27"/>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710B10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14:paraId="1EAF4690">
            <w:pPr>
              <w:jc w:val="center"/>
              <w:rPr>
                <w:rFonts w:ascii="宋体" w:hAnsi="宋体" w:eastAsia="宋体" w:cs="宋体"/>
                <w:sz w:val="24"/>
                <w:szCs w:val="24"/>
                <w:highlight w:val="none"/>
              </w:rPr>
            </w:pPr>
            <w:r>
              <w:rPr>
                <w:rFonts w:hint="eastAsia" w:ascii="宋体" w:hAnsi="宋体" w:eastAsia="宋体" w:cs="宋体"/>
                <w:sz w:val="24"/>
                <w:szCs w:val="24"/>
                <w:highlight w:val="none"/>
                <w:u w:color="000000"/>
                <w:lang w:val="zh-TW" w:eastAsia="zh-TW"/>
              </w:rPr>
              <w:t>代理人</w:t>
            </w:r>
            <w:r>
              <w:rPr>
                <w:rFonts w:hint="eastAsia" w:ascii="宋体" w:hAnsi="宋体" w:eastAsia="宋体" w:cs="宋体"/>
                <w:sz w:val="24"/>
                <w:szCs w:val="24"/>
                <w:highlight w:val="none"/>
              </w:rPr>
              <w:t>身份证复印件正面</w:t>
            </w:r>
          </w:p>
        </w:tc>
        <w:tc>
          <w:tcPr>
            <w:tcW w:w="4001" w:type="dxa"/>
            <w:vAlign w:val="center"/>
          </w:tcPr>
          <w:p w14:paraId="57D914B0">
            <w:pPr>
              <w:jc w:val="center"/>
              <w:rPr>
                <w:rFonts w:ascii="宋体" w:hAnsi="宋体" w:eastAsia="宋体" w:cs="宋体"/>
                <w:sz w:val="24"/>
                <w:szCs w:val="24"/>
                <w:highlight w:val="none"/>
              </w:rPr>
            </w:pPr>
            <w:r>
              <w:rPr>
                <w:rFonts w:hint="eastAsia" w:ascii="宋体" w:hAnsi="宋体" w:eastAsia="宋体" w:cs="宋体"/>
                <w:sz w:val="24"/>
                <w:szCs w:val="24"/>
                <w:highlight w:val="none"/>
                <w:u w:color="000000"/>
                <w:lang w:val="zh-TW" w:eastAsia="zh-TW"/>
              </w:rPr>
              <w:t>代理人</w:t>
            </w:r>
            <w:r>
              <w:rPr>
                <w:rFonts w:hint="eastAsia" w:ascii="宋体" w:hAnsi="宋体" w:eastAsia="宋体" w:cs="宋体"/>
                <w:sz w:val="24"/>
                <w:szCs w:val="24"/>
                <w:highlight w:val="none"/>
              </w:rPr>
              <w:t>身份证复印件背面</w:t>
            </w:r>
          </w:p>
        </w:tc>
      </w:tr>
    </w:tbl>
    <w:p w14:paraId="3A5B60C0">
      <w:pPr>
        <w:spacing w:line="360" w:lineRule="auto"/>
        <w:ind w:right="420"/>
        <w:rPr>
          <w:rFonts w:ascii="宋体" w:hAnsi="宋体" w:eastAsia="宋体" w:cs="宋体"/>
          <w:szCs w:val="21"/>
          <w:highlight w:val="none"/>
          <w:u w:color="000000"/>
        </w:rPr>
      </w:pPr>
    </w:p>
    <w:p w14:paraId="7EC0D321">
      <w:pPr>
        <w:spacing w:line="360" w:lineRule="auto"/>
        <w:ind w:right="420"/>
        <w:rPr>
          <w:rFonts w:ascii="宋体" w:hAnsi="宋体" w:eastAsia="宋体" w:cs="宋体"/>
          <w:szCs w:val="21"/>
          <w:highlight w:val="none"/>
          <w:u w:color="000000"/>
        </w:rPr>
      </w:pPr>
    </w:p>
    <w:p w14:paraId="462CF20C">
      <w:pPr>
        <w:jc w:val="left"/>
        <w:rPr>
          <w:rFonts w:ascii="宋体" w:hAnsi="宋体" w:eastAsia="宋体" w:cs="宋体"/>
          <w:highlight w:val="none"/>
        </w:rPr>
      </w:pPr>
      <w:r>
        <w:rPr>
          <w:rFonts w:hint="eastAsia" w:ascii="宋体" w:hAnsi="宋体" w:eastAsia="宋体" w:cs="宋体"/>
          <w:highlight w:val="none"/>
        </w:rPr>
        <w:br w:type="page"/>
      </w:r>
    </w:p>
    <w:p w14:paraId="0AB53B15">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37" w:name="_Toc448069994"/>
      <w:bookmarkStart w:id="38" w:name="_Toc20352"/>
      <w:bookmarkStart w:id="39" w:name="_Toc11859494"/>
      <w:bookmarkStart w:id="40" w:name="_Toc56"/>
      <w:bookmarkStart w:id="41" w:name="_Toc415494581"/>
      <w:r>
        <w:rPr>
          <w:rFonts w:hint="eastAsia" w:ascii="宋体" w:hAnsi="宋体" w:eastAsia="宋体" w:cs="宋体"/>
          <w:sz w:val="24"/>
          <w:szCs w:val="24"/>
          <w:highlight w:val="none"/>
          <w:u w:color="000000"/>
        </w:rPr>
        <w:t>6.4 资格证明文件</w:t>
      </w:r>
      <w:bookmarkEnd w:id="37"/>
      <w:bookmarkEnd w:id="38"/>
      <w:bookmarkEnd w:id="39"/>
      <w:bookmarkEnd w:id="40"/>
      <w:bookmarkEnd w:id="41"/>
    </w:p>
    <w:p w14:paraId="20FF5A9A">
      <w:pPr>
        <w:pStyle w:val="26"/>
        <w:ind w:left="0" w:firstLine="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（详见招标公告：二、申请人的资格要求）</w:t>
      </w:r>
    </w:p>
    <w:p w14:paraId="50986CE2">
      <w:pPr>
        <w:spacing w:before="156" w:beforeLines="50" w:after="156" w:afterLines="50" w:line="360" w:lineRule="auto"/>
        <w:jc w:val="center"/>
        <w:rPr>
          <w:rFonts w:ascii="宋体" w:hAnsi="宋体" w:eastAsia="宋体" w:cs="宋体"/>
          <w:sz w:val="28"/>
          <w:szCs w:val="21"/>
          <w:highlight w:val="none"/>
          <w:u w:color="FF0000"/>
        </w:rPr>
      </w:pPr>
      <w:r>
        <w:rPr>
          <w:rFonts w:hint="eastAsia" w:ascii="宋体" w:hAnsi="宋体" w:eastAsia="宋体" w:cs="宋体"/>
          <w:sz w:val="28"/>
          <w:szCs w:val="21"/>
          <w:highlight w:val="none"/>
          <w:u w:color="FF0000"/>
        </w:rPr>
        <w:t>具备履行合同所必需的设备和专业技术能力的书面声明</w:t>
      </w:r>
    </w:p>
    <w:p w14:paraId="2E8BC34A">
      <w:pPr>
        <w:spacing w:line="460" w:lineRule="exact"/>
        <w:ind w:firstLine="492"/>
        <w:rPr>
          <w:rFonts w:ascii="宋体" w:hAnsi="宋体" w:eastAsia="宋体" w:cs="宋体"/>
          <w:bCs/>
          <w:sz w:val="24"/>
          <w:szCs w:val="24"/>
          <w:highlight w:val="none"/>
        </w:rPr>
      </w:pPr>
      <w:r>
        <w:rPr>
          <w:rFonts w:hint="eastAsia" w:ascii="宋体" w:hAnsi="宋体" w:eastAsia="宋体" w:cs="宋体"/>
          <w:bCs/>
          <w:sz w:val="24"/>
          <w:szCs w:val="24"/>
          <w:highlight w:val="none"/>
        </w:rPr>
        <w:t>我公司郑重声明：我公司具备履行本项采购合同所必需的设备和专业技术能力，为履行本项采购合同我公司具备如下主要设备和主要专业技术能力：</w:t>
      </w:r>
    </w:p>
    <w:p w14:paraId="29B8E2D7">
      <w:pPr>
        <w:spacing w:line="460" w:lineRule="exact"/>
        <w:ind w:firstLine="492"/>
        <w:rPr>
          <w:rFonts w:ascii="宋体" w:hAnsi="宋体" w:eastAsia="宋体" w:cs="宋体"/>
          <w:bCs/>
          <w:sz w:val="24"/>
          <w:szCs w:val="24"/>
          <w:highlight w:val="none"/>
        </w:rPr>
      </w:pPr>
      <w:r>
        <w:rPr>
          <w:rFonts w:hint="eastAsia" w:ascii="宋体" w:hAnsi="宋体" w:eastAsia="宋体" w:cs="宋体"/>
          <w:bCs/>
          <w:sz w:val="24"/>
          <w:szCs w:val="24"/>
          <w:highlight w:val="none"/>
        </w:rPr>
        <w:t>主要设备有：  。</w:t>
      </w:r>
    </w:p>
    <w:p w14:paraId="0D5261F3">
      <w:pPr>
        <w:spacing w:line="460" w:lineRule="exact"/>
        <w:ind w:firstLine="492"/>
        <w:rPr>
          <w:rFonts w:ascii="宋体" w:hAnsi="宋体" w:eastAsia="宋体" w:cs="宋体"/>
          <w:bCs/>
          <w:sz w:val="24"/>
          <w:szCs w:val="24"/>
          <w:highlight w:val="none"/>
        </w:rPr>
      </w:pPr>
      <w:r>
        <w:rPr>
          <w:rFonts w:hint="eastAsia" w:ascii="宋体" w:hAnsi="宋体" w:eastAsia="宋体" w:cs="宋体"/>
          <w:bCs/>
          <w:sz w:val="24"/>
          <w:szCs w:val="24"/>
          <w:highlight w:val="none"/>
        </w:rPr>
        <w:t>主要专业技术能力有：   。</w:t>
      </w:r>
    </w:p>
    <w:p w14:paraId="46F087A7">
      <w:pPr>
        <w:spacing w:line="460" w:lineRule="exact"/>
        <w:ind w:firstLine="492"/>
        <w:rPr>
          <w:rFonts w:ascii="宋体" w:hAnsi="宋体" w:eastAsia="宋体" w:cs="宋体"/>
          <w:bCs/>
          <w:sz w:val="24"/>
          <w:szCs w:val="24"/>
          <w:highlight w:val="none"/>
        </w:rPr>
      </w:pPr>
    </w:p>
    <w:p w14:paraId="27F41664">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声明人：</w:t>
      </w:r>
      <w:r>
        <w:rPr>
          <w:rFonts w:hint="eastAsia" w:ascii="宋体" w:hAnsi="宋体" w:eastAsia="宋体" w:cs="宋体"/>
          <w:sz w:val="24"/>
          <w:szCs w:val="24"/>
          <w:highlight w:val="none"/>
          <w:u w:val="single"/>
        </w:rPr>
        <w:t xml:space="preserve">                            </w:t>
      </w:r>
    </w:p>
    <w:p w14:paraId="2A903B12">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法定代表人</w:t>
      </w:r>
      <w:r>
        <w:rPr>
          <w:rFonts w:hint="eastAsia" w:ascii="宋体" w:hAnsi="宋体" w:eastAsia="宋体" w:cs="宋体"/>
          <w:bCs/>
          <w:sz w:val="24"/>
          <w:szCs w:val="24"/>
          <w:highlight w:val="none"/>
        </w:rPr>
        <w:t>（被授权人）</w:t>
      </w:r>
      <w:r>
        <w:rPr>
          <w:rFonts w:hint="eastAsia" w:ascii="宋体" w:hAnsi="宋体" w:eastAsia="宋体" w:cs="宋体"/>
          <w:sz w:val="24"/>
          <w:szCs w:val="24"/>
          <w:highlight w:val="none"/>
        </w:rPr>
        <w:t>签字：</w:t>
      </w:r>
      <w:r>
        <w:rPr>
          <w:rFonts w:hint="eastAsia" w:ascii="宋体" w:hAnsi="宋体" w:eastAsia="宋体" w:cs="宋体"/>
          <w:sz w:val="24"/>
          <w:szCs w:val="24"/>
          <w:highlight w:val="none"/>
          <w:u w:val="single"/>
        </w:rPr>
        <w:t xml:space="preserve">             </w:t>
      </w:r>
    </w:p>
    <w:p w14:paraId="346833D1">
      <w:pPr>
        <w:spacing w:line="460" w:lineRule="exact"/>
        <w:ind w:firstLine="3960" w:firstLineChars="1650"/>
        <w:rPr>
          <w:rFonts w:ascii="宋体" w:hAnsi="宋体" w:eastAsia="宋体" w:cs="宋体"/>
          <w:bCs/>
          <w:sz w:val="24"/>
          <w:szCs w:val="24"/>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11BA89E8">
      <w:pPr>
        <w:spacing w:line="460" w:lineRule="exact"/>
        <w:rPr>
          <w:rFonts w:ascii="宋体" w:hAnsi="宋体" w:eastAsia="宋体" w:cs="宋体"/>
          <w:bCs/>
          <w:sz w:val="24"/>
          <w:szCs w:val="24"/>
          <w:highlight w:val="none"/>
        </w:rPr>
      </w:pPr>
    </w:p>
    <w:p w14:paraId="109FC21C">
      <w:pPr>
        <w:spacing w:line="360" w:lineRule="auto"/>
        <w:ind w:firstLine="480" w:firstLineChars="200"/>
        <w:rPr>
          <w:rFonts w:ascii="宋体" w:hAnsi="宋体" w:eastAsia="宋体" w:cs="宋体"/>
          <w:sz w:val="24"/>
          <w:szCs w:val="24"/>
          <w:highlight w:val="none"/>
          <w:u w:color="FF0000"/>
        </w:rPr>
      </w:pPr>
    </w:p>
    <w:p w14:paraId="3019EBEC">
      <w:pPr>
        <w:spacing w:line="360" w:lineRule="auto"/>
        <w:ind w:firstLine="420" w:firstLineChars="200"/>
        <w:rPr>
          <w:rFonts w:ascii="宋体" w:hAnsi="宋体" w:eastAsia="宋体" w:cs="宋体"/>
          <w:szCs w:val="21"/>
          <w:highlight w:val="none"/>
          <w:u w:color="FF0000"/>
        </w:rPr>
      </w:pPr>
    </w:p>
    <w:p w14:paraId="1539FCAD">
      <w:pPr>
        <w:jc w:val="left"/>
        <w:rPr>
          <w:rFonts w:ascii="宋体" w:hAnsi="宋体" w:eastAsia="宋体" w:cs="宋体"/>
          <w:szCs w:val="21"/>
          <w:highlight w:val="none"/>
          <w:u w:color="FF0000"/>
        </w:rPr>
      </w:pPr>
      <w:r>
        <w:rPr>
          <w:rFonts w:hint="eastAsia" w:ascii="宋体" w:hAnsi="宋体" w:eastAsia="宋体" w:cs="宋体"/>
          <w:szCs w:val="21"/>
          <w:highlight w:val="none"/>
          <w:u w:color="FF0000"/>
        </w:rPr>
        <w:br w:type="page"/>
      </w:r>
    </w:p>
    <w:p w14:paraId="7AEB57B9">
      <w:pPr>
        <w:adjustRightInd w:val="0"/>
        <w:snapToGrid w:val="0"/>
        <w:spacing w:before="156" w:beforeLines="50" w:after="156" w:afterLines="5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无违法违规记录声明</w:t>
      </w:r>
    </w:p>
    <w:p w14:paraId="0D27D626">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本单位在经营活动中没有违法违规记录，近三年内没有被司法部门或行业主管部门处罚，无被政府职能部门认定有行贿和欺诈行为。</w:t>
      </w:r>
    </w:p>
    <w:p w14:paraId="33A60428">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特此声明。</w:t>
      </w:r>
    </w:p>
    <w:p w14:paraId="72BD90C3">
      <w:pPr>
        <w:adjustRightInd w:val="0"/>
        <w:snapToGrid w:val="0"/>
        <w:spacing w:line="420" w:lineRule="exact"/>
        <w:ind w:firstLine="480" w:firstLineChars="200"/>
        <w:rPr>
          <w:rFonts w:ascii="宋体" w:hAnsi="宋体" w:eastAsia="宋体" w:cs="宋体"/>
          <w:sz w:val="24"/>
          <w:szCs w:val="24"/>
          <w:highlight w:val="none"/>
        </w:rPr>
      </w:pPr>
    </w:p>
    <w:p w14:paraId="3887CB9F">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声明人：</w:t>
      </w:r>
      <w:r>
        <w:rPr>
          <w:rFonts w:hint="eastAsia" w:ascii="宋体" w:hAnsi="宋体" w:eastAsia="宋体" w:cs="宋体"/>
          <w:sz w:val="24"/>
          <w:szCs w:val="24"/>
          <w:highlight w:val="none"/>
          <w:u w:val="single"/>
        </w:rPr>
        <w:t xml:space="preserve">                            </w:t>
      </w:r>
    </w:p>
    <w:p w14:paraId="5857CF4C">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法定代表人</w:t>
      </w:r>
      <w:r>
        <w:rPr>
          <w:rFonts w:hint="eastAsia" w:ascii="宋体" w:hAnsi="宋体" w:eastAsia="宋体" w:cs="宋体"/>
          <w:bCs/>
          <w:sz w:val="24"/>
          <w:szCs w:val="24"/>
          <w:highlight w:val="none"/>
        </w:rPr>
        <w:t>（被授权人）</w:t>
      </w:r>
      <w:r>
        <w:rPr>
          <w:rFonts w:hint="eastAsia" w:ascii="宋体" w:hAnsi="宋体" w:eastAsia="宋体" w:cs="宋体"/>
          <w:sz w:val="24"/>
          <w:szCs w:val="24"/>
          <w:highlight w:val="none"/>
        </w:rPr>
        <w:t>签字：</w:t>
      </w:r>
      <w:r>
        <w:rPr>
          <w:rFonts w:hint="eastAsia" w:ascii="宋体" w:hAnsi="宋体" w:eastAsia="宋体" w:cs="宋体"/>
          <w:sz w:val="24"/>
          <w:szCs w:val="24"/>
          <w:highlight w:val="none"/>
          <w:u w:val="single"/>
        </w:rPr>
        <w:t xml:space="preserve">             </w:t>
      </w:r>
    </w:p>
    <w:p w14:paraId="0A21EB3E">
      <w:pPr>
        <w:spacing w:line="460" w:lineRule="exact"/>
        <w:ind w:firstLine="3960" w:firstLineChars="1650"/>
        <w:rPr>
          <w:rFonts w:ascii="宋体" w:hAnsi="宋体" w:eastAsia="宋体" w:cs="宋体"/>
          <w:bCs/>
          <w:sz w:val="24"/>
          <w:szCs w:val="24"/>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7AC73FB7">
      <w:pPr>
        <w:spacing w:line="360" w:lineRule="auto"/>
        <w:ind w:firstLine="420" w:firstLineChars="200"/>
        <w:rPr>
          <w:rFonts w:ascii="宋体" w:hAnsi="宋体" w:eastAsia="宋体" w:cs="宋体"/>
          <w:szCs w:val="21"/>
          <w:highlight w:val="none"/>
          <w:u w:color="FF0000"/>
        </w:rPr>
      </w:pPr>
    </w:p>
    <w:p w14:paraId="1F2DFC2D">
      <w:pPr>
        <w:spacing w:line="360" w:lineRule="auto"/>
        <w:ind w:firstLine="420" w:firstLineChars="200"/>
        <w:rPr>
          <w:rFonts w:ascii="宋体" w:hAnsi="宋体" w:eastAsia="宋体" w:cs="宋体"/>
          <w:szCs w:val="21"/>
          <w:highlight w:val="none"/>
          <w:u w:color="FF0000"/>
        </w:rPr>
      </w:pPr>
    </w:p>
    <w:p w14:paraId="1CCC80FD">
      <w:pPr>
        <w:spacing w:line="360" w:lineRule="auto"/>
        <w:ind w:firstLine="420" w:firstLineChars="200"/>
        <w:rPr>
          <w:rFonts w:ascii="宋体" w:hAnsi="宋体" w:eastAsia="宋体" w:cs="宋体"/>
          <w:szCs w:val="21"/>
          <w:highlight w:val="none"/>
          <w:u w:color="FF0000"/>
        </w:rPr>
      </w:pPr>
    </w:p>
    <w:p w14:paraId="5FA95976">
      <w:pPr>
        <w:spacing w:line="500" w:lineRule="exact"/>
        <w:jc w:val="center"/>
        <w:rPr>
          <w:rFonts w:ascii="宋体" w:hAnsi="宋体" w:eastAsia="宋体" w:cs="Times New Roman"/>
          <w:b/>
          <w:szCs w:val="21"/>
          <w:highlight w:val="none"/>
        </w:rPr>
      </w:pPr>
      <w:r>
        <w:rPr>
          <w:rFonts w:hint="eastAsia" w:ascii="宋体" w:hAnsi="宋体" w:eastAsia="宋体" w:cs="宋体"/>
          <w:sz w:val="24"/>
          <w:szCs w:val="24"/>
          <w:highlight w:val="none"/>
          <w:u w:color="000000"/>
        </w:rPr>
        <w:br w:type="page"/>
      </w:r>
      <w:r>
        <w:rPr>
          <w:rFonts w:hint="eastAsia" w:ascii="宋体" w:hAnsi="宋体" w:eastAsia="宋体" w:cs="宋体"/>
          <w:sz w:val="28"/>
          <w:szCs w:val="28"/>
          <w:highlight w:val="none"/>
        </w:rPr>
        <w:t>供应商信用承诺书</w:t>
      </w:r>
    </w:p>
    <w:p w14:paraId="166EB947">
      <w:pPr>
        <w:spacing w:line="500" w:lineRule="exact"/>
        <w:rPr>
          <w:rFonts w:ascii="方正仿宋_GBK" w:hAnsi="Calibri" w:eastAsia="宋体" w:cs="Times New Roman"/>
          <w:szCs w:val="32"/>
          <w:highlight w:val="none"/>
        </w:rPr>
      </w:pPr>
    </w:p>
    <w:p w14:paraId="372ED84E">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承诺主体名称：</w:t>
      </w:r>
    </w:p>
    <w:p w14:paraId="45EF617A">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统一社会信用代码：</w:t>
      </w:r>
    </w:p>
    <w:p w14:paraId="6238330A">
      <w:pPr>
        <w:adjustRightInd w:val="0"/>
        <w:snapToGrid w:val="0"/>
        <w:spacing w:line="420" w:lineRule="exact"/>
        <w:ind w:firstLine="480" w:firstLineChars="200"/>
        <w:rPr>
          <w:rFonts w:ascii="宋体" w:hAnsi="宋体" w:eastAsia="宋体" w:cs="宋体"/>
          <w:sz w:val="24"/>
          <w:szCs w:val="24"/>
          <w:highlight w:val="none"/>
        </w:rPr>
      </w:pPr>
    </w:p>
    <w:p w14:paraId="2122C732">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3C9CF135">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一、对提供给注册登记部门、行业管理部门、司法部门、行业组织以及在政府采购活动中提交的所有资料的合法性、真实性、准确性和有效性负责；</w:t>
      </w:r>
    </w:p>
    <w:p w14:paraId="46C47A9C">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二、严格按照国家法律、法规和规章开展采购活动，全面履行应尽的责任和义务，全面做到履约守信，具备《中华人民共和国政府采购法》第二十二条第一款规定的条件;</w:t>
      </w:r>
    </w:p>
    <w:p w14:paraId="740F56CB">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三、严格依法开展生产经营活动，主动接受行业监管，自愿接受依法开展的日常检查；违法失信经营后将自愿接受约束和惩戒，并依法承担相应责任；</w:t>
      </w:r>
    </w:p>
    <w:p w14:paraId="3794F0C4">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四、自觉接受行政管理部门、行业组织、社会公众、新闻舆论的监督；</w:t>
      </w:r>
    </w:p>
    <w:p w14:paraId="5D4CD53E">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五、自觉做到自我约束、自我管理，不制假售假、商标侵权、虚假宣传、违约毁约、恶意逃债、偷税漏税、垄断和不正当竞争，维护经营者、消费者的合法权益；</w:t>
      </w:r>
    </w:p>
    <w:p w14:paraId="0E1689B3">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六、提出政府采购质疑和投诉坚持依法依规、诚实信用原则，在全国范围12个月内没有三次以上查无实据的政府采购投诉；</w:t>
      </w:r>
    </w:p>
    <w:p w14:paraId="3D46CF43">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七、严格遵守信用信息公示相关规定，向社会公示信用信息；</w:t>
      </w:r>
    </w:p>
    <w:p w14:paraId="1FCB3028">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八、在“信用中国”和“中国</w:t>
      </w:r>
      <w:bookmarkStart w:id="51" w:name="_GoBack"/>
      <w:bookmarkEnd w:id="51"/>
      <w:r>
        <w:rPr>
          <w:rFonts w:hint="eastAsia" w:ascii="宋体" w:hAnsi="宋体" w:eastAsia="宋体" w:cs="宋体"/>
          <w:sz w:val="24"/>
          <w:szCs w:val="24"/>
          <w:highlight w:val="none"/>
        </w:rPr>
        <w:t>政府采购网”网站中无违法违规、较重或严重失信记录；</w:t>
      </w:r>
    </w:p>
    <w:p w14:paraId="6B4C0E86">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九、如违反承诺，自愿接受管理部门依法给予的行政处罚，同意将违反承诺的行为作为不良记录记入信用档案，依法依规进行信息公示，并承担所产生的一切法律责任和经济损失。</w:t>
      </w:r>
    </w:p>
    <w:p w14:paraId="645E9130">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十、本承诺书自签订之日起生效。</w:t>
      </w:r>
    </w:p>
    <w:p w14:paraId="61F70219">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（注：法定代表人或负责人、主体名称发生变更的应当重新做出承诺。）</w:t>
      </w:r>
    </w:p>
    <w:p w14:paraId="57E764A4">
      <w:pPr>
        <w:spacing w:line="560" w:lineRule="exact"/>
        <w:rPr>
          <w:rFonts w:ascii="宋体" w:hAnsi="宋体" w:eastAsia="宋体" w:cs="Times New Roman"/>
          <w:szCs w:val="21"/>
          <w:highlight w:val="none"/>
        </w:rPr>
      </w:pPr>
    </w:p>
    <w:p w14:paraId="142BEB92">
      <w:pPr>
        <w:adjustRightInd w:val="0"/>
        <w:snapToGrid w:val="0"/>
        <w:spacing w:line="420" w:lineRule="exact"/>
        <w:ind w:firstLine="420" w:firstLineChars="200"/>
        <w:rPr>
          <w:rFonts w:ascii="宋体" w:hAnsi="宋体" w:eastAsia="宋体" w:cs="宋体"/>
          <w:sz w:val="24"/>
          <w:szCs w:val="24"/>
          <w:highlight w:val="none"/>
        </w:rPr>
      </w:pPr>
      <w:r>
        <w:rPr>
          <w:rFonts w:hint="eastAsia" w:ascii="宋体" w:hAnsi="宋体" w:eastAsia="宋体" w:cs="Times New Roman"/>
          <w:szCs w:val="21"/>
          <w:highlight w:val="none"/>
        </w:rPr>
        <w:t xml:space="preserve">　　　　　　　　　　      </w:t>
      </w:r>
      <w:r>
        <w:rPr>
          <w:rFonts w:hint="eastAsia" w:ascii="宋体" w:hAnsi="宋体" w:eastAsia="宋体" w:cs="宋体"/>
          <w:sz w:val="24"/>
          <w:szCs w:val="24"/>
          <w:highlight w:val="none"/>
        </w:rPr>
        <w:t xml:space="preserve">   承诺单位（签章）：           </w:t>
      </w:r>
    </w:p>
    <w:p w14:paraId="214377D2">
      <w:pPr>
        <w:adjustRightInd w:val="0"/>
        <w:snapToGri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法定代表人（负责人）：</w:t>
      </w:r>
    </w:p>
    <w:p w14:paraId="6EB8C24E">
      <w:pPr>
        <w:spacing w:line="560" w:lineRule="exact"/>
        <w:jc w:val="center"/>
        <w:rPr>
          <w:rFonts w:ascii="宋体" w:hAnsi="宋体" w:eastAsia="宋体" w:cs="Times New Roman"/>
          <w:szCs w:val="21"/>
          <w:highlight w:val="none"/>
        </w:rPr>
      </w:pPr>
      <w:r>
        <w:rPr>
          <w:rFonts w:hint="eastAsia" w:ascii="宋体" w:hAnsi="宋体" w:eastAsia="宋体" w:cs="Times New Roman"/>
          <w:szCs w:val="21"/>
          <w:highlight w:val="none"/>
        </w:rPr>
        <w:t>　　　　　　　　　      　</w:t>
      </w:r>
      <w:r>
        <w:rPr>
          <w:rFonts w:hint="eastAsia" w:ascii="宋体" w:hAnsi="宋体" w:eastAsia="宋体" w:cs="宋体"/>
          <w:sz w:val="24"/>
          <w:szCs w:val="24"/>
          <w:highlight w:val="none"/>
        </w:rPr>
        <w:t>年    月    日</w:t>
      </w:r>
    </w:p>
    <w:p w14:paraId="06C83F59">
      <w:pPr>
        <w:jc w:val="left"/>
        <w:rPr>
          <w:rFonts w:ascii="宋体" w:hAnsi="宋体" w:eastAsia="宋体" w:cs="宋体"/>
          <w:szCs w:val="21"/>
          <w:highlight w:val="none"/>
          <w:u w:color="FF0000"/>
        </w:rPr>
      </w:pPr>
    </w:p>
    <w:p w14:paraId="1E7D8074">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42" w:name="_Toc22989"/>
      <w:bookmarkStart w:id="43" w:name="_Toc11859495"/>
      <w:r>
        <w:rPr>
          <w:rFonts w:hint="eastAsia" w:ascii="宋体" w:hAnsi="宋体" w:eastAsia="宋体" w:cs="宋体"/>
          <w:sz w:val="24"/>
          <w:szCs w:val="24"/>
          <w:highlight w:val="none"/>
          <w:u w:color="000000"/>
        </w:rPr>
        <w:t>6.5 商务条款响应及偏离表</w:t>
      </w:r>
      <w:bookmarkEnd w:id="42"/>
      <w:bookmarkEnd w:id="43"/>
    </w:p>
    <w:p w14:paraId="76ACE26D">
      <w:pPr>
        <w:spacing w:before="156" w:beforeLines="50" w:after="156" w:afterLines="50" w:line="360" w:lineRule="auto"/>
        <w:jc w:val="center"/>
        <w:rPr>
          <w:rFonts w:ascii="宋体" w:hAnsi="宋体" w:eastAsia="宋体" w:cs="宋体"/>
          <w:bCs/>
          <w:sz w:val="28"/>
          <w:szCs w:val="28"/>
          <w:highlight w:val="none"/>
          <w:u w:color="000000"/>
          <w:lang w:val="zh-TW" w:eastAsia="zh-TW"/>
        </w:rPr>
      </w:pPr>
      <w:r>
        <w:rPr>
          <w:rFonts w:hint="eastAsia" w:ascii="宋体" w:hAnsi="宋体" w:eastAsia="宋体" w:cs="宋体"/>
          <w:bCs/>
          <w:sz w:val="28"/>
          <w:szCs w:val="28"/>
          <w:highlight w:val="none"/>
          <w:u w:color="000000"/>
          <w:lang w:val="zh-TW"/>
        </w:rPr>
        <w:t>商务条款响应及偏离表</w:t>
      </w:r>
    </w:p>
    <w:p w14:paraId="13881DD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投标人全称（公章）：</w:t>
      </w:r>
      <w:r>
        <w:rPr>
          <w:rFonts w:hint="eastAsia" w:ascii="宋体" w:hAnsi="宋体" w:eastAsia="宋体" w:cs="宋体"/>
          <w:sz w:val="24"/>
          <w:szCs w:val="24"/>
          <w:highlight w:val="none"/>
          <w:u w:val="single"/>
        </w:rPr>
        <w:t xml:space="preserve">                     </w:t>
      </w:r>
    </w:p>
    <w:p w14:paraId="5D9525A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eastAsia="zh-CN"/>
        </w:rPr>
        <w:t>南京邮电大学通达学院2025年学生公寓组合床采购</w:t>
      </w:r>
      <w:r>
        <w:rPr>
          <w:rFonts w:hint="eastAsia" w:ascii="宋体" w:hAnsi="宋体" w:eastAsia="宋体" w:cs="宋体"/>
          <w:sz w:val="24"/>
          <w:szCs w:val="24"/>
          <w:highlight w:val="none"/>
          <w:u w:val="single"/>
        </w:rPr>
        <w:t>项目</w:t>
      </w:r>
    </w:p>
    <w:tbl>
      <w:tblPr>
        <w:tblStyle w:val="27"/>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3A1EE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14:paraId="743E2A2F">
            <w:pPr>
              <w:pStyle w:val="35"/>
              <w:widowControl w:val="0"/>
              <w:snapToGrid w:val="0"/>
              <w:jc w:val="center"/>
              <w:rPr>
                <w:rFonts w:hAnsi="宋体"/>
                <w:color w:val="auto"/>
                <w:highlight w:val="none"/>
              </w:rPr>
            </w:pPr>
            <w:r>
              <w:rPr>
                <w:rFonts w:hint="eastAsia" w:hAnsi="宋体"/>
                <w:color w:val="auto"/>
                <w:highlight w:val="none"/>
              </w:rPr>
              <w:t>序号</w:t>
            </w:r>
          </w:p>
        </w:tc>
        <w:tc>
          <w:tcPr>
            <w:tcW w:w="2976" w:type="dxa"/>
            <w:vAlign w:val="center"/>
          </w:tcPr>
          <w:p w14:paraId="494423AA">
            <w:pPr>
              <w:pStyle w:val="35"/>
              <w:widowControl w:val="0"/>
              <w:snapToGrid w:val="0"/>
              <w:jc w:val="center"/>
              <w:rPr>
                <w:rFonts w:hAnsi="宋体"/>
                <w:color w:val="auto"/>
                <w:highlight w:val="none"/>
              </w:rPr>
            </w:pPr>
            <w:r>
              <w:rPr>
                <w:rFonts w:hint="eastAsia" w:hAnsi="宋体"/>
                <w:color w:val="auto"/>
                <w:highlight w:val="none"/>
              </w:rPr>
              <w:t>项目</w:t>
            </w:r>
          </w:p>
        </w:tc>
        <w:tc>
          <w:tcPr>
            <w:tcW w:w="1985" w:type="dxa"/>
            <w:vAlign w:val="center"/>
          </w:tcPr>
          <w:p w14:paraId="16B9F3D2">
            <w:pPr>
              <w:pStyle w:val="35"/>
              <w:widowControl w:val="0"/>
              <w:snapToGrid w:val="0"/>
              <w:jc w:val="center"/>
              <w:rPr>
                <w:rFonts w:hAnsi="宋体"/>
                <w:color w:val="auto"/>
                <w:highlight w:val="none"/>
              </w:rPr>
            </w:pPr>
            <w:r>
              <w:rPr>
                <w:rFonts w:hint="eastAsia" w:hAnsi="宋体"/>
                <w:color w:val="auto"/>
                <w:highlight w:val="none"/>
              </w:rPr>
              <w:t>招标文件要求</w:t>
            </w:r>
          </w:p>
        </w:tc>
        <w:tc>
          <w:tcPr>
            <w:tcW w:w="1843" w:type="dxa"/>
            <w:vAlign w:val="center"/>
          </w:tcPr>
          <w:p w14:paraId="1FCB42DE">
            <w:pPr>
              <w:pStyle w:val="35"/>
              <w:widowControl w:val="0"/>
              <w:snapToGrid w:val="0"/>
              <w:jc w:val="center"/>
              <w:rPr>
                <w:rFonts w:hAnsi="宋体"/>
                <w:color w:val="auto"/>
                <w:highlight w:val="none"/>
              </w:rPr>
            </w:pPr>
            <w:r>
              <w:rPr>
                <w:rFonts w:hint="eastAsia" w:hAnsi="宋体"/>
                <w:color w:val="auto"/>
                <w:highlight w:val="none"/>
              </w:rPr>
              <w:t>投标人的承诺或说明</w:t>
            </w:r>
          </w:p>
        </w:tc>
        <w:tc>
          <w:tcPr>
            <w:tcW w:w="1687" w:type="dxa"/>
            <w:vAlign w:val="center"/>
          </w:tcPr>
          <w:p w14:paraId="49463FC0">
            <w:pPr>
              <w:pStyle w:val="35"/>
              <w:widowControl w:val="0"/>
              <w:snapToGrid w:val="0"/>
              <w:jc w:val="center"/>
              <w:rPr>
                <w:rFonts w:hAnsi="宋体"/>
                <w:color w:val="auto"/>
                <w:highlight w:val="none"/>
              </w:rPr>
            </w:pPr>
            <w:r>
              <w:rPr>
                <w:rFonts w:hint="eastAsia" w:hAnsi="宋体"/>
                <w:color w:val="auto"/>
                <w:highlight w:val="none"/>
              </w:rPr>
              <w:t>偏离情况</w:t>
            </w:r>
          </w:p>
        </w:tc>
      </w:tr>
      <w:tr w14:paraId="11257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2139F5E">
            <w:pPr>
              <w:pStyle w:val="35"/>
              <w:widowControl w:val="0"/>
              <w:snapToGrid w:val="0"/>
              <w:jc w:val="center"/>
              <w:rPr>
                <w:rFonts w:hAnsi="宋体"/>
                <w:color w:val="auto"/>
                <w:highlight w:val="none"/>
              </w:rPr>
            </w:pPr>
            <w:r>
              <w:rPr>
                <w:rFonts w:hint="eastAsia" w:hAnsi="宋体"/>
                <w:color w:val="auto"/>
                <w:highlight w:val="none"/>
              </w:rPr>
              <w:t>1</w:t>
            </w:r>
          </w:p>
        </w:tc>
        <w:tc>
          <w:tcPr>
            <w:tcW w:w="2976" w:type="dxa"/>
            <w:vAlign w:val="center"/>
          </w:tcPr>
          <w:p w14:paraId="378149A7">
            <w:pPr>
              <w:pStyle w:val="35"/>
              <w:widowControl w:val="0"/>
              <w:snapToGrid w:val="0"/>
              <w:jc w:val="center"/>
              <w:rPr>
                <w:rFonts w:hAnsi="宋体"/>
                <w:color w:val="auto"/>
                <w:highlight w:val="none"/>
              </w:rPr>
            </w:pPr>
          </w:p>
        </w:tc>
        <w:tc>
          <w:tcPr>
            <w:tcW w:w="1985" w:type="dxa"/>
            <w:vAlign w:val="center"/>
          </w:tcPr>
          <w:p w14:paraId="0B4D957B">
            <w:pPr>
              <w:pStyle w:val="35"/>
              <w:widowControl w:val="0"/>
              <w:snapToGrid w:val="0"/>
              <w:jc w:val="center"/>
              <w:rPr>
                <w:rFonts w:hAnsi="宋体"/>
                <w:color w:val="auto"/>
                <w:highlight w:val="none"/>
              </w:rPr>
            </w:pPr>
          </w:p>
        </w:tc>
        <w:tc>
          <w:tcPr>
            <w:tcW w:w="1843" w:type="dxa"/>
            <w:vAlign w:val="center"/>
          </w:tcPr>
          <w:p w14:paraId="6BEAC446">
            <w:pPr>
              <w:pStyle w:val="35"/>
              <w:widowControl w:val="0"/>
              <w:snapToGrid w:val="0"/>
              <w:jc w:val="center"/>
              <w:rPr>
                <w:rFonts w:hAnsi="宋体"/>
                <w:color w:val="auto"/>
                <w:highlight w:val="none"/>
              </w:rPr>
            </w:pPr>
          </w:p>
        </w:tc>
        <w:tc>
          <w:tcPr>
            <w:tcW w:w="1687" w:type="dxa"/>
            <w:vAlign w:val="center"/>
          </w:tcPr>
          <w:p w14:paraId="254715EF">
            <w:pPr>
              <w:pStyle w:val="35"/>
              <w:widowControl w:val="0"/>
              <w:snapToGrid w:val="0"/>
              <w:jc w:val="center"/>
              <w:rPr>
                <w:rFonts w:hAnsi="宋体"/>
                <w:color w:val="auto"/>
                <w:highlight w:val="none"/>
              </w:rPr>
            </w:pPr>
          </w:p>
        </w:tc>
      </w:tr>
      <w:tr w14:paraId="5E664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80A596D">
            <w:pPr>
              <w:pStyle w:val="35"/>
              <w:widowControl w:val="0"/>
              <w:snapToGrid w:val="0"/>
              <w:jc w:val="center"/>
              <w:rPr>
                <w:rFonts w:hAnsi="宋体"/>
                <w:color w:val="auto"/>
                <w:highlight w:val="none"/>
              </w:rPr>
            </w:pPr>
            <w:r>
              <w:rPr>
                <w:rFonts w:hint="eastAsia" w:hAnsi="宋体"/>
                <w:color w:val="auto"/>
                <w:highlight w:val="none"/>
              </w:rPr>
              <w:t>2</w:t>
            </w:r>
          </w:p>
        </w:tc>
        <w:tc>
          <w:tcPr>
            <w:tcW w:w="2976" w:type="dxa"/>
            <w:vAlign w:val="center"/>
          </w:tcPr>
          <w:p w14:paraId="7CA2A9EF">
            <w:pPr>
              <w:pStyle w:val="35"/>
              <w:widowControl w:val="0"/>
              <w:snapToGrid w:val="0"/>
              <w:jc w:val="center"/>
              <w:rPr>
                <w:rFonts w:hAnsi="宋体"/>
                <w:color w:val="auto"/>
                <w:highlight w:val="none"/>
              </w:rPr>
            </w:pPr>
          </w:p>
        </w:tc>
        <w:tc>
          <w:tcPr>
            <w:tcW w:w="1985" w:type="dxa"/>
            <w:vAlign w:val="center"/>
          </w:tcPr>
          <w:p w14:paraId="4123E843">
            <w:pPr>
              <w:pStyle w:val="35"/>
              <w:widowControl w:val="0"/>
              <w:snapToGrid w:val="0"/>
              <w:jc w:val="center"/>
              <w:rPr>
                <w:rFonts w:hAnsi="宋体"/>
                <w:color w:val="auto"/>
                <w:highlight w:val="none"/>
              </w:rPr>
            </w:pPr>
          </w:p>
        </w:tc>
        <w:tc>
          <w:tcPr>
            <w:tcW w:w="1843" w:type="dxa"/>
            <w:vAlign w:val="center"/>
          </w:tcPr>
          <w:p w14:paraId="19CFCD6B">
            <w:pPr>
              <w:pStyle w:val="35"/>
              <w:widowControl w:val="0"/>
              <w:snapToGrid w:val="0"/>
              <w:jc w:val="center"/>
              <w:rPr>
                <w:rFonts w:hAnsi="宋体"/>
                <w:color w:val="auto"/>
                <w:highlight w:val="none"/>
              </w:rPr>
            </w:pPr>
          </w:p>
        </w:tc>
        <w:tc>
          <w:tcPr>
            <w:tcW w:w="1687" w:type="dxa"/>
            <w:vAlign w:val="center"/>
          </w:tcPr>
          <w:p w14:paraId="1BD3B029">
            <w:pPr>
              <w:pStyle w:val="35"/>
              <w:widowControl w:val="0"/>
              <w:snapToGrid w:val="0"/>
              <w:jc w:val="center"/>
              <w:rPr>
                <w:rFonts w:hAnsi="宋体"/>
                <w:color w:val="auto"/>
                <w:highlight w:val="none"/>
              </w:rPr>
            </w:pPr>
          </w:p>
        </w:tc>
      </w:tr>
      <w:tr w14:paraId="55C3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54DE7FCF">
            <w:pPr>
              <w:pStyle w:val="35"/>
              <w:widowControl w:val="0"/>
              <w:snapToGrid w:val="0"/>
              <w:jc w:val="center"/>
              <w:rPr>
                <w:rFonts w:hAnsi="宋体"/>
                <w:color w:val="auto"/>
                <w:highlight w:val="none"/>
              </w:rPr>
            </w:pPr>
            <w:r>
              <w:rPr>
                <w:rFonts w:hint="eastAsia" w:hAnsi="宋体"/>
                <w:color w:val="auto"/>
                <w:highlight w:val="none"/>
              </w:rPr>
              <w:t>3</w:t>
            </w:r>
          </w:p>
        </w:tc>
        <w:tc>
          <w:tcPr>
            <w:tcW w:w="2976" w:type="dxa"/>
            <w:vAlign w:val="center"/>
          </w:tcPr>
          <w:p w14:paraId="0BAED7D7">
            <w:pPr>
              <w:pStyle w:val="35"/>
              <w:widowControl w:val="0"/>
              <w:snapToGrid w:val="0"/>
              <w:jc w:val="center"/>
              <w:rPr>
                <w:rFonts w:hAnsi="宋体"/>
                <w:color w:val="auto"/>
                <w:highlight w:val="none"/>
              </w:rPr>
            </w:pPr>
          </w:p>
        </w:tc>
        <w:tc>
          <w:tcPr>
            <w:tcW w:w="1985" w:type="dxa"/>
            <w:vAlign w:val="center"/>
          </w:tcPr>
          <w:p w14:paraId="6E2FFB31">
            <w:pPr>
              <w:pStyle w:val="35"/>
              <w:widowControl w:val="0"/>
              <w:snapToGrid w:val="0"/>
              <w:jc w:val="center"/>
              <w:rPr>
                <w:rFonts w:hAnsi="宋体"/>
                <w:color w:val="auto"/>
                <w:highlight w:val="none"/>
              </w:rPr>
            </w:pPr>
          </w:p>
        </w:tc>
        <w:tc>
          <w:tcPr>
            <w:tcW w:w="1843" w:type="dxa"/>
            <w:vAlign w:val="center"/>
          </w:tcPr>
          <w:p w14:paraId="67AF4F39">
            <w:pPr>
              <w:pStyle w:val="35"/>
              <w:widowControl w:val="0"/>
              <w:snapToGrid w:val="0"/>
              <w:jc w:val="center"/>
              <w:rPr>
                <w:rFonts w:hAnsi="宋体"/>
                <w:color w:val="auto"/>
                <w:highlight w:val="none"/>
              </w:rPr>
            </w:pPr>
          </w:p>
        </w:tc>
        <w:tc>
          <w:tcPr>
            <w:tcW w:w="1687" w:type="dxa"/>
            <w:vAlign w:val="center"/>
          </w:tcPr>
          <w:p w14:paraId="22704970">
            <w:pPr>
              <w:pStyle w:val="35"/>
              <w:widowControl w:val="0"/>
              <w:snapToGrid w:val="0"/>
              <w:jc w:val="center"/>
              <w:rPr>
                <w:rFonts w:hAnsi="宋体"/>
                <w:color w:val="auto"/>
                <w:highlight w:val="none"/>
              </w:rPr>
            </w:pPr>
          </w:p>
        </w:tc>
      </w:tr>
      <w:tr w14:paraId="13168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97CF341">
            <w:pPr>
              <w:pStyle w:val="35"/>
              <w:widowControl w:val="0"/>
              <w:snapToGrid w:val="0"/>
              <w:jc w:val="center"/>
              <w:rPr>
                <w:rFonts w:hAnsi="宋体"/>
                <w:color w:val="auto"/>
                <w:highlight w:val="none"/>
              </w:rPr>
            </w:pPr>
            <w:r>
              <w:rPr>
                <w:rFonts w:hint="eastAsia" w:hAnsi="宋体"/>
                <w:color w:val="auto"/>
                <w:highlight w:val="none"/>
              </w:rPr>
              <w:t>4</w:t>
            </w:r>
          </w:p>
        </w:tc>
        <w:tc>
          <w:tcPr>
            <w:tcW w:w="2976" w:type="dxa"/>
            <w:vAlign w:val="center"/>
          </w:tcPr>
          <w:p w14:paraId="203FCB6F">
            <w:pPr>
              <w:pStyle w:val="35"/>
              <w:widowControl w:val="0"/>
              <w:snapToGrid w:val="0"/>
              <w:jc w:val="center"/>
              <w:rPr>
                <w:rFonts w:hAnsi="宋体"/>
                <w:color w:val="auto"/>
                <w:highlight w:val="none"/>
              </w:rPr>
            </w:pPr>
          </w:p>
        </w:tc>
        <w:tc>
          <w:tcPr>
            <w:tcW w:w="1985" w:type="dxa"/>
            <w:vAlign w:val="center"/>
          </w:tcPr>
          <w:p w14:paraId="5048B961">
            <w:pPr>
              <w:pStyle w:val="35"/>
              <w:widowControl w:val="0"/>
              <w:snapToGrid w:val="0"/>
              <w:jc w:val="center"/>
              <w:rPr>
                <w:rFonts w:hAnsi="宋体"/>
                <w:color w:val="auto"/>
                <w:highlight w:val="none"/>
              </w:rPr>
            </w:pPr>
          </w:p>
        </w:tc>
        <w:tc>
          <w:tcPr>
            <w:tcW w:w="1843" w:type="dxa"/>
            <w:vAlign w:val="center"/>
          </w:tcPr>
          <w:p w14:paraId="40113630">
            <w:pPr>
              <w:pStyle w:val="35"/>
              <w:widowControl w:val="0"/>
              <w:snapToGrid w:val="0"/>
              <w:jc w:val="center"/>
              <w:rPr>
                <w:rFonts w:hAnsi="宋体"/>
                <w:color w:val="auto"/>
                <w:highlight w:val="none"/>
              </w:rPr>
            </w:pPr>
          </w:p>
        </w:tc>
        <w:tc>
          <w:tcPr>
            <w:tcW w:w="1687" w:type="dxa"/>
            <w:vAlign w:val="center"/>
          </w:tcPr>
          <w:p w14:paraId="609BFE0C">
            <w:pPr>
              <w:pStyle w:val="35"/>
              <w:widowControl w:val="0"/>
              <w:snapToGrid w:val="0"/>
              <w:jc w:val="center"/>
              <w:rPr>
                <w:rFonts w:hAnsi="宋体"/>
                <w:color w:val="auto"/>
                <w:highlight w:val="none"/>
              </w:rPr>
            </w:pPr>
          </w:p>
        </w:tc>
      </w:tr>
      <w:tr w14:paraId="1A79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396E55E7">
            <w:pPr>
              <w:pStyle w:val="35"/>
              <w:widowControl w:val="0"/>
              <w:snapToGrid w:val="0"/>
              <w:jc w:val="center"/>
              <w:rPr>
                <w:rFonts w:hAnsi="宋体"/>
                <w:color w:val="auto"/>
                <w:highlight w:val="none"/>
              </w:rPr>
            </w:pPr>
            <w:r>
              <w:rPr>
                <w:rFonts w:hint="eastAsia" w:hAnsi="宋体"/>
                <w:color w:val="auto"/>
                <w:highlight w:val="none"/>
              </w:rPr>
              <w:t>5</w:t>
            </w:r>
          </w:p>
        </w:tc>
        <w:tc>
          <w:tcPr>
            <w:tcW w:w="2976" w:type="dxa"/>
            <w:vAlign w:val="center"/>
          </w:tcPr>
          <w:p w14:paraId="0ECEC78D">
            <w:pPr>
              <w:pStyle w:val="35"/>
              <w:widowControl w:val="0"/>
              <w:snapToGrid w:val="0"/>
              <w:jc w:val="center"/>
              <w:rPr>
                <w:rFonts w:hAnsi="宋体"/>
                <w:color w:val="auto"/>
                <w:highlight w:val="none"/>
              </w:rPr>
            </w:pPr>
          </w:p>
        </w:tc>
        <w:tc>
          <w:tcPr>
            <w:tcW w:w="1985" w:type="dxa"/>
            <w:vAlign w:val="center"/>
          </w:tcPr>
          <w:p w14:paraId="61057E2F">
            <w:pPr>
              <w:pStyle w:val="35"/>
              <w:widowControl w:val="0"/>
              <w:snapToGrid w:val="0"/>
              <w:jc w:val="center"/>
              <w:rPr>
                <w:rFonts w:hAnsi="宋体"/>
                <w:color w:val="auto"/>
                <w:highlight w:val="none"/>
              </w:rPr>
            </w:pPr>
          </w:p>
        </w:tc>
        <w:tc>
          <w:tcPr>
            <w:tcW w:w="1843" w:type="dxa"/>
            <w:vAlign w:val="center"/>
          </w:tcPr>
          <w:p w14:paraId="4184F49C">
            <w:pPr>
              <w:pStyle w:val="35"/>
              <w:widowControl w:val="0"/>
              <w:snapToGrid w:val="0"/>
              <w:jc w:val="center"/>
              <w:rPr>
                <w:rFonts w:hAnsi="宋体"/>
                <w:color w:val="auto"/>
                <w:highlight w:val="none"/>
              </w:rPr>
            </w:pPr>
          </w:p>
        </w:tc>
        <w:tc>
          <w:tcPr>
            <w:tcW w:w="1687" w:type="dxa"/>
            <w:vAlign w:val="center"/>
          </w:tcPr>
          <w:p w14:paraId="3910289F">
            <w:pPr>
              <w:pStyle w:val="35"/>
              <w:widowControl w:val="0"/>
              <w:snapToGrid w:val="0"/>
              <w:jc w:val="center"/>
              <w:rPr>
                <w:rFonts w:hAnsi="宋体"/>
                <w:color w:val="auto"/>
                <w:highlight w:val="none"/>
              </w:rPr>
            </w:pPr>
          </w:p>
        </w:tc>
      </w:tr>
      <w:tr w14:paraId="11617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315D3461">
            <w:pPr>
              <w:pStyle w:val="35"/>
              <w:widowControl w:val="0"/>
              <w:snapToGrid w:val="0"/>
              <w:jc w:val="center"/>
              <w:rPr>
                <w:rFonts w:hAnsi="宋体"/>
                <w:color w:val="auto"/>
                <w:highlight w:val="none"/>
              </w:rPr>
            </w:pPr>
            <w:r>
              <w:rPr>
                <w:rFonts w:hint="eastAsia" w:hAnsi="宋体"/>
                <w:color w:val="auto"/>
                <w:highlight w:val="none"/>
              </w:rPr>
              <w:t>6</w:t>
            </w:r>
          </w:p>
        </w:tc>
        <w:tc>
          <w:tcPr>
            <w:tcW w:w="2976" w:type="dxa"/>
            <w:vAlign w:val="center"/>
          </w:tcPr>
          <w:p w14:paraId="2FB72D37">
            <w:pPr>
              <w:pStyle w:val="35"/>
              <w:widowControl w:val="0"/>
              <w:snapToGrid w:val="0"/>
              <w:jc w:val="center"/>
              <w:rPr>
                <w:rFonts w:hAnsi="宋体"/>
                <w:color w:val="auto"/>
                <w:highlight w:val="none"/>
              </w:rPr>
            </w:pPr>
          </w:p>
        </w:tc>
        <w:tc>
          <w:tcPr>
            <w:tcW w:w="1985" w:type="dxa"/>
            <w:vAlign w:val="center"/>
          </w:tcPr>
          <w:p w14:paraId="53A7C9B1">
            <w:pPr>
              <w:pStyle w:val="35"/>
              <w:widowControl w:val="0"/>
              <w:snapToGrid w:val="0"/>
              <w:jc w:val="center"/>
              <w:rPr>
                <w:rFonts w:hAnsi="宋体"/>
                <w:color w:val="auto"/>
                <w:highlight w:val="none"/>
              </w:rPr>
            </w:pPr>
          </w:p>
        </w:tc>
        <w:tc>
          <w:tcPr>
            <w:tcW w:w="1843" w:type="dxa"/>
            <w:vAlign w:val="center"/>
          </w:tcPr>
          <w:p w14:paraId="6288BD9C">
            <w:pPr>
              <w:pStyle w:val="35"/>
              <w:widowControl w:val="0"/>
              <w:snapToGrid w:val="0"/>
              <w:jc w:val="center"/>
              <w:rPr>
                <w:rFonts w:hAnsi="宋体"/>
                <w:color w:val="auto"/>
                <w:highlight w:val="none"/>
              </w:rPr>
            </w:pPr>
          </w:p>
        </w:tc>
        <w:tc>
          <w:tcPr>
            <w:tcW w:w="1687" w:type="dxa"/>
            <w:vAlign w:val="center"/>
          </w:tcPr>
          <w:p w14:paraId="037D6094">
            <w:pPr>
              <w:pStyle w:val="35"/>
              <w:widowControl w:val="0"/>
              <w:snapToGrid w:val="0"/>
              <w:jc w:val="center"/>
              <w:rPr>
                <w:rFonts w:hAnsi="宋体"/>
                <w:color w:val="auto"/>
                <w:highlight w:val="none"/>
              </w:rPr>
            </w:pPr>
          </w:p>
        </w:tc>
      </w:tr>
      <w:tr w14:paraId="171D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31236CB9">
            <w:pPr>
              <w:pStyle w:val="35"/>
              <w:widowControl w:val="0"/>
              <w:snapToGrid w:val="0"/>
              <w:jc w:val="center"/>
              <w:rPr>
                <w:rFonts w:hAnsi="宋体"/>
                <w:color w:val="auto"/>
                <w:highlight w:val="none"/>
              </w:rPr>
            </w:pPr>
            <w:r>
              <w:rPr>
                <w:rFonts w:hint="eastAsia" w:hAnsi="宋体"/>
                <w:color w:val="auto"/>
                <w:highlight w:val="none"/>
              </w:rPr>
              <w:t>7</w:t>
            </w:r>
          </w:p>
        </w:tc>
        <w:tc>
          <w:tcPr>
            <w:tcW w:w="2976" w:type="dxa"/>
            <w:vAlign w:val="center"/>
          </w:tcPr>
          <w:p w14:paraId="5A337F42">
            <w:pPr>
              <w:pStyle w:val="35"/>
              <w:widowControl w:val="0"/>
              <w:snapToGrid w:val="0"/>
              <w:jc w:val="center"/>
              <w:rPr>
                <w:rFonts w:hAnsi="宋体"/>
                <w:color w:val="auto"/>
                <w:highlight w:val="none"/>
              </w:rPr>
            </w:pPr>
          </w:p>
        </w:tc>
        <w:tc>
          <w:tcPr>
            <w:tcW w:w="1985" w:type="dxa"/>
            <w:vAlign w:val="center"/>
          </w:tcPr>
          <w:p w14:paraId="37435390">
            <w:pPr>
              <w:pStyle w:val="35"/>
              <w:widowControl w:val="0"/>
              <w:snapToGrid w:val="0"/>
              <w:jc w:val="center"/>
              <w:rPr>
                <w:rFonts w:hAnsi="宋体"/>
                <w:color w:val="auto"/>
                <w:highlight w:val="none"/>
              </w:rPr>
            </w:pPr>
          </w:p>
        </w:tc>
        <w:tc>
          <w:tcPr>
            <w:tcW w:w="1843" w:type="dxa"/>
            <w:vAlign w:val="center"/>
          </w:tcPr>
          <w:p w14:paraId="754DCE3C">
            <w:pPr>
              <w:pStyle w:val="35"/>
              <w:widowControl w:val="0"/>
              <w:snapToGrid w:val="0"/>
              <w:jc w:val="center"/>
              <w:rPr>
                <w:rFonts w:hAnsi="宋体"/>
                <w:color w:val="auto"/>
                <w:highlight w:val="none"/>
              </w:rPr>
            </w:pPr>
          </w:p>
        </w:tc>
        <w:tc>
          <w:tcPr>
            <w:tcW w:w="1687" w:type="dxa"/>
            <w:vAlign w:val="center"/>
          </w:tcPr>
          <w:p w14:paraId="621608B5">
            <w:pPr>
              <w:pStyle w:val="35"/>
              <w:widowControl w:val="0"/>
              <w:snapToGrid w:val="0"/>
              <w:jc w:val="center"/>
              <w:rPr>
                <w:rFonts w:hAnsi="宋体"/>
                <w:color w:val="auto"/>
                <w:highlight w:val="none"/>
              </w:rPr>
            </w:pPr>
          </w:p>
        </w:tc>
      </w:tr>
      <w:tr w14:paraId="252E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15F704DE">
            <w:pPr>
              <w:pStyle w:val="35"/>
              <w:widowControl w:val="0"/>
              <w:snapToGrid w:val="0"/>
              <w:jc w:val="center"/>
              <w:rPr>
                <w:rFonts w:hAnsi="宋体"/>
                <w:color w:val="auto"/>
                <w:highlight w:val="none"/>
              </w:rPr>
            </w:pPr>
            <w:r>
              <w:rPr>
                <w:rFonts w:hint="eastAsia" w:hAnsi="宋体"/>
                <w:color w:val="auto"/>
                <w:highlight w:val="none"/>
              </w:rPr>
              <w:t>8</w:t>
            </w:r>
          </w:p>
        </w:tc>
        <w:tc>
          <w:tcPr>
            <w:tcW w:w="2976" w:type="dxa"/>
            <w:vAlign w:val="center"/>
          </w:tcPr>
          <w:p w14:paraId="712CD36A">
            <w:pPr>
              <w:pStyle w:val="35"/>
              <w:widowControl w:val="0"/>
              <w:snapToGrid w:val="0"/>
              <w:jc w:val="center"/>
              <w:rPr>
                <w:rFonts w:hAnsi="宋体"/>
                <w:color w:val="auto"/>
                <w:highlight w:val="none"/>
              </w:rPr>
            </w:pPr>
          </w:p>
        </w:tc>
        <w:tc>
          <w:tcPr>
            <w:tcW w:w="1985" w:type="dxa"/>
            <w:vAlign w:val="center"/>
          </w:tcPr>
          <w:p w14:paraId="6CC3CE63">
            <w:pPr>
              <w:pStyle w:val="35"/>
              <w:widowControl w:val="0"/>
              <w:snapToGrid w:val="0"/>
              <w:jc w:val="center"/>
              <w:rPr>
                <w:rFonts w:hAnsi="宋体"/>
                <w:color w:val="auto"/>
                <w:highlight w:val="none"/>
              </w:rPr>
            </w:pPr>
          </w:p>
        </w:tc>
        <w:tc>
          <w:tcPr>
            <w:tcW w:w="1843" w:type="dxa"/>
            <w:vAlign w:val="center"/>
          </w:tcPr>
          <w:p w14:paraId="2F26C7F5">
            <w:pPr>
              <w:pStyle w:val="35"/>
              <w:widowControl w:val="0"/>
              <w:snapToGrid w:val="0"/>
              <w:jc w:val="center"/>
              <w:rPr>
                <w:rFonts w:hAnsi="宋体"/>
                <w:color w:val="auto"/>
                <w:highlight w:val="none"/>
              </w:rPr>
            </w:pPr>
          </w:p>
        </w:tc>
        <w:tc>
          <w:tcPr>
            <w:tcW w:w="1687" w:type="dxa"/>
            <w:vAlign w:val="center"/>
          </w:tcPr>
          <w:p w14:paraId="2BC76F97">
            <w:pPr>
              <w:pStyle w:val="35"/>
              <w:widowControl w:val="0"/>
              <w:snapToGrid w:val="0"/>
              <w:jc w:val="center"/>
              <w:rPr>
                <w:rFonts w:hAnsi="宋体"/>
                <w:color w:val="auto"/>
                <w:highlight w:val="none"/>
              </w:rPr>
            </w:pPr>
          </w:p>
        </w:tc>
      </w:tr>
      <w:tr w14:paraId="6B64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39929F18">
            <w:pPr>
              <w:pStyle w:val="35"/>
              <w:widowControl w:val="0"/>
              <w:snapToGrid w:val="0"/>
              <w:jc w:val="center"/>
              <w:rPr>
                <w:rFonts w:hAnsi="宋体"/>
                <w:color w:val="auto"/>
                <w:highlight w:val="none"/>
              </w:rPr>
            </w:pPr>
            <w:r>
              <w:rPr>
                <w:rFonts w:hint="eastAsia" w:hAnsi="宋体"/>
                <w:color w:val="auto"/>
                <w:highlight w:val="none"/>
              </w:rPr>
              <w:t>9</w:t>
            </w:r>
          </w:p>
        </w:tc>
        <w:tc>
          <w:tcPr>
            <w:tcW w:w="2976" w:type="dxa"/>
            <w:vAlign w:val="center"/>
          </w:tcPr>
          <w:p w14:paraId="5EA714EA">
            <w:pPr>
              <w:pStyle w:val="35"/>
              <w:widowControl w:val="0"/>
              <w:snapToGrid w:val="0"/>
              <w:jc w:val="center"/>
              <w:rPr>
                <w:rFonts w:hAnsi="宋体"/>
                <w:color w:val="auto"/>
                <w:highlight w:val="none"/>
              </w:rPr>
            </w:pPr>
          </w:p>
        </w:tc>
        <w:tc>
          <w:tcPr>
            <w:tcW w:w="1985" w:type="dxa"/>
            <w:vAlign w:val="center"/>
          </w:tcPr>
          <w:p w14:paraId="1ACCD0F8">
            <w:pPr>
              <w:pStyle w:val="35"/>
              <w:widowControl w:val="0"/>
              <w:snapToGrid w:val="0"/>
              <w:jc w:val="center"/>
              <w:rPr>
                <w:rFonts w:hAnsi="宋体"/>
                <w:color w:val="auto"/>
                <w:highlight w:val="none"/>
              </w:rPr>
            </w:pPr>
          </w:p>
        </w:tc>
        <w:tc>
          <w:tcPr>
            <w:tcW w:w="1843" w:type="dxa"/>
            <w:vAlign w:val="center"/>
          </w:tcPr>
          <w:p w14:paraId="361B3BB1">
            <w:pPr>
              <w:pStyle w:val="35"/>
              <w:widowControl w:val="0"/>
              <w:snapToGrid w:val="0"/>
              <w:jc w:val="center"/>
              <w:rPr>
                <w:rFonts w:hAnsi="宋体"/>
                <w:color w:val="auto"/>
                <w:highlight w:val="none"/>
              </w:rPr>
            </w:pPr>
          </w:p>
        </w:tc>
        <w:tc>
          <w:tcPr>
            <w:tcW w:w="1687" w:type="dxa"/>
            <w:vAlign w:val="center"/>
          </w:tcPr>
          <w:p w14:paraId="5E140A24">
            <w:pPr>
              <w:pStyle w:val="35"/>
              <w:widowControl w:val="0"/>
              <w:snapToGrid w:val="0"/>
              <w:jc w:val="center"/>
              <w:rPr>
                <w:rFonts w:hAnsi="宋体"/>
                <w:color w:val="auto"/>
                <w:highlight w:val="none"/>
              </w:rPr>
            </w:pPr>
          </w:p>
        </w:tc>
      </w:tr>
    </w:tbl>
    <w:p w14:paraId="22499B3D">
      <w:pPr>
        <w:pStyle w:val="35"/>
        <w:widowControl w:val="0"/>
        <w:spacing w:line="360" w:lineRule="auto"/>
        <w:ind w:firstLine="4320" w:firstLineChars="1800"/>
        <w:rPr>
          <w:rFonts w:hAnsi="宋体"/>
          <w:color w:val="auto"/>
          <w:highlight w:val="none"/>
          <w:u w:val="single"/>
        </w:rPr>
      </w:pPr>
      <w:r>
        <w:rPr>
          <w:rFonts w:hint="eastAsia" w:hAnsi="宋体"/>
          <w:color w:val="auto"/>
          <w:highlight w:val="none"/>
        </w:rPr>
        <w:t>法定代表人（授权代表）签字：</w:t>
      </w:r>
      <w:r>
        <w:rPr>
          <w:rFonts w:hint="eastAsia" w:hAnsi="宋体"/>
          <w:color w:val="auto"/>
          <w:highlight w:val="none"/>
          <w:u w:val="single"/>
        </w:rPr>
        <w:t xml:space="preserve">         </w:t>
      </w:r>
    </w:p>
    <w:p w14:paraId="4932B7D1">
      <w:pPr>
        <w:pStyle w:val="35"/>
        <w:widowControl w:val="0"/>
        <w:spacing w:line="360" w:lineRule="auto"/>
        <w:ind w:firstLine="5640" w:firstLineChars="2350"/>
        <w:rPr>
          <w:rFonts w:hAnsi="宋体"/>
          <w:color w:val="auto"/>
          <w:highlight w:val="none"/>
          <w:u w:val="single"/>
        </w:rPr>
      </w:pPr>
      <w:r>
        <w:rPr>
          <w:rFonts w:hint="eastAsia" w:hAnsi="宋体"/>
          <w:bCs/>
          <w:color w:val="auto"/>
          <w:highlight w:val="none"/>
        </w:rPr>
        <w:t>日期：</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14:paraId="53395D0E">
      <w:pPr>
        <w:adjustRightInd w:val="0"/>
        <w:snapToGrid w:val="0"/>
        <w:spacing w:line="400" w:lineRule="exact"/>
        <w:ind w:left="693" w:hanging="693" w:hangingChars="330"/>
        <w:rPr>
          <w:rFonts w:ascii="宋体" w:hAnsi="宋体" w:eastAsia="宋体" w:cs="宋体"/>
          <w:szCs w:val="21"/>
          <w:highlight w:val="none"/>
        </w:rPr>
      </w:pPr>
      <w:r>
        <w:rPr>
          <w:rFonts w:hint="eastAsia" w:ascii="宋体" w:hAnsi="宋体" w:eastAsia="宋体" w:cs="宋体"/>
          <w:szCs w:val="21"/>
          <w:highlight w:val="none"/>
        </w:rPr>
        <w:t>注：</w:t>
      </w:r>
    </w:p>
    <w:p w14:paraId="3961DAAB">
      <w:pPr>
        <w:pStyle w:val="48"/>
        <w:spacing w:line="400" w:lineRule="exact"/>
        <w:ind w:firstLine="420"/>
        <w:rPr>
          <w:rFonts w:ascii="宋体" w:hAnsi="宋体" w:cs="宋体"/>
          <w:sz w:val="21"/>
          <w:highlight w:val="none"/>
        </w:rPr>
      </w:pPr>
      <w:r>
        <w:rPr>
          <w:rFonts w:hint="eastAsia" w:ascii="宋体" w:hAnsi="宋体" w:cs="宋体"/>
          <w:sz w:val="21"/>
          <w:highlight w:val="none"/>
        </w:rPr>
        <w:t>1．投标人应当逐条对照招标文件合同条款，就投标文件对合同条款存在的偏差与例外逐条做出说明；</w:t>
      </w:r>
    </w:p>
    <w:p w14:paraId="69B15990">
      <w:pPr>
        <w:pStyle w:val="48"/>
        <w:spacing w:line="400" w:lineRule="exact"/>
        <w:ind w:firstLine="420"/>
        <w:rPr>
          <w:rFonts w:ascii="宋体" w:hAnsi="宋体" w:cs="宋体"/>
          <w:sz w:val="21"/>
          <w:highlight w:val="none"/>
        </w:rPr>
      </w:pPr>
      <w:r>
        <w:rPr>
          <w:rFonts w:hint="eastAsia" w:ascii="宋体" w:hAnsi="宋体" w:cs="宋体"/>
          <w:sz w:val="21"/>
          <w:highlight w:val="none"/>
        </w:rPr>
        <w:t>2．如投标文件对合同条款无任何偏差，投标人仅需在本偏离表中填写“无偏离”即可。</w:t>
      </w:r>
    </w:p>
    <w:p w14:paraId="2997CF99">
      <w:pPr>
        <w:pStyle w:val="48"/>
        <w:spacing w:line="400" w:lineRule="exact"/>
        <w:ind w:firstLine="420"/>
        <w:rPr>
          <w:rFonts w:ascii="宋体" w:hAnsi="宋体" w:cs="宋体"/>
          <w:sz w:val="21"/>
          <w:highlight w:val="none"/>
        </w:rPr>
      </w:pPr>
      <w:r>
        <w:rPr>
          <w:rFonts w:hint="eastAsia" w:ascii="宋体" w:hAnsi="宋体" w:cs="宋体"/>
          <w:sz w:val="21"/>
          <w:highlight w:val="none"/>
        </w:rPr>
        <w:t>3. 投标人未填写该表则表示完全满足招标文件合同条款要求。</w:t>
      </w:r>
    </w:p>
    <w:p w14:paraId="5C404A12">
      <w:pPr>
        <w:spacing w:line="360" w:lineRule="auto"/>
        <w:ind w:firstLine="420" w:firstLineChars="200"/>
        <w:rPr>
          <w:rFonts w:ascii="宋体" w:hAnsi="宋体" w:eastAsia="宋体" w:cs="宋体"/>
          <w:szCs w:val="21"/>
          <w:highlight w:val="none"/>
          <w:u w:color="FF0000"/>
        </w:rPr>
      </w:pPr>
    </w:p>
    <w:p w14:paraId="5FE52D1E">
      <w:pPr>
        <w:jc w:val="left"/>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br w:type="page"/>
      </w:r>
    </w:p>
    <w:p w14:paraId="4623F0CB">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44" w:name="_Toc11859496"/>
      <w:bookmarkStart w:id="45" w:name="_Toc8695"/>
      <w:r>
        <w:rPr>
          <w:rFonts w:hint="eastAsia" w:ascii="宋体" w:hAnsi="宋体" w:eastAsia="宋体" w:cs="宋体"/>
          <w:sz w:val="24"/>
          <w:szCs w:val="24"/>
          <w:highlight w:val="none"/>
          <w:u w:color="000000"/>
        </w:rPr>
        <w:t>6.6 技术参数响应及偏离表</w:t>
      </w:r>
      <w:bookmarkEnd w:id="44"/>
      <w:bookmarkEnd w:id="45"/>
    </w:p>
    <w:p w14:paraId="760A3127">
      <w:pPr>
        <w:spacing w:before="156" w:beforeLines="50" w:after="156" w:afterLines="50" w:line="360" w:lineRule="auto"/>
        <w:jc w:val="center"/>
        <w:rPr>
          <w:rFonts w:ascii="宋体" w:hAnsi="宋体" w:eastAsia="宋体" w:cs="宋体"/>
          <w:bCs/>
          <w:sz w:val="28"/>
          <w:szCs w:val="28"/>
          <w:highlight w:val="none"/>
          <w:u w:color="000000"/>
          <w:lang w:val="zh-TW" w:eastAsia="zh-TW"/>
        </w:rPr>
      </w:pPr>
      <w:r>
        <w:rPr>
          <w:rFonts w:hint="eastAsia" w:ascii="宋体" w:hAnsi="宋体" w:eastAsia="宋体" w:cs="宋体"/>
          <w:bCs/>
          <w:sz w:val="28"/>
          <w:szCs w:val="28"/>
          <w:highlight w:val="none"/>
          <w:u w:color="000000"/>
          <w:lang w:val="zh-TW"/>
        </w:rPr>
        <w:t>技术参数响应及偏离表</w:t>
      </w:r>
    </w:p>
    <w:p w14:paraId="6C81F756">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投标人全称（公章）：</w:t>
      </w:r>
      <w:r>
        <w:rPr>
          <w:rFonts w:hint="eastAsia" w:ascii="宋体" w:hAnsi="宋体" w:eastAsia="宋体" w:cs="宋体"/>
          <w:sz w:val="24"/>
          <w:szCs w:val="24"/>
          <w:highlight w:val="none"/>
          <w:u w:val="single"/>
        </w:rPr>
        <w:t xml:space="preserve">                     </w:t>
      </w:r>
    </w:p>
    <w:p w14:paraId="4AF802B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eastAsia="zh-CN"/>
        </w:rPr>
        <w:t>南京邮电大学通达学院2025年学生公寓组合床采购</w:t>
      </w:r>
      <w:r>
        <w:rPr>
          <w:rFonts w:hint="eastAsia" w:ascii="宋体" w:hAnsi="宋体" w:eastAsia="宋体" w:cs="宋体"/>
          <w:sz w:val="24"/>
          <w:szCs w:val="24"/>
          <w:highlight w:val="none"/>
          <w:u w:val="single"/>
        </w:rPr>
        <w:t>项目</w:t>
      </w:r>
    </w:p>
    <w:tbl>
      <w:tblPr>
        <w:tblStyle w:val="27"/>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14:paraId="07BFF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625DE0A4">
            <w:pPr>
              <w:adjustRightInd w:val="0"/>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086" w:type="dxa"/>
            <w:tcBorders>
              <w:top w:val="single" w:color="auto" w:sz="4" w:space="0"/>
              <w:left w:val="single" w:color="auto" w:sz="4" w:space="0"/>
              <w:bottom w:val="single" w:color="auto" w:sz="4" w:space="0"/>
              <w:right w:val="single" w:color="auto" w:sz="4" w:space="0"/>
            </w:tcBorders>
            <w:vAlign w:val="center"/>
          </w:tcPr>
          <w:p w14:paraId="2BF74F0D">
            <w:pPr>
              <w:adjustRightInd w:val="0"/>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14:paraId="1877C114">
            <w:pPr>
              <w:adjustRightInd w:val="0"/>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14:paraId="65E83ED0">
            <w:pPr>
              <w:adjustRightInd w:val="0"/>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14:paraId="20B47119">
            <w:pPr>
              <w:adjustRightInd w:val="0"/>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原因</w:t>
            </w:r>
          </w:p>
        </w:tc>
      </w:tr>
      <w:tr w14:paraId="19D04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16087E3">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40F8E149">
            <w:pPr>
              <w:jc w:val="cente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574D0BBE">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12017849">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31441862">
            <w:pPr>
              <w:jc w:val="center"/>
              <w:rPr>
                <w:rFonts w:ascii="宋体" w:hAnsi="宋体" w:eastAsia="宋体" w:cs="宋体"/>
                <w:sz w:val="24"/>
                <w:szCs w:val="24"/>
                <w:highlight w:val="none"/>
              </w:rPr>
            </w:pPr>
          </w:p>
        </w:tc>
      </w:tr>
      <w:tr w14:paraId="6AFB1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719B0AD2">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328D3791">
            <w:pPr>
              <w:jc w:val="cente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7F621140">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45D829E1">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51947CD2">
            <w:pPr>
              <w:jc w:val="center"/>
              <w:rPr>
                <w:rFonts w:ascii="宋体" w:hAnsi="宋体" w:eastAsia="宋体" w:cs="宋体"/>
                <w:sz w:val="24"/>
                <w:szCs w:val="24"/>
                <w:highlight w:val="none"/>
              </w:rPr>
            </w:pPr>
          </w:p>
        </w:tc>
      </w:tr>
      <w:tr w14:paraId="66127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0C0B18F">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21C3D9DF">
            <w:pP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4800CDCA">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489C6BCE">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5E3DCAEB">
            <w:pPr>
              <w:jc w:val="center"/>
              <w:rPr>
                <w:rFonts w:ascii="宋体" w:hAnsi="宋体" w:eastAsia="宋体" w:cs="宋体"/>
                <w:sz w:val="24"/>
                <w:szCs w:val="24"/>
                <w:highlight w:val="none"/>
              </w:rPr>
            </w:pPr>
          </w:p>
        </w:tc>
      </w:tr>
      <w:tr w14:paraId="26BBF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20EA956">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666BA841">
            <w:pP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7CB42AD1">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2D7F7B49">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54267DAA">
            <w:pPr>
              <w:jc w:val="center"/>
              <w:rPr>
                <w:rFonts w:ascii="宋体" w:hAnsi="宋体" w:eastAsia="宋体" w:cs="宋体"/>
                <w:sz w:val="24"/>
                <w:szCs w:val="24"/>
                <w:highlight w:val="none"/>
              </w:rPr>
            </w:pPr>
          </w:p>
        </w:tc>
      </w:tr>
      <w:tr w14:paraId="6EB10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B425DC2">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4A6AF316">
            <w:pP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1AFB326E">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6E2B3411">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3C01F320">
            <w:pPr>
              <w:jc w:val="center"/>
              <w:rPr>
                <w:rFonts w:ascii="宋体" w:hAnsi="宋体" w:eastAsia="宋体" w:cs="宋体"/>
                <w:sz w:val="24"/>
                <w:szCs w:val="24"/>
                <w:highlight w:val="none"/>
              </w:rPr>
            </w:pPr>
          </w:p>
        </w:tc>
      </w:tr>
      <w:tr w14:paraId="66A8D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9B97484">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3AD814D8">
            <w:pP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7C7B7038">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3CECCA67">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5A80D8F0">
            <w:pPr>
              <w:jc w:val="center"/>
              <w:rPr>
                <w:rFonts w:ascii="宋体" w:hAnsi="宋体" w:eastAsia="宋体" w:cs="宋体"/>
                <w:sz w:val="24"/>
                <w:szCs w:val="24"/>
                <w:highlight w:val="none"/>
              </w:rPr>
            </w:pPr>
          </w:p>
        </w:tc>
      </w:tr>
      <w:tr w14:paraId="54163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D973F42">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11CBE0FE">
            <w:pP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0C3AFB37">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619C52BA">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3698A37D">
            <w:pPr>
              <w:jc w:val="center"/>
              <w:rPr>
                <w:rFonts w:ascii="宋体" w:hAnsi="宋体" w:eastAsia="宋体" w:cs="宋体"/>
                <w:sz w:val="24"/>
                <w:szCs w:val="24"/>
                <w:highlight w:val="none"/>
              </w:rPr>
            </w:pPr>
          </w:p>
        </w:tc>
      </w:tr>
      <w:tr w14:paraId="188EE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495B5053">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6CA1255E">
            <w:pPr>
              <w:rPr>
                <w:rFonts w:ascii="宋体" w:hAnsi="宋体" w:eastAsia="宋体" w:cs="宋体"/>
                <w:sz w:val="24"/>
                <w:szCs w:val="24"/>
                <w:highlight w:val="none"/>
              </w:rPr>
            </w:pPr>
          </w:p>
        </w:tc>
        <w:tc>
          <w:tcPr>
            <w:tcW w:w="1618" w:type="dxa"/>
            <w:tcBorders>
              <w:top w:val="single" w:color="auto" w:sz="4" w:space="0"/>
              <w:left w:val="single" w:color="auto" w:sz="4" w:space="0"/>
              <w:bottom w:val="single" w:color="auto" w:sz="4" w:space="0"/>
              <w:right w:val="single" w:color="auto" w:sz="4" w:space="0"/>
            </w:tcBorders>
          </w:tcPr>
          <w:p w14:paraId="46252729">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4F23ACD4">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0B6F981A">
            <w:pPr>
              <w:jc w:val="center"/>
              <w:rPr>
                <w:rFonts w:ascii="宋体" w:hAnsi="宋体" w:eastAsia="宋体" w:cs="宋体"/>
                <w:sz w:val="24"/>
                <w:szCs w:val="24"/>
                <w:highlight w:val="none"/>
              </w:rPr>
            </w:pPr>
          </w:p>
        </w:tc>
      </w:tr>
      <w:tr w14:paraId="26B08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5507CDA9">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2989A9F4">
            <w:pPr>
              <w:rPr>
                <w:rFonts w:ascii="宋体" w:hAnsi="宋体" w:eastAsia="宋体" w:cs="宋体"/>
                <w:sz w:val="24"/>
                <w:szCs w:val="24"/>
                <w:highlight w:val="none"/>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14:paraId="40620A76">
            <w:pPr>
              <w:jc w:val="center"/>
              <w:rPr>
                <w:rFonts w:ascii="宋体" w:hAnsi="宋体" w:eastAsia="宋体" w:cs="宋体"/>
                <w:sz w:val="24"/>
                <w:szCs w:val="24"/>
                <w:highlight w:val="none"/>
              </w:rPr>
            </w:pPr>
          </w:p>
        </w:tc>
        <w:tc>
          <w:tcPr>
            <w:tcW w:w="1308" w:type="dxa"/>
            <w:tcBorders>
              <w:top w:val="single" w:color="auto" w:sz="4" w:space="0"/>
              <w:left w:val="single" w:color="auto" w:sz="4" w:space="0"/>
              <w:bottom w:val="single" w:color="auto" w:sz="4" w:space="0"/>
              <w:right w:val="single" w:color="auto" w:sz="4" w:space="0"/>
            </w:tcBorders>
          </w:tcPr>
          <w:p w14:paraId="5045DBB0">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1A954E24">
            <w:pPr>
              <w:jc w:val="center"/>
              <w:rPr>
                <w:rFonts w:ascii="宋体" w:hAnsi="宋体" w:eastAsia="宋体" w:cs="宋体"/>
                <w:sz w:val="24"/>
                <w:szCs w:val="24"/>
                <w:highlight w:val="none"/>
              </w:rPr>
            </w:pPr>
          </w:p>
        </w:tc>
      </w:tr>
      <w:tr w14:paraId="14A79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81BA77B">
            <w:pPr>
              <w:jc w:val="center"/>
              <w:rPr>
                <w:rFonts w:ascii="宋体" w:hAnsi="宋体" w:eastAsia="宋体" w:cs="宋体"/>
                <w:sz w:val="24"/>
                <w:szCs w:val="24"/>
                <w:highlight w:val="none"/>
              </w:rPr>
            </w:pPr>
          </w:p>
        </w:tc>
        <w:tc>
          <w:tcPr>
            <w:tcW w:w="4086" w:type="dxa"/>
            <w:tcBorders>
              <w:top w:val="single" w:color="auto" w:sz="4" w:space="0"/>
              <w:left w:val="single" w:color="auto" w:sz="4" w:space="0"/>
              <w:bottom w:val="single" w:color="auto" w:sz="4" w:space="0"/>
              <w:right w:val="single" w:color="auto" w:sz="4" w:space="0"/>
            </w:tcBorders>
          </w:tcPr>
          <w:p w14:paraId="213B7C44">
            <w:pPr>
              <w:rPr>
                <w:rFonts w:ascii="宋体" w:hAnsi="宋体" w:eastAsia="宋体" w:cs="宋体"/>
                <w:sz w:val="24"/>
                <w:szCs w:val="24"/>
                <w:highlight w:val="none"/>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14:paraId="19C1F369">
            <w:pPr>
              <w:rPr>
                <w:rFonts w:ascii="宋体" w:hAnsi="宋体" w:eastAsia="宋体" w:cs="宋体"/>
                <w:sz w:val="24"/>
                <w:szCs w:val="24"/>
                <w:highlight w:val="none"/>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14:paraId="1D083E71">
            <w:pPr>
              <w:jc w:val="center"/>
              <w:rPr>
                <w:rFonts w:ascii="宋体" w:hAnsi="宋体" w:eastAsia="宋体" w:cs="宋体"/>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tcPr>
          <w:p w14:paraId="003748CB">
            <w:pPr>
              <w:jc w:val="center"/>
              <w:rPr>
                <w:rFonts w:ascii="宋体" w:hAnsi="宋体" w:eastAsia="宋体" w:cs="宋体"/>
                <w:sz w:val="24"/>
                <w:szCs w:val="24"/>
                <w:highlight w:val="none"/>
              </w:rPr>
            </w:pPr>
          </w:p>
        </w:tc>
      </w:tr>
    </w:tbl>
    <w:p w14:paraId="51B54FC6">
      <w:pPr>
        <w:pStyle w:val="35"/>
        <w:widowControl w:val="0"/>
        <w:spacing w:line="360" w:lineRule="auto"/>
        <w:ind w:firstLine="4320" w:firstLineChars="1800"/>
        <w:rPr>
          <w:rFonts w:hAnsi="宋体"/>
          <w:color w:val="auto"/>
          <w:highlight w:val="none"/>
          <w:u w:val="single"/>
        </w:rPr>
      </w:pPr>
      <w:r>
        <w:rPr>
          <w:rFonts w:hint="eastAsia" w:hAnsi="宋体"/>
          <w:color w:val="auto"/>
          <w:highlight w:val="none"/>
        </w:rPr>
        <w:t>法定代表人（授权代表）签字：</w:t>
      </w:r>
      <w:r>
        <w:rPr>
          <w:rFonts w:hint="eastAsia" w:hAnsi="宋体"/>
          <w:color w:val="auto"/>
          <w:highlight w:val="none"/>
          <w:u w:val="single"/>
        </w:rPr>
        <w:t xml:space="preserve">         </w:t>
      </w:r>
    </w:p>
    <w:p w14:paraId="506EA566">
      <w:pPr>
        <w:pStyle w:val="35"/>
        <w:widowControl w:val="0"/>
        <w:spacing w:line="360" w:lineRule="auto"/>
        <w:ind w:firstLine="5640" w:firstLineChars="2350"/>
        <w:rPr>
          <w:rFonts w:hAnsi="宋体"/>
          <w:color w:val="auto"/>
          <w:highlight w:val="none"/>
          <w:u w:val="single"/>
        </w:rPr>
      </w:pPr>
      <w:r>
        <w:rPr>
          <w:rFonts w:hint="eastAsia" w:hAnsi="宋体"/>
          <w:bCs/>
          <w:color w:val="auto"/>
          <w:highlight w:val="none"/>
        </w:rPr>
        <w:t>日期：</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14:paraId="03F2B6FD">
      <w:pPr>
        <w:pStyle w:val="48"/>
        <w:snapToGrid w:val="0"/>
        <w:spacing w:line="400" w:lineRule="exact"/>
        <w:ind w:firstLine="420"/>
        <w:rPr>
          <w:rFonts w:ascii="宋体" w:hAnsi="宋体" w:cs="宋体"/>
          <w:sz w:val="21"/>
          <w:highlight w:val="none"/>
        </w:rPr>
      </w:pPr>
    </w:p>
    <w:p w14:paraId="1AAE13D7">
      <w:pPr>
        <w:pStyle w:val="48"/>
        <w:snapToGrid w:val="0"/>
        <w:spacing w:line="400" w:lineRule="exact"/>
        <w:ind w:firstLine="420"/>
        <w:rPr>
          <w:rFonts w:ascii="宋体" w:hAnsi="宋体" w:cs="宋体"/>
          <w:sz w:val="21"/>
          <w:highlight w:val="none"/>
        </w:rPr>
      </w:pPr>
      <w:r>
        <w:rPr>
          <w:rFonts w:hint="eastAsia" w:ascii="宋体" w:hAnsi="宋体" w:cs="宋体"/>
          <w:sz w:val="21"/>
          <w:highlight w:val="none"/>
        </w:rPr>
        <w:t>注：1．投标人应当逐条对照招标文件技术条款，就投标文件对技术条款存在的偏差与例外逐条做出说明；</w:t>
      </w:r>
    </w:p>
    <w:p w14:paraId="235AB290">
      <w:pPr>
        <w:pStyle w:val="48"/>
        <w:snapToGrid w:val="0"/>
        <w:spacing w:line="400" w:lineRule="exact"/>
        <w:ind w:firstLine="420"/>
        <w:rPr>
          <w:rFonts w:ascii="宋体" w:hAnsi="宋体" w:cs="宋体"/>
          <w:sz w:val="21"/>
          <w:highlight w:val="none"/>
        </w:rPr>
      </w:pPr>
      <w:r>
        <w:rPr>
          <w:rFonts w:hint="eastAsia" w:ascii="宋体" w:hAnsi="宋体" w:cs="宋体"/>
          <w:sz w:val="21"/>
          <w:highlight w:val="none"/>
        </w:rPr>
        <w:t>2．如投标文件对技术条款无任何偏差，投标人仅需在本偏离表中填写“无偏离”即可。</w:t>
      </w:r>
    </w:p>
    <w:p w14:paraId="599154F8">
      <w:pPr>
        <w:shd w:val="clear" w:color="auto" w:fill="FFFFFF"/>
        <w:snapToGrid w:val="0"/>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 投标人未填写该表则表示完全满足招标文件技术条款要求。</w:t>
      </w:r>
    </w:p>
    <w:p w14:paraId="2B8487E4">
      <w:pPr>
        <w:spacing w:line="360" w:lineRule="auto"/>
        <w:rPr>
          <w:rFonts w:ascii="宋体" w:hAnsi="宋体" w:eastAsia="宋体" w:cs="宋体"/>
          <w:szCs w:val="21"/>
          <w:highlight w:val="none"/>
          <w:u w:color="FF0000"/>
        </w:rPr>
      </w:pPr>
    </w:p>
    <w:p w14:paraId="347D143E">
      <w:pPr>
        <w:widowControl/>
        <w:jc w:val="left"/>
        <w:rPr>
          <w:rFonts w:ascii="宋体" w:hAnsi="宋体" w:eastAsia="宋体" w:cs="宋体"/>
          <w:szCs w:val="21"/>
          <w:highlight w:val="none"/>
          <w:u w:color="FF0000"/>
        </w:rPr>
      </w:pPr>
      <w:r>
        <w:rPr>
          <w:rFonts w:hint="eastAsia" w:ascii="宋体" w:hAnsi="宋体" w:eastAsia="宋体" w:cs="宋体"/>
          <w:szCs w:val="21"/>
          <w:highlight w:val="none"/>
          <w:u w:color="FF0000"/>
        </w:rPr>
        <w:br w:type="page"/>
      </w:r>
    </w:p>
    <w:p w14:paraId="070726FD">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46" w:name="_Toc22906"/>
      <w:r>
        <w:rPr>
          <w:rFonts w:hint="eastAsia" w:ascii="宋体" w:hAnsi="宋体" w:eastAsia="宋体" w:cs="宋体"/>
          <w:sz w:val="24"/>
          <w:szCs w:val="24"/>
          <w:highlight w:val="none"/>
          <w:u w:color="000000"/>
        </w:rPr>
        <w:t>6.7 技术规范点对点应答</w:t>
      </w:r>
      <w:bookmarkEnd w:id="46"/>
    </w:p>
    <w:p w14:paraId="6D3690C4">
      <w:pPr>
        <w:spacing w:line="360" w:lineRule="auto"/>
        <w:rPr>
          <w:rFonts w:ascii="宋体" w:hAnsi="宋体" w:eastAsia="宋体" w:cs="宋体"/>
          <w:szCs w:val="21"/>
          <w:highlight w:val="none"/>
          <w:u w:color="FF0000"/>
        </w:rPr>
      </w:pPr>
    </w:p>
    <w:p w14:paraId="12BCEB9B">
      <w:pPr>
        <w:spacing w:line="360" w:lineRule="auto"/>
        <w:rPr>
          <w:rFonts w:ascii="宋体" w:hAnsi="宋体" w:eastAsia="宋体" w:cs="宋体"/>
          <w:szCs w:val="21"/>
          <w:highlight w:val="none"/>
          <w:u w:color="FF0000"/>
        </w:rPr>
      </w:pPr>
    </w:p>
    <w:p w14:paraId="07FD7F76">
      <w:pPr>
        <w:spacing w:line="360" w:lineRule="auto"/>
        <w:rPr>
          <w:rFonts w:ascii="宋体" w:hAnsi="宋体" w:eastAsia="宋体" w:cs="宋体"/>
          <w:szCs w:val="21"/>
          <w:highlight w:val="none"/>
          <w:u w:color="FF0000"/>
        </w:rPr>
      </w:pPr>
    </w:p>
    <w:p w14:paraId="07B6A491">
      <w:pPr>
        <w:widowControl/>
        <w:jc w:val="left"/>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br w:type="page"/>
      </w:r>
    </w:p>
    <w:p w14:paraId="6CA8FF02">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47" w:name="_Toc29532"/>
      <w:r>
        <w:rPr>
          <w:rFonts w:hint="eastAsia" w:ascii="宋体" w:hAnsi="宋体" w:eastAsia="宋体" w:cs="宋体"/>
          <w:sz w:val="24"/>
          <w:szCs w:val="24"/>
          <w:highlight w:val="none"/>
          <w:u w:color="000000"/>
        </w:rPr>
        <w:t>6.8 综合实力证明</w:t>
      </w:r>
      <w:bookmarkEnd w:id="47"/>
    </w:p>
    <w:p w14:paraId="4440AA31">
      <w:pPr>
        <w:jc w:val="center"/>
        <w:rPr>
          <w:rFonts w:ascii="宋体" w:hAnsi="宋体" w:eastAsia="宋体" w:cs="宋体"/>
          <w:sz w:val="28"/>
          <w:szCs w:val="24"/>
          <w:highlight w:val="none"/>
          <w:u w:color="000000"/>
          <w:lang w:val="zh-TW" w:eastAsia="zh-TW"/>
        </w:rPr>
      </w:pPr>
      <w:r>
        <w:rPr>
          <w:rFonts w:hint="eastAsia" w:ascii="宋体" w:hAnsi="宋体" w:eastAsia="宋体" w:cs="宋体"/>
          <w:sz w:val="28"/>
          <w:szCs w:val="24"/>
          <w:highlight w:val="none"/>
          <w:u w:color="000000"/>
          <w:lang w:val="zh-TW" w:eastAsia="zh-TW"/>
        </w:rPr>
        <w:t>业绩情况表</w:t>
      </w:r>
    </w:p>
    <w:p w14:paraId="72E976E8">
      <w:pPr>
        <w:pStyle w:val="2"/>
        <w:widowControl w:val="0"/>
        <w:ind w:firstLine="0" w:firstLineChars="0"/>
        <w:jc w:val="center"/>
        <w:rPr>
          <w:rFonts w:hint="default" w:ascii="宋体" w:hAnsi="宋体" w:eastAsia="宋体" w:cs="宋体"/>
          <w:bCs/>
          <w:color w:val="auto"/>
          <w:sz w:val="21"/>
          <w:szCs w:val="21"/>
          <w:highlight w:val="none"/>
          <w:lang w:eastAsia="zh-CN"/>
        </w:rPr>
      </w:pPr>
      <w:r>
        <w:rPr>
          <w:rFonts w:ascii="宋体" w:hAnsi="宋体" w:eastAsia="宋体" w:cs="宋体"/>
          <w:bCs/>
          <w:color w:val="auto"/>
          <w:sz w:val="21"/>
          <w:szCs w:val="21"/>
          <w:highlight w:val="none"/>
          <w:lang w:eastAsia="zh-CN"/>
        </w:rPr>
        <w:t>近年（</w:t>
      </w:r>
      <w:r>
        <w:rPr>
          <w:rFonts w:ascii="宋体" w:hAnsi="宋体" w:eastAsia="宋体" w:cs="宋体"/>
          <w:bCs/>
          <w:color w:val="auto"/>
          <w:sz w:val="21"/>
          <w:szCs w:val="21"/>
          <w:highlight w:val="none"/>
          <w:u w:val="single"/>
          <w:lang w:eastAsia="zh-CN"/>
        </w:rPr>
        <w:t xml:space="preserve">    </w:t>
      </w:r>
      <w:r>
        <w:rPr>
          <w:rFonts w:ascii="宋体" w:hAnsi="宋体" w:eastAsia="宋体" w:cs="宋体"/>
          <w:bCs/>
          <w:color w:val="auto"/>
          <w:sz w:val="21"/>
          <w:szCs w:val="21"/>
          <w:highlight w:val="none"/>
          <w:lang w:eastAsia="zh-CN"/>
        </w:rPr>
        <w:t>年</w:t>
      </w:r>
      <w:r>
        <w:rPr>
          <w:rFonts w:ascii="宋体" w:hAnsi="宋体" w:eastAsia="宋体" w:cs="宋体"/>
          <w:bCs/>
          <w:color w:val="auto"/>
          <w:sz w:val="21"/>
          <w:szCs w:val="21"/>
          <w:highlight w:val="none"/>
          <w:u w:val="single"/>
          <w:lang w:eastAsia="zh-CN"/>
        </w:rPr>
        <w:t xml:space="preserve">  </w:t>
      </w:r>
      <w:r>
        <w:rPr>
          <w:rFonts w:ascii="宋体" w:hAnsi="宋体" w:eastAsia="宋体" w:cs="宋体"/>
          <w:bCs/>
          <w:color w:val="auto"/>
          <w:sz w:val="21"/>
          <w:szCs w:val="21"/>
          <w:highlight w:val="none"/>
          <w:lang w:eastAsia="zh-CN"/>
        </w:rPr>
        <w:t>月</w:t>
      </w:r>
      <w:r>
        <w:rPr>
          <w:rFonts w:ascii="宋体" w:hAnsi="宋体" w:eastAsia="宋体" w:cs="宋体"/>
          <w:bCs/>
          <w:color w:val="auto"/>
          <w:sz w:val="21"/>
          <w:szCs w:val="21"/>
          <w:highlight w:val="none"/>
          <w:u w:val="single"/>
          <w:lang w:eastAsia="zh-CN"/>
        </w:rPr>
        <w:t xml:space="preserve">  </w:t>
      </w:r>
      <w:r>
        <w:rPr>
          <w:rFonts w:ascii="宋体" w:hAnsi="宋体" w:eastAsia="宋体" w:cs="宋体"/>
          <w:bCs/>
          <w:color w:val="auto"/>
          <w:sz w:val="21"/>
          <w:szCs w:val="21"/>
          <w:highlight w:val="none"/>
          <w:lang w:eastAsia="zh-CN"/>
        </w:rPr>
        <w:t>日至</w:t>
      </w:r>
      <w:r>
        <w:rPr>
          <w:rFonts w:ascii="宋体" w:hAnsi="宋体" w:eastAsia="宋体" w:cs="宋体"/>
          <w:bCs/>
          <w:color w:val="auto"/>
          <w:sz w:val="21"/>
          <w:szCs w:val="21"/>
          <w:highlight w:val="none"/>
          <w:u w:val="single"/>
          <w:lang w:eastAsia="zh-CN"/>
        </w:rPr>
        <w:t xml:space="preserve">    </w:t>
      </w:r>
      <w:r>
        <w:rPr>
          <w:rFonts w:ascii="宋体" w:hAnsi="宋体" w:eastAsia="宋体" w:cs="宋体"/>
          <w:bCs/>
          <w:color w:val="auto"/>
          <w:sz w:val="21"/>
          <w:szCs w:val="21"/>
          <w:highlight w:val="none"/>
          <w:lang w:eastAsia="zh-CN"/>
        </w:rPr>
        <w:t>年</w:t>
      </w:r>
      <w:r>
        <w:rPr>
          <w:rFonts w:ascii="宋体" w:hAnsi="宋体" w:eastAsia="宋体" w:cs="宋体"/>
          <w:bCs/>
          <w:color w:val="auto"/>
          <w:sz w:val="21"/>
          <w:szCs w:val="21"/>
          <w:highlight w:val="none"/>
          <w:u w:val="single"/>
          <w:lang w:eastAsia="zh-CN"/>
        </w:rPr>
        <w:t xml:space="preserve">  </w:t>
      </w:r>
      <w:r>
        <w:rPr>
          <w:rFonts w:ascii="宋体" w:hAnsi="宋体" w:eastAsia="宋体" w:cs="宋体"/>
          <w:bCs/>
          <w:color w:val="auto"/>
          <w:sz w:val="21"/>
          <w:szCs w:val="21"/>
          <w:highlight w:val="none"/>
          <w:lang w:eastAsia="zh-CN"/>
        </w:rPr>
        <w:t>月</w:t>
      </w:r>
      <w:r>
        <w:rPr>
          <w:rFonts w:ascii="宋体" w:hAnsi="宋体" w:eastAsia="宋体" w:cs="宋体"/>
          <w:bCs/>
          <w:color w:val="auto"/>
          <w:sz w:val="21"/>
          <w:szCs w:val="21"/>
          <w:highlight w:val="none"/>
          <w:u w:val="single"/>
          <w:lang w:eastAsia="zh-CN"/>
        </w:rPr>
        <w:t xml:space="preserve">  </w:t>
      </w:r>
      <w:r>
        <w:rPr>
          <w:rFonts w:ascii="宋体" w:hAnsi="宋体" w:eastAsia="宋体" w:cs="宋体"/>
          <w:bCs/>
          <w:color w:val="auto"/>
          <w:sz w:val="21"/>
          <w:szCs w:val="21"/>
          <w:highlight w:val="none"/>
          <w:lang w:eastAsia="zh-CN"/>
        </w:rPr>
        <w:t>日）业绩情况表</w:t>
      </w:r>
    </w:p>
    <w:tbl>
      <w:tblPr>
        <w:tblStyle w:val="27"/>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14:paraId="6CCCE7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448B933">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095" w:type="dxa"/>
            <w:vAlign w:val="center"/>
          </w:tcPr>
          <w:p w14:paraId="5278E013">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合同名称</w:t>
            </w:r>
          </w:p>
        </w:tc>
        <w:tc>
          <w:tcPr>
            <w:tcW w:w="1095" w:type="dxa"/>
            <w:vAlign w:val="center"/>
          </w:tcPr>
          <w:p w14:paraId="17033B58">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合同编号</w:t>
            </w:r>
          </w:p>
        </w:tc>
        <w:tc>
          <w:tcPr>
            <w:tcW w:w="1003" w:type="dxa"/>
            <w:vAlign w:val="center"/>
          </w:tcPr>
          <w:p w14:paraId="3F869168">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合同签订时间</w:t>
            </w:r>
          </w:p>
        </w:tc>
        <w:tc>
          <w:tcPr>
            <w:tcW w:w="913" w:type="dxa"/>
            <w:vAlign w:val="center"/>
          </w:tcPr>
          <w:p w14:paraId="6CC2700D">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采购内容</w:t>
            </w:r>
          </w:p>
        </w:tc>
        <w:tc>
          <w:tcPr>
            <w:tcW w:w="731" w:type="dxa"/>
            <w:vAlign w:val="center"/>
          </w:tcPr>
          <w:p w14:paraId="0927AB2E">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合同金额（万元）</w:t>
            </w:r>
          </w:p>
        </w:tc>
        <w:tc>
          <w:tcPr>
            <w:tcW w:w="913" w:type="dxa"/>
            <w:vAlign w:val="center"/>
          </w:tcPr>
          <w:p w14:paraId="7AEE5580">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合同卖方</w:t>
            </w:r>
          </w:p>
        </w:tc>
        <w:tc>
          <w:tcPr>
            <w:tcW w:w="913" w:type="dxa"/>
            <w:vAlign w:val="center"/>
          </w:tcPr>
          <w:p w14:paraId="14E12668">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合同买方</w:t>
            </w:r>
          </w:p>
        </w:tc>
        <w:tc>
          <w:tcPr>
            <w:tcW w:w="1005" w:type="dxa"/>
            <w:vAlign w:val="center"/>
          </w:tcPr>
          <w:p w14:paraId="638D53EF">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合同买方联系人及联系电话</w:t>
            </w:r>
          </w:p>
        </w:tc>
        <w:tc>
          <w:tcPr>
            <w:tcW w:w="697" w:type="dxa"/>
            <w:vAlign w:val="center"/>
          </w:tcPr>
          <w:p w14:paraId="06595550">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备注</w:t>
            </w:r>
          </w:p>
        </w:tc>
      </w:tr>
      <w:tr w14:paraId="36B115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24C04DBA">
            <w:pPr>
              <w:spacing w:before="124" w:beforeLines="40" w:after="124" w:afterLines="40"/>
              <w:jc w:val="center"/>
              <w:rPr>
                <w:rFonts w:ascii="宋体" w:hAnsi="宋体" w:eastAsia="宋体" w:cs="宋体"/>
                <w:szCs w:val="21"/>
                <w:highlight w:val="none"/>
              </w:rPr>
            </w:pPr>
          </w:p>
        </w:tc>
        <w:tc>
          <w:tcPr>
            <w:tcW w:w="1095" w:type="dxa"/>
          </w:tcPr>
          <w:p w14:paraId="6BFB59A4">
            <w:pPr>
              <w:spacing w:before="124" w:beforeLines="40" w:after="124" w:afterLines="40"/>
              <w:jc w:val="center"/>
              <w:rPr>
                <w:rFonts w:ascii="宋体" w:hAnsi="宋体" w:eastAsia="宋体" w:cs="宋体"/>
                <w:szCs w:val="21"/>
                <w:highlight w:val="none"/>
              </w:rPr>
            </w:pPr>
          </w:p>
        </w:tc>
        <w:tc>
          <w:tcPr>
            <w:tcW w:w="1095" w:type="dxa"/>
          </w:tcPr>
          <w:p w14:paraId="599A0EFB">
            <w:pPr>
              <w:spacing w:before="124" w:beforeLines="40" w:after="124" w:afterLines="40"/>
              <w:jc w:val="center"/>
              <w:rPr>
                <w:rFonts w:ascii="宋体" w:hAnsi="宋体" w:eastAsia="宋体" w:cs="宋体"/>
                <w:szCs w:val="21"/>
                <w:highlight w:val="none"/>
              </w:rPr>
            </w:pPr>
          </w:p>
        </w:tc>
        <w:tc>
          <w:tcPr>
            <w:tcW w:w="1003" w:type="dxa"/>
          </w:tcPr>
          <w:p w14:paraId="098E720E">
            <w:pPr>
              <w:spacing w:before="124" w:beforeLines="40" w:after="124" w:afterLines="40"/>
              <w:jc w:val="center"/>
              <w:rPr>
                <w:rFonts w:ascii="宋体" w:hAnsi="宋体" w:eastAsia="宋体" w:cs="宋体"/>
                <w:szCs w:val="21"/>
                <w:highlight w:val="none"/>
              </w:rPr>
            </w:pPr>
          </w:p>
        </w:tc>
        <w:tc>
          <w:tcPr>
            <w:tcW w:w="913" w:type="dxa"/>
          </w:tcPr>
          <w:p w14:paraId="5A595766">
            <w:pPr>
              <w:spacing w:before="124" w:beforeLines="40" w:after="124" w:afterLines="40"/>
              <w:jc w:val="center"/>
              <w:rPr>
                <w:rFonts w:ascii="宋体" w:hAnsi="宋体" w:eastAsia="宋体" w:cs="宋体"/>
                <w:szCs w:val="21"/>
                <w:highlight w:val="none"/>
              </w:rPr>
            </w:pPr>
          </w:p>
        </w:tc>
        <w:tc>
          <w:tcPr>
            <w:tcW w:w="731" w:type="dxa"/>
          </w:tcPr>
          <w:p w14:paraId="6881B64A">
            <w:pPr>
              <w:spacing w:before="124" w:beforeLines="40" w:after="124" w:afterLines="40"/>
              <w:jc w:val="center"/>
              <w:rPr>
                <w:rFonts w:ascii="宋体" w:hAnsi="宋体" w:eastAsia="宋体" w:cs="宋体"/>
                <w:szCs w:val="21"/>
                <w:highlight w:val="none"/>
              </w:rPr>
            </w:pPr>
          </w:p>
        </w:tc>
        <w:tc>
          <w:tcPr>
            <w:tcW w:w="913" w:type="dxa"/>
          </w:tcPr>
          <w:p w14:paraId="101BB7AE">
            <w:pPr>
              <w:spacing w:before="124" w:beforeLines="40" w:after="124" w:afterLines="40"/>
              <w:jc w:val="center"/>
              <w:rPr>
                <w:rFonts w:ascii="宋体" w:hAnsi="宋体" w:eastAsia="宋体" w:cs="宋体"/>
                <w:szCs w:val="21"/>
                <w:highlight w:val="none"/>
              </w:rPr>
            </w:pPr>
          </w:p>
        </w:tc>
        <w:tc>
          <w:tcPr>
            <w:tcW w:w="913" w:type="dxa"/>
          </w:tcPr>
          <w:p w14:paraId="55A66D22">
            <w:pPr>
              <w:spacing w:before="124" w:beforeLines="40" w:after="124" w:afterLines="40"/>
              <w:jc w:val="center"/>
              <w:rPr>
                <w:rFonts w:ascii="宋体" w:hAnsi="宋体" w:eastAsia="宋体" w:cs="宋体"/>
                <w:szCs w:val="21"/>
                <w:highlight w:val="none"/>
              </w:rPr>
            </w:pPr>
          </w:p>
        </w:tc>
        <w:tc>
          <w:tcPr>
            <w:tcW w:w="1005" w:type="dxa"/>
          </w:tcPr>
          <w:p w14:paraId="3EBA285C">
            <w:pPr>
              <w:spacing w:before="124" w:beforeLines="40" w:after="124" w:afterLines="40"/>
              <w:jc w:val="center"/>
              <w:rPr>
                <w:rFonts w:ascii="宋体" w:hAnsi="宋体" w:eastAsia="宋体" w:cs="宋体"/>
                <w:szCs w:val="21"/>
                <w:highlight w:val="none"/>
              </w:rPr>
            </w:pPr>
          </w:p>
        </w:tc>
        <w:tc>
          <w:tcPr>
            <w:tcW w:w="697" w:type="dxa"/>
          </w:tcPr>
          <w:p w14:paraId="5614F241">
            <w:pPr>
              <w:spacing w:before="124" w:beforeLines="40" w:after="124" w:afterLines="40"/>
              <w:jc w:val="center"/>
              <w:rPr>
                <w:rFonts w:ascii="宋体" w:hAnsi="宋体" w:eastAsia="宋体" w:cs="宋体"/>
                <w:szCs w:val="21"/>
                <w:highlight w:val="none"/>
              </w:rPr>
            </w:pPr>
          </w:p>
        </w:tc>
      </w:tr>
      <w:tr w14:paraId="48284C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1A601421">
            <w:pPr>
              <w:spacing w:before="124" w:beforeLines="40" w:after="124" w:afterLines="40"/>
              <w:jc w:val="center"/>
              <w:rPr>
                <w:rFonts w:ascii="宋体" w:hAnsi="宋体" w:eastAsia="宋体" w:cs="宋体"/>
                <w:szCs w:val="21"/>
                <w:highlight w:val="none"/>
              </w:rPr>
            </w:pPr>
          </w:p>
        </w:tc>
        <w:tc>
          <w:tcPr>
            <w:tcW w:w="1095" w:type="dxa"/>
          </w:tcPr>
          <w:p w14:paraId="6DD651C3">
            <w:pPr>
              <w:spacing w:before="124" w:beforeLines="40" w:after="124" w:afterLines="40"/>
              <w:jc w:val="center"/>
              <w:rPr>
                <w:rFonts w:ascii="宋体" w:hAnsi="宋体" w:eastAsia="宋体" w:cs="宋体"/>
                <w:szCs w:val="21"/>
                <w:highlight w:val="none"/>
              </w:rPr>
            </w:pPr>
          </w:p>
        </w:tc>
        <w:tc>
          <w:tcPr>
            <w:tcW w:w="1095" w:type="dxa"/>
          </w:tcPr>
          <w:p w14:paraId="36311D26">
            <w:pPr>
              <w:spacing w:before="124" w:beforeLines="40" w:after="124" w:afterLines="40"/>
              <w:jc w:val="center"/>
              <w:rPr>
                <w:rFonts w:ascii="宋体" w:hAnsi="宋体" w:eastAsia="宋体" w:cs="宋体"/>
                <w:szCs w:val="21"/>
                <w:highlight w:val="none"/>
              </w:rPr>
            </w:pPr>
          </w:p>
        </w:tc>
        <w:tc>
          <w:tcPr>
            <w:tcW w:w="1003" w:type="dxa"/>
          </w:tcPr>
          <w:p w14:paraId="7B5C267F">
            <w:pPr>
              <w:spacing w:before="124" w:beforeLines="40" w:after="124" w:afterLines="40"/>
              <w:jc w:val="center"/>
              <w:rPr>
                <w:rFonts w:ascii="宋体" w:hAnsi="宋体" w:eastAsia="宋体" w:cs="宋体"/>
                <w:szCs w:val="21"/>
                <w:highlight w:val="none"/>
              </w:rPr>
            </w:pPr>
          </w:p>
        </w:tc>
        <w:tc>
          <w:tcPr>
            <w:tcW w:w="913" w:type="dxa"/>
          </w:tcPr>
          <w:p w14:paraId="4291F143">
            <w:pPr>
              <w:spacing w:before="124" w:beforeLines="40" w:after="124" w:afterLines="40"/>
              <w:jc w:val="center"/>
              <w:rPr>
                <w:rFonts w:ascii="宋体" w:hAnsi="宋体" w:eastAsia="宋体" w:cs="宋体"/>
                <w:szCs w:val="21"/>
                <w:highlight w:val="none"/>
              </w:rPr>
            </w:pPr>
          </w:p>
        </w:tc>
        <w:tc>
          <w:tcPr>
            <w:tcW w:w="731" w:type="dxa"/>
          </w:tcPr>
          <w:p w14:paraId="7B129DCC">
            <w:pPr>
              <w:spacing w:before="124" w:beforeLines="40" w:after="124" w:afterLines="40"/>
              <w:jc w:val="center"/>
              <w:rPr>
                <w:rFonts w:ascii="宋体" w:hAnsi="宋体" w:eastAsia="宋体" w:cs="宋体"/>
                <w:szCs w:val="21"/>
                <w:highlight w:val="none"/>
              </w:rPr>
            </w:pPr>
          </w:p>
        </w:tc>
        <w:tc>
          <w:tcPr>
            <w:tcW w:w="913" w:type="dxa"/>
          </w:tcPr>
          <w:p w14:paraId="0E2839EF">
            <w:pPr>
              <w:spacing w:before="124" w:beforeLines="40" w:after="124" w:afterLines="40"/>
              <w:jc w:val="center"/>
              <w:rPr>
                <w:rFonts w:ascii="宋体" w:hAnsi="宋体" w:eastAsia="宋体" w:cs="宋体"/>
                <w:szCs w:val="21"/>
                <w:highlight w:val="none"/>
              </w:rPr>
            </w:pPr>
          </w:p>
        </w:tc>
        <w:tc>
          <w:tcPr>
            <w:tcW w:w="913" w:type="dxa"/>
          </w:tcPr>
          <w:p w14:paraId="1DA7A3DF">
            <w:pPr>
              <w:spacing w:before="124" w:beforeLines="40" w:after="124" w:afterLines="40"/>
              <w:jc w:val="center"/>
              <w:rPr>
                <w:rFonts w:ascii="宋体" w:hAnsi="宋体" w:eastAsia="宋体" w:cs="宋体"/>
                <w:szCs w:val="21"/>
                <w:highlight w:val="none"/>
              </w:rPr>
            </w:pPr>
          </w:p>
        </w:tc>
        <w:tc>
          <w:tcPr>
            <w:tcW w:w="1005" w:type="dxa"/>
          </w:tcPr>
          <w:p w14:paraId="24B3A183">
            <w:pPr>
              <w:spacing w:before="124" w:beforeLines="40" w:after="124" w:afterLines="40"/>
              <w:jc w:val="center"/>
              <w:rPr>
                <w:rFonts w:ascii="宋体" w:hAnsi="宋体" w:eastAsia="宋体" w:cs="宋体"/>
                <w:szCs w:val="21"/>
                <w:highlight w:val="none"/>
              </w:rPr>
            </w:pPr>
          </w:p>
        </w:tc>
        <w:tc>
          <w:tcPr>
            <w:tcW w:w="697" w:type="dxa"/>
          </w:tcPr>
          <w:p w14:paraId="27DA9069">
            <w:pPr>
              <w:spacing w:before="124" w:beforeLines="40" w:after="124" w:afterLines="40"/>
              <w:jc w:val="center"/>
              <w:rPr>
                <w:rFonts w:ascii="宋体" w:hAnsi="宋体" w:eastAsia="宋体" w:cs="宋体"/>
                <w:szCs w:val="21"/>
                <w:highlight w:val="none"/>
              </w:rPr>
            </w:pPr>
          </w:p>
        </w:tc>
      </w:tr>
      <w:tr w14:paraId="28ECD9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14:paraId="5B7DD9DA">
            <w:pPr>
              <w:spacing w:before="124" w:beforeLines="40" w:after="124" w:afterLines="40"/>
              <w:jc w:val="center"/>
              <w:rPr>
                <w:rFonts w:ascii="宋体" w:hAnsi="宋体" w:eastAsia="宋体" w:cs="宋体"/>
                <w:szCs w:val="21"/>
                <w:highlight w:val="none"/>
              </w:rPr>
            </w:pPr>
          </w:p>
        </w:tc>
        <w:tc>
          <w:tcPr>
            <w:tcW w:w="1095" w:type="dxa"/>
          </w:tcPr>
          <w:p w14:paraId="2C86A4B1">
            <w:pPr>
              <w:spacing w:before="124" w:beforeLines="40" w:after="124" w:afterLines="40"/>
              <w:jc w:val="center"/>
              <w:rPr>
                <w:rFonts w:ascii="宋体" w:hAnsi="宋体" w:eastAsia="宋体" w:cs="宋体"/>
                <w:szCs w:val="21"/>
                <w:highlight w:val="none"/>
              </w:rPr>
            </w:pPr>
          </w:p>
        </w:tc>
        <w:tc>
          <w:tcPr>
            <w:tcW w:w="1095" w:type="dxa"/>
          </w:tcPr>
          <w:p w14:paraId="4C68CE45">
            <w:pPr>
              <w:spacing w:before="124" w:beforeLines="40" w:after="124" w:afterLines="40"/>
              <w:jc w:val="center"/>
              <w:rPr>
                <w:rFonts w:ascii="宋体" w:hAnsi="宋体" w:eastAsia="宋体" w:cs="宋体"/>
                <w:szCs w:val="21"/>
                <w:highlight w:val="none"/>
              </w:rPr>
            </w:pPr>
          </w:p>
        </w:tc>
        <w:tc>
          <w:tcPr>
            <w:tcW w:w="1003" w:type="dxa"/>
          </w:tcPr>
          <w:p w14:paraId="4539F188">
            <w:pPr>
              <w:spacing w:before="124" w:beforeLines="40" w:after="124" w:afterLines="40"/>
              <w:jc w:val="center"/>
              <w:rPr>
                <w:rFonts w:ascii="宋体" w:hAnsi="宋体" w:eastAsia="宋体" w:cs="宋体"/>
                <w:szCs w:val="21"/>
                <w:highlight w:val="none"/>
              </w:rPr>
            </w:pPr>
          </w:p>
        </w:tc>
        <w:tc>
          <w:tcPr>
            <w:tcW w:w="913" w:type="dxa"/>
          </w:tcPr>
          <w:p w14:paraId="56B0FB8B">
            <w:pPr>
              <w:spacing w:before="124" w:beforeLines="40" w:after="124" w:afterLines="40"/>
              <w:jc w:val="center"/>
              <w:rPr>
                <w:rFonts w:ascii="宋体" w:hAnsi="宋体" w:eastAsia="宋体" w:cs="宋体"/>
                <w:szCs w:val="21"/>
                <w:highlight w:val="none"/>
              </w:rPr>
            </w:pPr>
          </w:p>
        </w:tc>
        <w:tc>
          <w:tcPr>
            <w:tcW w:w="731" w:type="dxa"/>
          </w:tcPr>
          <w:p w14:paraId="76B35364">
            <w:pPr>
              <w:spacing w:before="124" w:beforeLines="40" w:after="124" w:afterLines="40"/>
              <w:jc w:val="center"/>
              <w:rPr>
                <w:rFonts w:ascii="宋体" w:hAnsi="宋体" w:eastAsia="宋体" w:cs="宋体"/>
                <w:szCs w:val="21"/>
                <w:highlight w:val="none"/>
              </w:rPr>
            </w:pPr>
          </w:p>
        </w:tc>
        <w:tc>
          <w:tcPr>
            <w:tcW w:w="913" w:type="dxa"/>
          </w:tcPr>
          <w:p w14:paraId="1100FA7C">
            <w:pPr>
              <w:spacing w:before="124" w:beforeLines="40" w:after="124" w:afterLines="40"/>
              <w:jc w:val="center"/>
              <w:rPr>
                <w:rFonts w:ascii="宋体" w:hAnsi="宋体" w:eastAsia="宋体" w:cs="宋体"/>
                <w:szCs w:val="21"/>
                <w:highlight w:val="none"/>
              </w:rPr>
            </w:pPr>
          </w:p>
        </w:tc>
        <w:tc>
          <w:tcPr>
            <w:tcW w:w="913" w:type="dxa"/>
          </w:tcPr>
          <w:p w14:paraId="2B97721E">
            <w:pPr>
              <w:spacing w:before="124" w:beforeLines="40" w:after="124" w:afterLines="40"/>
              <w:jc w:val="center"/>
              <w:rPr>
                <w:rFonts w:ascii="宋体" w:hAnsi="宋体" w:eastAsia="宋体" w:cs="宋体"/>
                <w:szCs w:val="21"/>
                <w:highlight w:val="none"/>
              </w:rPr>
            </w:pPr>
          </w:p>
        </w:tc>
        <w:tc>
          <w:tcPr>
            <w:tcW w:w="1005" w:type="dxa"/>
          </w:tcPr>
          <w:p w14:paraId="0532326C">
            <w:pPr>
              <w:spacing w:before="124" w:beforeLines="40" w:after="124" w:afterLines="40"/>
              <w:jc w:val="center"/>
              <w:rPr>
                <w:rFonts w:ascii="宋体" w:hAnsi="宋体" w:eastAsia="宋体" w:cs="宋体"/>
                <w:szCs w:val="21"/>
                <w:highlight w:val="none"/>
              </w:rPr>
            </w:pPr>
          </w:p>
        </w:tc>
        <w:tc>
          <w:tcPr>
            <w:tcW w:w="697" w:type="dxa"/>
          </w:tcPr>
          <w:p w14:paraId="0D9D55B0">
            <w:pPr>
              <w:spacing w:before="124" w:beforeLines="40" w:after="124" w:afterLines="40"/>
              <w:jc w:val="center"/>
              <w:rPr>
                <w:rFonts w:ascii="宋体" w:hAnsi="宋体" w:eastAsia="宋体" w:cs="宋体"/>
                <w:szCs w:val="21"/>
                <w:highlight w:val="none"/>
              </w:rPr>
            </w:pPr>
          </w:p>
        </w:tc>
      </w:tr>
      <w:tr w14:paraId="3A1A7E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14:paraId="5906DCD0">
            <w:pPr>
              <w:spacing w:before="124" w:beforeLines="40" w:after="124" w:afterLines="40"/>
              <w:jc w:val="center"/>
              <w:rPr>
                <w:rFonts w:ascii="宋体" w:hAnsi="宋体" w:eastAsia="宋体" w:cs="宋体"/>
                <w:szCs w:val="21"/>
                <w:highlight w:val="none"/>
              </w:rPr>
            </w:pPr>
            <w:r>
              <w:rPr>
                <w:rFonts w:hint="eastAsia" w:ascii="宋体" w:hAnsi="宋体" w:eastAsia="宋体" w:cs="宋体"/>
                <w:szCs w:val="21"/>
                <w:highlight w:val="none"/>
              </w:rPr>
              <w:t>合同金额合计：</w:t>
            </w:r>
          </w:p>
        </w:tc>
        <w:tc>
          <w:tcPr>
            <w:tcW w:w="3528" w:type="dxa"/>
            <w:gridSpan w:val="4"/>
            <w:vAlign w:val="center"/>
          </w:tcPr>
          <w:p w14:paraId="2B022BB0">
            <w:pPr>
              <w:spacing w:before="124" w:beforeLines="40" w:after="124" w:afterLines="40"/>
              <w:jc w:val="center"/>
              <w:rPr>
                <w:rFonts w:ascii="宋体" w:hAnsi="宋体" w:eastAsia="宋体" w:cs="宋体"/>
                <w:szCs w:val="21"/>
                <w:highlight w:val="none"/>
                <w:u w:val="single"/>
              </w:rPr>
            </w:pPr>
            <w:r>
              <w:rPr>
                <w:rFonts w:hint="eastAsia" w:ascii="宋体" w:hAnsi="宋体" w:eastAsia="宋体" w:cs="宋体"/>
                <w:szCs w:val="21"/>
                <w:highlight w:val="none"/>
              </w:rPr>
              <w:t>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p>
        </w:tc>
      </w:tr>
    </w:tbl>
    <w:p w14:paraId="638954C0">
      <w:pPr>
        <w:pStyle w:val="48"/>
        <w:ind w:left="315" w:hanging="315" w:hangingChars="150"/>
        <w:rPr>
          <w:rFonts w:ascii="宋体" w:hAnsi="宋体" w:cs="宋体"/>
          <w:sz w:val="21"/>
          <w:highlight w:val="none"/>
        </w:rPr>
      </w:pPr>
      <w:r>
        <w:rPr>
          <w:rFonts w:hint="eastAsia" w:ascii="宋体" w:hAnsi="宋体" w:cs="宋体"/>
          <w:sz w:val="21"/>
          <w:highlight w:val="none"/>
        </w:rPr>
        <w:t>注：若本项目对投标人业绩有要求，投标人应当如实填写本表并根据评分标准中的相关要求在本表后附相关合同关键页（须包括合同名称、服务内容、实施时间、合同金额、合同签字盖章页，如果提供的是框架合同，需提供对应框架合同结算的订单或结算单据）的复印件（加盖公章）或者其他相关证明材料。</w:t>
      </w:r>
    </w:p>
    <w:p w14:paraId="14E485DB">
      <w:pPr>
        <w:spacing w:line="360" w:lineRule="auto"/>
        <w:rPr>
          <w:rFonts w:ascii="宋体" w:hAnsi="宋体" w:eastAsia="宋体" w:cs="宋体"/>
          <w:szCs w:val="21"/>
          <w:highlight w:val="none"/>
          <w:u w:color="FF0000"/>
        </w:rPr>
      </w:pPr>
    </w:p>
    <w:p w14:paraId="69DBD191">
      <w:pPr>
        <w:spacing w:line="360" w:lineRule="auto"/>
        <w:rPr>
          <w:rFonts w:ascii="宋体" w:hAnsi="宋体" w:eastAsia="宋体" w:cs="宋体"/>
          <w:szCs w:val="21"/>
          <w:highlight w:val="none"/>
          <w:u w:color="FF0000"/>
        </w:rPr>
      </w:pPr>
    </w:p>
    <w:p w14:paraId="38634AAC">
      <w:pPr>
        <w:jc w:val="left"/>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br w:type="page"/>
      </w:r>
    </w:p>
    <w:p w14:paraId="6AE393CC">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48" w:name="_Toc21283"/>
      <w:r>
        <w:rPr>
          <w:rFonts w:hint="eastAsia" w:ascii="宋体" w:hAnsi="宋体" w:eastAsia="宋体" w:cs="宋体"/>
          <w:sz w:val="24"/>
          <w:szCs w:val="24"/>
          <w:highlight w:val="none"/>
          <w:u w:color="000000"/>
        </w:rPr>
        <w:t>6.9 技术方案</w:t>
      </w:r>
      <w:bookmarkEnd w:id="48"/>
    </w:p>
    <w:p w14:paraId="640778C1">
      <w:pPr>
        <w:spacing w:line="360" w:lineRule="auto"/>
        <w:ind w:firstLine="480" w:firstLineChars="200"/>
        <w:rPr>
          <w:rFonts w:ascii="宋体" w:hAnsi="宋体" w:eastAsia="宋体" w:cs="宋体"/>
          <w:sz w:val="24"/>
          <w:szCs w:val="24"/>
          <w:highlight w:val="none"/>
          <w:u w:color="FF0000"/>
        </w:rPr>
      </w:pPr>
    </w:p>
    <w:p w14:paraId="1323DB66">
      <w:pPr>
        <w:widowControl/>
        <w:jc w:val="left"/>
        <w:rPr>
          <w:rFonts w:ascii="宋体" w:hAnsi="宋体" w:eastAsia="宋体" w:cs="宋体"/>
          <w:sz w:val="24"/>
          <w:szCs w:val="24"/>
          <w:highlight w:val="none"/>
          <w:u w:color="000000"/>
        </w:rPr>
      </w:pPr>
      <w:r>
        <w:rPr>
          <w:rFonts w:hint="eastAsia" w:ascii="宋体" w:hAnsi="宋体" w:eastAsia="宋体" w:cs="宋体"/>
          <w:sz w:val="24"/>
          <w:szCs w:val="24"/>
          <w:highlight w:val="none"/>
          <w:u w:color="000000"/>
        </w:rPr>
        <w:br w:type="page"/>
      </w:r>
    </w:p>
    <w:p w14:paraId="533A58DA">
      <w:pPr>
        <w:tabs>
          <w:tab w:val="left" w:pos="576"/>
        </w:tabs>
        <w:spacing w:before="156" w:beforeLines="50" w:after="156" w:afterLines="50" w:line="360" w:lineRule="auto"/>
        <w:outlineLvl w:val="2"/>
        <w:rPr>
          <w:rFonts w:ascii="宋体" w:hAnsi="宋体" w:eastAsia="宋体" w:cs="宋体"/>
          <w:sz w:val="24"/>
          <w:szCs w:val="24"/>
          <w:highlight w:val="none"/>
          <w:u w:color="000000"/>
        </w:rPr>
      </w:pPr>
      <w:bookmarkStart w:id="49" w:name="_Toc8056"/>
      <w:bookmarkStart w:id="50" w:name="_Toc11859499"/>
      <w:r>
        <w:rPr>
          <w:rFonts w:hint="eastAsia" w:ascii="宋体" w:hAnsi="宋体" w:eastAsia="宋体" w:cs="宋体"/>
          <w:sz w:val="24"/>
          <w:szCs w:val="24"/>
          <w:highlight w:val="none"/>
          <w:u w:color="000000"/>
        </w:rPr>
        <w:t>6.10 投标人其它声明及材料</w:t>
      </w:r>
      <w:bookmarkEnd w:id="49"/>
      <w:bookmarkEnd w:id="50"/>
    </w:p>
    <w:p w14:paraId="761237D8">
      <w:pPr>
        <w:spacing w:before="156" w:beforeLines="50" w:after="156" w:afterLines="5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投标人信息一览表</w:t>
      </w:r>
    </w:p>
    <w:tbl>
      <w:tblPr>
        <w:tblStyle w:val="2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14:paraId="6376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14:paraId="01E880D1">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14:paraId="70799636">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（加盖公章）</w:t>
            </w:r>
          </w:p>
        </w:tc>
        <w:tc>
          <w:tcPr>
            <w:tcW w:w="7339" w:type="dxa"/>
            <w:gridSpan w:val="3"/>
            <w:shd w:val="clear" w:color="auto" w:fill="auto"/>
            <w:vAlign w:val="center"/>
          </w:tcPr>
          <w:p w14:paraId="4680E9B1">
            <w:pPr>
              <w:spacing w:line="440" w:lineRule="exact"/>
              <w:jc w:val="center"/>
              <w:rPr>
                <w:rFonts w:ascii="宋体" w:hAnsi="宋体" w:eastAsia="宋体" w:cs="宋体"/>
                <w:sz w:val="24"/>
                <w:szCs w:val="24"/>
                <w:highlight w:val="none"/>
              </w:rPr>
            </w:pPr>
          </w:p>
        </w:tc>
      </w:tr>
      <w:tr w14:paraId="27C5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14:paraId="30DEBE0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7339" w:type="dxa"/>
            <w:gridSpan w:val="3"/>
            <w:shd w:val="clear" w:color="auto" w:fill="auto"/>
            <w:vAlign w:val="center"/>
          </w:tcPr>
          <w:p w14:paraId="4CCB30C4">
            <w:pPr>
              <w:spacing w:line="440" w:lineRule="exact"/>
              <w:jc w:val="center"/>
              <w:rPr>
                <w:rFonts w:ascii="宋体" w:hAnsi="宋体" w:eastAsia="宋体" w:cs="宋体"/>
                <w:sz w:val="24"/>
                <w:szCs w:val="24"/>
                <w:highlight w:val="none"/>
              </w:rPr>
            </w:pPr>
          </w:p>
        </w:tc>
      </w:tr>
      <w:tr w14:paraId="60FC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14:paraId="377189CF">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企业类型</w:t>
            </w:r>
          </w:p>
          <w:p w14:paraId="2BD054BE">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（请勾选）</w:t>
            </w:r>
          </w:p>
        </w:tc>
        <w:tc>
          <w:tcPr>
            <w:tcW w:w="7339" w:type="dxa"/>
            <w:gridSpan w:val="3"/>
            <w:shd w:val="clear" w:color="auto" w:fill="auto"/>
            <w:vAlign w:val="center"/>
          </w:tcPr>
          <w:p w14:paraId="04B8FFC8">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□大型企业  □中型企业  □小型企业  □微型企业</w:t>
            </w:r>
          </w:p>
        </w:tc>
      </w:tr>
      <w:tr w14:paraId="12F1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14:paraId="4A48A5FF">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所投产品属性</w:t>
            </w:r>
          </w:p>
          <w:p w14:paraId="08F98BC2">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（请勾选）</w:t>
            </w:r>
          </w:p>
        </w:tc>
        <w:tc>
          <w:tcPr>
            <w:tcW w:w="7339" w:type="dxa"/>
            <w:gridSpan w:val="3"/>
            <w:shd w:val="clear" w:color="auto" w:fill="auto"/>
            <w:vAlign w:val="center"/>
          </w:tcPr>
          <w:p w14:paraId="6C735A9F">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□节能  □节水  □环保  □节能环保  □节水环保</w:t>
            </w:r>
          </w:p>
          <w:p w14:paraId="7CBE14A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□普通产品（即非节能节水环保产品）</w:t>
            </w:r>
          </w:p>
        </w:tc>
      </w:tr>
      <w:tr w14:paraId="29EB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14:paraId="3BF90E47">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授权代表姓名</w:t>
            </w:r>
          </w:p>
        </w:tc>
        <w:tc>
          <w:tcPr>
            <w:tcW w:w="2446" w:type="dxa"/>
            <w:shd w:val="clear" w:color="auto" w:fill="auto"/>
            <w:vAlign w:val="center"/>
          </w:tcPr>
          <w:p w14:paraId="37FAD689">
            <w:pPr>
              <w:spacing w:line="440" w:lineRule="exact"/>
              <w:jc w:val="center"/>
              <w:rPr>
                <w:rFonts w:ascii="宋体" w:hAnsi="宋体" w:eastAsia="宋体" w:cs="宋体"/>
                <w:sz w:val="24"/>
                <w:szCs w:val="24"/>
                <w:highlight w:val="none"/>
              </w:rPr>
            </w:pPr>
          </w:p>
        </w:tc>
        <w:tc>
          <w:tcPr>
            <w:tcW w:w="2447" w:type="dxa"/>
            <w:shd w:val="clear" w:color="auto" w:fill="auto"/>
            <w:vAlign w:val="center"/>
          </w:tcPr>
          <w:p w14:paraId="65A60790">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手机号码</w:t>
            </w:r>
          </w:p>
        </w:tc>
        <w:tc>
          <w:tcPr>
            <w:tcW w:w="2446" w:type="dxa"/>
            <w:shd w:val="clear" w:color="auto" w:fill="auto"/>
            <w:vAlign w:val="center"/>
          </w:tcPr>
          <w:p w14:paraId="5773AA00">
            <w:pPr>
              <w:spacing w:line="440" w:lineRule="exact"/>
              <w:jc w:val="center"/>
              <w:rPr>
                <w:rFonts w:ascii="宋体" w:hAnsi="宋体" w:eastAsia="宋体" w:cs="宋体"/>
                <w:sz w:val="24"/>
                <w:szCs w:val="24"/>
                <w:highlight w:val="none"/>
              </w:rPr>
            </w:pPr>
          </w:p>
        </w:tc>
      </w:tr>
    </w:tbl>
    <w:p w14:paraId="1FF95B41">
      <w:pPr>
        <w:pStyle w:val="10"/>
        <w:kinsoku w:val="0"/>
        <w:overflowPunct w:val="0"/>
        <w:spacing w:after="0" w:line="360" w:lineRule="auto"/>
        <w:ind w:firstLine="420" w:firstLineChars="200"/>
        <w:rPr>
          <w:rFonts w:ascii="宋体" w:hAnsi="宋体" w:eastAsia="宋体" w:cs="宋体"/>
          <w:highlight w:val="none"/>
        </w:rPr>
      </w:pPr>
    </w:p>
    <w:p w14:paraId="4A2880C6">
      <w:pPr>
        <w:spacing w:line="360" w:lineRule="auto"/>
        <w:ind w:firstLine="420" w:firstLineChars="200"/>
        <w:rPr>
          <w:rFonts w:ascii="宋体" w:hAnsi="宋体" w:eastAsia="宋体" w:cs="宋体"/>
          <w:szCs w:val="21"/>
          <w:highlight w:val="none"/>
          <w:u w:color="FF0000"/>
        </w:rPr>
      </w:pPr>
    </w:p>
    <w:p w14:paraId="69D4365C">
      <w:pPr>
        <w:spacing w:line="360" w:lineRule="auto"/>
        <w:ind w:firstLine="480" w:firstLineChars="200"/>
        <w:rPr>
          <w:rFonts w:ascii="宋体" w:hAnsi="宋体" w:eastAsia="宋体" w:cs="宋体"/>
          <w:sz w:val="24"/>
          <w:szCs w:val="24"/>
          <w:highlight w:val="none"/>
          <w:u w:color="FF0000"/>
        </w:rPr>
      </w:pPr>
    </w:p>
    <w:p w14:paraId="32FF1B51">
      <w:pPr>
        <w:rPr>
          <w:rFonts w:ascii="宋体" w:hAnsi="宋体" w:eastAsia="宋体" w:cs="宋体"/>
          <w:sz w:val="24"/>
          <w:szCs w:val="24"/>
          <w:highlight w:val="none"/>
          <w:u w:color="FF0000"/>
        </w:rPr>
      </w:pPr>
      <w:r>
        <w:rPr>
          <w:rFonts w:hint="eastAsia" w:ascii="宋体" w:hAnsi="宋体" w:eastAsia="宋体" w:cs="宋体"/>
          <w:sz w:val="24"/>
          <w:szCs w:val="24"/>
          <w:highlight w:val="none"/>
          <w:u w:color="FF0000"/>
        </w:rPr>
        <w:br w:type="page"/>
      </w:r>
    </w:p>
    <w:p w14:paraId="419C38A6">
      <w:pPr>
        <w:spacing w:line="360" w:lineRule="auto"/>
        <w:rPr>
          <w:rFonts w:ascii="宋体" w:hAnsi="宋体" w:eastAsia="宋体" w:cs="宋体"/>
          <w:sz w:val="24"/>
          <w:szCs w:val="24"/>
          <w:highlight w:val="none"/>
          <w:u w:color="FF0000"/>
        </w:rPr>
      </w:pPr>
      <w:r>
        <w:rPr>
          <w:rFonts w:hint="eastAsia" w:ascii="宋体" w:hAnsi="宋体" w:eastAsia="宋体" w:cs="宋体"/>
          <w:sz w:val="24"/>
          <w:szCs w:val="24"/>
          <w:highlight w:val="none"/>
          <w:u w:color="FF0000"/>
        </w:rPr>
        <w:t>其他投标人认为需要提供的内容...</w:t>
      </w:r>
    </w:p>
    <w:bookmarkEnd w:id="28"/>
    <w:bookmarkEnd w:id="29"/>
    <w:bookmarkEnd w:id="30"/>
    <w:bookmarkEnd w:id="31"/>
    <w:p w14:paraId="3963B996">
      <w:pPr>
        <w:widowControl/>
        <w:jc w:val="left"/>
        <w:rPr>
          <w:rFonts w:ascii="宋体" w:hAnsi="宋体" w:eastAsia="宋体" w:cs="宋体"/>
          <w:sz w:val="24"/>
          <w:szCs w:val="24"/>
          <w:highlight w:val="none"/>
          <w:u w:color="000000"/>
        </w:rPr>
      </w:pPr>
    </w:p>
    <w:sectPr>
      <w:headerReference r:id="rId5" w:type="default"/>
      <w:footerReference r:id="rId6"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2115">
    <w:pPr>
      <w:pStyle w:val="17"/>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64DB">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8990A">
                          <w:pPr>
                            <w:pStyle w:val="17"/>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58990A">
                    <w:pPr>
                      <w:pStyle w:val="17"/>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30</w:t>
                    </w:r>
                    <w:r>
                      <w:rPr>
                        <w:rFonts w:ascii="Times New Roman" w:hAnsi="Times New Roman" w:cs="Times New Roman"/>
                        <w:sz w:val="21"/>
                        <w:szCs w:val="21"/>
                      </w:rPr>
                      <w:fldChar w:fldCharType="end"/>
                    </w:r>
                    <w:r>
                      <w:rPr>
                        <w:rFonts w:ascii="Times New Roman" w:hAnsi="Times New Roman" w:cs="Times New Roman"/>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3216">
    <w:pPr>
      <w:pStyle w:val="19"/>
      <w:jc w:val="right"/>
      <w:rPr>
        <w:rFonts w:ascii="Times New Roman" w:hAnsi="Times New Roman" w:cs="Times New Roman"/>
        <w:sz w:val="21"/>
        <w:szCs w:val="21"/>
      </w:rPr>
    </w:pPr>
    <w:r>
      <w:rPr>
        <w:rFonts w:hint="eastAsia" w:ascii="Times New Roman" w:hAnsi="Times New Roman" w:cs="Times New Roman"/>
        <w:sz w:val="21"/>
        <w:lang w:eastAsia="zh-CN"/>
      </w:rPr>
      <w:t>南京邮电大学通达学院2025年学生公寓组合床采购</w:t>
    </w:r>
    <w:r>
      <w:rPr>
        <w:rFonts w:hint="eastAsia" w:ascii="Times New Roman" w:hAnsi="Times New Roman" w:cs="Times New Roman"/>
        <w:sz w:val="21"/>
      </w:rPr>
      <w:t>项目</w:t>
    </w:r>
    <w:r>
      <w:rPr>
        <w:rFonts w:ascii="Times New Roman" w:hAnsi="Times New Roman" w:cs="Times New Roman"/>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D8A6">
    <w:pPr>
      <w:pStyle w:val="19"/>
      <w:jc w:val="right"/>
      <w:rPr>
        <w:rFonts w:ascii="Times New Roman" w:hAnsi="Times New Roman" w:cs="Times New Roman"/>
      </w:rPr>
    </w:pPr>
    <w:r>
      <w:rPr>
        <w:rFonts w:hint="eastAsia" w:ascii="Times New Roman" w:hAnsi="Times New Roman" w:cs="Times New Roman"/>
        <w:sz w:val="21"/>
        <w:lang w:eastAsia="zh-CN"/>
      </w:rPr>
      <w:t>南京邮电大学通达学院2025年学生公寓组合床采购</w:t>
    </w:r>
    <w:r>
      <w:rPr>
        <w:rFonts w:hint="eastAsia" w:ascii="Times New Roman" w:hAnsi="Times New Roman" w:cs="Times New Roman"/>
        <w:sz w:val="21"/>
      </w:rPr>
      <w:t>项目</w:t>
    </w:r>
    <w:r>
      <w:rPr>
        <w:rFonts w:ascii="Times New Roman" w:hAnsi="Times New Roman" w:cs="Times New Roman"/>
        <w:sz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36774"/>
    <w:multiLevelType w:val="singleLevel"/>
    <w:tmpl w:val="9C136774"/>
    <w:lvl w:ilvl="0" w:tentative="0">
      <w:start w:val="4"/>
      <w:numFmt w:val="chineseCounting"/>
      <w:suff w:val="space"/>
      <w:lvlText w:val="第%1章"/>
      <w:lvlJc w:val="left"/>
      <w:rPr>
        <w:rFonts w:hint="eastAsia"/>
      </w:rPr>
    </w:lvl>
  </w:abstractNum>
  <w:abstractNum w:abstractNumId="1">
    <w:nsid w:val="BA6EC710"/>
    <w:multiLevelType w:val="singleLevel"/>
    <w:tmpl w:val="BA6EC710"/>
    <w:lvl w:ilvl="0" w:tentative="0">
      <w:start w:val="8"/>
      <w:numFmt w:val="chineseCounting"/>
      <w:suff w:val="nothing"/>
      <w:lvlText w:val="%1、"/>
      <w:lvlJc w:val="left"/>
      <w:rPr>
        <w:rFonts w:hint="eastAsia"/>
      </w:rPr>
    </w:lvl>
  </w:abstractNum>
  <w:abstractNum w:abstractNumId="2">
    <w:nsid w:val="F55346D3"/>
    <w:multiLevelType w:val="singleLevel"/>
    <w:tmpl w:val="F55346D3"/>
    <w:lvl w:ilvl="0" w:tentative="0">
      <w:start w:val="2"/>
      <w:numFmt w:val="chineseCounting"/>
      <w:suff w:val="nothing"/>
      <w:lvlText w:val="%1、"/>
      <w:lvlJc w:val="left"/>
      <w:rPr>
        <w:rFonts w:hint="eastAsia"/>
      </w:rPr>
    </w:lvl>
  </w:abstractNum>
  <w:abstractNum w:abstractNumId="3">
    <w:nsid w:val="44AC2B90"/>
    <w:multiLevelType w:val="multilevel"/>
    <w:tmpl w:val="44AC2B90"/>
    <w:lvl w:ilvl="0" w:tentative="0">
      <w:start w:val="1"/>
      <w:numFmt w:val="chineseCountingThousand"/>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8BD6192"/>
    <w:multiLevelType w:val="singleLevel"/>
    <w:tmpl w:val="68BD6192"/>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季海燕">
    <w15:presenceInfo w15:providerId="WPS Office" w15:userId="1413828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MDZlM2M4NDdjYWZkN2NkNjk3MjM2MGEyYmQ1YzcifQ=="/>
    <w:docVar w:name="KSO_WPS_MARK_KEY" w:val="ebfea73d-bd20-456b-9368-2d789621f607"/>
  </w:docVars>
  <w:rsids>
    <w:rsidRoot w:val="00D17229"/>
    <w:rsid w:val="000017D3"/>
    <w:rsid w:val="000022EF"/>
    <w:rsid w:val="000031D8"/>
    <w:rsid w:val="00005096"/>
    <w:rsid w:val="000056D9"/>
    <w:rsid w:val="000056E1"/>
    <w:rsid w:val="00006D84"/>
    <w:rsid w:val="00011C0C"/>
    <w:rsid w:val="00012CB3"/>
    <w:rsid w:val="000136D5"/>
    <w:rsid w:val="000138F2"/>
    <w:rsid w:val="000177AE"/>
    <w:rsid w:val="00020746"/>
    <w:rsid w:val="00021785"/>
    <w:rsid w:val="00022EE9"/>
    <w:rsid w:val="000243B6"/>
    <w:rsid w:val="0002477E"/>
    <w:rsid w:val="0002551A"/>
    <w:rsid w:val="00025649"/>
    <w:rsid w:val="00027040"/>
    <w:rsid w:val="0003047D"/>
    <w:rsid w:val="00031DD4"/>
    <w:rsid w:val="0003270F"/>
    <w:rsid w:val="00033710"/>
    <w:rsid w:val="00034684"/>
    <w:rsid w:val="00035C7F"/>
    <w:rsid w:val="0003780A"/>
    <w:rsid w:val="00041ECF"/>
    <w:rsid w:val="00042B97"/>
    <w:rsid w:val="0004378F"/>
    <w:rsid w:val="000519F3"/>
    <w:rsid w:val="00051C12"/>
    <w:rsid w:val="00051FF7"/>
    <w:rsid w:val="000529A7"/>
    <w:rsid w:val="00052F06"/>
    <w:rsid w:val="00055251"/>
    <w:rsid w:val="00057F21"/>
    <w:rsid w:val="00060CBE"/>
    <w:rsid w:val="00061742"/>
    <w:rsid w:val="00063293"/>
    <w:rsid w:val="00064072"/>
    <w:rsid w:val="00064B14"/>
    <w:rsid w:val="000654F4"/>
    <w:rsid w:val="00067BF9"/>
    <w:rsid w:val="00070161"/>
    <w:rsid w:val="00071D24"/>
    <w:rsid w:val="000733DD"/>
    <w:rsid w:val="0007376B"/>
    <w:rsid w:val="00074A07"/>
    <w:rsid w:val="00075C4E"/>
    <w:rsid w:val="00075C6A"/>
    <w:rsid w:val="00077862"/>
    <w:rsid w:val="00077C90"/>
    <w:rsid w:val="000818B3"/>
    <w:rsid w:val="000823B6"/>
    <w:rsid w:val="00082AA9"/>
    <w:rsid w:val="00083208"/>
    <w:rsid w:val="0008394A"/>
    <w:rsid w:val="000841BE"/>
    <w:rsid w:val="000847FF"/>
    <w:rsid w:val="00085C2A"/>
    <w:rsid w:val="00086855"/>
    <w:rsid w:val="00087768"/>
    <w:rsid w:val="0009049D"/>
    <w:rsid w:val="00090E2D"/>
    <w:rsid w:val="00090E45"/>
    <w:rsid w:val="00091794"/>
    <w:rsid w:val="0009742B"/>
    <w:rsid w:val="000977F6"/>
    <w:rsid w:val="000A0BDB"/>
    <w:rsid w:val="000A1531"/>
    <w:rsid w:val="000A24F8"/>
    <w:rsid w:val="000A721E"/>
    <w:rsid w:val="000B15BC"/>
    <w:rsid w:val="000B1A64"/>
    <w:rsid w:val="000B1C64"/>
    <w:rsid w:val="000B370E"/>
    <w:rsid w:val="000B5784"/>
    <w:rsid w:val="000C17DB"/>
    <w:rsid w:val="000C4D61"/>
    <w:rsid w:val="000C5960"/>
    <w:rsid w:val="000D0593"/>
    <w:rsid w:val="000D394A"/>
    <w:rsid w:val="000D5167"/>
    <w:rsid w:val="000E2443"/>
    <w:rsid w:val="000E40F0"/>
    <w:rsid w:val="000E5CA9"/>
    <w:rsid w:val="000E5D3A"/>
    <w:rsid w:val="000F0A11"/>
    <w:rsid w:val="000F1704"/>
    <w:rsid w:val="000F28A9"/>
    <w:rsid w:val="000F29AA"/>
    <w:rsid w:val="000F3038"/>
    <w:rsid w:val="000F4052"/>
    <w:rsid w:val="000F5248"/>
    <w:rsid w:val="000F6EF7"/>
    <w:rsid w:val="000F7662"/>
    <w:rsid w:val="000F7EFA"/>
    <w:rsid w:val="00101ED5"/>
    <w:rsid w:val="001041C8"/>
    <w:rsid w:val="001061CB"/>
    <w:rsid w:val="00106F06"/>
    <w:rsid w:val="00110081"/>
    <w:rsid w:val="00110CFB"/>
    <w:rsid w:val="001153B6"/>
    <w:rsid w:val="001211A1"/>
    <w:rsid w:val="001211F5"/>
    <w:rsid w:val="00121E0C"/>
    <w:rsid w:val="00122553"/>
    <w:rsid w:val="0012333F"/>
    <w:rsid w:val="00125E7A"/>
    <w:rsid w:val="00126333"/>
    <w:rsid w:val="00126F74"/>
    <w:rsid w:val="001273C6"/>
    <w:rsid w:val="00134ACB"/>
    <w:rsid w:val="00137345"/>
    <w:rsid w:val="001377E4"/>
    <w:rsid w:val="001401FB"/>
    <w:rsid w:val="001405B1"/>
    <w:rsid w:val="0014080E"/>
    <w:rsid w:val="0014146B"/>
    <w:rsid w:val="001435C0"/>
    <w:rsid w:val="0014418D"/>
    <w:rsid w:val="001501CB"/>
    <w:rsid w:val="001512A0"/>
    <w:rsid w:val="00152247"/>
    <w:rsid w:val="00156C30"/>
    <w:rsid w:val="001576D3"/>
    <w:rsid w:val="001624C7"/>
    <w:rsid w:val="00164B11"/>
    <w:rsid w:val="00164C1F"/>
    <w:rsid w:val="0017080F"/>
    <w:rsid w:val="0017171C"/>
    <w:rsid w:val="001717C1"/>
    <w:rsid w:val="00171CA7"/>
    <w:rsid w:val="001724E1"/>
    <w:rsid w:val="001727F4"/>
    <w:rsid w:val="00173C7E"/>
    <w:rsid w:val="00174139"/>
    <w:rsid w:val="001760AB"/>
    <w:rsid w:val="001769F4"/>
    <w:rsid w:val="001810D4"/>
    <w:rsid w:val="001857CA"/>
    <w:rsid w:val="001869BD"/>
    <w:rsid w:val="00190DBD"/>
    <w:rsid w:val="00192802"/>
    <w:rsid w:val="00195465"/>
    <w:rsid w:val="00195931"/>
    <w:rsid w:val="00196C25"/>
    <w:rsid w:val="00196F5A"/>
    <w:rsid w:val="001A049E"/>
    <w:rsid w:val="001A054F"/>
    <w:rsid w:val="001A5D25"/>
    <w:rsid w:val="001B033E"/>
    <w:rsid w:val="001B1F27"/>
    <w:rsid w:val="001B6844"/>
    <w:rsid w:val="001C01D0"/>
    <w:rsid w:val="001C080E"/>
    <w:rsid w:val="001C19FF"/>
    <w:rsid w:val="001C1CA1"/>
    <w:rsid w:val="001C2329"/>
    <w:rsid w:val="001C2F31"/>
    <w:rsid w:val="001C394B"/>
    <w:rsid w:val="001C6630"/>
    <w:rsid w:val="001C6A24"/>
    <w:rsid w:val="001D0C4E"/>
    <w:rsid w:val="001D26C9"/>
    <w:rsid w:val="001D40E3"/>
    <w:rsid w:val="001D4F9C"/>
    <w:rsid w:val="001D6E90"/>
    <w:rsid w:val="001E2BFC"/>
    <w:rsid w:val="001E5FB5"/>
    <w:rsid w:val="001E711D"/>
    <w:rsid w:val="001F06C5"/>
    <w:rsid w:val="001F154A"/>
    <w:rsid w:val="001F1A04"/>
    <w:rsid w:val="001F3E71"/>
    <w:rsid w:val="001F5348"/>
    <w:rsid w:val="001F553F"/>
    <w:rsid w:val="001F6616"/>
    <w:rsid w:val="002022F4"/>
    <w:rsid w:val="00204F29"/>
    <w:rsid w:val="002060D9"/>
    <w:rsid w:val="002114D6"/>
    <w:rsid w:val="00211FBE"/>
    <w:rsid w:val="00213E33"/>
    <w:rsid w:val="00217026"/>
    <w:rsid w:val="00220B2D"/>
    <w:rsid w:val="00223BEB"/>
    <w:rsid w:val="00223DC9"/>
    <w:rsid w:val="00225B81"/>
    <w:rsid w:val="00226B8F"/>
    <w:rsid w:val="00227613"/>
    <w:rsid w:val="0023233F"/>
    <w:rsid w:val="00232A96"/>
    <w:rsid w:val="002356AB"/>
    <w:rsid w:val="002371AE"/>
    <w:rsid w:val="00237254"/>
    <w:rsid w:val="00237700"/>
    <w:rsid w:val="00241588"/>
    <w:rsid w:val="0024346F"/>
    <w:rsid w:val="002434F2"/>
    <w:rsid w:val="00255A1C"/>
    <w:rsid w:val="00255C42"/>
    <w:rsid w:val="00255DCD"/>
    <w:rsid w:val="00255F0D"/>
    <w:rsid w:val="00257273"/>
    <w:rsid w:val="002603C3"/>
    <w:rsid w:val="00260626"/>
    <w:rsid w:val="002652A7"/>
    <w:rsid w:val="00267CF4"/>
    <w:rsid w:val="0027152D"/>
    <w:rsid w:val="00271948"/>
    <w:rsid w:val="00271E99"/>
    <w:rsid w:val="00272F19"/>
    <w:rsid w:val="00274370"/>
    <w:rsid w:val="00274DB5"/>
    <w:rsid w:val="00276455"/>
    <w:rsid w:val="00280795"/>
    <w:rsid w:val="00282712"/>
    <w:rsid w:val="0028294F"/>
    <w:rsid w:val="00282DB2"/>
    <w:rsid w:val="00282E2B"/>
    <w:rsid w:val="00284433"/>
    <w:rsid w:val="002852E4"/>
    <w:rsid w:val="002855FB"/>
    <w:rsid w:val="00285883"/>
    <w:rsid w:val="0028597D"/>
    <w:rsid w:val="00285E94"/>
    <w:rsid w:val="00287B18"/>
    <w:rsid w:val="002934A2"/>
    <w:rsid w:val="00293F58"/>
    <w:rsid w:val="00295012"/>
    <w:rsid w:val="00295A8D"/>
    <w:rsid w:val="00296FA2"/>
    <w:rsid w:val="00297A13"/>
    <w:rsid w:val="00297CF8"/>
    <w:rsid w:val="00297D7D"/>
    <w:rsid w:val="002A001A"/>
    <w:rsid w:val="002A0160"/>
    <w:rsid w:val="002A19D0"/>
    <w:rsid w:val="002A23C9"/>
    <w:rsid w:val="002A2B68"/>
    <w:rsid w:val="002A38E1"/>
    <w:rsid w:val="002A3902"/>
    <w:rsid w:val="002A3A8D"/>
    <w:rsid w:val="002A725D"/>
    <w:rsid w:val="002A7B58"/>
    <w:rsid w:val="002A7B5E"/>
    <w:rsid w:val="002B141F"/>
    <w:rsid w:val="002B2DD6"/>
    <w:rsid w:val="002B3C23"/>
    <w:rsid w:val="002B3E9D"/>
    <w:rsid w:val="002B4B51"/>
    <w:rsid w:val="002B5A10"/>
    <w:rsid w:val="002B5FA2"/>
    <w:rsid w:val="002C04A6"/>
    <w:rsid w:val="002C0B34"/>
    <w:rsid w:val="002C0F09"/>
    <w:rsid w:val="002C14C5"/>
    <w:rsid w:val="002C17D9"/>
    <w:rsid w:val="002C2F68"/>
    <w:rsid w:val="002C568F"/>
    <w:rsid w:val="002D1D9D"/>
    <w:rsid w:val="002D2076"/>
    <w:rsid w:val="002D266B"/>
    <w:rsid w:val="002D3BFF"/>
    <w:rsid w:val="002D4157"/>
    <w:rsid w:val="002D4AAC"/>
    <w:rsid w:val="002D5B39"/>
    <w:rsid w:val="002E16CD"/>
    <w:rsid w:val="002E6A01"/>
    <w:rsid w:val="002E7DDA"/>
    <w:rsid w:val="002F0AC0"/>
    <w:rsid w:val="002F36BD"/>
    <w:rsid w:val="002F37C1"/>
    <w:rsid w:val="002F3ABE"/>
    <w:rsid w:val="002F7A31"/>
    <w:rsid w:val="00302E57"/>
    <w:rsid w:val="00304A73"/>
    <w:rsid w:val="00305651"/>
    <w:rsid w:val="00312F7A"/>
    <w:rsid w:val="00313C03"/>
    <w:rsid w:val="00314D70"/>
    <w:rsid w:val="00315009"/>
    <w:rsid w:val="003176B9"/>
    <w:rsid w:val="00321C8E"/>
    <w:rsid w:val="00322E79"/>
    <w:rsid w:val="00324F65"/>
    <w:rsid w:val="003274B9"/>
    <w:rsid w:val="00333D35"/>
    <w:rsid w:val="0033460E"/>
    <w:rsid w:val="00340075"/>
    <w:rsid w:val="003405A1"/>
    <w:rsid w:val="00340657"/>
    <w:rsid w:val="00343DDF"/>
    <w:rsid w:val="0034502A"/>
    <w:rsid w:val="003453DF"/>
    <w:rsid w:val="00345EE9"/>
    <w:rsid w:val="003470C8"/>
    <w:rsid w:val="003526F5"/>
    <w:rsid w:val="00352DFA"/>
    <w:rsid w:val="00352F15"/>
    <w:rsid w:val="00353B35"/>
    <w:rsid w:val="0035446D"/>
    <w:rsid w:val="0035596A"/>
    <w:rsid w:val="00356F3F"/>
    <w:rsid w:val="00357288"/>
    <w:rsid w:val="003575A3"/>
    <w:rsid w:val="00364878"/>
    <w:rsid w:val="003659EF"/>
    <w:rsid w:val="003668F7"/>
    <w:rsid w:val="00371FF0"/>
    <w:rsid w:val="00372783"/>
    <w:rsid w:val="00372973"/>
    <w:rsid w:val="003746F1"/>
    <w:rsid w:val="00377CBF"/>
    <w:rsid w:val="0038057E"/>
    <w:rsid w:val="0038085B"/>
    <w:rsid w:val="003811AF"/>
    <w:rsid w:val="0038214E"/>
    <w:rsid w:val="00383FF1"/>
    <w:rsid w:val="00386FF7"/>
    <w:rsid w:val="00390C1B"/>
    <w:rsid w:val="00391B1F"/>
    <w:rsid w:val="00393A8B"/>
    <w:rsid w:val="0039544C"/>
    <w:rsid w:val="003955DD"/>
    <w:rsid w:val="003958B6"/>
    <w:rsid w:val="003A06BC"/>
    <w:rsid w:val="003A34B7"/>
    <w:rsid w:val="003B13B9"/>
    <w:rsid w:val="003B2BFB"/>
    <w:rsid w:val="003B3EB7"/>
    <w:rsid w:val="003B5C1C"/>
    <w:rsid w:val="003B5E39"/>
    <w:rsid w:val="003B6105"/>
    <w:rsid w:val="003B63A1"/>
    <w:rsid w:val="003B79B1"/>
    <w:rsid w:val="003C0334"/>
    <w:rsid w:val="003C08EB"/>
    <w:rsid w:val="003C3AAB"/>
    <w:rsid w:val="003C47E7"/>
    <w:rsid w:val="003D17A7"/>
    <w:rsid w:val="003D1A16"/>
    <w:rsid w:val="003D23C8"/>
    <w:rsid w:val="003D4745"/>
    <w:rsid w:val="003E482A"/>
    <w:rsid w:val="003E50A1"/>
    <w:rsid w:val="003E52AB"/>
    <w:rsid w:val="003E722A"/>
    <w:rsid w:val="003E7603"/>
    <w:rsid w:val="003F16D6"/>
    <w:rsid w:val="003F27A4"/>
    <w:rsid w:val="003F30FE"/>
    <w:rsid w:val="003F357F"/>
    <w:rsid w:val="003F3817"/>
    <w:rsid w:val="003F3C1E"/>
    <w:rsid w:val="003F3EAD"/>
    <w:rsid w:val="003F4815"/>
    <w:rsid w:val="003F560A"/>
    <w:rsid w:val="003F6B5C"/>
    <w:rsid w:val="003F7813"/>
    <w:rsid w:val="00400FF2"/>
    <w:rsid w:val="004024FC"/>
    <w:rsid w:val="00403BA9"/>
    <w:rsid w:val="00405454"/>
    <w:rsid w:val="004068F7"/>
    <w:rsid w:val="004112AB"/>
    <w:rsid w:val="00411354"/>
    <w:rsid w:val="00412E8E"/>
    <w:rsid w:val="00413316"/>
    <w:rsid w:val="00413F76"/>
    <w:rsid w:val="00413FB9"/>
    <w:rsid w:val="00414180"/>
    <w:rsid w:val="00414513"/>
    <w:rsid w:val="004150B4"/>
    <w:rsid w:val="004152B9"/>
    <w:rsid w:val="004169EA"/>
    <w:rsid w:val="00420274"/>
    <w:rsid w:val="00420EEF"/>
    <w:rsid w:val="004212E4"/>
    <w:rsid w:val="004216B5"/>
    <w:rsid w:val="00423E5E"/>
    <w:rsid w:val="00425681"/>
    <w:rsid w:val="00425D6C"/>
    <w:rsid w:val="00427193"/>
    <w:rsid w:val="00427855"/>
    <w:rsid w:val="00430650"/>
    <w:rsid w:val="004329BA"/>
    <w:rsid w:val="00434E02"/>
    <w:rsid w:val="00437B0E"/>
    <w:rsid w:val="0044129B"/>
    <w:rsid w:val="004424EF"/>
    <w:rsid w:val="0044282B"/>
    <w:rsid w:val="004433C7"/>
    <w:rsid w:val="00443675"/>
    <w:rsid w:val="004452F8"/>
    <w:rsid w:val="00450097"/>
    <w:rsid w:val="00451DBD"/>
    <w:rsid w:val="004521DA"/>
    <w:rsid w:val="004523D0"/>
    <w:rsid w:val="004527E1"/>
    <w:rsid w:val="00452BCD"/>
    <w:rsid w:val="00456760"/>
    <w:rsid w:val="00457A4F"/>
    <w:rsid w:val="00461AE8"/>
    <w:rsid w:val="004625C1"/>
    <w:rsid w:val="004641F1"/>
    <w:rsid w:val="00467381"/>
    <w:rsid w:val="00467451"/>
    <w:rsid w:val="004678BE"/>
    <w:rsid w:val="00470959"/>
    <w:rsid w:val="00471D8B"/>
    <w:rsid w:val="004724A1"/>
    <w:rsid w:val="00473234"/>
    <w:rsid w:val="00473BA3"/>
    <w:rsid w:val="00474A6B"/>
    <w:rsid w:val="00481E9F"/>
    <w:rsid w:val="00486130"/>
    <w:rsid w:val="00486BA8"/>
    <w:rsid w:val="00487D6E"/>
    <w:rsid w:val="00487EF5"/>
    <w:rsid w:val="00492B22"/>
    <w:rsid w:val="00494647"/>
    <w:rsid w:val="0049745C"/>
    <w:rsid w:val="00497726"/>
    <w:rsid w:val="00497B2E"/>
    <w:rsid w:val="00497E92"/>
    <w:rsid w:val="004A0B2D"/>
    <w:rsid w:val="004A1929"/>
    <w:rsid w:val="004A3472"/>
    <w:rsid w:val="004A49F0"/>
    <w:rsid w:val="004A5E73"/>
    <w:rsid w:val="004B13D2"/>
    <w:rsid w:val="004B36B9"/>
    <w:rsid w:val="004B3C67"/>
    <w:rsid w:val="004B637A"/>
    <w:rsid w:val="004B7673"/>
    <w:rsid w:val="004C1870"/>
    <w:rsid w:val="004C21C7"/>
    <w:rsid w:val="004C47A9"/>
    <w:rsid w:val="004C5B9C"/>
    <w:rsid w:val="004C762C"/>
    <w:rsid w:val="004C7AEE"/>
    <w:rsid w:val="004D07A8"/>
    <w:rsid w:val="004D2B8E"/>
    <w:rsid w:val="004D3765"/>
    <w:rsid w:val="004D4BE2"/>
    <w:rsid w:val="004D58C1"/>
    <w:rsid w:val="004D5AC3"/>
    <w:rsid w:val="004D7696"/>
    <w:rsid w:val="004E145D"/>
    <w:rsid w:val="004E1975"/>
    <w:rsid w:val="004E48DA"/>
    <w:rsid w:val="004E6F3B"/>
    <w:rsid w:val="004F02D2"/>
    <w:rsid w:val="004F1FC7"/>
    <w:rsid w:val="004F4326"/>
    <w:rsid w:val="004F6EE6"/>
    <w:rsid w:val="004F75A0"/>
    <w:rsid w:val="005004B1"/>
    <w:rsid w:val="00500823"/>
    <w:rsid w:val="00501412"/>
    <w:rsid w:val="00501877"/>
    <w:rsid w:val="00502C0C"/>
    <w:rsid w:val="00503971"/>
    <w:rsid w:val="00505E92"/>
    <w:rsid w:val="0050798D"/>
    <w:rsid w:val="0051287F"/>
    <w:rsid w:val="00512AED"/>
    <w:rsid w:val="00512DE6"/>
    <w:rsid w:val="00513BFA"/>
    <w:rsid w:val="0052238C"/>
    <w:rsid w:val="0052238F"/>
    <w:rsid w:val="0052308D"/>
    <w:rsid w:val="00524292"/>
    <w:rsid w:val="00525E16"/>
    <w:rsid w:val="005325CC"/>
    <w:rsid w:val="005342A4"/>
    <w:rsid w:val="00534C63"/>
    <w:rsid w:val="00536846"/>
    <w:rsid w:val="00540922"/>
    <w:rsid w:val="005438D1"/>
    <w:rsid w:val="00543CD1"/>
    <w:rsid w:val="00544C00"/>
    <w:rsid w:val="0054631B"/>
    <w:rsid w:val="0054744F"/>
    <w:rsid w:val="0054760E"/>
    <w:rsid w:val="0055016C"/>
    <w:rsid w:val="005522F2"/>
    <w:rsid w:val="005540D8"/>
    <w:rsid w:val="00557DC9"/>
    <w:rsid w:val="005635C9"/>
    <w:rsid w:val="005669FD"/>
    <w:rsid w:val="005675A5"/>
    <w:rsid w:val="00570959"/>
    <w:rsid w:val="00572357"/>
    <w:rsid w:val="005773A9"/>
    <w:rsid w:val="00577C8E"/>
    <w:rsid w:val="00582367"/>
    <w:rsid w:val="005823F5"/>
    <w:rsid w:val="0058395A"/>
    <w:rsid w:val="0058423D"/>
    <w:rsid w:val="00585A6E"/>
    <w:rsid w:val="005860E9"/>
    <w:rsid w:val="00590311"/>
    <w:rsid w:val="00590713"/>
    <w:rsid w:val="00590A1B"/>
    <w:rsid w:val="00590E0F"/>
    <w:rsid w:val="00592F21"/>
    <w:rsid w:val="005933FA"/>
    <w:rsid w:val="005943FD"/>
    <w:rsid w:val="005945AE"/>
    <w:rsid w:val="00594942"/>
    <w:rsid w:val="005968D1"/>
    <w:rsid w:val="005A04F3"/>
    <w:rsid w:val="005A10EC"/>
    <w:rsid w:val="005A12A8"/>
    <w:rsid w:val="005A41C0"/>
    <w:rsid w:val="005A45BD"/>
    <w:rsid w:val="005A47CE"/>
    <w:rsid w:val="005A52A9"/>
    <w:rsid w:val="005A6217"/>
    <w:rsid w:val="005A6481"/>
    <w:rsid w:val="005B0FEC"/>
    <w:rsid w:val="005B11EB"/>
    <w:rsid w:val="005B30ED"/>
    <w:rsid w:val="005B3470"/>
    <w:rsid w:val="005B37A1"/>
    <w:rsid w:val="005C0544"/>
    <w:rsid w:val="005C058A"/>
    <w:rsid w:val="005C0958"/>
    <w:rsid w:val="005C0A53"/>
    <w:rsid w:val="005C154F"/>
    <w:rsid w:val="005C1C9D"/>
    <w:rsid w:val="005C1EF4"/>
    <w:rsid w:val="005C2888"/>
    <w:rsid w:val="005C41A2"/>
    <w:rsid w:val="005C4E37"/>
    <w:rsid w:val="005C5156"/>
    <w:rsid w:val="005C60F3"/>
    <w:rsid w:val="005C67A2"/>
    <w:rsid w:val="005D1077"/>
    <w:rsid w:val="005D29E6"/>
    <w:rsid w:val="005D4F34"/>
    <w:rsid w:val="005D533D"/>
    <w:rsid w:val="005D5E5A"/>
    <w:rsid w:val="005D6AEC"/>
    <w:rsid w:val="005D7EE6"/>
    <w:rsid w:val="005E36C9"/>
    <w:rsid w:val="005E6044"/>
    <w:rsid w:val="005E63A8"/>
    <w:rsid w:val="005F14DA"/>
    <w:rsid w:val="005F257A"/>
    <w:rsid w:val="005F2B8A"/>
    <w:rsid w:val="005F3189"/>
    <w:rsid w:val="005F31AC"/>
    <w:rsid w:val="005F45B0"/>
    <w:rsid w:val="005F6414"/>
    <w:rsid w:val="005F6A89"/>
    <w:rsid w:val="005F6AFB"/>
    <w:rsid w:val="00600F96"/>
    <w:rsid w:val="00601664"/>
    <w:rsid w:val="00603A3D"/>
    <w:rsid w:val="00603C1D"/>
    <w:rsid w:val="00604373"/>
    <w:rsid w:val="0060641A"/>
    <w:rsid w:val="00606727"/>
    <w:rsid w:val="00612C15"/>
    <w:rsid w:val="006136E6"/>
    <w:rsid w:val="006143EA"/>
    <w:rsid w:val="0061553E"/>
    <w:rsid w:val="00616107"/>
    <w:rsid w:val="006235EE"/>
    <w:rsid w:val="006240C6"/>
    <w:rsid w:val="00627ED0"/>
    <w:rsid w:val="006302E2"/>
    <w:rsid w:val="00630438"/>
    <w:rsid w:val="00630AD6"/>
    <w:rsid w:val="00631C4B"/>
    <w:rsid w:val="006333FF"/>
    <w:rsid w:val="00634CFB"/>
    <w:rsid w:val="00635874"/>
    <w:rsid w:val="00642094"/>
    <w:rsid w:val="006424DB"/>
    <w:rsid w:val="00643A07"/>
    <w:rsid w:val="00644455"/>
    <w:rsid w:val="006470AE"/>
    <w:rsid w:val="006474FB"/>
    <w:rsid w:val="00651029"/>
    <w:rsid w:val="006517ED"/>
    <w:rsid w:val="00654F3C"/>
    <w:rsid w:val="00655D33"/>
    <w:rsid w:val="0065712D"/>
    <w:rsid w:val="00660F1D"/>
    <w:rsid w:val="00662B7D"/>
    <w:rsid w:val="00663AD1"/>
    <w:rsid w:val="00671CC2"/>
    <w:rsid w:val="00671D80"/>
    <w:rsid w:val="0067375A"/>
    <w:rsid w:val="00675D5F"/>
    <w:rsid w:val="006767C0"/>
    <w:rsid w:val="00676A92"/>
    <w:rsid w:val="00681E86"/>
    <w:rsid w:val="00685167"/>
    <w:rsid w:val="00685281"/>
    <w:rsid w:val="0069072E"/>
    <w:rsid w:val="00692A24"/>
    <w:rsid w:val="00694197"/>
    <w:rsid w:val="0069480A"/>
    <w:rsid w:val="006952F7"/>
    <w:rsid w:val="00696814"/>
    <w:rsid w:val="006976B6"/>
    <w:rsid w:val="00697B96"/>
    <w:rsid w:val="006A00C5"/>
    <w:rsid w:val="006A099E"/>
    <w:rsid w:val="006A12EA"/>
    <w:rsid w:val="006A14D5"/>
    <w:rsid w:val="006A1CC4"/>
    <w:rsid w:val="006A1E62"/>
    <w:rsid w:val="006A2AA2"/>
    <w:rsid w:val="006A30A3"/>
    <w:rsid w:val="006A33F0"/>
    <w:rsid w:val="006A361C"/>
    <w:rsid w:val="006A4239"/>
    <w:rsid w:val="006A5D02"/>
    <w:rsid w:val="006A5F5B"/>
    <w:rsid w:val="006B1127"/>
    <w:rsid w:val="006B1F3D"/>
    <w:rsid w:val="006B3516"/>
    <w:rsid w:val="006B3F6C"/>
    <w:rsid w:val="006B620E"/>
    <w:rsid w:val="006B6B31"/>
    <w:rsid w:val="006B6DD9"/>
    <w:rsid w:val="006B747D"/>
    <w:rsid w:val="006C0A33"/>
    <w:rsid w:val="006C0A4A"/>
    <w:rsid w:val="006C1F9E"/>
    <w:rsid w:val="006C3BFC"/>
    <w:rsid w:val="006C4CDB"/>
    <w:rsid w:val="006C7234"/>
    <w:rsid w:val="006D0F1D"/>
    <w:rsid w:val="006D3687"/>
    <w:rsid w:val="006D415F"/>
    <w:rsid w:val="006D72B8"/>
    <w:rsid w:val="006E18FD"/>
    <w:rsid w:val="006E190B"/>
    <w:rsid w:val="006E289E"/>
    <w:rsid w:val="006E3140"/>
    <w:rsid w:val="006E4DF8"/>
    <w:rsid w:val="006E5496"/>
    <w:rsid w:val="006E67D2"/>
    <w:rsid w:val="006E7C64"/>
    <w:rsid w:val="006F02ED"/>
    <w:rsid w:val="006F04DA"/>
    <w:rsid w:val="006F0D67"/>
    <w:rsid w:val="006F131B"/>
    <w:rsid w:val="006F1F64"/>
    <w:rsid w:val="006F315C"/>
    <w:rsid w:val="006F4EFB"/>
    <w:rsid w:val="006F74DF"/>
    <w:rsid w:val="006F7E4F"/>
    <w:rsid w:val="007004C2"/>
    <w:rsid w:val="00702242"/>
    <w:rsid w:val="00702455"/>
    <w:rsid w:val="007028F5"/>
    <w:rsid w:val="00702A56"/>
    <w:rsid w:val="007078CE"/>
    <w:rsid w:val="0071296E"/>
    <w:rsid w:val="00713111"/>
    <w:rsid w:val="00713D9E"/>
    <w:rsid w:val="00714E98"/>
    <w:rsid w:val="00715DF2"/>
    <w:rsid w:val="0071769D"/>
    <w:rsid w:val="00717AFE"/>
    <w:rsid w:val="00721837"/>
    <w:rsid w:val="0072202A"/>
    <w:rsid w:val="0072423B"/>
    <w:rsid w:val="007303AC"/>
    <w:rsid w:val="00731920"/>
    <w:rsid w:val="00731BA4"/>
    <w:rsid w:val="00731D0A"/>
    <w:rsid w:val="0073276B"/>
    <w:rsid w:val="00733300"/>
    <w:rsid w:val="00733882"/>
    <w:rsid w:val="0073483C"/>
    <w:rsid w:val="007371B8"/>
    <w:rsid w:val="0074125D"/>
    <w:rsid w:val="007421E4"/>
    <w:rsid w:val="007424D1"/>
    <w:rsid w:val="0074350D"/>
    <w:rsid w:val="00743BAA"/>
    <w:rsid w:val="00745539"/>
    <w:rsid w:val="00745F99"/>
    <w:rsid w:val="007462D9"/>
    <w:rsid w:val="00746F0D"/>
    <w:rsid w:val="00751E11"/>
    <w:rsid w:val="00752D07"/>
    <w:rsid w:val="00753C5E"/>
    <w:rsid w:val="00754099"/>
    <w:rsid w:val="007540A2"/>
    <w:rsid w:val="007543F9"/>
    <w:rsid w:val="0075615C"/>
    <w:rsid w:val="00756F8E"/>
    <w:rsid w:val="0075746A"/>
    <w:rsid w:val="00764891"/>
    <w:rsid w:val="00764C0C"/>
    <w:rsid w:val="00764D9C"/>
    <w:rsid w:val="007650EB"/>
    <w:rsid w:val="00765FE0"/>
    <w:rsid w:val="007677EE"/>
    <w:rsid w:val="00771C6A"/>
    <w:rsid w:val="00772202"/>
    <w:rsid w:val="007724C2"/>
    <w:rsid w:val="00772F76"/>
    <w:rsid w:val="00775FA0"/>
    <w:rsid w:val="00777137"/>
    <w:rsid w:val="0077728A"/>
    <w:rsid w:val="00781363"/>
    <w:rsid w:val="00782E36"/>
    <w:rsid w:val="007839CF"/>
    <w:rsid w:val="00783EEC"/>
    <w:rsid w:val="00786683"/>
    <w:rsid w:val="00786760"/>
    <w:rsid w:val="00787851"/>
    <w:rsid w:val="00791FD2"/>
    <w:rsid w:val="00792171"/>
    <w:rsid w:val="007943A5"/>
    <w:rsid w:val="007A0244"/>
    <w:rsid w:val="007A045F"/>
    <w:rsid w:val="007A0763"/>
    <w:rsid w:val="007A1B29"/>
    <w:rsid w:val="007A3588"/>
    <w:rsid w:val="007A4164"/>
    <w:rsid w:val="007A58D6"/>
    <w:rsid w:val="007A6874"/>
    <w:rsid w:val="007A6ECA"/>
    <w:rsid w:val="007B4254"/>
    <w:rsid w:val="007B6BB3"/>
    <w:rsid w:val="007C135E"/>
    <w:rsid w:val="007C31E2"/>
    <w:rsid w:val="007C36AC"/>
    <w:rsid w:val="007C44A0"/>
    <w:rsid w:val="007C466B"/>
    <w:rsid w:val="007C47D7"/>
    <w:rsid w:val="007C4A00"/>
    <w:rsid w:val="007D2565"/>
    <w:rsid w:val="007D2570"/>
    <w:rsid w:val="007D287D"/>
    <w:rsid w:val="007D3112"/>
    <w:rsid w:val="007D37F2"/>
    <w:rsid w:val="007D6C3C"/>
    <w:rsid w:val="007D6CA3"/>
    <w:rsid w:val="007D74FB"/>
    <w:rsid w:val="007D7F28"/>
    <w:rsid w:val="007D7F7A"/>
    <w:rsid w:val="007E1F95"/>
    <w:rsid w:val="007E2BEE"/>
    <w:rsid w:val="007E3352"/>
    <w:rsid w:val="007E450B"/>
    <w:rsid w:val="007E5217"/>
    <w:rsid w:val="007E52C3"/>
    <w:rsid w:val="007E6E25"/>
    <w:rsid w:val="007E716E"/>
    <w:rsid w:val="007F077B"/>
    <w:rsid w:val="007F1727"/>
    <w:rsid w:val="007F1FAA"/>
    <w:rsid w:val="007F219B"/>
    <w:rsid w:val="007F3E85"/>
    <w:rsid w:val="007F4D88"/>
    <w:rsid w:val="007F539A"/>
    <w:rsid w:val="007F6CCC"/>
    <w:rsid w:val="007F6CCE"/>
    <w:rsid w:val="007F7CCF"/>
    <w:rsid w:val="0080290D"/>
    <w:rsid w:val="008029C4"/>
    <w:rsid w:val="00802B9E"/>
    <w:rsid w:val="0080507F"/>
    <w:rsid w:val="00805E73"/>
    <w:rsid w:val="0080603D"/>
    <w:rsid w:val="0080620E"/>
    <w:rsid w:val="00807C51"/>
    <w:rsid w:val="00807F64"/>
    <w:rsid w:val="0081084A"/>
    <w:rsid w:val="008128B7"/>
    <w:rsid w:val="00813D9E"/>
    <w:rsid w:val="008144F3"/>
    <w:rsid w:val="00814829"/>
    <w:rsid w:val="0081699D"/>
    <w:rsid w:val="00820680"/>
    <w:rsid w:val="00821163"/>
    <w:rsid w:val="00821C0A"/>
    <w:rsid w:val="00822711"/>
    <w:rsid w:val="0082416D"/>
    <w:rsid w:val="00826199"/>
    <w:rsid w:val="00827D80"/>
    <w:rsid w:val="00831C1B"/>
    <w:rsid w:val="00832BCF"/>
    <w:rsid w:val="0083420A"/>
    <w:rsid w:val="00834AB5"/>
    <w:rsid w:val="008361B8"/>
    <w:rsid w:val="00836E96"/>
    <w:rsid w:val="0083724E"/>
    <w:rsid w:val="00844E3D"/>
    <w:rsid w:val="00845A41"/>
    <w:rsid w:val="00846CAC"/>
    <w:rsid w:val="00847BED"/>
    <w:rsid w:val="0085041A"/>
    <w:rsid w:val="00851CBC"/>
    <w:rsid w:val="0085621B"/>
    <w:rsid w:val="00856605"/>
    <w:rsid w:val="00857886"/>
    <w:rsid w:val="00857D15"/>
    <w:rsid w:val="008615C9"/>
    <w:rsid w:val="00861B30"/>
    <w:rsid w:val="00861B61"/>
    <w:rsid w:val="00862EDD"/>
    <w:rsid w:val="008637E2"/>
    <w:rsid w:val="00864621"/>
    <w:rsid w:val="00866D26"/>
    <w:rsid w:val="008702D6"/>
    <w:rsid w:val="00870AE9"/>
    <w:rsid w:val="00874FBF"/>
    <w:rsid w:val="00875B81"/>
    <w:rsid w:val="008770E5"/>
    <w:rsid w:val="00877A41"/>
    <w:rsid w:val="00881EF0"/>
    <w:rsid w:val="00882109"/>
    <w:rsid w:val="00882706"/>
    <w:rsid w:val="00882A57"/>
    <w:rsid w:val="0088462B"/>
    <w:rsid w:val="00887FB8"/>
    <w:rsid w:val="008915B5"/>
    <w:rsid w:val="0089397A"/>
    <w:rsid w:val="00894064"/>
    <w:rsid w:val="00895870"/>
    <w:rsid w:val="008A1F11"/>
    <w:rsid w:val="008A2099"/>
    <w:rsid w:val="008A4101"/>
    <w:rsid w:val="008A4989"/>
    <w:rsid w:val="008A4C74"/>
    <w:rsid w:val="008A4F7E"/>
    <w:rsid w:val="008A59B4"/>
    <w:rsid w:val="008A7288"/>
    <w:rsid w:val="008B0FFE"/>
    <w:rsid w:val="008B36A0"/>
    <w:rsid w:val="008C084F"/>
    <w:rsid w:val="008C087A"/>
    <w:rsid w:val="008C1940"/>
    <w:rsid w:val="008C68BE"/>
    <w:rsid w:val="008D0C99"/>
    <w:rsid w:val="008D1032"/>
    <w:rsid w:val="008D13BA"/>
    <w:rsid w:val="008D34D9"/>
    <w:rsid w:val="008D522D"/>
    <w:rsid w:val="008D5AB5"/>
    <w:rsid w:val="008E1373"/>
    <w:rsid w:val="008E2E2D"/>
    <w:rsid w:val="008E2FF7"/>
    <w:rsid w:val="008E3949"/>
    <w:rsid w:val="008E544D"/>
    <w:rsid w:val="008F083E"/>
    <w:rsid w:val="008F2DF0"/>
    <w:rsid w:val="008F3D63"/>
    <w:rsid w:val="008F5FFE"/>
    <w:rsid w:val="008F7795"/>
    <w:rsid w:val="009002F8"/>
    <w:rsid w:val="009029A6"/>
    <w:rsid w:val="00904D01"/>
    <w:rsid w:val="00905914"/>
    <w:rsid w:val="00905DA6"/>
    <w:rsid w:val="00906499"/>
    <w:rsid w:val="00906DEF"/>
    <w:rsid w:val="00910CB3"/>
    <w:rsid w:val="00911168"/>
    <w:rsid w:val="0091223E"/>
    <w:rsid w:val="009142B8"/>
    <w:rsid w:val="00917B18"/>
    <w:rsid w:val="00917C0B"/>
    <w:rsid w:val="00920218"/>
    <w:rsid w:val="009225B9"/>
    <w:rsid w:val="00922F59"/>
    <w:rsid w:val="00923EE7"/>
    <w:rsid w:val="00924A78"/>
    <w:rsid w:val="00925C13"/>
    <w:rsid w:val="009268BD"/>
    <w:rsid w:val="00927288"/>
    <w:rsid w:val="00930462"/>
    <w:rsid w:val="00935304"/>
    <w:rsid w:val="009363BF"/>
    <w:rsid w:val="00937D09"/>
    <w:rsid w:val="00942AC5"/>
    <w:rsid w:val="00950E03"/>
    <w:rsid w:val="00955250"/>
    <w:rsid w:val="00956F08"/>
    <w:rsid w:val="00957C5A"/>
    <w:rsid w:val="00957C6A"/>
    <w:rsid w:val="0096087C"/>
    <w:rsid w:val="00961629"/>
    <w:rsid w:val="009628DC"/>
    <w:rsid w:val="00964181"/>
    <w:rsid w:val="009645F2"/>
    <w:rsid w:val="0097002B"/>
    <w:rsid w:val="009706C6"/>
    <w:rsid w:val="00971100"/>
    <w:rsid w:val="00971E2B"/>
    <w:rsid w:val="00972DAD"/>
    <w:rsid w:val="0097322E"/>
    <w:rsid w:val="009775A6"/>
    <w:rsid w:val="00977CA6"/>
    <w:rsid w:val="009857EC"/>
    <w:rsid w:val="009860B0"/>
    <w:rsid w:val="00986BE8"/>
    <w:rsid w:val="00987498"/>
    <w:rsid w:val="0099238A"/>
    <w:rsid w:val="009947F4"/>
    <w:rsid w:val="00994E47"/>
    <w:rsid w:val="00995D56"/>
    <w:rsid w:val="009A051D"/>
    <w:rsid w:val="009A3265"/>
    <w:rsid w:val="009A53DE"/>
    <w:rsid w:val="009A6565"/>
    <w:rsid w:val="009A7760"/>
    <w:rsid w:val="009B0ACA"/>
    <w:rsid w:val="009B19A7"/>
    <w:rsid w:val="009B2098"/>
    <w:rsid w:val="009B28A8"/>
    <w:rsid w:val="009B39FF"/>
    <w:rsid w:val="009B4F59"/>
    <w:rsid w:val="009B6788"/>
    <w:rsid w:val="009B712F"/>
    <w:rsid w:val="009B7A2B"/>
    <w:rsid w:val="009C0AEC"/>
    <w:rsid w:val="009C0D34"/>
    <w:rsid w:val="009C18C7"/>
    <w:rsid w:val="009C3A9A"/>
    <w:rsid w:val="009C42DE"/>
    <w:rsid w:val="009C6DAC"/>
    <w:rsid w:val="009C7DC7"/>
    <w:rsid w:val="009C7F7E"/>
    <w:rsid w:val="009D07FD"/>
    <w:rsid w:val="009D08F0"/>
    <w:rsid w:val="009D0D3A"/>
    <w:rsid w:val="009D414F"/>
    <w:rsid w:val="009D58D8"/>
    <w:rsid w:val="009D6158"/>
    <w:rsid w:val="009E109C"/>
    <w:rsid w:val="009E38B7"/>
    <w:rsid w:val="009E3B3B"/>
    <w:rsid w:val="009E3C63"/>
    <w:rsid w:val="009E4718"/>
    <w:rsid w:val="009E6CF5"/>
    <w:rsid w:val="009F107B"/>
    <w:rsid w:val="009F1759"/>
    <w:rsid w:val="009F2006"/>
    <w:rsid w:val="009F3D28"/>
    <w:rsid w:val="009F4BA1"/>
    <w:rsid w:val="00A018A2"/>
    <w:rsid w:val="00A050EB"/>
    <w:rsid w:val="00A06DF3"/>
    <w:rsid w:val="00A07213"/>
    <w:rsid w:val="00A07F87"/>
    <w:rsid w:val="00A11CFC"/>
    <w:rsid w:val="00A1518B"/>
    <w:rsid w:val="00A2208E"/>
    <w:rsid w:val="00A235CD"/>
    <w:rsid w:val="00A240EC"/>
    <w:rsid w:val="00A24933"/>
    <w:rsid w:val="00A27391"/>
    <w:rsid w:val="00A30B64"/>
    <w:rsid w:val="00A315BB"/>
    <w:rsid w:val="00A31AB5"/>
    <w:rsid w:val="00A32256"/>
    <w:rsid w:val="00A352AE"/>
    <w:rsid w:val="00A3556B"/>
    <w:rsid w:val="00A35CAF"/>
    <w:rsid w:val="00A35CCD"/>
    <w:rsid w:val="00A36A6E"/>
    <w:rsid w:val="00A3740E"/>
    <w:rsid w:val="00A41B25"/>
    <w:rsid w:val="00A42971"/>
    <w:rsid w:val="00A435BB"/>
    <w:rsid w:val="00A4402D"/>
    <w:rsid w:val="00A441E3"/>
    <w:rsid w:val="00A44EDB"/>
    <w:rsid w:val="00A45B05"/>
    <w:rsid w:val="00A45DC9"/>
    <w:rsid w:val="00A466A5"/>
    <w:rsid w:val="00A47C88"/>
    <w:rsid w:val="00A51F83"/>
    <w:rsid w:val="00A53B98"/>
    <w:rsid w:val="00A54418"/>
    <w:rsid w:val="00A55563"/>
    <w:rsid w:val="00A5702D"/>
    <w:rsid w:val="00A5794F"/>
    <w:rsid w:val="00A57F70"/>
    <w:rsid w:val="00A617B5"/>
    <w:rsid w:val="00A61917"/>
    <w:rsid w:val="00A63285"/>
    <w:rsid w:val="00A63672"/>
    <w:rsid w:val="00A66223"/>
    <w:rsid w:val="00A7000D"/>
    <w:rsid w:val="00A726EF"/>
    <w:rsid w:val="00A7411F"/>
    <w:rsid w:val="00A74E1C"/>
    <w:rsid w:val="00A7688E"/>
    <w:rsid w:val="00A814F9"/>
    <w:rsid w:val="00A818EE"/>
    <w:rsid w:val="00A8384A"/>
    <w:rsid w:val="00A9162E"/>
    <w:rsid w:val="00A916AD"/>
    <w:rsid w:val="00A92A61"/>
    <w:rsid w:val="00A93AA1"/>
    <w:rsid w:val="00A93F22"/>
    <w:rsid w:val="00A951AD"/>
    <w:rsid w:val="00A951DB"/>
    <w:rsid w:val="00A953D8"/>
    <w:rsid w:val="00A96608"/>
    <w:rsid w:val="00A9700B"/>
    <w:rsid w:val="00A97C63"/>
    <w:rsid w:val="00AA02A8"/>
    <w:rsid w:val="00AA0CF0"/>
    <w:rsid w:val="00AA2D92"/>
    <w:rsid w:val="00AA5B8D"/>
    <w:rsid w:val="00AA5E8F"/>
    <w:rsid w:val="00AB155C"/>
    <w:rsid w:val="00AB3127"/>
    <w:rsid w:val="00AB6B8B"/>
    <w:rsid w:val="00AB7613"/>
    <w:rsid w:val="00AC150D"/>
    <w:rsid w:val="00AC1A25"/>
    <w:rsid w:val="00AC3012"/>
    <w:rsid w:val="00AC6EAF"/>
    <w:rsid w:val="00AC7996"/>
    <w:rsid w:val="00AD0CE7"/>
    <w:rsid w:val="00AD0D9D"/>
    <w:rsid w:val="00AD108D"/>
    <w:rsid w:val="00AD184D"/>
    <w:rsid w:val="00AD3035"/>
    <w:rsid w:val="00AD3E14"/>
    <w:rsid w:val="00AD4153"/>
    <w:rsid w:val="00AE07E3"/>
    <w:rsid w:val="00AE333F"/>
    <w:rsid w:val="00AE59D5"/>
    <w:rsid w:val="00AE6D52"/>
    <w:rsid w:val="00AE766A"/>
    <w:rsid w:val="00AE7EBF"/>
    <w:rsid w:val="00AF3B1D"/>
    <w:rsid w:val="00AF4731"/>
    <w:rsid w:val="00AF6595"/>
    <w:rsid w:val="00AF7D8E"/>
    <w:rsid w:val="00B01163"/>
    <w:rsid w:val="00B02602"/>
    <w:rsid w:val="00B02FC0"/>
    <w:rsid w:val="00B0425B"/>
    <w:rsid w:val="00B05184"/>
    <w:rsid w:val="00B055C0"/>
    <w:rsid w:val="00B0564D"/>
    <w:rsid w:val="00B0571C"/>
    <w:rsid w:val="00B058D4"/>
    <w:rsid w:val="00B06E96"/>
    <w:rsid w:val="00B11BC2"/>
    <w:rsid w:val="00B1218C"/>
    <w:rsid w:val="00B129BD"/>
    <w:rsid w:val="00B14667"/>
    <w:rsid w:val="00B14E97"/>
    <w:rsid w:val="00B15120"/>
    <w:rsid w:val="00B15A5D"/>
    <w:rsid w:val="00B15D02"/>
    <w:rsid w:val="00B17A38"/>
    <w:rsid w:val="00B21868"/>
    <w:rsid w:val="00B27F36"/>
    <w:rsid w:val="00B31967"/>
    <w:rsid w:val="00B3420F"/>
    <w:rsid w:val="00B3446D"/>
    <w:rsid w:val="00B35F24"/>
    <w:rsid w:val="00B362E5"/>
    <w:rsid w:val="00B36455"/>
    <w:rsid w:val="00B41746"/>
    <w:rsid w:val="00B44AB7"/>
    <w:rsid w:val="00B450FF"/>
    <w:rsid w:val="00B4555C"/>
    <w:rsid w:val="00B47A52"/>
    <w:rsid w:val="00B50C2E"/>
    <w:rsid w:val="00B50FAA"/>
    <w:rsid w:val="00B51AD8"/>
    <w:rsid w:val="00B541CB"/>
    <w:rsid w:val="00B60A47"/>
    <w:rsid w:val="00B60D93"/>
    <w:rsid w:val="00B658AD"/>
    <w:rsid w:val="00B65938"/>
    <w:rsid w:val="00B715EF"/>
    <w:rsid w:val="00B71691"/>
    <w:rsid w:val="00B739DB"/>
    <w:rsid w:val="00B76F17"/>
    <w:rsid w:val="00B777DF"/>
    <w:rsid w:val="00B81221"/>
    <w:rsid w:val="00B82EAD"/>
    <w:rsid w:val="00B8318C"/>
    <w:rsid w:val="00B840FF"/>
    <w:rsid w:val="00B85B8B"/>
    <w:rsid w:val="00B904A1"/>
    <w:rsid w:val="00B92B80"/>
    <w:rsid w:val="00B93FD0"/>
    <w:rsid w:val="00B94214"/>
    <w:rsid w:val="00B943E5"/>
    <w:rsid w:val="00B9496F"/>
    <w:rsid w:val="00B950BE"/>
    <w:rsid w:val="00B95AC9"/>
    <w:rsid w:val="00B9723F"/>
    <w:rsid w:val="00BA3A6A"/>
    <w:rsid w:val="00BA3DF5"/>
    <w:rsid w:val="00BA672F"/>
    <w:rsid w:val="00BA6769"/>
    <w:rsid w:val="00BA67D8"/>
    <w:rsid w:val="00BA7B7F"/>
    <w:rsid w:val="00BB001A"/>
    <w:rsid w:val="00BB06A3"/>
    <w:rsid w:val="00BB1FDE"/>
    <w:rsid w:val="00BB292A"/>
    <w:rsid w:val="00BB2DDF"/>
    <w:rsid w:val="00BB2F9D"/>
    <w:rsid w:val="00BB33B7"/>
    <w:rsid w:val="00BB5D54"/>
    <w:rsid w:val="00BB6DDE"/>
    <w:rsid w:val="00BB6FEA"/>
    <w:rsid w:val="00BC1223"/>
    <w:rsid w:val="00BC3241"/>
    <w:rsid w:val="00BC42EB"/>
    <w:rsid w:val="00BC4AAD"/>
    <w:rsid w:val="00BC63A7"/>
    <w:rsid w:val="00BC6475"/>
    <w:rsid w:val="00BC7AD3"/>
    <w:rsid w:val="00BD07A5"/>
    <w:rsid w:val="00BD0E91"/>
    <w:rsid w:val="00BD37DD"/>
    <w:rsid w:val="00BD3A50"/>
    <w:rsid w:val="00BD4293"/>
    <w:rsid w:val="00BD5F58"/>
    <w:rsid w:val="00BE5B61"/>
    <w:rsid w:val="00BF16E0"/>
    <w:rsid w:val="00BF4910"/>
    <w:rsid w:val="00C00A72"/>
    <w:rsid w:val="00C00C53"/>
    <w:rsid w:val="00C03AA8"/>
    <w:rsid w:val="00C03B00"/>
    <w:rsid w:val="00C043BB"/>
    <w:rsid w:val="00C06507"/>
    <w:rsid w:val="00C105C2"/>
    <w:rsid w:val="00C11180"/>
    <w:rsid w:val="00C13534"/>
    <w:rsid w:val="00C16181"/>
    <w:rsid w:val="00C175E8"/>
    <w:rsid w:val="00C2073E"/>
    <w:rsid w:val="00C21B22"/>
    <w:rsid w:val="00C22A87"/>
    <w:rsid w:val="00C24E9D"/>
    <w:rsid w:val="00C25A97"/>
    <w:rsid w:val="00C30FC9"/>
    <w:rsid w:val="00C332B5"/>
    <w:rsid w:val="00C40F17"/>
    <w:rsid w:val="00C410D5"/>
    <w:rsid w:val="00C43681"/>
    <w:rsid w:val="00C43BBF"/>
    <w:rsid w:val="00C440F9"/>
    <w:rsid w:val="00C45491"/>
    <w:rsid w:val="00C47498"/>
    <w:rsid w:val="00C51B4F"/>
    <w:rsid w:val="00C527F3"/>
    <w:rsid w:val="00C5281E"/>
    <w:rsid w:val="00C567EA"/>
    <w:rsid w:val="00C60DDC"/>
    <w:rsid w:val="00C62B40"/>
    <w:rsid w:val="00C62E0A"/>
    <w:rsid w:val="00C6491B"/>
    <w:rsid w:val="00C6696D"/>
    <w:rsid w:val="00C706A9"/>
    <w:rsid w:val="00C73123"/>
    <w:rsid w:val="00C734C5"/>
    <w:rsid w:val="00C741C2"/>
    <w:rsid w:val="00C75BC7"/>
    <w:rsid w:val="00C75CE0"/>
    <w:rsid w:val="00C7627F"/>
    <w:rsid w:val="00C77010"/>
    <w:rsid w:val="00C77E07"/>
    <w:rsid w:val="00C806C8"/>
    <w:rsid w:val="00C80A4C"/>
    <w:rsid w:val="00C83FDF"/>
    <w:rsid w:val="00C84E97"/>
    <w:rsid w:val="00C854FA"/>
    <w:rsid w:val="00C916AA"/>
    <w:rsid w:val="00C92821"/>
    <w:rsid w:val="00C934FA"/>
    <w:rsid w:val="00C9451E"/>
    <w:rsid w:val="00C975F4"/>
    <w:rsid w:val="00CA1B4F"/>
    <w:rsid w:val="00CA3203"/>
    <w:rsid w:val="00CA6663"/>
    <w:rsid w:val="00CA6B1A"/>
    <w:rsid w:val="00CA7870"/>
    <w:rsid w:val="00CB0927"/>
    <w:rsid w:val="00CB283F"/>
    <w:rsid w:val="00CB5259"/>
    <w:rsid w:val="00CB58D1"/>
    <w:rsid w:val="00CB64E3"/>
    <w:rsid w:val="00CB69E8"/>
    <w:rsid w:val="00CB78A5"/>
    <w:rsid w:val="00CC05AF"/>
    <w:rsid w:val="00CC06F0"/>
    <w:rsid w:val="00CC2296"/>
    <w:rsid w:val="00CC2EBF"/>
    <w:rsid w:val="00CC3027"/>
    <w:rsid w:val="00CC3219"/>
    <w:rsid w:val="00CC41C9"/>
    <w:rsid w:val="00CC4CA9"/>
    <w:rsid w:val="00CD14C0"/>
    <w:rsid w:val="00CD2217"/>
    <w:rsid w:val="00CD3502"/>
    <w:rsid w:val="00CD3705"/>
    <w:rsid w:val="00CD4B4D"/>
    <w:rsid w:val="00CE041D"/>
    <w:rsid w:val="00CE2EBE"/>
    <w:rsid w:val="00CE3CC5"/>
    <w:rsid w:val="00CE67CD"/>
    <w:rsid w:val="00CE705F"/>
    <w:rsid w:val="00CE7D14"/>
    <w:rsid w:val="00CF0C8F"/>
    <w:rsid w:val="00CF1470"/>
    <w:rsid w:val="00CF1CF9"/>
    <w:rsid w:val="00CF367B"/>
    <w:rsid w:val="00CF3988"/>
    <w:rsid w:val="00CF40B2"/>
    <w:rsid w:val="00CF5A5E"/>
    <w:rsid w:val="00CF64F1"/>
    <w:rsid w:val="00CF6F66"/>
    <w:rsid w:val="00CF7BAA"/>
    <w:rsid w:val="00D0035F"/>
    <w:rsid w:val="00D00FAC"/>
    <w:rsid w:val="00D02B1E"/>
    <w:rsid w:val="00D04813"/>
    <w:rsid w:val="00D049C1"/>
    <w:rsid w:val="00D04C6F"/>
    <w:rsid w:val="00D0516B"/>
    <w:rsid w:val="00D05316"/>
    <w:rsid w:val="00D05D6C"/>
    <w:rsid w:val="00D079E5"/>
    <w:rsid w:val="00D10F5F"/>
    <w:rsid w:val="00D1137D"/>
    <w:rsid w:val="00D11B87"/>
    <w:rsid w:val="00D1287D"/>
    <w:rsid w:val="00D129E5"/>
    <w:rsid w:val="00D15699"/>
    <w:rsid w:val="00D17229"/>
    <w:rsid w:val="00D17561"/>
    <w:rsid w:val="00D17CD0"/>
    <w:rsid w:val="00D17D55"/>
    <w:rsid w:val="00D207DB"/>
    <w:rsid w:val="00D20F95"/>
    <w:rsid w:val="00D23CBA"/>
    <w:rsid w:val="00D245B9"/>
    <w:rsid w:val="00D246C9"/>
    <w:rsid w:val="00D24C47"/>
    <w:rsid w:val="00D30149"/>
    <w:rsid w:val="00D3167A"/>
    <w:rsid w:val="00D31A47"/>
    <w:rsid w:val="00D31F2F"/>
    <w:rsid w:val="00D36933"/>
    <w:rsid w:val="00D401E7"/>
    <w:rsid w:val="00D40686"/>
    <w:rsid w:val="00D40975"/>
    <w:rsid w:val="00D425EA"/>
    <w:rsid w:val="00D437FB"/>
    <w:rsid w:val="00D44DA4"/>
    <w:rsid w:val="00D45898"/>
    <w:rsid w:val="00D46ABD"/>
    <w:rsid w:val="00D474F2"/>
    <w:rsid w:val="00D516F8"/>
    <w:rsid w:val="00D51A51"/>
    <w:rsid w:val="00D51A6E"/>
    <w:rsid w:val="00D525B2"/>
    <w:rsid w:val="00D544AB"/>
    <w:rsid w:val="00D57C2F"/>
    <w:rsid w:val="00D57F61"/>
    <w:rsid w:val="00D601DE"/>
    <w:rsid w:val="00D654CB"/>
    <w:rsid w:val="00D65F79"/>
    <w:rsid w:val="00D71342"/>
    <w:rsid w:val="00D75BC3"/>
    <w:rsid w:val="00D767AE"/>
    <w:rsid w:val="00D775BE"/>
    <w:rsid w:val="00D777F0"/>
    <w:rsid w:val="00D77DF8"/>
    <w:rsid w:val="00D819A9"/>
    <w:rsid w:val="00D822EA"/>
    <w:rsid w:val="00D82C05"/>
    <w:rsid w:val="00D8308B"/>
    <w:rsid w:val="00D84526"/>
    <w:rsid w:val="00D8702A"/>
    <w:rsid w:val="00D87546"/>
    <w:rsid w:val="00D878C0"/>
    <w:rsid w:val="00D90154"/>
    <w:rsid w:val="00D907AD"/>
    <w:rsid w:val="00D90FCA"/>
    <w:rsid w:val="00D92CB5"/>
    <w:rsid w:val="00D9376C"/>
    <w:rsid w:val="00D94589"/>
    <w:rsid w:val="00D96849"/>
    <w:rsid w:val="00DA34BC"/>
    <w:rsid w:val="00DA48F4"/>
    <w:rsid w:val="00DA7DEB"/>
    <w:rsid w:val="00DB2D0D"/>
    <w:rsid w:val="00DB32B2"/>
    <w:rsid w:val="00DB524C"/>
    <w:rsid w:val="00DC126F"/>
    <w:rsid w:val="00DC2555"/>
    <w:rsid w:val="00DC35DD"/>
    <w:rsid w:val="00DC4477"/>
    <w:rsid w:val="00DD081F"/>
    <w:rsid w:val="00DD4E6C"/>
    <w:rsid w:val="00DD6F08"/>
    <w:rsid w:val="00DD7F4E"/>
    <w:rsid w:val="00DE12CC"/>
    <w:rsid w:val="00DE355D"/>
    <w:rsid w:val="00DE3F35"/>
    <w:rsid w:val="00DE42BA"/>
    <w:rsid w:val="00DE762E"/>
    <w:rsid w:val="00DE7A6B"/>
    <w:rsid w:val="00DE7EDE"/>
    <w:rsid w:val="00DF073A"/>
    <w:rsid w:val="00DF1CEC"/>
    <w:rsid w:val="00DF343A"/>
    <w:rsid w:val="00DF4374"/>
    <w:rsid w:val="00DF5F6D"/>
    <w:rsid w:val="00E02254"/>
    <w:rsid w:val="00E04AD8"/>
    <w:rsid w:val="00E057AC"/>
    <w:rsid w:val="00E06AC0"/>
    <w:rsid w:val="00E07CDB"/>
    <w:rsid w:val="00E11AF4"/>
    <w:rsid w:val="00E11BC8"/>
    <w:rsid w:val="00E1351F"/>
    <w:rsid w:val="00E140AE"/>
    <w:rsid w:val="00E1433F"/>
    <w:rsid w:val="00E1765C"/>
    <w:rsid w:val="00E20C08"/>
    <w:rsid w:val="00E21274"/>
    <w:rsid w:val="00E2137C"/>
    <w:rsid w:val="00E2242B"/>
    <w:rsid w:val="00E23FEE"/>
    <w:rsid w:val="00E24370"/>
    <w:rsid w:val="00E26269"/>
    <w:rsid w:val="00E26B8D"/>
    <w:rsid w:val="00E321A8"/>
    <w:rsid w:val="00E3281C"/>
    <w:rsid w:val="00E352BD"/>
    <w:rsid w:val="00E35305"/>
    <w:rsid w:val="00E4115E"/>
    <w:rsid w:val="00E43AF3"/>
    <w:rsid w:val="00E43B2F"/>
    <w:rsid w:val="00E43E7E"/>
    <w:rsid w:val="00E44FCC"/>
    <w:rsid w:val="00E455BC"/>
    <w:rsid w:val="00E45AC0"/>
    <w:rsid w:val="00E467BE"/>
    <w:rsid w:val="00E536FF"/>
    <w:rsid w:val="00E55852"/>
    <w:rsid w:val="00E558CD"/>
    <w:rsid w:val="00E56387"/>
    <w:rsid w:val="00E56961"/>
    <w:rsid w:val="00E57618"/>
    <w:rsid w:val="00E578AC"/>
    <w:rsid w:val="00E57C20"/>
    <w:rsid w:val="00E60909"/>
    <w:rsid w:val="00E62209"/>
    <w:rsid w:val="00E65712"/>
    <w:rsid w:val="00E66582"/>
    <w:rsid w:val="00E6659A"/>
    <w:rsid w:val="00E677E3"/>
    <w:rsid w:val="00E71356"/>
    <w:rsid w:val="00E72804"/>
    <w:rsid w:val="00E746CC"/>
    <w:rsid w:val="00E7527E"/>
    <w:rsid w:val="00E768C6"/>
    <w:rsid w:val="00E77F02"/>
    <w:rsid w:val="00E8046C"/>
    <w:rsid w:val="00E81A8B"/>
    <w:rsid w:val="00E85027"/>
    <w:rsid w:val="00E873DB"/>
    <w:rsid w:val="00E87DDD"/>
    <w:rsid w:val="00E92242"/>
    <w:rsid w:val="00E936B9"/>
    <w:rsid w:val="00E970FE"/>
    <w:rsid w:val="00EA11A0"/>
    <w:rsid w:val="00EA1616"/>
    <w:rsid w:val="00EA35E3"/>
    <w:rsid w:val="00EA52B8"/>
    <w:rsid w:val="00EA5A0A"/>
    <w:rsid w:val="00EA66ED"/>
    <w:rsid w:val="00EA6730"/>
    <w:rsid w:val="00EA7211"/>
    <w:rsid w:val="00EB02D3"/>
    <w:rsid w:val="00EB0B63"/>
    <w:rsid w:val="00EB199F"/>
    <w:rsid w:val="00EB3738"/>
    <w:rsid w:val="00EB6F00"/>
    <w:rsid w:val="00EB74B2"/>
    <w:rsid w:val="00EC2E01"/>
    <w:rsid w:val="00EC34DA"/>
    <w:rsid w:val="00EC3C4A"/>
    <w:rsid w:val="00EC7C2C"/>
    <w:rsid w:val="00EC7D0F"/>
    <w:rsid w:val="00ED17F3"/>
    <w:rsid w:val="00ED2165"/>
    <w:rsid w:val="00ED230A"/>
    <w:rsid w:val="00ED2359"/>
    <w:rsid w:val="00ED26AA"/>
    <w:rsid w:val="00ED38FB"/>
    <w:rsid w:val="00ED52C0"/>
    <w:rsid w:val="00ED560F"/>
    <w:rsid w:val="00ED56C5"/>
    <w:rsid w:val="00ED6D83"/>
    <w:rsid w:val="00EE0BEA"/>
    <w:rsid w:val="00EE0F55"/>
    <w:rsid w:val="00EE4A06"/>
    <w:rsid w:val="00EF161E"/>
    <w:rsid w:val="00EF57B5"/>
    <w:rsid w:val="00EF6624"/>
    <w:rsid w:val="00F066A2"/>
    <w:rsid w:val="00F06C1C"/>
    <w:rsid w:val="00F0700E"/>
    <w:rsid w:val="00F073E2"/>
    <w:rsid w:val="00F0741B"/>
    <w:rsid w:val="00F07D02"/>
    <w:rsid w:val="00F07D21"/>
    <w:rsid w:val="00F12331"/>
    <w:rsid w:val="00F12641"/>
    <w:rsid w:val="00F173F3"/>
    <w:rsid w:val="00F22FA8"/>
    <w:rsid w:val="00F27BC8"/>
    <w:rsid w:val="00F31629"/>
    <w:rsid w:val="00F31B32"/>
    <w:rsid w:val="00F32529"/>
    <w:rsid w:val="00F32D1E"/>
    <w:rsid w:val="00F33CF6"/>
    <w:rsid w:val="00F34683"/>
    <w:rsid w:val="00F34C88"/>
    <w:rsid w:val="00F3554A"/>
    <w:rsid w:val="00F358A6"/>
    <w:rsid w:val="00F36891"/>
    <w:rsid w:val="00F40089"/>
    <w:rsid w:val="00F415E6"/>
    <w:rsid w:val="00F4237F"/>
    <w:rsid w:val="00F43461"/>
    <w:rsid w:val="00F43E16"/>
    <w:rsid w:val="00F44D67"/>
    <w:rsid w:val="00F45078"/>
    <w:rsid w:val="00F46BB5"/>
    <w:rsid w:val="00F50C84"/>
    <w:rsid w:val="00F514FF"/>
    <w:rsid w:val="00F51838"/>
    <w:rsid w:val="00F53F9B"/>
    <w:rsid w:val="00F56F9F"/>
    <w:rsid w:val="00F571DD"/>
    <w:rsid w:val="00F61BDE"/>
    <w:rsid w:val="00F638A2"/>
    <w:rsid w:val="00F638DE"/>
    <w:rsid w:val="00F67378"/>
    <w:rsid w:val="00F738C3"/>
    <w:rsid w:val="00F74F55"/>
    <w:rsid w:val="00F777E7"/>
    <w:rsid w:val="00F804DA"/>
    <w:rsid w:val="00F8200E"/>
    <w:rsid w:val="00F83245"/>
    <w:rsid w:val="00F84D1C"/>
    <w:rsid w:val="00F85E3E"/>
    <w:rsid w:val="00F91C68"/>
    <w:rsid w:val="00F92050"/>
    <w:rsid w:val="00F92FF0"/>
    <w:rsid w:val="00F93684"/>
    <w:rsid w:val="00F939F6"/>
    <w:rsid w:val="00F94303"/>
    <w:rsid w:val="00F96A3B"/>
    <w:rsid w:val="00F96B10"/>
    <w:rsid w:val="00F97530"/>
    <w:rsid w:val="00FA2088"/>
    <w:rsid w:val="00FA2CF6"/>
    <w:rsid w:val="00FA319B"/>
    <w:rsid w:val="00FA4B13"/>
    <w:rsid w:val="00FA5724"/>
    <w:rsid w:val="00FA7D6B"/>
    <w:rsid w:val="00FB09D1"/>
    <w:rsid w:val="00FB3D44"/>
    <w:rsid w:val="00FB3E3E"/>
    <w:rsid w:val="00FB49AD"/>
    <w:rsid w:val="00FB6314"/>
    <w:rsid w:val="00FB65CB"/>
    <w:rsid w:val="00FB683F"/>
    <w:rsid w:val="00FC2B0B"/>
    <w:rsid w:val="00FC39E7"/>
    <w:rsid w:val="00FC5A30"/>
    <w:rsid w:val="00FC6704"/>
    <w:rsid w:val="00FC6F0B"/>
    <w:rsid w:val="00FC7CC4"/>
    <w:rsid w:val="00FD595D"/>
    <w:rsid w:val="00FD59B1"/>
    <w:rsid w:val="00FD5DA5"/>
    <w:rsid w:val="00FD5F2F"/>
    <w:rsid w:val="00FD685F"/>
    <w:rsid w:val="00FE3001"/>
    <w:rsid w:val="00FE3AE1"/>
    <w:rsid w:val="00FE3CF7"/>
    <w:rsid w:val="00FE549F"/>
    <w:rsid w:val="00FE59A9"/>
    <w:rsid w:val="00FE5C63"/>
    <w:rsid w:val="00FE5F90"/>
    <w:rsid w:val="00FE67D5"/>
    <w:rsid w:val="00FF18EA"/>
    <w:rsid w:val="00FF2D99"/>
    <w:rsid w:val="00FF600B"/>
    <w:rsid w:val="00FF7568"/>
    <w:rsid w:val="012E3309"/>
    <w:rsid w:val="013259E7"/>
    <w:rsid w:val="016E040A"/>
    <w:rsid w:val="017B2D69"/>
    <w:rsid w:val="018E53BB"/>
    <w:rsid w:val="020531A4"/>
    <w:rsid w:val="020D0EA1"/>
    <w:rsid w:val="021C3352"/>
    <w:rsid w:val="02CB3DD9"/>
    <w:rsid w:val="060A6758"/>
    <w:rsid w:val="06331AE5"/>
    <w:rsid w:val="063C2701"/>
    <w:rsid w:val="067D6210"/>
    <w:rsid w:val="068D1703"/>
    <w:rsid w:val="068F6A17"/>
    <w:rsid w:val="06B05BED"/>
    <w:rsid w:val="070F0509"/>
    <w:rsid w:val="07980C16"/>
    <w:rsid w:val="07D2789E"/>
    <w:rsid w:val="07EB0B8D"/>
    <w:rsid w:val="09151419"/>
    <w:rsid w:val="092A36C0"/>
    <w:rsid w:val="09812CE0"/>
    <w:rsid w:val="098A72E3"/>
    <w:rsid w:val="09D61298"/>
    <w:rsid w:val="0A4D205D"/>
    <w:rsid w:val="0AB01583"/>
    <w:rsid w:val="0B0F486F"/>
    <w:rsid w:val="0B60615F"/>
    <w:rsid w:val="0BEA4171"/>
    <w:rsid w:val="0CC45712"/>
    <w:rsid w:val="0CEF4E8D"/>
    <w:rsid w:val="0E1B02D4"/>
    <w:rsid w:val="0EB11F99"/>
    <w:rsid w:val="0EBD2E3C"/>
    <w:rsid w:val="0EF44384"/>
    <w:rsid w:val="0F664331"/>
    <w:rsid w:val="0FA70733"/>
    <w:rsid w:val="0FB96A45"/>
    <w:rsid w:val="1074632C"/>
    <w:rsid w:val="11023C2D"/>
    <w:rsid w:val="1150170C"/>
    <w:rsid w:val="119D7CCC"/>
    <w:rsid w:val="11A71B81"/>
    <w:rsid w:val="11CF3662"/>
    <w:rsid w:val="12081A72"/>
    <w:rsid w:val="12086AC4"/>
    <w:rsid w:val="122B77C7"/>
    <w:rsid w:val="13E175CD"/>
    <w:rsid w:val="13E64481"/>
    <w:rsid w:val="14092304"/>
    <w:rsid w:val="142C636E"/>
    <w:rsid w:val="14740383"/>
    <w:rsid w:val="14E87B4C"/>
    <w:rsid w:val="15233C15"/>
    <w:rsid w:val="15A73C37"/>
    <w:rsid w:val="15BF2EFE"/>
    <w:rsid w:val="16557DFE"/>
    <w:rsid w:val="16C55FB6"/>
    <w:rsid w:val="171A1DE8"/>
    <w:rsid w:val="17297B65"/>
    <w:rsid w:val="182E0173"/>
    <w:rsid w:val="185F55F5"/>
    <w:rsid w:val="18DE057F"/>
    <w:rsid w:val="1913606C"/>
    <w:rsid w:val="192400FF"/>
    <w:rsid w:val="19CA39E1"/>
    <w:rsid w:val="19DE010A"/>
    <w:rsid w:val="1A9F7949"/>
    <w:rsid w:val="1AB95D72"/>
    <w:rsid w:val="1B0E2C71"/>
    <w:rsid w:val="1B4B17D0"/>
    <w:rsid w:val="1BAF7FB0"/>
    <w:rsid w:val="1C0A3439"/>
    <w:rsid w:val="1C4D1A75"/>
    <w:rsid w:val="1C5A21E7"/>
    <w:rsid w:val="1C74587A"/>
    <w:rsid w:val="1CD46712"/>
    <w:rsid w:val="1CF21724"/>
    <w:rsid w:val="1D422FCE"/>
    <w:rsid w:val="1DE900C7"/>
    <w:rsid w:val="1E5B7F7C"/>
    <w:rsid w:val="1EB77450"/>
    <w:rsid w:val="1F9936BA"/>
    <w:rsid w:val="1FAF0A21"/>
    <w:rsid w:val="1FE324F0"/>
    <w:rsid w:val="20045B09"/>
    <w:rsid w:val="20087C8F"/>
    <w:rsid w:val="211D32FD"/>
    <w:rsid w:val="21E866AB"/>
    <w:rsid w:val="224E0395"/>
    <w:rsid w:val="2264148F"/>
    <w:rsid w:val="22E80703"/>
    <w:rsid w:val="230B213E"/>
    <w:rsid w:val="231024BC"/>
    <w:rsid w:val="23A06591"/>
    <w:rsid w:val="23C84167"/>
    <w:rsid w:val="24354CFB"/>
    <w:rsid w:val="2480271A"/>
    <w:rsid w:val="251B5C87"/>
    <w:rsid w:val="258212E1"/>
    <w:rsid w:val="25DC7C5D"/>
    <w:rsid w:val="25E1234A"/>
    <w:rsid w:val="25E71C16"/>
    <w:rsid w:val="264D0AF2"/>
    <w:rsid w:val="266A1B61"/>
    <w:rsid w:val="26B17747"/>
    <w:rsid w:val="28085519"/>
    <w:rsid w:val="287606B8"/>
    <w:rsid w:val="28B233F9"/>
    <w:rsid w:val="29A9603F"/>
    <w:rsid w:val="29EF50CB"/>
    <w:rsid w:val="2B472170"/>
    <w:rsid w:val="2B84209F"/>
    <w:rsid w:val="2BB52F16"/>
    <w:rsid w:val="2CC83DD0"/>
    <w:rsid w:val="2CCA72DE"/>
    <w:rsid w:val="2D5B12E0"/>
    <w:rsid w:val="2D92328E"/>
    <w:rsid w:val="2DB96E88"/>
    <w:rsid w:val="2DBA0397"/>
    <w:rsid w:val="2E212079"/>
    <w:rsid w:val="2EFE73FB"/>
    <w:rsid w:val="2F706A2D"/>
    <w:rsid w:val="302963D4"/>
    <w:rsid w:val="30302C0E"/>
    <w:rsid w:val="30371178"/>
    <w:rsid w:val="30405223"/>
    <w:rsid w:val="30CE5E9D"/>
    <w:rsid w:val="31605B7D"/>
    <w:rsid w:val="32A01FA9"/>
    <w:rsid w:val="32D90BB3"/>
    <w:rsid w:val="333C3C2A"/>
    <w:rsid w:val="346E6C64"/>
    <w:rsid w:val="34E9418C"/>
    <w:rsid w:val="35436864"/>
    <w:rsid w:val="356E1F34"/>
    <w:rsid w:val="36010FB1"/>
    <w:rsid w:val="365C6E9B"/>
    <w:rsid w:val="36942D11"/>
    <w:rsid w:val="36A71C91"/>
    <w:rsid w:val="36D83E00"/>
    <w:rsid w:val="373979C7"/>
    <w:rsid w:val="37556868"/>
    <w:rsid w:val="3790713F"/>
    <w:rsid w:val="385C6972"/>
    <w:rsid w:val="38A805A5"/>
    <w:rsid w:val="38C5017B"/>
    <w:rsid w:val="38C97C97"/>
    <w:rsid w:val="38FD3937"/>
    <w:rsid w:val="393A729D"/>
    <w:rsid w:val="3A182BA7"/>
    <w:rsid w:val="3A5B15D7"/>
    <w:rsid w:val="3B981668"/>
    <w:rsid w:val="3BA0301A"/>
    <w:rsid w:val="3BB668DA"/>
    <w:rsid w:val="3BDC7444"/>
    <w:rsid w:val="3C366391"/>
    <w:rsid w:val="3C7E15AD"/>
    <w:rsid w:val="3CB21257"/>
    <w:rsid w:val="3D8258C9"/>
    <w:rsid w:val="3E290866"/>
    <w:rsid w:val="3F7D1E45"/>
    <w:rsid w:val="3FA657D8"/>
    <w:rsid w:val="3FE905B6"/>
    <w:rsid w:val="400902CE"/>
    <w:rsid w:val="4024752B"/>
    <w:rsid w:val="40D07EFD"/>
    <w:rsid w:val="414032D5"/>
    <w:rsid w:val="41437475"/>
    <w:rsid w:val="423031DA"/>
    <w:rsid w:val="42B831AD"/>
    <w:rsid w:val="43994F1E"/>
    <w:rsid w:val="43BD79F0"/>
    <w:rsid w:val="43D768AF"/>
    <w:rsid w:val="44103966"/>
    <w:rsid w:val="44244A83"/>
    <w:rsid w:val="443107BC"/>
    <w:rsid w:val="443417CC"/>
    <w:rsid w:val="447B4927"/>
    <w:rsid w:val="44E73581"/>
    <w:rsid w:val="45DA2D01"/>
    <w:rsid w:val="46011D57"/>
    <w:rsid w:val="460875DB"/>
    <w:rsid w:val="477535AD"/>
    <w:rsid w:val="47C77212"/>
    <w:rsid w:val="4842204E"/>
    <w:rsid w:val="48BC2F1C"/>
    <w:rsid w:val="49365F43"/>
    <w:rsid w:val="49F03F79"/>
    <w:rsid w:val="4A0C104F"/>
    <w:rsid w:val="4A4F6337"/>
    <w:rsid w:val="4A563B69"/>
    <w:rsid w:val="4AE922E8"/>
    <w:rsid w:val="4BAF6429"/>
    <w:rsid w:val="4BCA7D19"/>
    <w:rsid w:val="4C012E4E"/>
    <w:rsid w:val="4C490BA2"/>
    <w:rsid w:val="4C6611F9"/>
    <w:rsid w:val="4D362EE1"/>
    <w:rsid w:val="4D3D2DBF"/>
    <w:rsid w:val="4D527F1D"/>
    <w:rsid w:val="4DE45FE7"/>
    <w:rsid w:val="4E4F4B57"/>
    <w:rsid w:val="4E545742"/>
    <w:rsid w:val="4E624981"/>
    <w:rsid w:val="4F98203F"/>
    <w:rsid w:val="4FCE7959"/>
    <w:rsid w:val="505B2114"/>
    <w:rsid w:val="511657D8"/>
    <w:rsid w:val="5131290F"/>
    <w:rsid w:val="514B3CFC"/>
    <w:rsid w:val="51870AAC"/>
    <w:rsid w:val="51B36CFC"/>
    <w:rsid w:val="51C35D6F"/>
    <w:rsid w:val="52936A52"/>
    <w:rsid w:val="52945588"/>
    <w:rsid w:val="52DC7024"/>
    <w:rsid w:val="53230361"/>
    <w:rsid w:val="54B205FE"/>
    <w:rsid w:val="54DC7A5B"/>
    <w:rsid w:val="56744020"/>
    <w:rsid w:val="56DE7977"/>
    <w:rsid w:val="56F30003"/>
    <w:rsid w:val="573B4324"/>
    <w:rsid w:val="57831D16"/>
    <w:rsid w:val="57C06B72"/>
    <w:rsid w:val="57E47064"/>
    <w:rsid w:val="58FE583A"/>
    <w:rsid w:val="593C307C"/>
    <w:rsid w:val="59771406"/>
    <w:rsid w:val="59975510"/>
    <w:rsid w:val="59CC52AE"/>
    <w:rsid w:val="5A432F8D"/>
    <w:rsid w:val="5B2F793C"/>
    <w:rsid w:val="5BCB58F6"/>
    <w:rsid w:val="5C321E9B"/>
    <w:rsid w:val="5C361458"/>
    <w:rsid w:val="5C610041"/>
    <w:rsid w:val="5D714235"/>
    <w:rsid w:val="5D92680F"/>
    <w:rsid w:val="5DD54F55"/>
    <w:rsid w:val="5E7F3D91"/>
    <w:rsid w:val="5E8F5E1D"/>
    <w:rsid w:val="5EA4058F"/>
    <w:rsid w:val="5EDE7F25"/>
    <w:rsid w:val="5F025C16"/>
    <w:rsid w:val="602A7A87"/>
    <w:rsid w:val="60E02B20"/>
    <w:rsid w:val="614D4D08"/>
    <w:rsid w:val="6158374E"/>
    <w:rsid w:val="62790726"/>
    <w:rsid w:val="627F3A39"/>
    <w:rsid w:val="62D60F4C"/>
    <w:rsid w:val="6311592E"/>
    <w:rsid w:val="645E4E80"/>
    <w:rsid w:val="646003F3"/>
    <w:rsid w:val="64944811"/>
    <w:rsid w:val="64AC6924"/>
    <w:rsid w:val="64BE377D"/>
    <w:rsid w:val="64F355D6"/>
    <w:rsid w:val="65351598"/>
    <w:rsid w:val="654B31E9"/>
    <w:rsid w:val="65520575"/>
    <w:rsid w:val="655D55EB"/>
    <w:rsid w:val="65980578"/>
    <w:rsid w:val="67334BBF"/>
    <w:rsid w:val="67413ADD"/>
    <w:rsid w:val="67973093"/>
    <w:rsid w:val="686D205F"/>
    <w:rsid w:val="68773FDE"/>
    <w:rsid w:val="689F4691"/>
    <w:rsid w:val="696F20FA"/>
    <w:rsid w:val="698C2CAC"/>
    <w:rsid w:val="698E0394"/>
    <w:rsid w:val="69A02843"/>
    <w:rsid w:val="6A1A44A6"/>
    <w:rsid w:val="6A8B493B"/>
    <w:rsid w:val="6AEB7F64"/>
    <w:rsid w:val="6B056872"/>
    <w:rsid w:val="6B064398"/>
    <w:rsid w:val="6B410D73"/>
    <w:rsid w:val="6B416772"/>
    <w:rsid w:val="6B9C3EC7"/>
    <w:rsid w:val="6BC856C2"/>
    <w:rsid w:val="6D0D5BA4"/>
    <w:rsid w:val="6D154ACC"/>
    <w:rsid w:val="6D6100A7"/>
    <w:rsid w:val="6D7B01B7"/>
    <w:rsid w:val="6DB93CC7"/>
    <w:rsid w:val="6DDD40E1"/>
    <w:rsid w:val="6E1D2124"/>
    <w:rsid w:val="6E8761D2"/>
    <w:rsid w:val="6EF37D6B"/>
    <w:rsid w:val="6F1807A7"/>
    <w:rsid w:val="6F926156"/>
    <w:rsid w:val="6FA05E13"/>
    <w:rsid w:val="72AD52E3"/>
    <w:rsid w:val="733221CE"/>
    <w:rsid w:val="745A6501"/>
    <w:rsid w:val="748374B4"/>
    <w:rsid w:val="74AA322B"/>
    <w:rsid w:val="7523019F"/>
    <w:rsid w:val="75A5421E"/>
    <w:rsid w:val="76002075"/>
    <w:rsid w:val="771E78EF"/>
    <w:rsid w:val="77285F81"/>
    <w:rsid w:val="77DD34A7"/>
    <w:rsid w:val="781F69DF"/>
    <w:rsid w:val="78743F0C"/>
    <w:rsid w:val="78A31478"/>
    <w:rsid w:val="78FC310E"/>
    <w:rsid w:val="7A041E8F"/>
    <w:rsid w:val="7A1B7E60"/>
    <w:rsid w:val="7A880E35"/>
    <w:rsid w:val="7ABD0F17"/>
    <w:rsid w:val="7B0E783A"/>
    <w:rsid w:val="7B7A7AAD"/>
    <w:rsid w:val="7BC167E5"/>
    <w:rsid w:val="7BD87918"/>
    <w:rsid w:val="7C07752F"/>
    <w:rsid w:val="7C751669"/>
    <w:rsid w:val="7CA26617"/>
    <w:rsid w:val="7DC93F96"/>
    <w:rsid w:val="7DCE6C76"/>
    <w:rsid w:val="7F4D294D"/>
    <w:rsid w:val="7F73429A"/>
    <w:rsid w:val="7F9A26B6"/>
    <w:rsid w:val="7FD3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link w:val="61"/>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paragraph" w:styleId="7">
    <w:name w:val="Normal Indent"/>
    <w:basedOn w:val="1"/>
    <w:link w:val="60"/>
    <w:qFormat/>
    <w:uiPriority w:val="0"/>
    <w:pPr>
      <w:ind w:firstLine="420"/>
    </w:pPr>
    <w:rPr>
      <w:rFonts w:ascii="Times New Roman" w:hAnsi="Times New Roman" w:eastAsia="宋体" w:cs="Times New Roman"/>
      <w:szCs w:val="20"/>
    </w:rPr>
  </w:style>
  <w:style w:type="paragraph" w:styleId="8">
    <w:name w:val="annotation text"/>
    <w:basedOn w:val="1"/>
    <w:link w:val="46"/>
    <w:qFormat/>
    <w:uiPriority w:val="0"/>
    <w:pPr>
      <w:jc w:val="left"/>
    </w:pPr>
    <w:rPr>
      <w:rFonts w:ascii="Times New Roman" w:hAnsi="Times New Roman" w:eastAsia="宋体" w:cs="Times New Roman"/>
      <w:szCs w:val="20"/>
    </w:rPr>
  </w:style>
  <w:style w:type="paragraph" w:styleId="9">
    <w:name w:val="Body Text 3"/>
    <w:basedOn w:val="1"/>
    <w:link w:val="47"/>
    <w:qFormat/>
    <w:uiPriority w:val="0"/>
    <w:pPr>
      <w:spacing w:after="120"/>
    </w:pPr>
    <w:rPr>
      <w:rFonts w:ascii="Times New Roman" w:hAnsi="Times New Roman" w:eastAsia="宋体" w:cs="Times New Roman"/>
      <w:sz w:val="16"/>
      <w:szCs w:val="16"/>
    </w:rPr>
  </w:style>
  <w:style w:type="paragraph" w:styleId="10">
    <w:name w:val="Body Text"/>
    <w:basedOn w:val="1"/>
    <w:link w:val="50"/>
    <w:unhideWhenUsed/>
    <w:qFormat/>
    <w:uiPriority w:val="99"/>
    <w:pPr>
      <w:spacing w:after="120"/>
    </w:pPr>
  </w:style>
  <w:style w:type="paragraph" w:styleId="11">
    <w:name w:val="Body Text Indent"/>
    <w:basedOn w:val="1"/>
    <w:next w:val="1"/>
    <w:link w:val="40"/>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2">
    <w:name w:val="index 4"/>
    <w:basedOn w:val="1"/>
    <w:next w:val="1"/>
    <w:unhideWhenUsed/>
    <w:qFormat/>
    <w:uiPriority w:val="99"/>
    <w:pPr>
      <w:ind w:left="600" w:leftChars="600"/>
    </w:pPr>
    <w:rPr>
      <w:rFonts w:ascii="Verdana" w:hAnsi="Verdana"/>
      <w:szCs w:val="20"/>
    </w:rPr>
  </w:style>
  <w:style w:type="paragraph" w:styleId="13">
    <w:name w:val="toc 3"/>
    <w:basedOn w:val="1"/>
    <w:next w:val="1"/>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4">
    <w:name w:val="Plain Text"/>
    <w:basedOn w:val="1"/>
    <w:link w:val="43"/>
    <w:qFormat/>
    <w:uiPriority w:val="0"/>
    <w:rPr>
      <w:rFonts w:ascii="宋体" w:hAnsi="Courier New" w:eastAsia="宋体" w:cs="Times New Roman"/>
      <w:szCs w:val="20"/>
    </w:rPr>
  </w:style>
  <w:style w:type="paragraph" w:styleId="15">
    <w:name w:val="Date"/>
    <w:basedOn w:val="1"/>
    <w:next w:val="1"/>
    <w:link w:val="45"/>
    <w:semiHidden/>
    <w:unhideWhenUsed/>
    <w:qFormat/>
    <w:uiPriority w:val="99"/>
    <w:pPr>
      <w:ind w:left="100" w:leftChars="2500"/>
    </w:pPr>
  </w:style>
  <w:style w:type="paragraph" w:styleId="16">
    <w:name w:val="Balloon Text"/>
    <w:basedOn w:val="1"/>
    <w:link w:val="44"/>
    <w:semiHidden/>
    <w:unhideWhenUsed/>
    <w:qFormat/>
    <w:uiPriority w:val="99"/>
    <w:rPr>
      <w:sz w:val="18"/>
      <w:szCs w:val="18"/>
    </w:rPr>
  </w:style>
  <w:style w:type="paragraph" w:styleId="17">
    <w:name w:val="footer"/>
    <w:basedOn w:val="1"/>
    <w:link w:val="37"/>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1">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2">
    <w:name w:val="Body Text 2"/>
    <w:basedOn w:val="1"/>
    <w:autoRedefine/>
    <w:qFormat/>
    <w:uiPriority w:val="0"/>
    <w:pPr>
      <w:spacing w:after="120" w:line="480" w:lineRule="auto"/>
    </w:p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8"/>
    <w:next w:val="8"/>
    <w:link w:val="58"/>
    <w:autoRedefine/>
    <w:semiHidden/>
    <w:unhideWhenUsed/>
    <w:qFormat/>
    <w:uiPriority w:val="99"/>
    <w:rPr>
      <w:rFonts w:asciiTheme="minorHAnsi" w:hAnsiTheme="minorHAnsi" w:eastAsiaTheme="minorEastAsia" w:cstheme="minorBidi"/>
      <w:b/>
      <w:bCs/>
      <w:szCs w:val="22"/>
    </w:rPr>
  </w:style>
  <w:style w:type="paragraph" w:styleId="25">
    <w:name w:val="Body Text First Indent"/>
    <w:basedOn w:val="10"/>
    <w:link w:val="62"/>
    <w:autoRedefine/>
    <w:semiHidden/>
    <w:unhideWhenUsed/>
    <w:qFormat/>
    <w:uiPriority w:val="99"/>
    <w:pPr>
      <w:ind w:firstLine="420" w:firstLineChars="100"/>
    </w:pPr>
  </w:style>
  <w:style w:type="paragraph" w:styleId="26">
    <w:name w:val="Body Text First Indent 2"/>
    <w:basedOn w:val="11"/>
    <w:next w:val="1"/>
    <w:autoRedefine/>
    <w:qFormat/>
    <w:uiPriority w:val="0"/>
    <w:pPr>
      <w:ind w:firstLine="420"/>
    </w:pPr>
    <w:rPr>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Emphasis"/>
    <w:basedOn w:val="29"/>
    <w:autoRedefine/>
    <w:qFormat/>
    <w:uiPriority w:val="20"/>
    <w:rPr>
      <w:i/>
    </w:rPr>
  </w:style>
  <w:style w:type="character" w:styleId="32">
    <w:name w:val="Hyperlink"/>
    <w:basedOn w:val="29"/>
    <w:autoRedefine/>
    <w:unhideWhenUsed/>
    <w:qFormat/>
    <w:uiPriority w:val="99"/>
    <w:rPr>
      <w:color w:val="0563C1" w:themeColor="hyperlink"/>
      <w:u w:val="single"/>
      <w14:textFill>
        <w14:solidFill>
          <w14:schemeClr w14:val="hlink"/>
        </w14:solidFill>
      </w14:textFill>
    </w:rPr>
  </w:style>
  <w:style w:type="character" w:styleId="33">
    <w:name w:val="annotation reference"/>
    <w:autoRedefine/>
    <w:qFormat/>
    <w:uiPriority w:val="0"/>
    <w:rPr>
      <w:sz w:val="21"/>
      <w:szCs w:val="21"/>
    </w:rPr>
  </w:style>
  <w:style w:type="paragraph" w:customStyle="1" w:styleId="34">
    <w:name w:val="BodyText1I2"/>
    <w:next w:val="1"/>
    <w:autoRedefine/>
    <w:qFormat/>
    <w:uiPriority w:val="0"/>
    <w:pPr>
      <w:widowControl w:val="0"/>
      <w:snapToGrid w:val="0"/>
      <w:spacing w:line="440" w:lineRule="exact"/>
      <w:ind w:firstLine="420" w:firstLineChars="200"/>
      <w:jc w:val="both"/>
      <w:textAlignment w:val="baseline"/>
    </w:pPr>
    <w:rPr>
      <w:rFonts w:ascii="Calibri" w:hAnsi="Calibri" w:eastAsia="宋体" w:cs="Times New Roman"/>
      <w:kern w:val="2"/>
      <w:sz w:val="21"/>
      <w:szCs w:val="21"/>
      <w:lang w:val="en-US" w:eastAsia="zh-CN" w:bidi="ar-SA"/>
    </w:rPr>
  </w:style>
  <w:style w:type="paragraph" w:customStyle="1" w:styleId="35">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7"/>
    <w:autoRedefine/>
    <w:qFormat/>
    <w:uiPriority w:val="99"/>
    <w:rPr>
      <w:sz w:val="18"/>
      <w:szCs w:val="18"/>
    </w:rPr>
  </w:style>
  <w:style w:type="character" w:customStyle="1" w:styleId="38">
    <w:name w:val="标题 1 Char"/>
    <w:basedOn w:val="29"/>
    <w:link w:val="3"/>
    <w:autoRedefine/>
    <w:qFormat/>
    <w:uiPriority w:val="9"/>
    <w:rPr>
      <w:b/>
      <w:bCs/>
      <w:kern w:val="44"/>
      <w:sz w:val="44"/>
      <w:szCs w:val="44"/>
    </w:rPr>
  </w:style>
  <w:style w:type="paragraph" w:customStyle="1" w:styleId="39">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0">
    <w:name w:val="正文文本缩进 Char"/>
    <w:basedOn w:val="29"/>
    <w:link w:val="11"/>
    <w:autoRedefine/>
    <w:qFormat/>
    <w:uiPriority w:val="0"/>
    <w:rPr>
      <w:rFonts w:ascii="楷体_GB2312" w:hAnsi="Times New Roman" w:eastAsia="楷体_GB2312" w:cs="Times New Roman"/>
      <w:kern w:val="0"/>
      <w:sz w:val="28"/>
      <w:szCs w:val="20"/>
    </w:rPr>
  </w:style>
  <w:style w:type="paragraph" w:customStyle="1" w:styleId="41">
    <w:name w:val="蓝色显示"/>
    <w:basedOn w:val="1"/>
    <w:link w:val="42"/>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42">
    <w:name w:val="蓝色显示 Char"/>
    <w:link w:val="41"/>
    <w:autoRedefine/>
    <w:qFormat/>
    <w:uiPriority w:val="0"/>
    <w:rPr>
      <w:rFonts w:ascii="Times New Roman" w:hAnsi="Times New Roman" w:eastAsia="宋体" w:cs="Times New Roman"/>
      <w:b/>
      <w:color w:val="0070C0"/>
      <w:szCs w:val="24"/>
    </w:rPr>
  </w:style>
  <w:style w:type="character" w:customStyle="1" w:styleId="43">
    <w:name w:val="纯文本 Char"/>
    <w:basedOn w:val="29"/>
    <w:link w:val="14"/>
    <w:autoRedefine/>
    <w:qFormat/>
    <w:uiPriority w:val="0"/>
    <w:rPr>
      <w:rFonts w:ascii="宋体" w:hAnsi="Courier New" w:eastAsia="宋体" w:cs="Times New Roman"/>
      <w:szCs w:val="20"/>
    </w:rPr>
  </w:style>
  <w:style w:type="character" w:customStyle="1" w:styleId="44">
    <w:name w:val="批注框文本 Char"/>
    <w:basedOn w:val="29"/>
    <w:link w:val="16"/>
    <w:autoRedefine/>
    <w:semiHidden/>
    <w:qFormat/>
    <w:uiPriority w:val="99"/>
    <w:rPr>
      <w:sz w:val="18"/>
      <w:szCs w:val="18"/>
    </w:rPr>
  </w:style>
  <w:style w:type="character" w:customStyle="1" w:styleId="45">
    <w:name w:val="日期 Char"/>
    <w:basedOn w:val="29"/>
    <w:link w:val="15"/>
    <w:autoRedefine/>
    <w:semiHidden/>
    <w:qFormat/>
    <w:uiPriority w:val="99"/>
  </w:style>
  <w:style w:type="character" w:customStyle="1" w:styleId="46">
    <w:name w:val="批注文字 Char"/>
    <w:basedOn w:val="29"/>
    <w:link w:val="8"/>
    <w:autoRedefine/>
    <w:qFormat/>
    <w:uiPriority w:val="99"/>
    <w:rPr>
      <w:rFonts w:ascii="Times New Roman" w:hAnsi="Times New Roman" w:eastAsia="宋体" w:cs="Times New Roman"/>
      <w:szCs w:val="20"/>
    </w:rPr>
  </w:style>
  <w:style w:type="character" w:customStyle="1" w:styleId="47">
    <w:name w:val="正文文本 3 Char"/>
    <w:basedOn w:val="29"/>
    <w:link w:val="9"/>
    <w:autoRedefine/>
    <w:qFormat/>
    <w:uiPriority w:val="0"/>
    <w:rPr>
      <w:rFonts w:ascii="Times New Roman" w:hAnsi="Times New Roman" w:eastAsia="宋体" w:cs="Times New Roman"/>
      <w:sz w:val="16"/>
      <w:szCs w:val="16"/>
    </w:rPr>
  </w:style>
  <w:style w:type="paragraph" w:customStyle="1" w:styleId="48">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9">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50">
    <w:name w:val="正文文本 Char"/>
    <w:basedOn w:val="29"/>
    <w:link w:val="10"/>
    <w:autoRedefine/>
    <w:qFormat/>
    <w:uiPriority w:val="99"/>
  </w:style>
  <w:style w:type="paragraph" w:customStyle="1" w:styleId="51">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52">
    <w:name w:val="*正文 Char"/>
    <w:link w:val="53"/>
    <w:autoRedefine/>
    <w:qFormat/>
    <w:uiPriority w:val="0"/>
    <w:rPr>
      <w:kern w:val="2"/>
      <w:sz w:val="24"/>
      <w:szCs w:val="24"/>
    </w:rPr>
  </w:style>
  <w:style w:type="paragraph" w:customStyle="1" w:styleId="53">
    <w:name w:val="*正文"/>
    <w:basedOn w:val="1"/>
    <w:link w:val="52"/>
    <w:autoRedefine/>
    <w:qFormat/>
    <w:uiPriority w:val="0"/>
    <w:pPr>
      <w:adjustRightInd w:val="0"/>
      <w:snapToGrid w:val="0"/>
      <w:spacing w:line="340" w:lineRule="exact"/>
      <w:ind w:firstLine="480" w:firstLineChars="200"/>
    </w:pPr>
    <w:rPr>
      <w:sz w:val="24"/>
      <w:szCs w:val="24"/>
    </w:rPr>
  </w:style>
  <w:style w:type="table" w:customStyle="1" w:styleId="54">
    <w:name w:val="网格型3"/>
    <w:basedOn w:val="2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标题 2 Char"/>
    <w:basedOn w:val="29"/>
    <w:link w:val="4"/>
    <w:autoRedefine/>
    <w:qFormat/>
    <w:uiPriority w:val="9"/>
    <w:rPr>
      <w:rFonts w:ascii="Arial" w:hAnsi="Arial" w:eastAsia="幼圆" w:cs="Arial"/>
      <w:b/>
      <w:bCs/>
      <w:kern w:val="2"/>
      <w:sz w:val="44"/>
      <w:szCs w:val="44"/>
    </w:rPr>
  </w:style>
  <w:style w:type="paragraph" w:customStyle="1" w:styleId="56">
    <w:name w:val="招标文件_标题3"/>
    <w:basedOn w:val="2"/>
    <w:next w:val="1"/>
    <w:link w:val="57"/>
    <w:autoRedefine/>
    <w:qFormat/>
    <w:uiPriority w:val="0"/>
    <w:pPr>
      <w:widowControl w:val="0"/>
      <w:spacing w:before="0" w:after="0"/>
      <w:ind w:firstLine="0" w:firstLineChars="0"/>
      <w:jc w:val="both"/>
      <w:outlineLvl w:val="2"/>
    </w:pPr>
    <w:rPr>
      <w:rFonts w:hint="default" w:ascii="Calibri" w:hAnsi="Calibri" w:eastAsia="宋体" w:cs="Times New Roman"/>
      <w:b/>
      <w:color w:val="auto"/>
      <w:sz w:val="28"/>
      <w:szCs w:val="30"/>
      <w:lang w:val="zh-CN" w:bidi="en-US"/>
    </w:rPr>
  </w:style>
  <w:style w:type="character" w:customStyle="1" w:styleId="57">
    <w:name w:val="招标文件_标题3 字符"/>
    <w:basedOn w:val="29"/>
    <w:link w:val="56"/>
    <w:autoRedefine/>
    <w:qFormat/>
    <w:uiPriority w:val="0"/>
    <w:rPr>
      <w:rFonts w:ascii="Calibri" w:hAnsi="Calibri" w:eastAsia="宋体" w:cs="Times New Roman"/>
      <w:b/>
      <w:sz w:val="28"/>
      <w:szCs w:val="30"/>
      <w:lang w:val="zh-CN" w:eastAsia="en-US" w:bidi="en-US"/>
    </w:rPr>
  </w:style>
  <w:style w:type="character" w:customStyle="1" w:styleId="58">
    <w:name w:val="批注主题 Char"/>
    <w:basedOn w:val="46"/>
    <w:link w:val="24"/>
    <w:autoRedefine/>
    <w:semiHidden/>
    <w:qFormat/>
    <w:uiPriority w:val="99"/>
    <w:rPr>
      <w:rFonts w:ascii="Times New Roman" w:hAnsi="Times New Roman" w:eastAsia="宋体" w:cs="Times New Roman"/>
      <w:b/>
      <w:bCs/>
      <w:kern w:val="2"/>
      <w:sz w:val="21"/>
      <w:szCs w:val="22"/>
    </w:rPr>
  </w:style>
  <w:style w:type="character" w:customStyle="1" w:styleId="59">
    <w:name w:val="标题 4 Char"/>
    <w:basedOn w:val="29"/>
    <w:link w:val="6"/>
    <w:autoRedefine/>
    <w:semiHidden/>
    <w:qFormat/>
    <w:uiPriority w:val="9"/>
    <w:rPr>
      <w:rFonts w:asciiTheme="majorHAnsi" w:hAnsiTheme="majorHAnsi" w:eastAsiaTheme="majorEastAsia" w:cstheme="majorBidi"/>
      <w:b/>
      <w:bCs/>
      <w:kern w:val="2"/>
      <w:sz w:val="28"/>
      <w:szCs w:val="28"/>
    </w:rPr>
  </w:style>
  <w:style w:type="character" w:customStyle="1" w:styleId="60">
    <w:name w:val="正文缩进 Char"/>
    <w:link w:val="7"/>
    <w:autoRedefine/>
    <w:qFormat/>
    <w:uiPriority w:val="0"/>
    <w:rPr>
      <w:rFonts w:ascii="Times New Roman" w:hAnsi="Times New Roman" w:eastAsia="宋体" w:cs="Times New Roman"/>
      <w:kern w:val="2"/>
      <w:sz w:val="21"/>
    </w:rPr>
  </w:style>
  <w:style w:type="character" w:customStyle="1" w:styleId="61">
    <w:name w:val="列出段落 Char"/>
    <w:link w:val="2"/>
    <w:autoRedefine/>
    <w:qFormat/>
    <w:locked/>
    <w:uiPriority w:val="34"/>
    <w:rPr>
      <w:rFonts w:ascii="Arial Unicode MS" w:hAnsi="Arial Unicode MS" w:eastAsia="Times New Roman" w:cs="Arial Unicode MS"/>
      <w:color w:val="000000"/>
      <w:u w:color="000000"/>
      <w:lang w:eastAsia="en-US"/>
    </w:rPr>
  </w:style>
  <w:style w:type="character" w:customStyle="1" w:styleId="62">
    <w:name w:val="正文首行缩进 Char"/>
    <w:basedOn w:val="50"/>
    <w:link w:val="25"/>
    <w:autoRedefine/>
    <w:semiHidden/>
    <w:qFormat/>
    <w:uiPriority w:val="99"/>
    <w:rPr>
      <w:kern w:val="2"/>
      <w:sz w:val="21"/>
      <w:szCs w:val="22"/>
    </w:rPr>
  </w:style>
  <w:style w:type="character" w:customStyle="1" w:styleId="63">
    <w:name w:val="sh141"/>
    <w:autoRedefine/>
    <w:qFormat/>
    <w:uiPriority w:val="0"/>
    <w:rPr>
      <w:color w:val="2B2B2B"/>
      <w:sz w:val="21"/>
      <w:szCs w:val="21"/>
    </w:rPr>
  </w:style>
  <w:style w:type="paragraph" w:customStyle="1" w:styleId="64">
    <w:name w:val="标准文本"/>
    <w:basedOn w:val="1"/>
    <w:link w:val="65"/>
    <w:autoRedefine/>
    <w:qFormat/>
    <w:uiPriority w:val="0"/>
    <w:pPr>
      <w:adjustRightInd w:val="0"/>
      <w:snapToGrid w:val="0"/>
      <w:spacing w:line="360" w:lineRule="auto"/>
      <w:ind w:firstLine="480" w:firstLineChars="200"/>
    </w:pPr>
    <w:rPr>
      <w:rFonts w:ascii="Times New Roman" w:hAnsi="Times New Roman" w:eastAsia="宋体" w:cs="宋体"/>
      <w:sz w:val="24"/>
      <w:szCs w:val="24"/>
    </w:rPr>
  </w:style>
  <w:style w:type="character" w:customStyle="1" w:styleId="65">
    <w:name w:val="标准文本 Char"/>
    <w:link w:val="64"/>
    <w:autoRedefine/>
    <w:qFormat/>
    <w:uiPriority w:val="0"/>
    <w:rPr>
      <w:rFonts w:ascii="Times New Roman" w:hAnsi="Times New Roman" w:eastAsia="宋体" w:cs="宋体"/>
      <w:kern w:val="2"/>
      <w:sz w:val="24"/>
      <w:szCs w:val="24"/>
    </w:rPr>
  </w:style>
  <w:style w:type="paragraph" w:customStyle="1" w:styleId="66">
    <w:name w:val="列出段落1"/>
    <w:basedOn w:val="1"/>
    <w:autoRedefine/>
    <w:qFormat/>
    <w:uiPriority w:val="0"/>
    <w:pPr>
      <w:ind w:left="200" w:leftChars="200"/>
      <w:jc w:val="left"/>
    </w:pPr>
    <w:rPr>
      <w:rFonts w:ascii="Calibri" w:hAnsi="Calibri" w:eastAsia="PMingLiU" w:cs="宋体"/>
      <w:sz w:val="24"/>
      <w:lang w:eastAsia="zh-TW"/>
    </w:rPr>
  </w:style>
  <w:style w:type="paragraph" w:customStyle="1" w:styleId="67">
    <w:name w:val="正文1"/>
    <w:basedOn w:val="1"/>
    <w:autoRedefine/>
    <w:qFormat/>
    <w:uiPriority w:val="0"/>
    <w:pPr>
      <w:tabs>
        <w:tab w:val="left" w:pos="1290"/>
      </w:tabs>
      <w:ind w:left="1290" w:hanging="420"/>
      <w:jc w:val="left"/>
    </w:pPr>
    <w:rPr>
      <w:rFonts w:ascii="Times New Roman" w:hAnsi="Times New Roman"/>
      <w:szCs w:val="24"/>
    </w:rPr>
  </w:style>
  <w:style w:type="paragraph" w:customStyle="1" w:styleId="68">
    <w:name w:val="首行缩进"/>
    <w:basedOn w:val="1"/>
    <w:autoRedefine/>
    <w:qFormat/>
    <w:uiPriority w:val="0"/>
    <w:pPr>
      <w:ind w:firstLine="480" w:firstLineChars="200"/>
    </w:pPr>
    <w:rPr>
      <w:szCs w:val="20"/>
      <w:lang w:val="zh-CN"/>
    </w:rPr>
  </w:style>
  <w:style w:type="paragraph" w:customStyle="1" w:styleId="69">
    <w:name w:val="BodyTextIndent"/>
    <w:next w:val="70"/>
    <w:autoRedefine/>
    <w:qFormat/>
    <w:uiPriority w:val="0"/>
    <w:pPr>
      <w:widowControl w:val="0"/>
      <w:snapToGrid w:val="0"/>
      <w:spacing w:line="440" w:lineRule="exact"/>
      <w:ind w:firstLine="403" w:firstLineChars="192"/>
      <w:jc w:val="both"/>
      <w:textAlignment w:val="baseline"/>
    </w:pPr>
    <w:rPr>
      <w:rFonts w:ascii="宋体" w:hAnsi="宋体" w:eastAsia="宋体" w:cs="Times New Roman"/>
      <w:kern w:val="2"/>
      <w:sz w:val="21"/>
      <w:szCs w:val="21"/>
      <w:lang w:val="en-US" w:eastAsia="zh-CN" w:bidi="ar-SA"/>
    </w:rPr>
  </w:style>
  <w:style w:type="paragraph" w:customStyle="1" w:styleId="70">
    <w:name w:val="EnvelopeReturn"/>
    <w:autoRedefine/>
    <w:qFormat/>
    <w:uiPriority w:val="0"/>
    <w:pPr>
      <w:widowControl w:val="0"/>
      <w:snapToGrid w:val="0"/>
      <w:jc w:val="both"/>
      <w:textAlignment w:val="baseline"/>
    </w:pPr>
    <w:rPr>
      <w:rFonts w:ascii="Arial" w:hAnsi="Arial"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5F922-C689-4A6F-ABAD-D891C1DBE5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21584</Words>
  <Characters>23506</Characters>
  <Lines>143</Lines>
  <Paragraphs>40</Paragraphs>
  <TotalTime>9</TotalTime>
  <ScaleCrop>false</ScaleCrop>
  <LinksUpToDate>false</LinksUpToDate>
  <CharactersWithSpaces>25360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2020-11-30T05:46:00Z</dcterms:created>
  <dc:creator>ibm</dc:creator>
  <cp:lastModifiedBy>zxq</cp:lastModifiedBy>
  <cp:lastPrinted>2016-04-14T05:56:00Z</cp:lastPrinted>
  <dcterms:modified xsi:type="dcterms:W3CDTF">2025-07-17T08:15:58Z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C8B7876D0F9347488BE268C4D4C6A119_13</vt:lpwstr>
  </property>
  <property fmtid="{D5CDD505-2E9C-101B-9397-08002B2CF9AE}" pid="4" name="KSOTemplateDocerSaveRecord">
    <vt:lpwstr>eyJoZGlkIjoiZGZiZTQ5OTQ2ZDdkMDQ5YjllZGNjODE2Yzg2ZWZmOTkiLCJ1c2VySWQiOiI0NDY2NDAwIn0=</vt:lpwstr>
  </property>
</Properties>
</file>